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drawings/drawing1.xml" ContentType="application/vnd.openxmlformats-officedocument.drawingml.chartshapes+xml"/>
  <Override PartName="/word/charts/chart3.xml" ContentType="application/vnd.openxmlformats-officedocument.drawingml.chart+xml"/>
  <Override PartName="/word/drawings/drawing2.xml" ContentType="application/vnd.openxmlformats-officedocument.drawingml.chartshapes+xml"/>
  <Override PartName="/word/charts/chart4.xml" ContentType="application/vnd.openxmlformats-officedocument.drawingml.chart+xml"/>
  <Override PartName="/word/charts/chart5.xml" ContentType="application/vnd.openxmlformats-officedocument.drawingml.chart+xml"/>
  <Override PartName="/word/drawings/drawing3.xml" ContentType="application/vnd.openxmlformats-officedocument.drawingml.chartshapes+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charts/chart10.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word/charts/chart13.xml" ContentType="application/vnd.openxmlformats-officedocument.drawingml.chart+xml"/>
  <Override PartName="/word/charts/chart14.xml" ContentType="application/vnd.openxmlformats-officedocument.drawingml.chart+xml"/>
  <Override PartName="/word/charts/chart15.xml" ContentType="application/vnd.openxmlformats-officedocument.drawingml.chart+xml"/>
  <Override PartName="/word/charts/chart16.xml" ContentType="application/vnd.openxmlformats-officedocument.drawingml.chart+xml"/>
  <Override PartName="/word/charts/chart17.xml" ContentType="application/vnd.openxmlformats-officedocument.drawingml.chart+xml"/>
  <Override PartName="/word/charts/chart18.xml" ContentType="application/vnd.openxmlformats-officedocument.drawingml.chart+xml"/>
  <Override PartName="/word/charts/chart19.xml" ContentType="application/vnd.openxmlformats-officedocument.drawingml.chart+xml"/>
  <Override PartName="/word/charts/chart20.xml" ContentType="application/vnd.openxmlformats-officedocument.drawingml.chart+xml"/>
  <Override PartName="/word/charts/chart21.xml" ContentType="application/vnd.openxmlformats-officedocument.drawingml.chart+xml"/>
  <Override PartName="/word/drawings/drawing4.xml" ContentType="application/vnd.openxmlformats-officedocument.drawingml.chartshapes+xml"/>
  <Override PartName="/word/charts/chart22.xml" ContentType="application/vnd.openxmlformats-officedocument.drawingml.chart+xml"/>
  <Override PartName="/word/charts/chart23.xml" ContentType="application/vnd.openxmlformats-officedocument.drawingml.chart+xml"/>
  <Override PartName="/word/charts/chart24.xml" ContentType="application/vnd.openxmlformats-officedocument.drawingml.chart+xml"/>
  <Override PartName="/word/charts/chart25.xml" ContentType="application/vnd.openxmlformats-officedocument.drawingml.chart+xml"/>
  <Override PartName="/word/charts/chart26.xml" ContentType="application/vnd.openxmlformats-officedocument.drawingml.chart+xml"/>
  <Override PartName="/word/charts/chart27.xml" ContentType="application/vnd.openxmlformats-officedocument.drawingml.chart+xml"/>
  <Override PartName="/word/charts/chart28.xml" ContentType="application/vnd.openxmlformats-officedocument.drawingml.chart+xml"/>
  <Override PartName="/word/charts/chart29.xml" ContentType="application/vnd.openxmlformats-officedocument.drawingml.chart+xml"/>
  <Override PartName="/word/charts/chart30.xml" ContentType="application/vnd.openxmlformats-officedocument.drawingml.chart+xml"/>
  <Override PartName="/word/theme/themeOverride1.xml" ContentType="application/vnd.openxmlformats-officedocument.themeOverride+xml"/>
  <Override PartName="/word/charts/chart31.xml" ContentType="application/vnd.openxmlformats-officedocument.drawingml.chart+xml"/>
  <Override PartName="/word/theme/themeOverride2.xml" ContentType="application/vnd.openxmlformats-officedocument.themeOverride+xml"/>
  <Override PartName="/word/charts/chart32.xml" ContentType="application/vnd.openxmlformats-officedocument.drawingml.chart+xml"/>
  <Override PartName="/word/theme/themeOverride3.xml" ContentType="application/vnd.openxmlformats-officedocument.themeOverride+xml"/>
  <Override PartName="/word/charts/chart33.xml" ContentType="application/vnd.openxmlformats-officedocument.drawingml.chart+xml"/>
  <Override PartName="/word/theme/themeOverride4.xml" ContentType="application/vnd.openxmlformats-officedocument.themeOverride+xml"/>
  <Override PartName="/word/charts/chart34.xml" ContentType="application/vnd.openxmlformats-officedocument.drawingml.chart+xml"/>
  <Override PartName="/word/theme/themeOverride5.xml" ContentType="application/vnd.openxmlformats-officedocument.themeOverride+xml"/>
  <Override PartName="/word/drawings/drawing5.xml" ContentType="application/vnd.openxmlformats-officedocument.drawingml.chartshapes+xml"/>
  <Override PartName="/word/charts/chart35.xml" ContentType="application/vnd.openxmlformats-officedocument.drawingml.chart+xml"/>
  <Override PartName="/word/theme/themeOverride6.xml" ContentType="application/vnd.openxmlformats-officedocument.themeOverride+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29B75604" w14:textId="1E21A98F" w:rsidR="008A700C" w:rsidRDefault="008A700C" w:rsidP="008A700C">
      <w:pPr>
        <w:jc w:val="center"/>
        <w:rPr>
          <w:b/>
          <w:sz w:val="28"/>
          <w:szCs w:val="28"/>
        </w:rPr>
      </w:pPr>
      <w:bookmarkStart w:id="0" w:name="_GoBack"/>
      <w:bookmarkEnd w:id="0"/>
    </w:p>
    <w:p w14:paraId="0C728CDF" w14:textId="708FD81B" w:rsidR="003438B8" w:rsidRDefault="003438B8" w:rsidP="008A700C">
      <w:pPr>
        <w:jc w:val="center"/>
        <w:rPr>
          <w:b/>
          <w:sz w:val="28"/>
          <w:szCs w:val="28"/>
        </w:rPr>
      </w:pPr>
    </w:p>
    <w:p w14:paraId="59626C2F" w14:textId="2131A8C6" w:rsidR="003438B8" w:rsidRDefault="003438B8" w:rsidP="008A700C">
      <w:pPr>
        <w:jc w:val="center"/>
        <w:rPr>
          <w:b/>
          <w:sz w:val="28"/>
          <w:szCs w:val="28"/>
        </w:rPr>
      </w:pPr>
    </w:p>
    <w:p w14:paraId="74016D06" w14:textId="2020C0EC" w:rsidR="003438B8" w:rsidRDefault="003438B8" w:rsidP="008A700C">
      <w:pPr>
        <w:jc w:val="center"/>
        <w:rPr>
          <w:b/>
          <w:sz w:val="28"/>
          <w:szCs w:val="28"/>
        </w:rPr>
      </w:pPr>
    </w:p>
    <w:p w14:paraId="2B7CB487" w14:textId="092477BE" w:rsidR="003438B8" w:rsidRDefault="00EC0893" w:rsidP="008A700C">
      <w:pPr>
        <w:jc w:val="center"/>
        <w:rPr>
          <w:b/>
          <w:sz w:val="28"/>
          <w:szCs w:val="28"/>
        </w:rPr>
      </w:pPr>
      <w:r w:rsidRPr="004133EB">
        <w:rPr>
          <w:b/>
          <w:noProof/>
          <w:lang w:val="es-ES"/>
        </w:rPr>
        <w:drawing>
          <wp:anchor distT="0" distB="0" distL="114300" distR="114300" simplePos="0" relativeHeight="251695104" behindDoc="0" locked="0" layoutInCell="1" allowOverlap="1" wp14:anchorId="79ED8F8D" wp14:editId="16EFA7F3">
            <wp:simplePos x="0" y="0"/>
            <wp:positionH relativeFrom="column">
              <wp:posOffset>2320506</wp:posOffset>
            </wp:positionH>
            <wp:positionV relativeFrom="paragraph">
              <wp:posOffset>47625</wp:posOffset>
            </wp:positionV>
            <wp:extent cx="1768607" cy="803081"/>
            <wp:effectExtent l="0" t="0" r="3175" b="0"/>
            <wp:wrapNone/>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768607" cy="803081"/>
                    </a:xfrm>
                    <a:prstGeom prst="rect">
                      <a:avLst/>
                    </a:prstGeom>
                    <a:noFill/>
                  </pic:spPr>
                </pic:pic>
              </a:graphicData>
            </a:graphic>
            <wp14:sizeRelH relativeFrom="page">
              <wp14:pctWidth>0</wp14:pctWidth>
            </wp14:sizeRelH>
            <wp14:sizeRelV relativeFrom="page">
              <wp14:pctHeight>0</wp14:pctHeight>
            </wp14:sizeRelV>
          </wp:anchor>
        </w:drawing>
      </w:r>
    </w:p>
    <w:p w14:paraId="12B20AD4" w14:textId="3D218032" w:rsidR="003438B8" w:rsidRDefault="003438B8" w:rsidP="008A700C">
      <w:pPr>
        <w:jc w:val="center"/>
        <w:rPr>
          <w:b/>
          <w:sz w:val="28"/>
          <w:szCs w:val="28"/>
        </w:rPr>
      </w:pPr>
    </w:p>
    <w:p w14:paraId="493FD95A" w14:textId="63EBF45F" w:rsidR="003438B8" w:rsidRDefault="003438B8" w:rsidP="008A700C">
      <w:pPr>
        <w:jc w:val="center"/>
        <w:rPr>
          <w:b/>
          <w:sz w:val="28"/>
          <w:szCs w:val="28"/>
        </w:rPr>
      </w:pPr>
    </w:p>
    <w:p w14:paraId="6E0AC3DD" w14:textId="2BD3EAAF" w:rsidR="003438B8" w:rsidRDefault="003438B8" w:rsidP="008A700C">
      <w:pPr>
        <w:jc w:val="center"/>
        <w:rPr>
          <w:b/>
          <w:sz w:val="28"/>
          <w:szCs w:val="28"/>
        </w:rPr>
      </w:pPr>
    </w:p>
    <w:p w14:paraId="7BDF109D" w14:textId="56B9EFD6" w:rsidR="003438B8" w:rsidRDefault="003438B8" w:rsidP="008A700C">
      <w:pPr>
        <w:jc w:val="center"/>
        <w:rPr>
          <w:b/>
          <w:sz w:val="28"/>
          <w:szCs w:val="28"/>
        </w:rPr>
      </w:pPr>
    </w:p>
    <w:p w14:paraId="3632B956" w14:textId="78F77323" w:rsidR="003438B8" w:rsidRDefault="003438B8" w:rsidP="008A700C">
      <w:pPr>
        <w:jc w:val="center"/>
        <w:rPr>
          <w:b/>
          <w:sz w:val="28"/>
          <w:szCs w:val="28"/>
        </w:rPr>
      </w:pPr>
    </w:p>
    <w:p w14:paraId="48090BE9" w14:textId="742EA8F9" w:rsidR="003438B8" w:rsidRDefault="003438B8" w:rsidP="008A700C">
      <w:pPr>
        <w:jc w:val="center"/>
        <w:rPr>
          <w:b/>
          <w:sz w:val="28"/>
          <w:szCs w:val="28"/>
        </w:rPr>
      </w:pPr>
    </w:p>
    <w:p w14:paraId="3D15542A" w14:textId="1F42AAE7" w:rsidR="003438B8" w:rsidRDefault="003438B8" w:rsidP="008A700C">
      <w:pPr>
        <w:jc w:val="center"/>
        <w:rPr>
          <w:b/>
          <w:sz w:val="28"/>
          <w:szCs w:val="28"/>
        </w:rPr>
      </w:pPr>
    </w:p>
    <w:p w14:paraId="5BA32453" w14:textId="54C6D984" w:rsidR="003438B8" w:rsidRDefault="003438B8" w:rsidP="008A700C">
      <w:pPr>
        <w:jc w:val="center"/>
        <w:rPr>
          <w:b/>
          <w:sz w:val="28"/>
          <w:szCs w:val="28"/>
        </w:rPr>
      </w:pPr>
    </w:p>
    <w:p w14:paraId="6B937956" w14:textId="12BBE09D" w:rsidR="00EC0893" w:rsidRDefault="00EC0893" w:rsidP="008A700C">
      <w:pPr>
        <w:jc w:val="center"/>
        <w:rPr>
          <w:b/>
          <w:sz w:val="28"/>
          <w:szCs w:val="28"/>
        </w:rPr>
      </w:pPr>
    </w:p>
    <w:p w14:paraId="4CA4AD8B" w14:textId="77777777" w:rsidR="00EC0893" w:rsidRDefault="00EC0893" w:rsidP="008A700C">
      <w:pPr>
        <w:jc w:val="center"/>
        <w:rPr>
          <w:b/>
          <w:sz w:val="28"/>
          <w:szCs w:val="28"/>
        </w:rPr>
      </w:pPr>
    </w:p>
    <w:p w14:paraId="128A2704" w14:textId="7E797DA8" w:rsidR="003438B8" w:rsidRDefault="003438B8" w:rsidP="008A700C">
      <w:pPr>
        <w:jc w:val="center"/>
        <w:rPr>
          <w:b/>
          <w:sz w:val="28"/>
          <w:szCs w:val="28"/>
        </w:rPr>
      </w:pPr>
    </w:p>
    <w:p w14:paraId="15D68C7F" w14:textId="77777777" w:rsidR="003438B8" w:rsidRDefault="003438B8" w:rsidP="008A700C">
      <w:pPr>
        <w:jc w:val="center"/>
        <w:rPr>
          <w:b/>
          <w:sz w:val="28"/>
          <w:szCs w:val="28"/>
        </w:rPr>
      </w:pPr>
    </w:p>
    <w:p w14:paraId="796BA753" w14:textId="27AC598F" w:rsidR="008A700C" w:rsidRPr="00EC0893" w:rsidRDefault="0081346C" w:rsidP="008A700C">
      <w:pPr>
        <w:jc w:val="center"/>
        <w:rPr>
          <w:b/>
          <w:sz w:val="44"/>
          <w:szCs w:val="28"/>
        </w:rPr>
      </w:pPr>
      <w:r>
        <w:rPr>
          <w:b/>
          <w:sz w:val="44"/>
          <w:szCs w:val="28"/>
        </w:rPr>
        <w:t>INFORME DE</w:t>
      </w:r>
      <w:r w:rsidR="008A700C" w:rsidRPr="00EC0893">
        <w:rPr>
          <w:b/>
          <w:sz w:val="44"/>
          <w:szCs w:val="28"/>
        </w:rPr>
        <w:t xml:space="preserve"> RIESGOS FISCALES</w:t>
      </w:r>
      <w:r w:rsidR="009976D0">
        <w:rPr>
          <w:b/>
          <w:sz w:val="44"/>
          <w:szCs w:val="28"/>
        </w:rPr>
        <w:t xml:space="preserve"> 2021-2025</w:t>
      </w:r>
    </w:p>
    <w:p w14:paraId="1F9A8685" w14:textId="5996FA25" w:rsidR="003438B8" w:rsidRDefault="003438B8" w:rsidP="008A5924"/>
    <w:p w14:paraId="4BE42354" w14:textId="0622B653" w:rsidR="003438B8" w:rsidRDefault="00EC0893" w:rsidP="008A5924">
      <w:r>
        <w:rPr>
          <w:noProof/>
          <w:lang w:val="es-ES"/>
        </w:rPr>
        <mc:AlternateContent>
          <mc:Choice Requires="wps">
            <w:drawing>
              <wp:anchor distT="0" distB="0" distL="114300" distR="114300" simplePos="0" relativeHeight="251693056" behindDoc="0" locked="0" layoutInCell="1" allowOverlap="1" wp14:anchorId="7CB944FF" wp14:editId="3226EFA3">
                <wp:simplePos x="0" y="0"/>
                <wp:positionH relativeFrom="column">
                  <wp:posOffset>177056</wp:posOffset>
                </wp:positionH>
                <wp:positionV relativeFrom="paragraph">
                  <wp:posOffset>105805</wp:posOffset>
                </wp:positionV>
                <wp:extent cx="6090249" cy="69012"/>
                <wp:effectExtent l="0" t="0" r="25400" b="26670"/>
                <wp:wrapNone/>
                <wp:docPr id="38" name="Conector recto 38"/>
                <wp:cNvGraphicFramePr/>
                <a:graphic xmlns:a="http://schemas.openxmlformats.org/drawingml/2006/main">
                  <a:graphicData uri="http://schemas.microsoft.com/office/word/2010/wordprocessingShape">
                    <wps:wsp>
                      <wps:cNvCnPr/>
                      <wps:spPr>
                        <a:xfrm flipV="1">
                          <a:off x="0" y="0"/>
                          <a:ext cx="6090249" cy="69012"/>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e="http://schemas.microsoft.com/office/word/2015/wordml/symex" xmlns:w15="http://schemas.microsoft.com/office/word/2012/wordml" xmlns:cx="http://schemas.microsoft.com/office/drawing/2014/chartex">
            <w:pict>
              <v:line w14:anchorId="6BB7BB0A" id="Conector recto 38" o:spid="_x0000_s1026" style="position:absolute;flip:y;z-index:251693056;visibility:visible;mso-wrap-style:square;mso-wrap-distance-left:9pt;mso-wrap-distance-top:0;mso-wrap-distance-right:9pt;mso-wrap-distance-bottom:0;mso-position-horizontal:absolute;mso-position-horizontal-relative:text;mso-position-vertical:absolute;mso-position-vertical-relative:text" from="13.95pt,8.35pt" to="493.5pt,13.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" strokecolor="#3c6abe [3044]"/>
            </w:pict>
          </mc:Fallback>
        </mc:AlternateContent>
      </w:r>
    </w:p>
    <w:p w14:paraId="517E6C82" w14:textId="4F33A63F" w:rsidR="003438B8" w:rsidRDefault="003438B8" w:rsidP="008A5924"/>
    <w:p w14:paraId="0B7D9489" w14:textId="64042189" w:rsidR="003438B8" w:rsidRDefault="003438B8" w:rsidP="008A5924"/>
    <w:p w14:paraId="0D876642" w14:textId="5CB6A219" w:rsidR="003438B8" w:rsidRPr="00EC0893" w:rsidRDefault="00EC0893" w:rsidP="00EC0893">
      <w:pPr>
        <w:jc w:val="center"/>
        <w:rPr>
          <w:sz w:val="32"/>
        </w:rPr>
      </w:pPr>
      <w:r w:rsidRPr="00EC0893">
        <w:rPr>
          <w:sz w:val="32"/>
        </w:rPr>
        <w:t xml:space="preserve">Ministerio de Finanzas Públicas </w:t>
      </w:r>
    </w:p>
    <w:p w14:paraId="775F0B5B" w14:textId="3ABDFF84" w:rsidR="003438B8" w:rsidRDefault="003438B8" w:rsidP="008A5924"/>
    <w:p w14:paraId="26002E9E" w14:textId="679541F6" w:rsidR="003438B8" w:rsidRDefault="003438B8" w:rsidP="008A5924"/>
    <w:p w14:paraId="64106883" w14:textId="5066C10B" w:rsidR="003438B8" w:rsidRDefault="003438B8" w:rsidP="008A5924"/>
    <w:p w14:paraId="11089EB6" w14:textId="6D92F82F" w:rsidR="003438B8" w:rsidRDefault="003438B8" w:rsidP="008A5924"/>
    <w:p w14:paraId="3A4827B3" w14:textId="57C67B1B" w:rsidR="003438B8" w:rsidRDefault="003438B8" w:rsidP="008A5924"/>
    <w:p w14:paraId="746D8D3A" w14:textId="393923C7" w:rsidR="003438B8" w:rsidRDefault="003438B8" w:rsidP="008A5924"/>
    <w:p w14:paraId="601E5B4D" w14:textId="0EEF1E2E" w:rsidR="003438B8" w:rsidRDefault="003438B8" w:rsidP="008A5924"/>
    <w:p w14:paraId="06657161" w14:textId="63FD843B" w:rsidR="003438B8" w:rsidRDefault="003438B8" w:rsidP="008A5924"/>
    <w:p w14:paraId="0FC6A700" w14:textId="0CF12FA9" w:rsidR="003438B8" w:rsidRDefault="003438B8" w:rsidP="008A5924"/>
    <w:p w14:paraId="1BBE220A" w14:textId="174B2202" w:rsidR="003438B8" w:rsidRDefault="003438B8" w:rsidP="008A5924"/>
    <w:p w14:paraId="38646704" w14:textId="5A56C485" w:rsidR="003438B8" w:rsidRDefault="003438B8" w:rsidP="008A5924"/>
    <w:p w14:paraId="4DBE14E2" w14:textId="198B1D50" w:rsidR="003438B8" w:rsidRDefault="003438B8" w:rsidP="008A5924"/>
    <w:p w14:paraId="08F052DE" w14:textId="23B2DB89" w:rsidR="003438B8" w:rsidRDefault="003438B8" w:rsidP="008A5924"/>
    <w:p w14:paraId="1F9CD569" w14:textId="3AD5DB1E" w:rsidR="003438B8" w:rsidRDefault="003438B8" w:rsidP="008A5924"/>
    <w:p w14:paraId="3943DDEC" w14:textId="00894D15" w:rsidR="003438B8" w:rsidRDefault="003438B8" w:rsidP="008A5924"/>
    <w:p w14:paraId="2E5ECAC3" w14:textId="3871BE58" w:rsidR="003438B8" w:rsidRDefault="003438B8" w:rsidP="008A5924"/>
    <w:p w14:paraId="7EA00175" w14:textId="203797D9" w:rsidR="003438B8" w:rsidRDefault="003438B8" w:rsidP="008A5924"/>
    <w:p w14:paraId="0FC9278B" w14:textId="3BC0C076" w:rsidR="003438B8" w:rsidRDefault="003438B8" w:rsidP="008A5924"/>
    <w:p w14:paraId="6CA443E9" w14:textId="32F40C34" w:rsidR="003438B8" w:rsidRDefault="003438B8" w:rsidP="008A5924"/>
    <w:p w14:paraId="5784EEAC" w14:textId="4DF32312" w:rsidR="003438B8" w:rsidRDefault="003438B8" w:rsidP="008A5924"/>
    <w:p w14:paraId="03954BC6" w14:textId="492EFE16" w:rsidR="003438B8" w:rsidRDefault="003438B8" w:rsidP="008A5924"/>
    <w:p w14:paraId="2AD66277" w14:textId="643A5376" w:rsidR="003438B8" w:rsidRDefault="003438B8" w:rsidP="008A5924"/>
    <w:p w14:paraId="2CA0D1E0" w14:textId="7D29A9F9" w:rsidR="003438B8" w:rsidRDefault="003438B8" w:rsidP="008A5924"/>
    <w:p w14:paraId="426AB044" w14:textId="2F8C8A3A" w:rsidR="003438B8" w:rsidRDefault="003438B8" w:rsidP="008A5924"/>
    <w:p w14:paraId="3D9FAA70" w14:textId="357C6F0E" w:rsidR="003438B8" w:rsidRDefault="003438B8" w:rsidP="008A5924"/>
    <w:p w14:paraId="01BD463B" w14:textId="77777777" w:rsidR="003438B8" w:rsidRDefault="003438B8" w:rsidP="008A5924"/>
    <w:sdt>
      <w:sdtPr>
        <w:id w:val="498459661"/>
        <w:docPartObj>
          <w:docPartGallery w:val="Cover Pages"/>
          <w:docPartUnique/>
        </w:docPartObj>
      </w:sdtPr>
      <w:sdtEndPr>
        <w:rPr>
          <w:b/>
        </w:rPr>
      </w:sdtEndPr>
      <w:sdtContent>
        <w:p w14:paraId="45F87EF8" w14:textId="6BFA7622" w:rsidR="008A700C" w:rsidRDefault="008A700C" w:rsidP="008A5924"/>
        <w:p w14:paraId="692BBFBE" w14:textId="77777777" w:rsidR="00C96FDA" w:rsidRPr="00784E7F" w:rsidRDefault="00C96FDA" w:rsidP="00E648CF">
          <w:pPr>
            <w:ind w:left="708"/>
            <w:rPr>
              <w:b/>
              <w:sz w:val="28"/>
              <w:szCs w:val="28"/>
            </w:rPr>
          </w:pPr>
          <w:r w:rsidRPr="00784E7F">
            <w:rPr>
              <w:b/>
              <w:sz w:val="28"/>
              <w:szCs w:val="28"/>
            </w:rPr>
            <w:t xml:space="preserve">Introducción </w:t>
          </w:r>
        </w:p>
        <w:p w14:paraId="4E67B915" w14:textId="77777777" w:rsidR="00C96FDA" w:rsidRPr="00184700" w:rsidRDefault="00C96FDA" w:rsidP="00E648CF">
          <w:pPr>
            <w:pStyle w:val="Sinespaciado"/>
            <w:ind w:left="708"/>
            <w:jc w:val="both"/>
            <w:rPr>
              <w:rFonts w:ascii="Times New Roman" w:hAnsi="Times New Roman"/>
            </w:rPr>
          </w:pPr>
        </w:p>
        <w:p w14:paraId="7C344B65" w14:textId="77777777" w:rsidR="00C96FDA" w:rsidRPr="00713D35" w:rsidRDefault="00C96FDA" w:rsidP="00E648CF">
          <w:pPr>
            <w:pStyle w:val="Sinespaciado"/>
            <w:ind w:left="708"/>
            <w:jc w:val="both"/>
            <w:rPr>
              <w:rFonts w:ascii="Times New Roman" w:hAnsi="Times New Roman"/>
              <w:sz w:val="24"/>
              <w:szCs w:val="24"/>
            </w:rPr>
          </w:pPr>
          <w:r w:rsidRPr="00713D35">
            <w:rPr>
              <w:rFonts w:ascii="Times New Roman" w:hAnsi="Times New Roman"/>
              <w:sz w:val="24"/>
              <w:szCs w:val="24"/>
            </w:rPr>
            <w:t xml:space="preserve">El Ministerio de Finanzas Públicas ha incluido en el proceso de Formulación de los Proyectos de Presupuesto General de Ingresos y Egresos de la Nación para los últimos ejercicios fiscales </w:t>
          </w:r>
          <w:r w:rsidR="00F709A5">
            <w:rPr>
              <w:rFonts w:ascii="Times New Roman" w:hAnsi="Times New Roman"/>
              <w:sz w:val="24"/>
              <w:szCs w:val="24"/>
            </w:rPr>
            <w:br/>
          </w:r>
          <w:r w:rsidRPr="00713D35">
            <w:rPr>
              <w:rFonts w:ascii="Times New Roman" w:hAnsi="Times New Roman"/>
              <w:sz w:val="24"/>
              <w:szCs w:val="24"/>
            </w:rPr>
            <w:t>(2017-202</w:t>
          </w:r>
          <w:r w:rsidR="00140276">
            <w:rPr>
              <w:rFonts w:ascii="Times New Roman" w:hAnsi="Times New Roman"/>
              <w:sz w:val="24"/>
              <w:szCs w:val="24"/>
            </w:rPr>
            <w:t>1</w:t>
          </w:r>
          <w:r w:rsidRPr="00713D35">
            <w:rPr>
              <w:rFonts w:ascii="Times New Roman" w:hAnsi="Times New Roman"/>
              <w:sz w:val="24"/>
              <w:szCs w:val="24"/>
            </w:rPr>
            <w:t xml:space="preserve">) una separata que focaliza el análisis en la identificación y evaluación de los principales riesgos fiscales que podrían tener un impacto en la evolución de las principales variables fiscales y que podrían afectar la sostenibilidad de la deuda pública en el mediano plazo. </w:t>
          </w:r>
        </w:p>
        <w:p w14:paraId="7D3D49B0" w14:textId="77777777" w:rsidR="00C96FDA" w:rsidRPr="00713D35" w:rsidRDefault="00C96FDA" w:rsidP="00E648CF">
          <w:pPr>
            <w:pStyle w:val="Sinespaciado"/>
            <w:ind w:left="708"/>
            <w:jc w:val="both"/>
            <w:rPr>
              <w:rFonts w:ascii="Times New Roman" w:hAnsi="Times New Roman"/>
              <w:sz w:val="24"/>
              <w:szCs w:val="24"/>
            </w:rPr>
          </w:pPr>
        </w:p>
        <w:p w14:paraId="3340E9A3" w14:textId="77777777" w:rsidR="00C96FDA" w:rsidRPr="00713D35" w:rsidRDefault="00C96FDA" w:rsidP="00E648CF">
          <w:pPr>
            <w:pStyle w:val="Sinespaciado"/>
            <w:ind w:left="708"/>
            <w:jc w:val="both"/>
            <w:rPr>
              <w:rFonts w:ascii="Times New Roman" w:hAnsi="Times New Roman"/>
              <w:sz w:val="24"/>
              <w:szCs w:val="24"/>
            </w:rPr>
          </w:pPr>
          <w:r w:rsidRPr="00713D35">
            <w:rPr>
              <w:rFonts w:ascii="Times New Roman" w:hAnsi="Times New Roman"/>
              <w:sz w:val="24"/>
              <w:szCs w:val="24"/>
            </w:rPr>
            <w:t>Dicho análisis tiene el objetivo de cumplir con los compromisos que el país ha asumido en materia de transparencia fiscal, a las recomendaciones del FMI, derivados de la evaluación formal sobre transparencia fiscal (2016).  De esa cuenta desde el año 2017 se incluye como una separata al Proyecto de Presupuesto el informe de los principales riesgos fiscales.</w:t>
          </w:r>
        </w:p>
        <w:p w14:paraId="5C4FE010" w14:textId="77777777" w:rsidR="00C96FDA" w:rsidRPr="00713D35" w:rsidRDefault="00C96FDA" w:rsidP="00E648CF">
          <w:pPr>
            <w:pStyle w:val="Sinespaciado"/>
            <w:ind w:left="708"/>
            <w:jc w:val="both"/>
            <w:rPr>
              <w:rFonts w:ascii="Times New Roman" w:hAnsi="Times New Roman"/>
              <w:sz w:val="24"/>
              <w:szCs w:val="24"/>
            </w:rPr>
          </w:pPr>
        </w:p>
        <w:p w14:paraId="3BFFA782" w14:textId="54103D5C" w:rsidR="00C96FDA" w:rsidRPr="00713D35" w:rsidRDefault="00C96FDA" w:rsidP="00E648CF">
          <w:pPr>
            <w:pStyle w:val="Sinespaciado"/>
            <w:ind w:left="708"/>
            <w:jc w:val="both"/>
            <w:rPr>
              <w:rFonts w:ascii="Times New Roman" w:hAnsi="Times New Roman"/>
              <w:sz w:val="24"/>
              <w:szCs w:val="24"/>
            </w:rPr>
          </w:pPr>
          <w:r w:rsidRPr="00713D35">
            <w:rPr>
              <w:rFonts w:ascii="Times New Roman" w:hAnsi="Times New Roman"/>
              <w:sz w:val="24"/>
              <w:szCs w:val="24"/>
            </w:rPr>
            <w:t xml:space="preserve">La inclusión del análisis de la Gestión de Riesgos Fiscales ha adquirido mucha importancia durante los últimos años, pues el impacto de la globalización, de las incidencias del comercio internacional, la volatilidad de los mercados financieros, el creciente proteccionismo comercial liderado por las principales potencias económicas, la vulnerabilidad de las economías ante desastres climatológicos, los pasivos laborales, son la muestra de una gama de variables que afectan las economías, la evolución de las finanzas y la sostenibilidad de la deuda sobre todo en el mediano y largo plazos. Sobre esta visión, tal como lo indica la OECD, es importante la evaluación del impacto de </w:t>
          </w:r>
          <w:r w:rsidRPr="00713D35">
            <w:rPr>
              <w:rFonts w:ascii="Times New Roman" w:hAnsi="Times New Roman"/>
              <w:sz w:val="24"/>
              <w:szCs w:val="24"/>
              <w:shd w:val="clear" w:color="auto" w:fill="FFFFFF"/>
            </w:rPr>
            <w:t>eventos que tienen el potencial de alterar los datos efectivos de las variables fiscales con relación a sus valores proyectados. Los riesgos fiscales pueden tener impactos significativos sobre el resultado fiscal, es decir el superávit o déficit del sector público, e impactar las necesidades de financiamiento</w:t>
          </w:r>
          <w:r w:rsidRPr="00713D35">
            <w:rPr>
              <w:rFonts w:ascii="Times New Roman" w:hAnsi="Times New Roman"/>
              <w:sz w:val="24"/>
              <w:szCs w:val="24"/>
            </w:rPr>
            <w:t xml:space="preserve">. </w:t>
          </w:r>
        </w:p>
        <w:p w14:paraId="59C9ECF5" w14:textId="77777777" w:rsidR="00C96FDA" w:rsidRPr="00713D35" w:rsidRDefault="00C96FDA" w:rsidP="00E648CF">
          <w:pPr>
            <w:pStyle w:val="Sinespaciado"/>
            <w:ind w:left="708"/>
            <w:jc w:val="both"/>
            <w:rPr>
              <w:rFonts w:ascii="Times New Roman" w:hAnsi="Times New Roman"/>
              <w:sz w:val="24"/>
              <w:szCs w:val="24"/>
            </w:rPr>
          </w:pPr>
        </w:p>
        <w:p w14:paraId="32945ED4" w14:textId="77777777" w:rsidR="00C96FDA" w:rsidRPr="00713D35" w:rsidRDefault="00C96FDA" w:rsidP="00E648CF">
          <w:pPr>
            <w:pStyle w:val="Sinespaciado"/>
            <w:ind w:left="708"/>
            <w:jc w:val="both"/>
            <w:rPr>
              <w:rFonts w:ascii="Times New Roman" w:hAnsi="Times New Roman"/>
              <w:sz w:val="24"/>
              <w:szCs w:val="24"/>
              <w:shd w:val="clear" w:color="auto" w:fill="FFFFFF"/>
            </w:rPr>
          </w:pPr>
          <w:r w:rsidRPr="00713D35">
            <w:rPr>
              <w:rFonts w:ascii="Times New Roman" w:hAnsi="Times New Roman"/>
              <w:sz w:val="24"/>
              <w:szCs w:val="24"/>
              <w:shd w:val="clear" w:color="auto" w:fill="FFFFFF"/>
            </w:rPr>
            <w:t xml:space="preserve">En este sentido el Ministerio de Finanzas Públicas ha avanzado durante los últimos años en la inclusión de este tipo de análisis ya que se ha considerado la importancia de un adecuado manejo de la gestión de riesgos, consistente en la identificación de los riesgos fiscales, incluyendo la cuantificación de sus posibles impactos.  Ello implica la inclusión de medidas de política orientadas a mitigar los riesgos, y la creación de instrumentos orientados a facilitar la toma de decisiones y previsiones para cubrir sus potenciales costos o para aceptarlo y acomodarlo.  La importancia radica en la identificación de medidas de mitigación de riesgos fiscales tales como controles directos o los límites de exposición, elaboración de estrategias para la gestión de riesgos financieros, regulaciones, y otras medidas y mecanismos para transferir o compartir el riesgo. </w:t>
          </w:r>
        </w:p>
        <w:p w14:paraId="0106AD1B" w14:textId="77777777" w:rsidR="00C96FDA" w:rsidRPr="00713D35" w:rsidRDefault="00C96FDA" w:rsidP="00E648CF">
          <w:pPr>
            <w:pStyle w:val="Sinespaciado"/>
            <w:ind w:left="708"/>
            <w:jc w:val="both"/>
            <w:rPr>
              <w:rFonts w:ascii="Times New Roman" w:hAnsi="Times New Roman"/>
              <w:sz w:val="24"/>
              <w:szCs w:val="24"/>
              <w:shd w:val="clear" w:color="auto" w:fill="FFFFFF"/>
            </w:rPr>
          </w:pPr>
        </w:p>
        <w:p w14:paraId="782BA039" w14:textId="49A8E2DD" w:rsidR="00C96FDA" w:rsidRPr="00713D35" w:rsidRDefault="00C96FDA" w:rsidP="00E648CF">
          <w:pPr>
            <w:pStyle w:val="Sinespaciado"/>
            <w:ind w:left="708"/>
            <w:jc w:val="both"/>
            <w:rPr>
              <w:rFonts w:ascii="Times New Roman" w:hAnsi="Times New Roman"/>
              <w:sz w:val="24"/>
              <w:szCs w:val="24"/>
              <w:shd w:val="clear" w:color="auto" w:fill="FFFFFF"/>
            </w:rPr>
          </w:pPr>
          <w:r w:rsidRPr="00713D35">
            <w:rPr>
              <w:rFonts w:ascii="Times New Roman" w:hAnsi="Times New Roman"/>
              <w:sz w:val="24"/>
              <w:szCs w:val="24"/>
              <w:shd w:val="clear" w:color="auto" w:fill="FFFFFF"/>
            </w:rPr>
            <w:t xml:space="preserve">Esta separata incluye </w:t>
          </w:r>
          <w:r w:rsidR="00BD2521">
            <w:rPr>
              <w:rFonts w:ascii="Times New Roman" w:hAnsi="Times New Roman"/>
              <w:sz w:val="24"/>
              <w:szCs w:val="24"/>
              <w:shd w:val="clear" w:color="auto" w:fill="FFFFFF"/>
            </w:rPr>
            <w:t xml:space="preserve">en cinco secciones, </w:t>
          </w:r>
          <w:r w:rsidRPr="00713D35">
            <w:rPr>
              <w:rFonts w:ascii="Times New Roman" w:hAnsi="Times New Roman"/>
              <w:sz w:val="24"/>
              <w:szCs w:val="24"/>
              <w:shd w:val="clear" w:color="auto" w:fill="FFFFFF"/>
            </w:rPr>
            <w:t xml:space="preserve">el análisis de riesgos macroeconómicos </w:t>
          </w:r>
          <w:r w:rsidR="00BD2521">
            <w:rPr>
              <w:rFonts w:ascii="Times New Roman" w:hAnsi="Times New Roman"/>
              <w:sz w:val="24"/>
              <w:szCs w:val="24"/>
              <w:shd w:val="clear" w:color="auto" w:fill="FFFFFF"/>
            </w:rPr>
            <w:t>en el sector</w:t>
          </w:r>
          <w:r w:rsidRPr="00713D35">
            <w:rPr>
              <w:rFonts w:ascii="Times New Roman" w:hAnsi="Times New Roman"/>
              <w:sz w:val="24"/>
              <w:szCs w:val="24"/>
              <w:shd w:val="clear" w:color="auto" w:fill="FFFFFF"/>
            </w:rPr>
            <w:t xml:space="preserve"> externos</w:t>
          </w:r>
          <w:r w:rsidR="00BD2521">
            <w:rPr>
              <w:rFonts w:ascii="Times New Roman" w:hAnsi="Times New Roman"/>
              <w:sz w:val="24"/>
              <w:szCs w:val="24"/>
              <w:shd w:val="clear" w:color="auto" w:fill="FFFFFF"/>
            </w:rPr>
            <w:t>;</w:t>
          </w:r>
          <w:r w:rsidRPr="00713D35">
            <w:rPr>
              <w:rFonts w:ascii="Times New Roman" w:hAnsi="Times New Roman"/>
              <w:sz w:val="24"/>
              <w:szCs w:val="24"/>
              <w:shd w:val="clear" w:color="auto" w:fill="FFFFFF"/>
            </w:rPr>
            <w:t xml:space="preserve"> </w:t>
          </w:r>
          <w:r w:rsidR="00BD2521" w:rsidRPr="00713D35">
            <w:rPr>
              <w:rFonts w:ascii="Times New Roman" w:hAnsi="Times New Roman"/>
              <w:sz w:val="24"/>
              <w:szCs w:val="24"/>
              <w:shd w:val="clear" w:color="auto" w:fill="FFFFFF"/>
            </w:rPr>
            <w:t xml:space="preserve">riesgos macroeconómicos </w:t>
          </w:r>
          <w:r w:rsidR="00BD2521">
            <w:rPr>
              <w:rFonts w:ascii="Times New Roman" w:hAnsi="Times New Roman"/>
              <w:sz w:val="24"/>
              <w:szCs w:val="24"/>
              <w:shd w:val="clear" w:color="auto" w:fill="FFFFFF"/>
            </w:rPr>
            <w:t>en el sector</w:t>
          </w:r>
          <w:r w:rsidR="00BD2521" w:rsidRPr="00713D35">
            <w:rPr>
              <w:rFonts w:ascii="Times New Roman" w:hAnsi="Times New Roman"/>
              <w:sz w:val="24"/>
              <w:szCs w:val="24"/>
              <w:shd w:val="clear" w:color="auto" w:fill="FFFFFF"/>
            </w:rPr>
            <w:t xml:space="preserve"> </w:t>
          </w:r>
          <w:r w:rsidR="00BD2521">
            <w:rPr>
              <w:rFonts w:ascii="Times New Roman" w:hAnsi="Times New Roman"/>
              <w:sz w:val="24"/>
              <w:szCs w:val="24"/>
              <w:shd w:val="clear" w:color="auto" w:fill="FFFFFF"/>
            </w:rPr>
            <w:t xml:space="preserve">interno; riesgos fiscales </w:t>
          </w:r>
          <w:r w:rsidRPr="00713D35">
            <w:rPr>
              <w:rFonts w:ascii="Times New Roman" w:hAnsi="Times New Roman"/>
              <w:sz w:val="24"/>
              <w:szCs w:val="24"/>
              <w:shd w:val="clear" w:color="auto" w:fill="FFFFFF"/>
            </w:rPr>
            <w:t>de la deuda públic</w:t>
          </w:r>
          <w:r w:rsidR="00140276">
            <w:rPr>
              <w:rFonts w:ascii="Times New Roman" w:hAnsi="Times New Roman"/>
              <w:sz w:val="24"/>
              <w:szCs w:val="24"/>
              <w:shd w:val="clear" w:color="auto" w:fill="FFFFFF"/>
            </w:rPr>
            <w:t xml:space="preserve">a, </w:t>
          </w:r>
          <w:r w:rsidR="00BD2521">
            <w:rPr>
              <w:rFonts w:ascii="Times New Roman" w:hAnsi="Times New Roman"/>
              <w:sz w:val="24"/>
              <w:szCs w:val="24"/>
              <w:shd w:val="clear" w:color="auto" w:fill="FFFFFF"/>
            </w:rPr>
            <w:t xml:space="preserve">el análisis de la sostenibilidad de la deuda; </w:t>
          </w:r>
          <w:r w:rsidR="00140276" w:rsidRPr="00713D35">
            <w:rPr>
              <w:rFonts w:ascii="Times New Roman" w:hAnsi="Times New Roman"/>
              <w:sz w:val="24"/>
              <w:szCs w:val="24"/>
              <w:shd w:val="clear" w:color="auto" w:fill="FFFFFF"/>
            </w:rPr>
            <w:t xml:space="preserve">así como los riesgos </w:t>
          </w:r>
          <w:r w:rsidR="00BD2521">
            <w:rPr>
              <w:rFonts w:ascii="Times New Roman" w:hAnsi="Times New Roman"/>
              <w:sz w:val="24"/>
              <w:szCs w:val="24"/>
              <w:shd w:val="clear" w:color="auto" w:fill="FFFFFF"/>
            </w:rPr>
            <w:t xml:space="preserve">fiscales </w:t>
          </w:r>
          <w:r w:rsidR="00140276" w:rsidRPr="00713D35">
            <w:rPr>
              <w:rFonts w:ascii="Times New Roman" w:hAnsi="Times New Roman"/>
              <w:sz w:val="24"/>
              <w:szCs w:val="24"/>
              <w:shd w:val="clear" w:color="auto" w:fill="FFFFFF"/>
            </w:rPr>
            <w:t xml:space="preserve">específicos </w:t>
          </w:r>
          <w:r w:rsidRPr="00713D35">
            <w:rPr>
              <w:rFonts w:ascii="Times New Roman" w:hAnsi="Times New Roman"/>
              <w:sz w:val="24"/>
              <w:szCs w:val="24"/>
              <w:shd w:val="clear" w:color="auto" w:fill="FFFFFF"/>
            </w:rPr>
            <w:t>provocado</w:t>
          </w:r>
          <w:r w:rsidR="00140276">
            <w:rPr>
              <w:rFonts w:ascii="Times New Roman" w:hAnsi="Times New Roman"/>
              <w:sz w:val="24"/>
              <w:szCs w:val="24"/>
              <w:shd w:val="clear" w:color="auto" w:fill="FFFFFF"/>
            </w:rPr>
            <w:t>s</w:t>
          </w:r>
          <w:r w:rsidRPr="00713D35">
            <w:rPr>
              <w:rFonts w:ascii="Times New Roman" w:hAnsi="Times New Roman"/>
              <w:sz w:val="24"/>
              <w:szCs w:val="24"/>
              <w:shd w:val="clear" w:color="auto" w:fill="FFFFFF"/>
            </w:rPr>
            <w:t xml:space="preserve"> por</w:t>
          </w:r>
          <w:r w:rsidR="00BD2521">
            <w:rPr>
              <w:rFonts w:ascii="Times New Roman" w:hAnsi="Times New Roman"/>
              <w:sz w:val="24"/>
              <w:szCs w:val="24"/>
              <w:shd w:val="clear" w:color="auto" w:fill="FFFFFF"/>
            </w:rPr>
            <w:t>,</w:t>
          </w:r>
          <w:r w:rsidRPr="00713D35">
            <w:rPr>
              <w:rFonts w:ascii="Times New Roman" w:hAnsi="Times New Roman"/>
              <w:sz w:val="24"/>
              <w:szCs w:val="24"/>
              <w:shd w:val="clear" w:color="auto" w:fill="FFFFFF"/>
            </w:rPr>
            <w:t xml:space="preserve"> </w:t>
          </w:r>
          <w:r w:rsidR="00140276">
            <w:rPr>
              <w:rFonts w:ascii="Times New Roman" w:hAnsi="Times New Roman"/>
              <w:sz w:val="24"/>
              <w:szCs w:val="24"/>
              <w:shd w:val="clear" w:color="auto" w:fill="FFFFFF"/>
            </w:rPr>
            <w:t xml:space="preserve">los impactos económicos y fiscales de </w:t>
          </w:r>
          <w:r w:rsidRPr="00713D35">
            <w:rPr>
              <w:rFonts w:ascii="Times New Roman" w:hAnsi="Times New Roman"/>
              <w:sz w:val="24"/>
              <w:szCs w:val="24"/>
              <w:shd w:val="clear" w:color="auto" w:fill="FFFFFF"/>
            </w:rPr>
            <w:t xml:space="preserve">la </w:t>
          </w:r>
          <w:r w:rsidR="00140276">
            <w:rPr>
              <w:rFonts w:ascii="Times New Roman" w:hAnsi="Times New Roman"/>
              <w:sz w:val="24"/>
              <w:szCs w:val="24"/>
              <w:shd w:val="clear" w:color="auto" w:fill="FFFFFF"/>
            </w:rPr>
            <w:t>pandemia de Covid-19</w:t>
          </w:r>
          <w:r w:rsidR="00BA4D6D">
            <w:rPr>
              <w:rFonts w:ascii="Times New Roman" w:hAnsi="Times New Roman"/>
              <w:sz w:val="24"/>
              <w:szCs w:val="24"/>
              <w:shd w:val="clear" w:color="auto" w:fill="FFFFFF"/>
            </w:rPr>
            <w:t xml:space="preserve"> </w:t>
          </w:r>
          <w:r w:rsidRPr="00713D35">
            <w:rPr>
              <w:rFonts w:ascii="Times New Roman" w:hAnsi="Times New Roman"/>
              <w:sz w:val="24"/>
              <w:szCs w:val="24"/>
              <w:shd w:val="clear" w:color="auto" w:fill="FFFFFF"/>
            </w:rPr>
            <w:t xml:space="preserve">y </w:t>
          </w:r>
          <w:r w:rsidR="00BD2521">
            <w:rPr>
              <w:rFonts w:ascii="Times New Roman" w:hAnsi="Times New Roman"/>
              <w:sz w:val="24"/>
              <w:szCs w:val="24"/>
              <w:shd w:val="clear" w:color="auto" w:fill="FFFFFF"/>
            </w:rPr>
            <w:t xml:space="preserve">los riesgos de </w:t>
          </w:r>
          <w:r w:rsidRPr="00713D35">
            <w:rPr>
              <w:rFonts w:ascii="Times New Roman" w:hAnsi="Times New Roman"/>
              <w:sz w:val="24"/>
              <w:szCs w:val="24"/>
              <w:shd w:val="clear" w:color="auto" w:fill="FFFFFF"/>
            </w:rPr>
            <w:t xml:space="preserve">desastres </w:t>
          </w:r>
          <w:r w:rsidR="00BD2521">
            <w:rPr>
              <w:rFonts w:ascii="Times New Roman" w:hAnsi="Times New Roman"/>
              <w:sz w:val="24"/>
              <w:szCs w:val="24"/>
              <w:shd w:val="clear" w:color="auto" w:fill="FFFFFF"/>
            </w:rPr>
            <w:t>provocados</w:t>
          </w:r>
          <w:r w:rsidRPr="00713D35">
            <w:rPr>
              <w:rFonts w:ascii="Times New Roman" w:hAnsi="Times New Roman"/>
              <w:sz w:val="24"/>
              <w:szCs w:val="24"/>
              <w:shd w:val="clear" w:color="auto" w:fill="FFFFFF"/>
            </w:rPr>
            <w:t xml:space="preserve"> por fenómenos naturales.</w:t>
          </w:r>
        </w:p>
        <w:p w14:paraId="3CAEAC7C" w14:textId="77777777" w:rsidR="00C96FDA" w:rsidRDefault="00C96FDA" w:rsidP="00E648CF">
          <w:pPr>
            <w:ind w:left="708"/>
            <w:rPr>
              <w:shd w:val="clear" w:color="auto" w:fill="FFFFFF"/>
              <w:lang w:val="es-ES"/>
            </w:rPr>
          </w:pPr>
          <w:r>
            <w:rPr>
              <w:shd w:val="clear" w:color="auto" w:fill="FFFFFF"/>
              <w:lang w:val="es-ES"/>
            </w:rPr>
            <w:br w:type="page"/>
          </w:r>
        </w:p>
        <w:p w14:paraId="141BE724" w14:textId="4F603C99" w:rsidR="008A5924" w:rsidRPr="00184700" w:rsidRDefault="006B27F3" w:rsidP="003438B8">
          <w:pPr>
            <w:rPr>
              <w:b/>
              <w:lang w:val="es-ES"/>
            </w:rPr>
          </w:pPr>
        </w:p>
      </w:sdtContent>
    </w:sdt>
    <w:sdt>
      <w:sdtPr>
        <w:rPr>
          <w:rFonts w:asciiTheme="minorHAnsi" w:eastAsiaTheme="minorEastAsia" w:hAnsiTheme="minorHAnsi" w:cs="Times New Roman"/>
          <w:b w:val="0"/>
          <w:bCs w:val="0"/>
          <w:color w:val="auto"/>
          <w:sz w:val="24"/>
          <w:szCs w:val="24"/>
          <w:lang w:val="es-ES" w:eastAsia="es-ES"/>
        </w:rPr>
        <w:id w:val="1250004048"/>
        <w:docPartObj>
          <w:docPartGallery w:val="Table of Contents"/>
          <w:docPartUnique/>
        </w:docPartObj>
      </w:sdtPr>
      <w:sdtEndPr>
        <w:rPr>
          <w:rFonts w:ascii="Times New Roman" w:eastAsia="Times New Roman" w:hAnsi="Times New Roman"/>
          <w:sz w:val="20"/>
          <w:szCs w:val="20"/>
        </w:rPr>
      </w:sdtEndPr>
      <w:sdtContent>
        <w:p w14:paraId="0D7F1E9B" w14:textId="77777777" w:rsidR="008A5924" w:rsidRPr="00B82A4D" w:rsidRDefault="008A5924" w:rsidP="00E648CF">
          <w:pPr>
            <w:pStyle w:val="TtulodeTDC"/>
            <w:rPr>
              <w:rFonts w:ascii="Times New Roman" w:hAnsi="Times New Roman" w:cs="Times New Roman"/>
            </w:rPr>
          </w:pPr>
          <w:r w:rsidRPr="00E648CF">
            <w:rPr>
              <w:rFonts w:ascii="Times New Roman" w:hAnsi="Times New Roman" w:cs="Times New Roman"/>
              <w:color w:val="000000" w:themeColor="text1"/>
              <w:lang w:val="es-ES"/>
            </w:rPr>
            <w:t>Contenido</w:t>
          </w:r>
        </w:p>
        <w:p w14:paraId="04A7D295" w14:textId="7B343850" w:rsidR="00E648CF" w:rsidRDefault="008A5924">
          <w:pPr>
            <w:pStyle w:val="TDC1"/>
            <w:rPr>
              <w:rFonts w:asciiTheme="minorHAnsi" w:eastAsiaTheme="minorEastAsia" w:hAnsiTheme="minorHAnsi" w:cstheme="minorBidi"/>
              <w:noProof/>
              <w:sz w:val="22"/>
              <w:szCs w:val="22"/>
              <w:lang w:val="es-GT" w:eastAsia="es-GT"/>
            </w:rPr>
          </w:pPr>
          <w:r w:rsidRPr="00184700">
            <w:rPr>
              <w:rStyle w:val="Hipervnculo"/>
            </w:rPr>
            <w:fldChar w:fldCharType="begin"/>
          </w:r>
          <w:r w:rsidRPr="00184700">
            <w:rPr>
              <w:rStyle w:val="Hipervnculo"/>
            </w:rPr>
            <w:instrText xml:space="preserve"> TOC \o "1-5" \h \z \u </w:instrText>
          </w:r>
          <w:r w:rsidRPr="00184700">
            <w:rPr>
              <w:rStyle w:val="Hipervnculo"/>
            </w:rPr>
            <w:fldChar w:fldCharType="separate"/>
          </w:r>
          <w:hyperlink w:anchor="_Toc49939712" w:history="1">
            <w:r w:rsidR="00E648CF" w:rsidRPr="0074611E">
              <w:rPr>
                <w:rStyle w:val="Hipervnculo"/>
                <w:bCs/>
                <w:noProof/>
              </w:rPr>
              <w:t>1.</w:t>
            </w:r>
            <w:r w:rsidR="00E648CF">
              <w:rPr>
                <w:rFonts w:asciiTheme="minorHAnsi" w:eastAsiaTheme="minorEastAsia" w:hAnsiTheme="minorHAnsi" w:cstheme="minorBidi"/>
                <w:noProof/>
                <w:sz w:val="22"/>
                <w:szCs w:val="22"/>
                <w:lang w:val="es-GT" w:eastAsia="es-GT"/>
              </w:rPr>
              <w:tab/>
            </w:r>
            <w:r w:rsidR="00E648CF" w:rsidRPr="0074611E">
              <w:rPr>
                <w:rStyle w:val="Hipervnculo"/>
                <w:noProof/>
              </w:rPr>
              <w:t>Riesgos Macroeconómicos</w:t>
            </w:r>
            <w:r w:rsidR="00E648CF">
              <w:rPr>
                <w:noProof/>
                <w:webHidden/>
              </w:rPr>
              <w:tab/>
            </w:r>
            <w:r w:rsidR="00E648CF">
              <w:rPr>
                <w:noProof/>
                <w:webHidden/>
              </w:rPr>
              <w:fldChar w:fldCharType="begin"/>
            </w:r>
            <w:r w:rsidR="00E648CF">
              <w:rPr>
                <w:noProof/>
                <w:webHidden/>
              </w:rPr>
              <w:instrText xml:space="preserve"> PAGEREF _Toc49939712 \h </w:instrText>
            </w:r>
            <w:r w:rsidR="00E648CF">
              <w:rPr>
                <w:noProof/>
                <w:webHidden/>
              </w:rPr>
            </w:r>
            <w:r w:rsidR="00E648CF">
              <w:rPr>
                <w:noProof/>
                <w:webHidden/>
              </w:rPr>
              <w:fldChar w:fldCharType="separate"/>
            </w:r>
            <w:r w:rsidR="00A87138">
              <w:rPr>
                <w:noProof/>
                <w:webHidden/>
              </w:rPr>
              <w:t>4</w:t>
            </w:r>
            <w:r w:rsidR="00E648CF">
              <w:rPr>
                <w:noProof/>
                <w:webHidden/>
              </w:rPr>
              <w:fldChar w:fldCharType="end"/>
            </w:r>
          </w:hyperlink>
        </w:p>
        <w:p w14:paraId="35465307" w14:textId="01C5124A" w:rsidR="00E648CF" w:rsidRDefault="006B27F3" w:rsidP="000528D5">
          <w:pPr>
            <w:pStyle w:val="TDC1"/>
            <w:ind w:left="284"/>
            <w:rPr>
              <w:rFonts w:asciiTheme="minorHAnsi" w:eastAsiaTheme="minorEastAsia" w:hAnsiTheme="minorHAnsi" w:cstheme="minorBidi"/>
              <w:noProof/>
              <w:sz w:val="22"/>
              <w:szCs w:val="22"/>
              <w:lang w:val="es-GT" w:eastAsia="es-GT"/>
            </w:rPr>
          </w:pPr>
          <w:hyperlink w:anchor="_Toc49939713" w:history="1">
            <w:r w:rsidR="00E648CF" w:rsidRPr="0074611E">
              <w:rPr>
                <w:rStyle w:val="Hipervnculo"/>
                <w:bCs/>
                <w:noProof/>
              </w:rPr>
              <w:t>1.1.</w:t>
            </w:r>
            <w:r w:rsidR="000528D5">
              <w:rPr>
                <w:rStyle w:val="Hipervnculo"/>
                <w:bCs/>
                <w:noProof/>
              </w:rPr>
              <w:t xml:space="preserve">  </w:t>
            </w:r>
            <w:r w:rsidR="00E648CF" w:rsidRPr="0074611E">
              <w:rPr>
                <w:rStyle w:val="Hipervnculo"/>
                <w:noProof/>
              </w:rPr>
              <w:t>Riesgos en el sector externo.  Desviaciones en los pronósticos en la economía mundial</w:t>
            </w:r>
            <w:r w:rsidR="00E648CF">
              <w:rPr>
                <w:noProof/>
                <w:webHidden/>
              </w:rPr>
              <w:tab/>
            </w:r>
            <w:r w:rsidR="00E648CF">
              <w:rPr>
                <w:noProof/>
                <w:webHidden/>
              </w:rPr>
              <w:fldChar w:fldCharType="begin"/>
            </w:r>
            <w:r w:rsidR="00E648CF">
              <w:rPr>
                <w:noProof/>
                <w:webHidden/>
              </w:rPr>
              <w:instrText xml:space="preserve"> PAGEREF _Toc49939713 \h </w:instrText>
            </w:r>
            <w:r w:rsidR="00E648CF">
              <w:rPr>
                <w:noProof/>
                <w:webHidden/>
              </w:rPr>
            </w:r>
            <w:r w:rsidR="00E648CF">
              <w:rPr>
                <w:noProof/>
                <w:webHidden/>
              </w:rPr>
              <w:fldChar w:fldCharType="separate"/>
            </w:r>
            <w:r w:rsidR="00A87138">
              <w:rPr>
                <w:noProof/>
                <w:webHidden/>
              </w:rPr>
              <w:t>4</w:t>
            </w:r>
            <w:r w:rsidR="00E648CF">
              <w:rPr>
                <w:noProof/>
                <w:webHidden/>
              </w:rPr>
              <w:fldChar w:fldCharType="end"/>
            </w:r>
          </w:hyperlink>
        </w:p>
        <w:p w14:paraId="65EC1685" w14:textId="4C5B2C9A" w:rsidR="00E648CF" w:rsidRDefault="000528D5">
          <w:pPr>
            <w:pStyle w:val="TDC1"/>
            <w:rPr>
              <w:rFonts w:asciiTheme="minorHAnsi" w:eastAsiaTheme="minorEastAsia" w:hAnsiTheme="minorHAnsi" w:cstheme="minorBidi"/>
              <w:noProof/>
              <w:sz w:val="22"/>
              <w:szCs w:val="22"/>
              <w:lang w:val="es-GT" w:eastAsia="es-GT"/>
            </w:rPr>
          </w:pPr>
          <w:r>
            <w:tab/>
          </w:r>
          <w:hyperlink w:anchor="_Toc49939714" w:history="1">
            <w:r w:rsidR="00E648CF" w:rsidRPr="0074611E">
              <w:rPr>
                <w:rStyle w:val="Hipervnculo"/>
                <w:bCs/>
                <w:noProof/>
              </w:rPr>
              <w:t>1.2.</w:t>
            </w:r>
            <w:r>
              <w:rPr>
                <w:rStyle w:val="Hipervnculo"/>
                <w:bCs/>
                <w:noProof/>
              </w:rPr>
              <w:t xml:space="preserve">  </w:t>
            </w:r>
            <w:r w:rsidR="00E648CF" w:rsidRPr="0074611E">
              <w:rPr>
                <w:rStyle w:val="Hipervnculo"/>
                <w:noProof/>
              </w:rPr>
              <w:t>Riesgo de una pandemia por COVID-19 más prolongada</w:t>
            </w:r>
            <w:r w:rsidR="00E648CF">
              <w:rPr>
                <w:noProof/>
                <w:webHidden/>
              </w:rPr>
              <w:tab/>
            </w:r>
            <w:r w:rsidR="00E648CF">
              <w:rPr>
                <w:noProof/>
                <w:webHidden/>
              </w:rPr>
              <w:fldChar w:fldCharType="begin"/>
            </w:r>
            <w:r w:rsidR="00E648CF">
              <w:rPr>
                <w:noProof/>
                <w:webHidden/>
              </w:rPr>
              <w:instrText xml:space="preserve"> PAGEREF _Toc49939714 \h </w:instrText>
            </w:r>
            <w:r w:rsidR="00E648CF">
              <w:rPr>
                <w:noProof/>
                <w:webHidden/>
              </w:rPr>
            </w:r>
            <w:r w:rsidR="00E648CF">
              <w:rPr>
                <w:noProof/>
                <w:webHidden/>
              </w:rPr>
              <w:fldChar w:fldCharType="separate"/>
            </w:r>
            <w:r w:rsidR="00A87138">
              <w:rPr>
                <w:noProof/>
                <w:webHidden/>
              </w:rPr>
              <w:t>8</w:t>
            </w:r>
            <w:r w:rsidR="00E648CF">
              <w:rPr>
                <w:noProof/>
                <w:webHidden/>
              </w:rPr>
              <w:fldChar w:fldCharType="end"/>
            </w:r>
          </w:hyperlink>
        </w:p>
        <w:p w14:paraId="2D28EA7F" w14:textId="64C4D011" w:rsidR="00E648CF" w:rsidRDefault="000528D5">
          <w:pPr>
            <w:pStyle w:val="TDC1"/>
            <w:rPr>
              <w:rFonts w:asciiTheme="minorHAnsi" w:eastAsiaTheme="minorEastAsia" w:hAnsiTheme="minorHAnsi" w:cstheme="minorBidi"/>
              <w:noProof/>
              <w:sz w:val="22"/>
              <w:szCs w:val="22"/>
              <w:lang w:val="es-GT" w:eastAsia="es-GT"/>
            </w:rPr>
          </w:pPr>
          <w:r>
            <w:tab/>
          </w:r>
          <w:hyperlink w:anchor="_Toc49939715" w:history="1">
            <w:r w:rsidR="00E648CF" w:rsidRPr="0074611E">
              <w:rPr>
                <w:rStyle w:val="Hipervnculo"/>
                <w:bCs/>
                <w:noProof/>
              </w:rPr>
              <w:t>1.3.</w:t>
            </w:r>
            <w:r>
              <w:rPr>
                <w:rStyle w:val="Hipervnculo"/>
                <w:bCs/>
                <w:noProof/>
              </w:rPr>
              <w:t xml:space="preserve">  </w:t>
            </w:r>
            <w:r w:rsidR="00E648CF" w:rsidRPr="0074611E">
              <w:rPr>
                <w:rStyle w:val="Hipervnculo"/>
                <w:noProof/>
              </w:rPr>
              <w:t>Volatilidad en los precios de las materias primas</w:t>
            </w:r>
            <w:r w:rsidR="00E648CF">
              <w:rPr>
                <w:noProof/>
                <w:webHidden/>
              </w:rPr>
              <w:tab/>
            </w:r>
            <w:r w:rsidR="00E648CF">
              <w:rPr>
                <w:noProof/>
                <w:webHidden/>
              </w:rPr>
              <w:fldChar w:fldCharType="begin"/>
            </w:r>
            <w:r w:rsidR="00E648CF">
              <w:rPr>
                <w:noProof/>
                <w:webHidden/>
              </w:rPr>
              <w:instrText xml:space="preserve"> PAGEREF _Toc49939715 \h </w:instrText>
            </w:r>
            <w:r w:rsidR="00E648CF">
              <w:rPr>
                <w:noProof/>
                <w:webHidden/>
              </w:rPr>
            </w:r>
            <w:r w:rsidR="00E648CF">
              <w:rPr>
                <w:noProof/>
                <w:webHidden/>
              </w:rPr>
              <w:fldChar w:fldCharType="separate"/>
            </w:r>
            <w:r w:rsidR="00A87138">
              <w:rPr>
                <w:noProof/>
                <w:webHidden/>
              </w:rPr>
              <w:t>9</w:t>
            </w:r>
            <w:r w:rsidR="00E648CF">
              <w:rPr>
                <w:noProof/>
                <w:webHidden/>
              </w:rPr>
              <w:fldChar w:fldCharType="end"/>
            </w:r>
          </w:hyperlink>
        </w:p>
        <w:p w14:paraId="15B8DF7C" w14:textId="5584A1C1" w:rsidR="00E648CF" w:rsidRDefault="000528D5">
          <w:pPr>
            <w:pStyle w:val="TDC1"/>
            <w:rPr>
              <w:rFonts w:asciiTheme="minorHAnsi" w:eastAsiaTheme="minorEastAsia" w:hAnsiTheme="minorHAnsi" w:cstheme="minorBidi"/>
              <w:noProof/>
              <w:sz w:val="22"/>
              <w:szCs w:val="22"/>
              <w:lang w:val="es-GT" w:eastAsia="es-GT"/>
            </w:rPr>
          </w:pPr>
          <w:r>
            <w:tab/>
          </w:r>
          <w:hyperlink w:anchor="_Toc49939716" w:history="1">
            <w:r w:rsidR="00E648CF" w:rsidRPr="0074611E">
              <w:rPr>
                <w:rStyle w:val="Hipervnculo"/>
                <w:bCs/>
                <w:noProof/>
              </w:rPr>
              <w:t>1.4.</w:t>
            </w:r>
            <w:r>
              <w:rPr>
                <w:rStyle w:val="Hipervnculo"/>
                <w:bCs/>
                <w:noProof/>
              </w:rPr>
              <w:t xml:space="preserve">  </w:t>
            </w:r>
            <w:r w:rsidR="00E648CF" w:rsidRPr="0074611E">
              <w:rPr>
                <w:rStyle w:val="Hipervnculo"/>
                <w:noProof/>
              </w:rPr>
              <w:t>Alta volatilidad en los mercados financieros</w:t>
            </w:r>
            <w:r w:rsidR="00E648CF">
              <w:rPr>
                <w:noProof/>
                <w:webHidden/>
              </w:rPr>
              <w:tab/>
            </w:r>
            <w:r w:rsidR="00E648CF">
              <w:rPr>
                <w:noProof/>
                <w:webHidden/>
              </w:rPr>
              <w:fldChar w:fldCharType="begin"/>
            </w:r>
            <w:r w:rsidR="00E648CF">
              <w:rPr>
                <w:noProof/>
                <w:webHidden/>
              </w:rPr>
              <w:instrText xml:space="preserve"> PAGEREF _Toc49939716 \h </w:instrText>
            </w:r>
            <w:r w:rsidR="00E648CF">
              <w:rPr>
                <w:noProof/>
                <w:webHidden/>
              </w:rPr>
            </w:r>
            <w:r w:rsidR="00E648CF">
              <w:rPr>
                <w:noProof/>
                <w:webHidden/>
              </w:rPr>
              <w:fldChar w:fldCharType="separate"/>
            </w:r>
            <w:r w:rsidR="00A87138">
              <w:rPr>
                <w:noProof/>
                <w:webHidden/>
              </w:rPr>
              <w:t>10</w:t>
            </w:r>
            <w:r w:rsidR="00E648CF">
              <w:rPr>
                <w:noProof/>
                <w:webHidden/>
              </w:rPr>
              <w:fldChar w:fldCharType="end"/>
            </w:r>
          </w:hyperlink>
        </w:p>
        <w:p w14:paraId="70624740" w14:textId="5AD7E51B" w:rsidR="00E648CF" w:rsidRDefault="006B27F3">
          <w:pPr>
            <w:pStyle w:val="TDC1"/>
            <w:rPr>
              <w:rFonts w:asciiTheme="minorHAnsi" w:eastAsiaTheme="minorEastAsia" w:hAnsiTheme="minorHAnsi" w:cstheme="minorBidi"/>
              <w:noProof/>
              <w:sz w:val="22"/>
              <w:szCs w:val="22"/>
              <w:lang w:val="es-GT" w:eastAsia="es-GT"/>
            </w:rPr>
          </w:pPr>
          <w:hyperlink w:anchor="_Toc49939717" w:history="1">
            <w:r w:rsidR="00E648CF" w:rsidRPr="0074611E">
              <w:rPr>
                <w:rStyle w:val="Hipervnculo"/>
                <w:bCs/>
                <w:noProof/>
              </w:rPr>
              <w:t>2.</w:t>
            </w:r>
            <w:r w:rsidR="00E648CF">
              <w:rPr>
                <w:rFonts w:asciiTheme="minorHAnsi" w:eastAsiaTheme="minorEastAsia" w:hAnsiTheme="minorHAnsi" w:cstheme="minorBidi"/>
                <w:noProof/>
                <w:sz w:val="22"/>
                <w:szCs w:val="22"/>
                <w:lang w:val="es-GT" w:eastAsia="es-GT"/>
              </w:rPr>
              <w:tab/>
            </w:r>
            <w:r w:rsidR="00E648CF" w:rsidRPr="0074611E">
              <w:rPr>
                <w:rStyle w:val="Hipervnculo"/>
                <w:noProof/>
              </w:rPr>
              <w:t>Riesgos en la economía doméstica</w:t>
            </w:r>
            <w:r w:rsidR="00E648CF">
              <w:rPr>
                <w:noProof/>
                <w:webHidden/>
              </w:rPr>
              <w:tab/>
            </w:r>
            <w:r w:rsidR="00E648CF">
              <w:rPr>
                <w:noProof/>
                <w:webHidden/>
              </w:rPr>
              <w:fldChar w:fldCharType="begin"/>
            </w:r>
            <w:r w:rsidR="00E648CF">
              <w:rPr>
                <w:noProof/>
                <w:webHidden/>
              </w:rPr>
              <w:instrText xml:space="preserve"> PAGEREF _Toc49939717 \h </w:instrText>
            </w:r>
            <w:r w:rsidR="00E648CF">
              <w:rPr>
                <w:noProof/>
                <w:webHidden/>
              </w:rPr>
            </w:r>
            <w:r w:rsidR="00E648CF">
              <w:rPr>
                <w:noProof/>
                <w:webHidden/>
              </w:rPr>
              <w:fldChar w:fldCharType="separate"/>
            </w:r>
            <w:r w:rsidR="00A87138">
              <w:rPr>
                <w:noProof/>
                <w:webHidden/>
              </w:rPr>
              <w:t>11</w:t>
            </w:r>
            <w:r w:rsidR="00E648CF">
              <w:rPr>
                <w:noProof/>
                <w:webHidden/>
              </w:rPr>
              <w:fldChar w:fldCharType="end"/>
            </w:r>
          </w:hyperlink>
        </w:p>
        <w:p w14:paraId="05544CBA" w14:textId="0689DC95" w:rsidR="00E648CF" w:rsidRDefault="000528D5">
          <w:pPr>
            <w:pStyle w:val="TDC1"/>
            <w:rPr>
              <w:rFonts w:asciiTheme="minorHAnsi" w:eastAsiaTheme="minorEastAsia" w:hAnsiTheme="minorHAnsi" w:cstheme="minorBidi"/>
              <w:noProof/>
              <w:sz w:val="22"/>
              <w:szCs w:val="22"/>
              <w:lang w:val="es-GT" w:eastAsia="es-GT"/>
            </w:rPr>
          </w:pPr>
          <w:r>
            <w:tab/>
          </w:r>
          <w:hyperlink w:anchor="_Toc49939718" w:history="1">
            <w:r w:rsidR="00E648CF" w:rsidRPr="0074611E">
              <w:rPr>
                <w:rStyle w:val="Hipervnculo"/>
                <w:bCs/>
                <w:noProof/>
              </w:rPr>
              <w:t>2.1.</w:t>
            </w:r>
            <w:r>
              <w:rPr>
                <w:rStyle w:val="Hipervnculo"/>
                <w:bCs/>
                <w:noProof/>
              </w:rPr>
              <w:t xml:space="preserve">  </w:t>
            </w:r>
            <w:r w:rsidR="00E648CF" w:rsidRPr="0074611E">
              <w:rPr>
                <w:rStyle w:val="Hipervnculo"/>
                <w:noProof/>
              </w:rPr>
              <w:t>Desviaciones de los pronósticos macroeconómicos</w:t>
            </w:r>
            <w:r w:rsidR="00E648CF">
              <w:rPr>
                <w:noProof/>
                <w:webHidden/>
              </w:rPr>
              <w:tab/>
            </w:r>
            <w:r w:rsidR="00E648CF">
              <w:rPr>
                <w:noProof/>
                <w:webHidden/>
              </w:rPr>
              <w:fldChar w:fldCharType="begin"/>
            </w:r>
            <w:r w:rsidR="00E648CF">
              <w:rPr>
                <w:noProof/>
                <w:webHidden/>
              </w:rPr>
              <w:instrText xml:space="preserve"> PAGEREF _Toc49939718 \h </w:instrText>
            </w:r>
            <w:r w:rsidR="00E648CF">
              <w:rPr>
                <w:noProof/>
                <w:webHidden/>
              </w:rPr>
            </w:r>
            <w:r w:rsidR="00E648CF">
              <w:rPr>
                <w:noProof/>
                <w:webHidden/>
              </w:rPr>
              <w:fldChar w:fldCharType="separate"/>
            </w:r>
            <w:r w:rsidR="00A87138">
              <w:rPr>
                <w:noProof/>
                <w:webHidden/>
              </w:rPr>
              <w:t>11</w:t>
            </w:r>
            <w:r w:rsidR="00E648CF">
              <w:rPr>
                <w:noProof/>
                <w:webHidden/>
              </w:rPr>
              <w:fldChar w:fldCharType="end"/>
            </w:r>
          </w:hyperlink>
        </w:p>
        <w:p w14:paraId="0E103365" w14:textId="36D95B42" w:rsidR="00E648CF" w:rsidRDefault="000528D5">
          <w:pPr>
            <w:pStyle w:val="TDC1"/>
            <w:rPr>
              <w:rFonts w:asciiTheme="minorHAnsi" w:eastAsiaTheme="minorEastAsia" w:hAnsiTheme="minorHAnsi" w:cstheme="minorBidi"/>
              <w:noProof/>
              <w:sz w:val="22"/>
              <w:szCs w:val="22"/>
              <w:lang w:val="es-GT" w:eastAsia="es-GT"/>
            </w:rPr>
          </w:pPr>
          <w:r>
            <w:tab/>
          </w:r>
          <w:hyperlink w:anchor="_Toc49939719" w:history="1">
            <w:r w:rsidR="00E648CF" w:rsidRPr="0074611E">
              <w:rPr>
                <w:rStyle w:val="Hipervnculo"/>
                <w:bCs/>
                <w:noProof/>
              </w:rPr>
              <w:t>2.2.</w:t>
            </w:r>
            <w:r>
              <w:rPr>
                <w:rStyle w:val="Hipervnculo"/>
                <w:bCs/>
                <w:noProof/>
              </w:rPr>
              <w:t xml:space="preserve">  </w:t>
            </w:r>
            <w:r w:rsidR="00E648CF" w:rsidRPr="0074611E">
              <w:rPr>
                <w:rStyle w:val="Hipervnculo"/>
                <w:noProof/>
              </w:rPr>
              <w:t>Desviaciones de los pronósticos fiscales</w:t>
            </w:r>
            <w:r w:rsidR="00E648CF">
              <w:rPr>
                <w:noProof/>
                <w:webHidden/>
              </w:rPr>
              <w:tab/>
            </w:r>
            <w:r w:rsidR="00E648CF">
              <w:rPr>
                <w:noProof/>
                <w:webHidden/>
              </w:rPr>
              <w:fldChar w:fldCharType="begin"/>
            </w:r>
            <w:r w:rsidR="00E648CF">
              <w:rPr>
                <w:noProof/>
                <w:webHidden/>
              </w:rPr>
              <w:instrText xml:space="preserve"> PAGEREF _Toc49939719 \h </w:instrText>
            </w:r>
            <w:r w:rsidR="00E648CF">
              <w:rPr>
                <w:noProof/>
                <w:webHidden/>
              </w:rPr>
            </w:r>
            <w:r w:rsidR="00E648CF">
              <w:rPr>
                <w:noProof/>
                <w:webHidden/>
              </w:rPr>
              <w:fldChar w:fldCharType="separate"/>
            </w:r>
            <w:r w:rsidR="00A87138">
              <w:rPr>
                <w:noProof/>
                <w:webHidden/>
              </w:rPr>
              <w:t>18</w:t>
            </w:r>
            <w:r w:rsidR="00E648CF">
              <w:rPr>
                <w:noProof/>
                <w:webHidden/>
              </w:rPr>
              <w:fldChar w:fldCharType="end"/>
            </w:r>
          </w:hyperlink>
        </w:p>
        <w:p w14:paraId="1E906988" w14:textId="3F90C864" w:rsidR="00E648CF" w:rsidRDefault="006B27F3">
          <w:pPr>
            <w:pStyle w:val="TDC1"/>
            <w:rPr>
              <w:rFonts w:asciiTheme="minorHAnsi" w:eastAsiaTheme="minorEastAsia" w:hAnsiTheme="minorHAnsi" w:cstheme="minorBidi"/>
              <w:noProof/>
              <w:sz w:val="22"/>
              <w:szCs w:val="22"/>
              <w:lang w:val="es-GT" w:eastAsia="es-GT"/>
            </w:rPr>
          </w:pPr>
          <w:hyperlink w:anchor="_Toc49939720" w:history="1">
            <w:r w:rsidR="00E648CF" w:rsidRPr="0074611E">
              <w:rPr>
                <w:rStyle w:val="Hipervnculo"/>
                <w:bCs/>
                <w:noProof/>
              </w:rPr>
              <w:t>3.</w:t>
            </w:r>
            <w:r w:rsidR="00E648CF">
              <w:rPr>
                <w:rFonts w:asciiTheme="minorHAnsi" w:eastAsiaTheme="minorEastAsia" w:hAnsiTheme="minorHAnsi" w:cstheme="minorBidi"/>
                <w:noProof/>
                <w:sz w:val="22"/>
                <w:szCs w:val="22"/>
                <w:lang w:val="es-GT" w:eastAsia="es-GT"/>
              </w:rPr>
              <w:tab/>
            </w:r>
            <w:r w:rsidR="00E648CF" w:rsidRPr="0074611E">
              <w:rPr>
                <w:rStyle w:val="Hipervnculo"/>
                <w:noProof/>
              </w:rPr>
              <w:t>Riesgos Fiscales de la Deuda Pública</w:t>
            </w:r>
            <w:r w:rsidR="00E648CF">
              <w:rPr>
                <w:noProof/>
                <w:webHidden/>
              </w:rPr>
              <w:tab/>
            </w:r>
            <w:r w:rsidR="00E648CF">
              <w:rPr>
                <w:noProof/>
                <w:webHidden/>
              </w:rPr>
              <w:fldChar w:fldCharType="begin"/>
            </w:r>
            <w:r w:rsidR="00E648CF">
              <w:rPr>
                <w:noProof/>
                <w:webHidden/>
              </w:rPr>
              <w:instrText xml:space="preserve"> PAGEREF _Toc49939720 \h </w:instrText>
            </w:r>
            <w:r w:rsidR="00E648CF">
              <w:rPr>
                <w:noProof/>
                <w:webHidden/>
              </w:rPr>
            </w:r>
            <w:r w:rsidR="00E648CF">
              <w:rPr>
                <w:noProof/>
                <w:webHidden/>
              </w:rPr>
              <w:fldChar w:fldCharType="separate"/>
            </w:r>
            <w:r w:rsidR="00A87138">
              <w:rPr>
                <w:noProof/>
                <w:webHidden/>
              </w:rPr>
              <w:t>20</w:t>
            </w:r>
            <w:r w:rsidR="00E648CF">
              <w:rPr>
                <w:noProof/>
                <w:webHidden/>
              </w:rPr>
              <w:fldChar w:fldCharType="end"/>
            </w:r>
          </w:hyperlink>
        </w:p>
        <w:p w14:paraId="252D56F5" w14:textId="1BF835E6" w:rsidR="00E648CF" w:rsidRDefault="006B27F3">
          <w:pPr>
            <w:pStyle w:val="TDC1"/>
            <w:rPr>
              <w:rFonts w:asciiTheme="minorHAnsi" w:eastAsiaTheme="minorEastAsia" w:hAnsiTheme="minorHAnsi" w:cstheme="minorBidi"/>
              <w:noProof/>
              <w:sz w:val="22"/>
              <w:szCs w:val="22"/>
              <w:lang w:val="es-GT" w:eastAsia="es-GT"/>
            </w:rPr>
          </w:pPr>
          <w:hyperlink w:anchor="_Toc49939721" w:history="1">
            <w:r w:rsidR="00E648CF" w:rsidRPr="0074611E">
              <w:rPr>
                <w:rStyle w:val="Hipervnculo"/>
                <w:bCs/>
                <w:noProof/>
              </w:rPr>
              <w:t>4.</w:t>
            </w:r>
            <w:r w:rsidR="00E648CF">
              <w:rPr>
                <w:rFonts w:asciiTheme="minorHAnsi" w:eastAsiaTheme="minorEastAsia" w:hAnsiTheme="minorHAnsi" w:cstheme="minorBidi"/>
                <w:noProof/>
                <w:sz w:val="22"/>
                <w:szCs w:val="22"/>
                <w:lang w:val="es-GT" w:eastAsia="es-GT"/>
              </w:rPr>
              <w:tab/>
            </w:r>
            <w:r w:rsidR="00E648CF" w:rsidRPr="0074611E">
              <w:rPr>
                <w:rStyle w:val="Hipervnculo"/>
                <w:noProof/>
              </w:rPr>
              <w:t>Análisis de Sostenibilidad de la Deuda</w:t>
            </w:r>
            <w:r w:rsidR="00E648CF">
              <w:rPr>
                <w:noProof/>
                <w:webHidden/>
              </w:rPr>
              <w:tab/>
            </w:r>
            <w:r w:rsidR="00E648CF">
              <w:rPr>
                <w:noProof/>
                <w:webHidden/>
              </w:rPr>
              <w:fldChar w:fldCharType="begin"/>
            </w:r>
            <w:r w:rsidR="00E648CF">
              <w:rPr>
                <w:noProof/>
                <w:webHidden/>
              </w:rPr>
              <w:instrText xml:space="preserve"> PAGEREF _Toc49939721 \h </w:instrText>
            </w:r>
            <w:r w:rsidR="00E648CF">
              <w:rPr>
                <w:noProof/>
                <w:webHidden/>
              </w:rPr>
            </w:r>
            <w:r w:rsidR="00E648CF">
              <w:rPr>
                <w:noProof/>
                <w:webHidden/>
              </w:rPr>
              <w:fldChar w:fldCharType="separate"/>
            </w:r>
            <w:r w:rsidR="00A87138">
              <w:rPr>
                <w:noProof/>
                <w:webHidden/>
              </w:rPr>
              <w:t>30</w:t>
            </w:r>
            <w:r w:rsidR="00E648CF">
              <w:rPr>
                <w:noProof/>
                <w:webHidden/>
              </w:rPr>
              <w:fldChar w:fldCharType="end"/>
            </w:r>
          </w:hyperlink>
        </w:p>
        <w:p w14:paraId="576DB298" w14:textId="3ADD48DB" w:rsidR="00E648CF" w:rsidRDefault="000528D5">
          <w:pPr>
            <w:pStyle w:val="TDC1"/>
            <w:rPr>
              <w:rFonts w:asciiTheme="minorHAnsi" w:eastAsiaTheme="minorEastAsia" w:hAnsiTheme="minorHAnsi" w:cstheme="minorBidi"/>
              <w:noProof/>
              <w:sz w:val="22"/>
              <w:szCs w:val="22"/>
              <w:lang w:val="es-GT" w:eastAsia="es-GT"/>
            </w:rPr>
          </w:pPr>
          <w:r>
            <w:tab/>
          </w:r>
          <w:hyperlink w:anchor="_Toc49939722" w:history="1">
            <w:r w:rsidR="00E648CF" w:rsidRPr="0074611E">
              <w:rPr>
                <w:rStyle w:val="Hipervnculo"/>
                <w:bCs/>
                <w:noProof/>
              </w:rPr>
              <w:t>4.1.</w:t>
            </w:r>
            <w:r>
              <w:rPr>
                <w:rStyle w:val="Hipervnculo"/>
                <w:bCs/>
                <w:noProof/>
              </w:rPr>
              <w:t xml:space="preserve">  </w:t>
            </w:r>
            <w:r w:rsidR="00E648CF" w:rsidRPr="0074611E">
              <w:rPr>
                <w:rStyle w:val="Hipervnculo"/>
                <w:noProof/>
              </w:rPr>
              <w:t>Análisis de Mediano Plazo</w:t>
            </w:r>
            <w:r w:rsidR="00E648CF">
              <w:rPr>
                <w:noProof/>
                <w:webHidden/>
              </w:rPr>
              <w:tab/>
            </w:r>
            <w:r w:rsidR="00E648CF">
              <w:rPr>
                <w:noProof/>
                <w:webHidden/>
              </w:rPr>
              <w:fldChar w:fldCharType="begin"/>
            </w:r>
            <w:r w:rsidR="00E648CF">
              <w:rPr>
                <w:noProof/>
                <w:webHidden/>
              </w:rPr>
              <w:instrText xml:space="preserve"> PAGEREF _Toc49939722 \h </w:instrText>
            </w:r>
            <w:r w:rsidR="00E648CF">
              <w:rPr>
                <w:noProof/>
                <w:webHidden/>
              </w:rPr>
            </w:r>
            <w:r w:rsidR="00E648CF">
              <w:rPr>
                <w:noProof/>
                <w:webHidden/>
              </w:rPr>
              <w:fldChar w:fldCharType="separate"/>
            </w:r>
            <w:r w:rsidR="00A87138">
              <w:rPr>
                <w:noProof/>
                <w:webHidden/>
              </w:rPr>
              <w:t>30</w:t>
            </w:r>
            <w:r w:rsidR="00E648CF">
              <w:rPr>
                <w:noProof/>
                <w:webHidden/>
              </w:rPr>
              <w:fldChar w:fldCharType="end"/>
            </w:r>
          </w:hyperlink>
        </w:p>
        <w:p w14:paraId="266956E6" w14:textId="0F318AC8" w:rsidR="00E648CF" w:rsidRDefault="000528D5">
          <w:pPr>
            <w:pStyle w:val="TDC1"/>
            <w:rPr>
              <w:rFonts w:asciiTheme="minorHAnsi" w:eastAsiaTheme="minorEastAsia" w:hAnsiTheme="minorHAnsi" w:cstheme="minorBidi"/>
              <w:noProof/>
              <w:sz w:val="22"/>
              <w:szCs w:val="22"/>
              <w:lang w:val="es-GT" w:eastAsia="es-GT"/>
            </w:rPr>
          </w:pPr>
          <w:r>
            <w:tab/>
          </w:r>
          <w:hyperlink w:anchor="_Toc49939723" w:history="1">
            <w:r w:rsidR="00E648CF" w:rsidRPr="0074611E">
              <w:rPr>
                <w:rStyle w:val="Hipervnculo"/>
                <w:bCs/>
                <w:noProof/>
              </w:rPr>
              <w:t>4.2.</w:t>
            </w:r>
            <w:r>
              <w:rPr>
                <w:rStyle w:val="Hipervnculo"/>
                <w:bCs/>
                <w:noProof/>
              </w:rPr>
              <w:t xml:space="preserve">  </w:t>
            </w:r>
            <w:r w:rsidR="00E648CF" w:rsidRPr="0074611E">
              <w:rPr>
                <w:rStyle w:val="Hipervnculo"/>
                <w:noProof/>
              </w:rPr>
              <w:t>Análisis de Largo Plazo</w:t>
            </w:r>
            <w:r w:rsidR="00E648CF">
              <w:rPr>
                <w:noProof/>
                <w:webHidden/>
              </w:rPr>
              <w:tab/>
            </w:r>
            <w:r w:rsidR="00E648CF">
              <w:rPr>
                <w:noProof/>
                <w:webHidden/>
              </w:rPr>
              <w:fldChar w:fldCharType="begin"/>
            </w:r>
            <w:r w:rsidR="00E648CF">
              <w:rPr>
                <w:noProof/>
                <w:webHidden/>
              </w:rPr>
              <w:instrText xml:space="preserve"> PAGEREF _Toc49939723 \h </w:instrText>
            </w:r>
            <w:r w:rsidR="00E648CF">
              <w:rPr>
                <w:noProof/>
                <w:webHidden/>
              </w:rPr>
            </w:r>
            <w:r w:rsidR="00E648CF">
              <w:rPr>
                <w:noProof/>
                <w:webHidden/>
              </w:rPr>
              <w:fldChar w:fldCharType="separate"/>
            </w:r>
            <w:r w:rsidR="00A87138">
              <w:rPr>
                <w:noProof/>
                <w:webHidden/>
              </w:rPr>
              <w:t>34</w:t>
            </w:r>
            <w:r w:rsidR="00E648CF">
              <w:rPr>
                <w:noProof/>
                <w:webHidden/>
              </w:rPr>
              <w:fldChar w:fldCharType="end"/>
            </w:r>
          </w:hyperlink>
        </w:p>
        <w:p w14:paraId="32377BB0" w14:textId="48CD1E66" w:rsidR="00E648CF" w:rsidRDefault="000528D5">
          <w:pPr>
            <w:pStyle w:val="TDC1"/>
            <w:rPr>
              <w:rFonts w:asciiTheme="minorHAnsi" w:eastAsiaTheme="minorEastAsia" w:hAnsiTheme="minorHAnsi" w:cstheme="minorBidi"/>
              <w:noProof/>
              <w:sz w:val="22"/>
              <w:szCs w:val="22"/>
              <w:lang w:val="es-GT" w:eastAsia="es-GT"/>
            </w:rPr>
          </w:pPr>
          <w:r>
            <w:tab/>
          </w:r>
          <w:hyperlink w:anchor="_Toc49939724" w:history="1">
            <w:r w:rsidR="00E648CF" w:rsidRPr="0074611E">
              <w:rPr>
                <w:rStyle w:val="Hipervnculo"/>
                <w:bCs/>
                <w:noProof/>
              </w:rPr>
              <w:t>4.3.</w:t>
            </w:r>
            <w:r>
              <w:rPr>
                <w:rStyle w:val="Hipervnculo"/>
                <w:bCs/>
                <w:noProof/>
              </w:rPr>
              <w:t xml:space="preserve">  </w:t>
            </w:r>
            <w:r w:rsidR="00E648CF" w:rsidRPr="0074611E">
              <w:rPr>
                <w:rStyle w:val="Hipervnculo"/>
                <w:noProof/>
              </w:rPr>
              <w:t>Aspectos generales para la mitigación</w:t>
            </w:r>
            <w:r w:rsidR="00E648CF">
              <w:rPr>
                <w:noProof/>
                <w:webHidden/>
              </w:rPr>
              <w:tab/>
            </w:r>
            <w:r w:rsidR="00E648CF">
              <w:rPr>
                <w:noProof/>
                <w:webHidden/>
              </w:rPr>
              <w:fldChar w:fldCharType="begin"/>
            </w:r>
            <w:r w:rsidR="00E648CF">
              <w:rPr>
                <w:noProof/>
                <w:webHidden/>
              </w:rPr>
              <w:instrText xml:space="preserve"> PAGEREF _Toc49939724 \h </w:instrText>
            </w:r>
            <w:r w:rsidR="00E648CF">
              <w:rPr>
                <w:noProof/>
                <w:webHidden/>
              </w:rPr>
            </w:r>
            <w:r w:rsidR="00E648CF">
              <w:rPr>
                <w:noProof/>
                <w:webHidden/>
              </w:rPr>
              <w:fldChar w:fldCharType="separate"/>
            </w:r>
            <w:r w:rsidR="00A87138">
              <w:rPr>
                <w:noProof/>
                <w:webHidden/>
              </w:rPr>
              <w:t>36</w:t>
            </w:r>
            <w:r w:rsidR="00E648CF">
              <w:rPr>
                <w:noProof/>
                <w:webHidden/>
              </w:rPr>
              <w:fldChar w:fldCharType="end"/>
            </w:r>
          </w:hyperlink>
        </w:p>
        <w:p w14:paraId="1590E961" w14:textId="1C0206BA" w:rsidR="00E648CF" w:rsidRDefault="006B27F3">
          <w:pPr>
            <w:pStyle w:val="TDC1"/>
            <w:rPr>
              <w:rFonts w:asciiTheme="minorHAnsi" w:eastAsiaTheme="minorEastAsia" w:hAnsiTheme="minorHAnsi" w:cstheme="minorBidi"/>
              <w:noProof/>
              <w:sz w:val="22"/>
              <w:szCs w:val="22"/>
              <w:lang w:val="es-GT" w:eastAsia="es-GT"/>
            </w:rPr>
          </w:pPr>
          <w:hyperlink w:anchor="_Toc49939725" w:history="1">
            <w:r w:rsidR="00E648CF" w:rsidRPr="0074611E">
              <w:rPr>
                <w:rStyle w:val="Hipervnculo"/>
                <w:bCs/>
                <w:noProof/>
              </w:rPr>
              <w:t>5.</w:t>
            </w:r>
            <w:r w:rsidR="00E648CF">
              <w:rPr>
                <w:rFonts w:asciiTheme="minorHAnsi" w:eastAsiaTheme="minorEastAsia" w:hAnsiTheme="minorHAnsi" w:cstheme="minorBidi"/>
                <w:noProof/>
                <w:sz w:val="22"/>
                <w:szCs w:val="22"/>
                <w:lang w:val="es-GT" w:eastAsia="es-GT"/>
              </w:rPr>
              <w:tab/>
            </w:r>
            <w:r w:rsidR="00E648CF" w:rsidRPr="0074611E">
              <w:rPr>
                <w:rStyle w:val="Hipervnculo"/>
                <w:noProof/>
              </w:rPr>
              <w:t>Riesgos fiscales Específicos</w:t>
            </w:r>
            <w:r w:rsidR="00E648CF">
              <w:rPr>
                <w:noProof/>
                <w:webHidden/>
              </w:rPr>
              <w:tab/>
            </w:r>
            <w:r w:rsidR="00E648CF">
              <w:rPr>
                <w:noProof/>
                <w:webHidden/>
              </w:rPr>
              <w:fldChar w:fldCharType="begin"/>
            </w:r>
            <w:r w:rsidR="00E648CF">
              <w:rPr>
                <w:noProof/>
                <w:webHidden/>
              </w:rPr>
              <w:instrText xml:space="preserve"> PAGEREF _Toc49939725 \h </w:instrText>
            </w:r>
            <w:r w:rsidR="00E648CF">
              <w:rPr>
                <w:noProof/>
                <w:webHidden/>
              </w:rPr>
            </w:r>
            <w:r w:rsidR="00E648CF">
              <w:rPr>
                <w:noProof/>
                <w:webHidden/>
              </w:rPr>
              <w:fldChar w:fldCharType="separate"/>
            </w:r>
            <w:r w:rsidR="00A87138">
              <w:rPr>
                <w:noProof/>
                <w:webHidden/>
              </w:rPr>
              <w:t>37</w:t>
            </w:r>
            <w:r w:rsidR="00E648CF">
              <w:rPr>
                <w:noProof/>
                <w:webHidden/>
              </w:rPr>
              <w:fldChar w:fldCharType="end"/>
            </w:r>
          </w:hyperlink>
        </w:p>
        <w:p w14:paraId="7355EAED" w14:textId="77CD6432" w:rsidR="00E648CF" w:rsidRDefault="000528D5">
          <w:pPr>
            <w:pStyle w:val="TDC1"/>
            <w:rPr>
              <w:rFonts w:asciiTheme="minorHAnsi" w:eastAsiaTheme="minorEastAsia" w:hAnsiTheme="minorHAnsi" w:cstheme="minorBidi"/>
              <w:noProof/>
              <w:sz w:val="22"/>
              <w:szCs w:val="22"/>
              <w:lang w:val="es-GT" w:eastAsia="es-GT"/>
            </w:rPr>
          </w:pPr>
          <w:r>
            <w:tab/>
          </w:r>
          <w:hyperlink w:anchor="_Toc49939726" w:history="1">
            <w:r w:rsidR="00E648CF" w:rsidRPr="0074611E">
              <w:rPr>
                <w:rStyle w:val="Hipervnculo"/>
                <w:bCs/>
                <w:noProof/>
              </w:rPr>
              <w:t>5.1.</w:t>
            </w:r>
            <w:r>
              <w:rPr>
                <w:rStyle w:val="Hipervnculo"/>
                <w:bCs/>
                <w:noProof/>
              </w:rPr>
              <w:t xml:space="preserve">  </w:t>
            </w:r>
            <w:r w:rsidR="00E648CF" w:rsidRPr="0074611E">
              <w:rPr>
                <w:rStyle w:val="Hipervnculo"/>
                <w:noProof/>
              </w:rPr>
              <w:t>Enfermedades y epidemias como riesgos fiscales</w:t>
            </w:r>
            <w:r w:rsidR="00E648CF">
              <w:rPr>
                <w:noProof/>
                <w:webHidden/>
              </w:rPr>
              <w:tab/>
            </w:r>
            <w:r w:rsidR="00E648CF">
              <w:rPr>
                <w:noProof/>
                <w:webHidden/>
              </w:rPr>
              <w:fldChar w:fldCharType="begin"/>
            </w:r>
            <w:r w:rsidR="00E648CF">
              <w:rPr>
                <w:noProof/>
                <w:webHidden/>
              </w:rPr>
              <w:instrText xml:space="preserve"> PAGEREF _Toc49939726 \h </w:instrText>
            </w:r>
            <w:r w:rsidR="00E648CF">
              <w:rPr>
                <w:noProof/>
                <w:webHidden/>
              </w:rPr>
            </w:r>
            <w:r w:rsidR="00E648CF">
              <w:rPr>
                <w:noProof/>
                <w:webHidden/>
              </w:rPr>
              <w:fldChar w:fldCharType="separate"/>
            </w:r>
            <w:r w:rsidR="00A87138">
              <w:rPr>
                <w:noProof/>
                <w:webHidden/>
              </w:rPr>
              <w:t>37</w:t>
            </w:r>
            <w:r w:rsidR="00E648CF">
              <w:rPr>
                <w:noProof/>
                <w:webHidden/>
              </w:rPr>
              <w:fldChar w:fldCharType="end"/>
            </w:r>
          </w:hyperlink>
        </w:p>
        <w:p w14:paraId="42228B3F" w14:textId="49EE0231" w:rsidR="00E648CF" w:rsidRDefault="000528D5">
          <w:pPr>
            <w:pStyle w:val="TDC1"/>
            <w:rPr>
              <w:rFonts w:asciiTheme="minorHAnsi" w:eastAsiaTheme="minorEastAsia" w:hAnsiTheme="minorHAnsi" w:cstheme="minorBidi"/>
              <w:noProof/>
              <w:sz w:val="22"/>
              <w:szCs w:val="22"/>
              <w:lang w:val="es-GT" w:eastAsia="es-GT"/>
            </w:rPr>
          </w:pPr>
          <w:r>
            <w:tab/>
          </w:r>
          <w:hyperlink w:anchor="_Toc49939727" w:history="1">
            <w:r w:rsidR="00E648CF" w:rsidRPr="0074611E">
              <w:rPr>
                <w:rStyle w:val="Hipervnculo"/>
                <w:bCs/>
                <w:noProof/>
              </w:rPr>
              <w:t>5.2.</w:t>
            </w:r>
            <w:r>
              <w:rPr>
                <w:rStyle w:val="Hipervnculo"/>
                <w:bCs/>
                <w:noProof/>
              </w:rPr>
              <w:t xml:space="preserve">  </w:t>
            </w:r>
            <w:r w:rsidR="00E648CF" w:rsidRPr="0074611E">
              <w:rPr>
                <w:rStyle w:val="Hipervnculo"/>
                <w:noProof/>
              </w:rPr>
              <w:t>Impactos Económicos y Fiscales de la Pandemia de Covid-19 Coronavirus en Guatemala</w:t>
            </w:r>
            <w:r w:rsidR="00E648CF">
              <w:rPr>
                <w:noProof/>
                <w:webHidden/>
              </w:rPr>
              <w:tab/>
            </w:r>
            <w:r w:rsidR="00E648CF">
              <w:rPr>
                <w:noProof/>
                <w:webHidden/>
              </w:rPr>
              <w:fldChar w:fldCharType="begin"/>
            </w:r>
            <w:r w:rsidR="00E648CF">
              <w:rPr>
                <w:noProof/>
                <w:webHidden/>
              </w:rPr>
              <w:instrText xml:space="preserve"> PAGEREF _Toc49939727 \h </w:instrText>
            </w:r>
            <w:r w:rsidR="00E648CF">
              <w:rPr>
                <w:noProof/>
                <w:webHidden/>
              </w:rPr>
            </w:r>
            <w:r w:rsidR="00E648CF">
              <w:rPr>
                <w:noProof/>
                <w:webHidden/>
              </w:rPr>
              <w:fldChar w:fldCharType="separate"/>
            </w:r>
            <w:r w:rsidR="00A87138">
              <w:rPr>
                <w:noProof/>
                <w:webHidden/>
              </w:rPr>
              <w:t>39</w:t>
            </w:r>
            <w:r w:rsidR="00E648CF">
              <w:rPr>
                <w:noProof/>
                <w:webHidden/>
              </w:rPr>
              <w:fldChar w:fldCharType="end"/>
            </w:r>
          </w:hyperlink>
        </w:p>
        <w:p w14:paraId="4244C12F" w14:textId="3068B7C8" w:rsidR="00E648CF" w:rsidRDefault="000528D5">
          <w:pPr>
            <w:pStyle w:val="TDC1"/>
            <w:tabs>
              <w:tab w:val="left" w:pos="720"/>
            </w:tabs>
            <w:rPr>
              <w:rFonts w:asciiTheme="minorHAnsi" w:eastAsiaTheme="minorEastAsia" w:hAnsiTheme="minorHAnsi" w:cstheme="minorBidi"/>
              <w:noProof/>
              <w:sz w:val="22"/>
              <w:szCs w:val="22"/>
              <w:lang w:val="es-GT" w:eastAsia="es-GT"/>
            </w:rPr>
          </w:pPr>
          <w:r>
            <w:tab/>
          </w:r>
          <w:r>
            <w:tab/>
          </w:r>
          <w:hyperlink w:anchor="_Toc49939728" w:history="1">
            <w:r w:rsidR="00E648CF" w:rsidRPr="0074611E">
              <w:rPr>
                <w:rStyle w:val="Hipervnculo"/>
                <w:noProof/>
              </w:rPr>
              <w:t>5.2.1.</w:t>
            </w:r>
            <w:r>
              <w:rPr>
                <w:rStyle w:val="Hipervnculo"/>
                <w:noProof/>
              </w:rPr>
              <w:t xml:space="preserve">  </w:t>
            </w:r>
            <w:r w:rsidR="00E648CF" w:rsidRPr="0074611E">
              <w:rPr>
                <w:rStyle w:val="Hipervnculo"/>
                <w:noProof/>
              </w:rPr>
              <w:t>Sector Externo</w:t>
            </w:r>
            <w:r w:rsidR="00E648CF">
              <w:rPr>
                <w:noProof/>
                <w:webHidden/>
              </w:rPr>
              <w:tab/>
            </w:r>
            <w:r w:rsidR="00E648CF">
              <w:rPr>
                <w:noProof/>
                <w:webHidden/>
              </w:rPr>
              <w:fldChar w:fldCharType="begin"/>
            </w:r>
            <w:r w:rsidR="00E648CF">
              <w:rPr>
                <w:noProof/>
                <w:webHidden/>
              </w:rPr>
              <w:instrText xml:space="preserve"> PAGEREF _Toc49939728 \h </w:instrText>
            </w:r>
            <w:r w:rsidR="00E648CF">
              <w:rPr>
                <w:noProof/>
                <w:webHidden/>
              </w:rPr>
            </w:r>
            <w:r w:rsidR="00E648CF">
              <w:rPr>
                <w:noProof/>
                <w:webHidden/>
              </w:rPr>
              <w:fldChar w:fldCharType="separate"/>
            </w:r>
            <w:r w:rsidR="00A87138">
              <w:rPr>
                <w:noProof/>
                <w:webHidden/>
              </w:rPr>
              <w:t>40</w:t>
            </w:r>
            <w:r w:rsidR="00E648CF">
              <w:rPr>
                <w:noProof/>
                <w:webHidden/>
              </w:rPr>
              <w:fldChar w:fldCharType="end"/>
            </w:r>
          </w:hyperlink>
        </w:p>
        <w:p w14:paraId="62B404FC" w14:textId="2AA0A730" w:rsidR="00E648CF" w:rsidRDefault="000528D5">
          <w:pPr>
            <w:pStyle w:val="TDC1"/>
            <w:tabs>
              <w:tab w:val="left" w:pos="960"/>
            </w:tabs>
            <w:rPr>
              <w:rFonts w:asciiTheme="minorHAnsi" w:eastAsiaTheme="minorEastAsia" w:hAnsiTheme="minorHAnsi" w:cstheme="minorBidi"/>
              <w:noProof/>
              <w:sz w:val="22"/>
              <w:szCs w:val="22"/>
              <w:lang w:val="es-GT" w:eastAsia="es-GT"/>
            </w:rPr>
          </w:pPr>
          <w:r>
            <w:tab/>
          </w:r>
          <w:r>
            <w:tab/>
            <w:t xml:space="preserve">  </w:t>
          </w:r>
          <w:hyperlink w:anchor="_Toc49939729" w:history="1">
            <w:r w:rsidR="00E648CF" w:rsidRPr="0074611E">
              <w:rPr>
                <w:rStyle w:val="Hipervnculo"/>
                <w:noProof/>
              </w:rPr>
              <w:t>5.2.1.1.</w:t>
            </w:r>
            <w:r>
              <w:rPr>
                <w:rStyle w:val="Hipervnculo"/>
                <w:noProof/>
              </w:rPr>
              <w:t xml:space="preserve">  </w:t>
            </w:r>
            <w:r w:rsidR="00E648CF" w:rsidRPr="0074611E">
              <w:rPr>
                <w:rStyle w:val="Hipervnculo"/>
                <w:noProof/>
              </w:rPr>
              <w:t>Exportaciones</w:t>
            </w:r>
            <w:r w:rsidR="00E648CF">
              <w:rPr>
                <w:noProof/>
                <w:webHidden/>
              </w:rPr>
              <w:tab/>
            </w:r>
            <w:r w:rsidR="00E648CF">
              <w:rPr>
                <w:noProof/>
                <w:webHidden/>
              </w:rPr>
              <w:fldChar w:fldCharType="begin"/>
            </w:r>
            <w:r w:rsidR="00E648CF">
              <w:rPr>
                <w:noProof/>
                <w:webHidden/>
              </w:rPr>
              <w:instrText xml:space="preserve"> PAGEREF _Toc49939729 \h </w:instrText>
            </w:r>
            <w:r w:rsidR="00E648CF">
              <w:rPr>
                <w:noProof/>
                <w:webHidden/>
              </w:rPr>
            </w:r>
            <w:r w:rsidR="00E648CF">
              <w:rPr>
                <w:noProof/>
                <w:webHidden/>
              </w:rPr>
              <w:fldChar w:fldCharType="separate"/>
            </w:r>
            <w:r w:rsidR="00A87138">
              <w:rPr>
                <w:noProof/>
                <w:webHidden/>
              </w:rPr>
              <w:t>40</w:t>
            </w:r>
            <w:r w:rsidR="00E648CF">
              <w:rPr>
                <w:noProof/>
                <w:webHidden/>
              </w:rPr>
              <w:fldChar w:fldCharType="end"/>
            </w:r>
          </w:hyperlink>
        </w:p>
        <w:p w14:paraId="2F301A61" w14:textId="148714F7" w:rsidR="00E648CF" w:rsidRDefault="000528D5">
          <w:pPr>
            <w:pStyle w:val="TDC1"/>
            <w:tabs>
              <w:tab w:val="left" w:pos="960"/>
            </w:tabs>
            <w:rPr>
              <w:rFonts w:asciiTheme="minorHAnsi" w:eastAsiaTheme="minorEastAsia" w:hAnsiTheme="minorHAnsi" w:cstheme="minorBidi"/>
              <w:noProof/>
              <w:sz w:val="22"/>
              <w:szCs w:val="22"/>
              <w:lang w:val="es-GT" w:eastAsia="es-GT"/>
            </w:rPr>
          </w:pPr>
          <w:r>
            <w:tab/>
          </w:r>
          <w:r>
            <w:tab/>
            <w:t xml:space="preserve">  </w:t>
          </w:r>
          <w:hyperlink w:anchor="_Toc49939730" w:history="1">
            <w:r w:rsidR="00E648CF" w:rsidRPr="0074611E">
              <w:rPr>
                <w:rStyle w:val="Hipervnculo"/>
                <w:noProof/>
              </w:rPr>
              <w:t>5.2.1.2.</w:t>
            </w:r>
            <w:r>
              <w:rPr>
                <w:rStyle w:val="Hipervnculo"/>
                <w:noProof/>
              </w:rPr>
              <w:t xml:space="preserve">  </w:t>
            </w:r>
            <w:r w:rsidR="00E648CF" w:rsidRPr="0074611E">
              <w:rPr>
                <w:rStyle w:val="Hipervnculo"/>
                <w:noProof/>
              </w:rPr>
              <w:t>Importaciones</w:t>
            </w:r>
            <w:r w:rsidR="00E648CF">
              <w:rPr>
                <w:noProof/>
                <w:webHidden/>
              </w:rPr>
              <w:tab/>
            </w:r>
            <w:r w:rsidR="00E648CF">
              <w:rPr>
                <w:noProof/>
                <w:webHidden/>
              </w:rPr>
              <w:fldChar w:fldCharType="begin"/>
            </w:r>
            <w:r w:rsidR="00E648CF">
              <w:rPr>
                <w:noProof/>
                <w:webHidden/>
              </w:rPr>
              <w:instrText xml:space="preserve"> PAGEREF _Toc49939730 \h </w:instrText>
            </w:r>
            <w:r w:rsidR="00E648CF">
              <w:rPr>
                <w:noProof/>
                <w:webHidden/>
              </w:rPr>
            </w:r>
            <w:r w:rsidR="00E648CF">
              <w:rPr>
                <w:noProof/>
                <w:webHidden/>
              </w:rPr>
              <w:fldChar w:fldCharType="separate"/>
            </w:r>
            <w:r w:rsidR="00A87138">
              <w:rPr>
                <w:noProof/>
                <w:webHidden/>
              </w:rPr>
              <w:t>41</w:t>
            </w:r>
            <w:r w:rsidR="00E648CF">
              <w:rPr>
                <w:noProof/>
                <w:webHidden/>
              </w:rPr>
              <w:fldChar w:fldCharType="end"/>
            </w:r>
          </w:hyperlink>
        </w:p>
        <w:p w14:paraId="6370C51E" w14:textId="200CFE58" w:rsidR="00E648CF" w:rsidRDefault="000528D5">
          <w:pPr>
            <w:pStyle w:val="TDC1"/>
            <w:tabs>
              <w:tab w:val="left" w:pos="960"/>
            </w:tabs>
            <w:rPr>
              <w:rFonts w:asciiTheme="minorHAnsi" w:eastAsiaTheme="minorEastAsia" w:hAnsiTheme="minorHAnsi" w:cstheme="minorBidi"/>
              <w:noProof/>
              <w:sz w:val="22"/>
              <w:szCs w:val="22"/>
              <w:lang w:val="es-GT" w:eastAsia="es-GT"/>
            </w:rPr>
          </w:pPr>
          <w:r>
            <w:tab/>
          </w:r>
          <w:r>
            <w:tab/>
            <w:t xml:space="preserve">  </w:t>
          </w:r>
          <w:hyperlink w:anchor="_Toc49939731" w:history="1">
            <w:r w:rsidR="00E648CF" w:rsidRPr="0074611E">
              <w:rPr>
                <w:rStyle w:val="Hipervnculo"/>
                <w:rFonts w:eastAsia="OptimaLTStd"/>
                <w:noProof/>
                <w:lang w:val="es-MX"/>
              </w:rPr>
              <w:t>5.2.1.3.</w:t>
            </w:r>
            <w:r>
              <w:rPr>
                <w:rStyle w:val="Hipervnculo"/>
                <w:rFonts w:eastAsia="OptimaLTStd"/>
                <w:noProof/>
                <w:lang w:val="es-MX"/>
              </w:rPr>
              <w:t xml:space="preserve">  </w:t>
            </w:r>
            <w:r w:rsidR="00E648CF" w:rsidRPr="0074611E">
              <w:rPr>
                <w:rStyle w:val="Hipervnculo"/>
                <w:noProof/>
              </w:rPr>
              <w:t>Remesas</w:t>
            </w:r>
            <w:r w:rsidR="00E648CF" w:rsidRPr="0074611E">
              <w:rPr>
                <w:rStyle w:val="Hipervnculo"/>
                <w:rFonts w:eastAsia="OptimaLTStd"/>
                <w:bCs/>
                <w:noProof/>
                <w:lang w:val="es-MX"/>
              </w:rPr>
              <w:t xml:space="preserve"> familiares</w:t>
            </w:r>
            <w:r w:rsidR="00E648CF">
              <w:rPr>
                <w:noProof/>
                <w:webHidden/>
              </w:rPr>
              <w:tab/>
            </w:r>
            <w:r w:rsidR="00E648CF">
              <w:rPr>
                <w:noProof/>
                <w:webHidden/>
              </w:rPr>
              <w:fldChar w:fldCharType="begin"/>
            </w:r>
            <w:r w:rsidR="00E648CF">
              <w:rPr>
                <w:noProof/>
                <w:webHidden/>
              </w:rPr>
              <w:instrText xml:space="preserve"> PAGEREF _Toc49939731 \h </w:instrText>
            </w:r>
            <w:r w:rsidR="00E648CF">
              <w:rPr>
                <w:noProof/>
                <w:webHidden/>
              </w:rPr>
            </w:r>
            <w:r w:rsidR="00E648CF">
              <w:rPr>
                <w:noProof/>
                <w:webHidden/>
              </w:rPr>
              <w:fldChar w:fldCharType="separate"/>
            </w:r>
            <w:r w:rsidR="00A87138">
              <w:rPr>
                <w:noProof/>
                <w:webHidden/>
              </w:rPr>
              <w:t>43</w:t>
            </w:r>
            <w:r w:rsidR="00E648CF">
              <w:rPr>
                <w:noProof/>
                <w:webHidden/>
              </w:rPr>
              <w:fldChar w:fldCharType="end"/>
            </w:r>
          </w:hyperlink>
        </w:p>
        <w:p w14:paraId="7846ED7B" w14:textId="10AB782C" w:rsidR="00E648CF" w:rsidRDefault="000528D5">
          <w:pPr>
            <w:pStyle w:val="TDC1"/>
            <w:tabs>
              <w:tab w:val="left" w:pos="960"/>
            </w:tabs>
            <w:rPr>
              <w:rFonts w:asciiTheme="minorHAnsi" w:eastAsiaTheme="minorEastAsia" w:hAnsiTheme="minorHAnsi" w:cstheme="minorBidi"/>
              <w:noProof/>
              <w:sz w:val="22"/>
              <w:szCs w:val="22"/>
              <w:lang w:val="es-GT" w:eastAsia="es-GT"/>
            </w:rPr>
          </w:pPr>
          <w:r>
            <w:tab/>
          </w:r>
          <w:r>
            <w:tab/>
            <w:t xml:space="preserve">  </w:t>
          </w:r>
          <w:hyperlink w:anchor="_Toc49939732" w:history="1">
            <w:r w:rsidR="00E648CF" w:rsidRPr="0074611E">
              <w:rPr>
                <w:rStyle w:val="Hipervnculo"/>
                <w:rFonts w:eastAsia="OptimaLTStd"/>
                <w:noProof/>
                <w:lang w:val="es-MX"/>
              </w:rPr>
              <w:t>5.2.1.4.</w:t>
            </w:r>
            <w:r>
              <w:rPr>
                <w:rStyle w:val="Hipervnculo"/>
                <w:rFonts w:eastAsia="OptimaLTStd"/>
                <w:noProof/>
                <w:lang w:val="es-MX"/>
              </w:rPr>
              <w:t xml:space="preserve">  </w:t>
            </w:r>
            <w:r w:rsidR="00E648CF" w:rsidRPr="0074611E">
              <w:rPr>
                <w:rStyle w:val="Hipervnculo"/>
                <w:noProof/>
              </w:rPr>
              <w:t>Turismo</w:t>
            </w:r>
            <w:r w:rsidR="00E648CF" w:rsidRPr="0074611E">
              <w:rPr>
                <w:rStyle w:val="Hipervnculo"/>
                <w:rFonts w:eastAsia="OptimaLTStd"/>
                <w:bCs/>
                <w:noProof/>
                <w:lang w:val="es-MX"/>
              </w:rPr>
              <w:t xml:space="preserve"> y Viajes</w:t>
            </w:r>
            <w:r w:rsidR="00E648CF">
              <w:rPr>
                <w:noProof/>
                <w:webHidden/>
              </w:rPr>
              <w:tab/>
            </w:r>
            <w:r w:rsidR="00E648CF">
              <w:rPr>
                <w:noProof/>
                <w:webHidden/>
              </w:rPr>
              <w:fldChar w:fldCharType="begin"/>
            </w:r>
            <w:r w:rsidR="00E648CF">
              <w:rPr>
                <w:noProof/>
                <w:webHidden/>
              </w:rPr>
              <w:instrText xml:space="preserve"> PAGEREF _Toc49939732 \h </w:instrText>
            </w:r>
            <w:r w:rsidR="00E648CF">
              <w:rPr>
                <w:noProof/>
                <w:webHidden/>
              </w:rPr>
            </w:r>
            <w:r w:rsidR="00E648CF">
              <w:rPr>
                <w:noProof/>
                <w:webHidden/>
              </w:rPr>
              <w:fldChar w:fldCharType="separate"/>
            </w:r>
            <w:r w:rsidR="00A87138">
              <w:rPr>
                <w:noProof/>
                <w:webHidden/>
              </w:rPr>
              <w:t>45</w:t>
            </w:r>
            <w:r w:rsidR="00E648CF">
              <w:rPr>
                <w:noProof/>
                <w:webHidden/>
              </w:rPr>
              <w:fldChar w:fldCharType="end"/>
            </w:r>
          </w:hyperlink>
        </w:p>
        <w:p w14:paraId="541182DD" w14:textId="070B5A0E" w:rsidR="00E648CF" w:rsidRDefault="000528D5">
          <w:pPr>
            <w:pStyle w:val="TDC1"/>
            <w:tabs>
              <w:tab w:val="left" w:pos="720"/>
            </w:tabs>
            <w:rPr>
              <w:rFonts w:asciiTheme="minorHAnsi" w:eastAsiaTheme="minorEastAsia" w:hAnsiTheme="minorHAnsi" w:cstheme="minorBidi"/>
              <w:noProof/>
              <w:sz w:val="22"/>
              <w:szCs w:val="22"/>
              <w:lang w:val="es-GT" w:eastAsia="es-GT"/>
            </w:rPr>
          </w:pPr>
          <w:r>
            <w:tab/>
          </w:r>
          <w:r>
            <w:tab/>
          </w:r>
          <w:hyperlink w:anchor="_Toc49939733" w:history="1">
            <w:r w:rsidR="00E648CF" w:rsidRPr="0074611E">
              <w:rPr>
                <w:rStyle w:val="Hipervnculo"/>
                <w:noProof/>
              </w:rPr>
              <w:t>5.2.2.</w:t>
            </w:r>
            <w:r>
              <w:rPr>
                <w:rStyle w:val="Hipervnculo"/>
                <w:noProof/>
              </w:rPr>
              <w:t xml:space="preserve">  </w:t>
            </w:r>
            <w:r w:rsidR="00E648CF" w:rsidRPr="0074611E">
              <w:rPr>
                <w:rStyle w:val="Hipervnculo"/>
                <w:noProof/>
              </w:rPr>
              <w:t>Sector Real</w:t>
            </w:r>
            <w:r w:rsidR="00E648CF">
              <w:rPr>
                <w:noProof/>
                <w:webHidden/>
              </w:rPr>
              <w:tab/>
            </w:r>
            <w:r w:rsidR="00E648CF">
              <w:rPr>
                <w:noProof/>
                <w:webHidden/>
              </w:rPr>
              <w:fldChar w:fldCharType="begin"/>
            </w:r>
            <w:r w:rsidR="00E648CF">
              <w:rPr>
                <w:noProof/>
                <w:webHidden/>
              </w:rPr>
              <w:instrText xml:space="preserve"> PAGEREF _Toc49939733 \h </w:instrText>
            </w:r>
            <w:r w:rsidR="00E648CF">
              <w:rPr>
                <w:noProof/>
                <w:webHidden/>
              </w:rPr>
            </w:r>
            <w:r w:rsidR="00E648CF">
              <w:rPr>
                <w:noProof/>
                <w:webHidden/>
              </w:rPr>
              <w:fldChar w:fldCharType="separate"/>
            </w:r>
            <w:r w:rsidR="00A87138">
              <w:rPr>
                <w:noProof/>
                <w:webHidden/>
              </w:rPr>
              <w:t>47</w:t>
            </w:r>
            <w:r w:rsidR="00E648CF">
              <w:rPr>
                <w:noProof/>
                <w:webHidden/>
              </w:rPr>
              <w:fldChar w:fldCharType="end"/>
            </w:r>
          </w:hyperlink>
        </w:p>
        <w:p w14:paraId="3ED649CD" w14:textId="34004B23" w:rsidR="00E648CF" w:rsidRDefault="000528D5">
          <w:pPr>
            <w:pStyle w:val="TDC1"/>
            <w:tabs>
              <w:tab w:val="left" w:pos="960"/>
            </w:tabs>
            <w:rPr>
              <w:rFonts w:asciiTheme="minorHAnsi" w:eastAsiaTheme="minorEastAsia" w:hAnsiTheme="minorHAnsi" w:cstheme="minorBidi"/>
              <w:noProof/>
              <w:sz w:val="22"/>
              <w:szCs w:val="22"/>
              <w:lang w:val="es-GT" w:eastAsia="es-GT"/>
            </w:rPr>
          </w:pPr>
          <w:r>
            <w:tab/>
          </w:r>
          <w:r>
            <w:tab/>
            <w:t xml:space="preserve">  </w:t>
          </w:r>
          <w:hyperlink w:anchor="_Toc49939734" w:history="1">
            <w:r w:rsidR="00E648CF" w:rsidRPr="0074611E">
              <w:rPr>
                <w:rStyle w:val="Hipervnculo"/>
                <w:rFonts w:eastAsia="OptimaLTStd"/>
                <w:noProof/>
                <w:lang w:val="es-MX"/>
              </w:rPr>
              <w:t>5.2.2.1.</w:t>
            </w:r>
            <w:r>
              <w:rPr>
                <w:rStyle w:val="Hipervnculo"/>
                <w:rFonts w:eastAsia="OptimaLTStd"/>
                <w:noProof/>
                <w:lang w:val="es-MX"/>
              </w:rPr>
              <w:t xml:space="preserve">  </w:t>
            </w:r>
            <w:r w:rsidR="00E648CF" w:rsidRPr="0074611E">
              <w:rPr>
                <w:rStyle w:val="Hipervnculo"/>
                <w:rFonts w:eastAsia="OptimaLTStd"/>
                <w:bCs/>
                <w:noProof/>
                <w:lang w:val="es-MX"/>
              </w:rPr>
              <w:t xml:space="preserve">Producto </w:t>
            </w:r>
            <w:r w:rsidR="00E648CF" w:rsidRPr="0074611E">
              <w:rPr>
                <w:rStyle w:val="Hipervnculo"/>
                <w:noProof/>
              </w:rPr>
              <w:t>Interno</w:t>
            </w:r>
            <w:r w:rsidR="00E648CF" w:rsidRPr="0074611E">
              <w:rPr>
                <w:rStyle w:val="Hipervnculo"/>
                <w:rFonts w:eastAsia="OptimaLTStd"/>
                <w:bCs/>
                <w:noProof/>
                <w:lang w:val="es-MX"/>
              </w:rPr>
              <w:t xml:space="preserve"> Bruto</w:t>
            </w:r>
            <w:r w:rsidR="00E648CF">
              <w:rPr>
                <w:noProof/>
                <w:webHidden/>
              </w:rPr>
              <w:tab/>
            </w:r>
            <w:r w:rsidR="00E648CF">
              <w:rPr>
                <w:noProof/>
                <w:webHidden/>
              </w:rPr>
              <w:fldChar w:fldCharType="begin"/>
            </w:r>
            <w:r w:rsidR="00E648CF">
              <w:rPr>
                <w:noProof/>
                <w:webHidden/>
              </w:rPr>
              <w:instrText xml:space="preserve"> PAGEREF _Toc49939734 \h </w:instrText>
            </w:r>
            <w:r w:rsidR="00E648CF">
              <w:rPr>
                <w:noProof/>
                <w:webHidden/>
              </w:rPr>
            </w:r>
            <w:r w:rsidR="00E648CF">
              <w:rPr>
                <w:noProof/>
                <w:webHidden/>
              </w:rPr>
              <w:fldChar w:fldCharType="separate"/>
            </w:r>
            <w:r w:rsidR="00A87138">
              <w:rPr>
                <w:noProof/>
                <w:webHidden/>
              </w:rPr>
              <w:t>47</w:t>
            </w:r>
            <w:r w:rsidR="00E648CF">
              <w:rPr>
                <w:noProof/>
                <w:webHidden/>
              </w:rPr>
              <w:fldChar w:fldCharType="end"/>
            </w:r>
          </w:hyperlink>
        </w:p>
        <w:p w14:paraId="3DDA1E6E" w14:textId="1F29C7EB" w:rsidR="00E648CF" w:rsidRDefault="000528D5">
          <w:pPr>
            <w:pStyle w:val="TDC1"/>
            <w:tabs>
              <w:tab w:val="left" w:pos="960"/>
            </w:tabs>
            <w:rPr>
              <w:rFonts w:asciiTheme="minorHAnsi" w:eastAsiaTheme="minorEastAsia" w:hAnsiTheme="minorHAnsi" w:cstheme="minorBidi"/>
              <w:noProof/>
              <w:sz w:val="22"/>
              <w:szCs w:val="22"/>
              <w:lang w:val="es-GT" w:eastAsia="es-GT"/>
            </w:rPr>
          </w:pPr>
          <w:r>
            <w:tab/>
          </w:r>
          <w:r>
            <w:tab/>
            <w:t xml:space="preserve">  </w:t>
          </w:r>
          <w:hyperlink w:anchor="_Toc49939735" w:history="1">
            <w:r w:rsidR="00E648CF" w:rsidRPr="0074611E">
              <w:rPr>
                <w:rStyle w:val="Hipervnculo"/>
                <w:rFonts w:eastAsia="OptimaLTStd"/>
                <w:noProof/>
                <w:lang w:val="es-MX"/>
              </w:rPr>
              <w:t>5.2.2.2.</w:t>
            </w:r>
            <w:r>
              <w:rPr>
                <w:rStyle w:val="Hipervnculo"/>
                <w:rFonts w:eastAsia="OptimaLTStd"/>
                <w:noProof/>
                <w:lang w:val="es-MX"/>
              </w:rPr>
              <w:t xml:space="preserve">  </w:t>
            </w:r>
            <w:r w:rsidR="00E648CF" w:rsidRPr="0074611E">
              <w:rPr>
                <w:rStyle w:val="Hipervnculo"/>
                <w:rFonts w:eastAsia="OptimaLTStd"/>
                <w:bCs/>
                <w:noProof/>
                <w:lang w:val="es-MX"/>
              </w:rPr>
              <w:t>Índice de Precios al Consumidor</w:t>
            </w:r>
            <w:r w:rsidR="00E648CF">
              <w:rPr>
                <w:noProof/>
                <w:webHidden/>
              </w:rPr>
              <w:tab/>
            </w:r>
            <w:r w:rsidR="00E648CF">
              <w:rPr>
                <w:noProof/>
                <w:webHidden/>
              </w:rPr>
              <w:fldChar w:fldCharType="begin"/>
            </w:r>
            <w:r w:rsidR="00E648CF">
              <w:rPr>
                <w:noProof/>
                <w:webHidden/>
              </w:rPr>
              <w:instrText xml:space="preserve"> PAGEREF _Toc49939735 \h </w:instrText>
            </w:r>
            <w:r w:rsidR="00E648CF">
              <w:rPr>
                <w:noProof/>
                <w:webHidden/>
              </w:rPr>
            </w:r>
            <w:r w:rsidR="00E648CF">
              <w:rPr>
                <w:noProof/>
                <w:webHidden/>
              </w:rPr>
              <w:fldChar w:fldCharType="separate"/>
            </w:r>
            <w:r w:rsidR="00A87138">
              <w:rPr>
                <w:noProof/>
                <w:webHidden/>
              </w:rPr>
              <w:t>48</w:t>
            </w:r>
            <w:r w:rsidR="00E648CF">
              <w:rPr>
                <w:noProof/>
                <w:webHidden/>
              </w:rPr>
              <w:fldChar w:fldCharType="end"/>
            </w:r>
          </w:hyperlink>
        </w:p>
        <w:p w14:paraId="73CE3D72" w14:textId="62DB428D" w:rsidR="00E648CF" w:rsidRDefault="000528D5">
          <w:pPr>
            <w:pStyle w:val="TDC1"/>
            <w:tabs>
              <w:tab w:val="left" w:pos="960"/>
            </w:tabs>
            <w:rPr>
              <w:rFonts w:asciiTheme="minorHAnsi" w:eastAsiaTheme="minorEastAsia" w:hAnsiTheme="minorHAnsi" w:cstheme="minorBidi"/>
              <w:noProof/>
              <w:sz w:val="22"/>
              <w:szCs w:val="22"/>
              <w:lang w:val="es-GT" w:eastAsia="es-GT"/>
            </w:rPr>
          </w:pPr>
          <w:r>
            <w:tab/>
          </w:r>
          <w:r>
            <w:tab/>
            <w:t xml:space="preserve">  </w:t>
          </w:r>
          <w:hyperlink w:anchor="_Toc49939736" w:history="1">
            <w:r w:rsidR="00E648CF" w:rsidRPr="0074611E">
              <w:rPr>
                <w:rStyle w:val="Hipervnculo"/>
                <w:rFonts w:eastAsia="OptimaLTStd"/>
                <w:noProof/>
                <w:lang w:val="es-MX"/>
              </w:rPr>
              <w:t>5.2.2.3.</w:t>
            </w:r>
            <w:r>
              <w:rPr>
                <w:rStyle w:val="Hipervnculo"/>
                <w:rFonts w:eastAsia="OptimaLTStd"/>
                <w:noProof/>
                <w:lang w:val="es-MX"/>
              </w:rPr>
              <w:t xml:space="preserve">  </w:t>
            </w:r>
            <w:r w:rsidR="00E648CF" w:rsidRPr="0074611E">
              <w:rPr>
                <w:rStyle w:val="Hipervnculo"/>
                <w:rFonts w:eastAsia="OptimaLTStd"/>
                <w:bCs/>
                <w:noProof/>
                <w:lang w:val="es-MX"/>
              </w:rPr>
              <w:t>Ingresos Familiares y consumo privado</w:t>
            </w:r>
            <w:r w:rsidR="00E648CF">
              <w:rPr>
                <w:noProof/>
                <w:webHidden/>
              </w:rPr>
              <w:tab/>
            </w:r>
            <w:r w:rsidR="00E648CF">
              <w:rPr>
                <w:noProof/>
                <w:webHidden/>
              </w:rPr>
              <w:fldChar w:fldCharType="begin"/>
            </w:r>
            <w:r w:rsidR="00E648CF">
              <w:rPr>
                <w:noProof/>
                <w:webHidden/>
              </w:rPr>
              <w:instrText xml:space="preserve"> PAGEREF _Toc49939736 \h </w:instrText>
            </w:r>
            <w:r w:rsidR="00E648CF">
              <w:rPr>
                <w:noProof/>
                <w:webHidden/>
              </w:rPr>
            </w:r>
            <w:r w:rsidR="00E648CF">
              <w:rPr>
                <w:noProof/>
                <w:webHidden/>
              </w:rPr>
              <w:fldChar w:fldCharType="separate"/>
            </w:r>
            <w:r w:rsidR="00A87138">
              <w:rPr>
                <w:noProof/>
                <w:webHidden/>
              </w:rPr>
              <w:t>49</w:t>
            </w:r>
            <w:r w:rsidR="00E648CF">
              <w:rPr>
                <w:noProof/>
                <w:webHidden/>
              </w:rPr>
              <w:fldChar w:fldCharType="end"/>
            </w:r>
          </w:hyperlink>
        </w:p>
        <w:p w14:paraId="4A18364D" w14:textId="40E891B0" w:rsidR="00E648CF" w:rsidRDefault="000528D5">
          <w:pPr>
            <w:pStyle w:val="TDC1"/>
            <w:tabs>
              <w:tab w:val="left" w:pos="720"/>
            </w:tabs>
            <w:rPr>
              <w:rFonts w:asciiTheme="minorHAnsi" w:eastAsiaTheme="minorEastAsia" w:hAnsiTheme="minorHAnsi" w:cstheme="minorBidi"/>
              <w:noProof/>
              <w:sz w:val="22"/>
              <w:szCs w:val="22"/>
              <w:lang w:val="es-GT" w:eastAsia="es-GT"/>
            </w:rPr>
          </w:pPr>
          <w:r>
            <w:tab/>
          </w:r>
          <w:r>
            <w:tab/>
          </w:r>
          <w:hyperlink w:anchor="_Toc49939737" w:history="1">
            <w:r w:rsidR="00E648CF" w:rsidRPr="0074611E">
              <w:rPr>
                <w:rStyle w:val="Hipervnculo"/>
                <w:noProof/>
              </w:rPr>
              <w:t>5.2.3.</w:t>
            </w:r>
            <w:r>
              <w:rPr>
                <w:rStyle w:val="Hipervnculo"/>
                <w:noProof/>
              </w:rPr>
              <w:t xml:space="preserve">  </w:t>
            </w:r>
            <w:r w:rsidR="00E648CF" w:rsidRPr="0074611E">
              <w:rPr>
                <w:rStyle w:val="Hipervnculo"/>
                <w:noProof/>
              </w:rPr>
              <w:t>Sector Fiscal</w:t>
            </w:r>
            <w:r w:rsidR="00E648CF">
              <w:rPr>
                <w:noProof/>
                <w:webHidden/>
              </w:rPr>
              <w:tab/>
            </w:r>
            <w:r w:rsidR="00E648CF">
              <w:rPr>
                <w:noProof/>
                <w:webHidden/>
              </w:rPr>
              <w:fldChar w:fldCharType="begin"/>
            </w:r>
            <w:r w:rsidR="00E648CF">
              <w:rPr>
                <w:noProof/>
                <w:webHidden/>
              </w:rPr>
              <w:instrText xml:space="preserve"> PAGEREF _Toc49939737 \h </w:instrText>
            </w:r>
            <w:r w:rsidR="00E648CF">
              <w:rPr>
                <w:noProof/>
                <w:webHidden/>
              </w:rPr>
            </w:r>
            <w:r w:rsidR="00E648CF">
              <w:rPr>
                <w:noProof/>
                <w:webHidden/>
              </w:rPr>
              <w:fldChar w:fldCharType="separate"/>
            </w:r>
            <w:r w:rsidR="00A87138">
              <w:rPr>
                <w:noProof/>
                <w:webHidden/>
              </w:rPr>
              <w:t>49</w:t>
            </w:r>
            <w:r w:rsidR="00E648CF">
              <w:rPr>
                <w:noProof/>
                <w:webHidden/>
              </w:rPr>
              <w:fldChar w:fldCharType="end"/>
            </w:r>
          </w:hyperlink>
        </w:p>
        <w:p w14:paraId="1DE7F36E" w14:textId="222881BF" w:rsidR="00E648CF" w:rsidRDefault="000528D5">
          <w:pPr>
            <w:pStyle w:val="TDC1"/>
            <w:tabs>
              <w:tab w:val="left" w:pos="960"/>
            </w:tabs>
            <w:rPr>
              <w:rFonts w:asciiTheme="minorHAnsi" w:eastAsiaTheme="minorEastAsia" w:hAnsiTheme="minorHAnsi" w:cstheme="minorBidi"/>
              <w:noProof/>
              <w:sz w:val="22"/>
              <w:szCs w:val="22"/>
              <w:lang w:val="es-GT" w:eastAsia="es-GT"/>
            </w:rPr>
          </w:pPr>
          <w:r>
            <w:tab/>
          </w:r>
          <w:r>
            <w:tab/>
            <w:t xml:space="preserve">  </w:t>
          </w:r>
          <w:hyperlink w:anchor="_Toc49939738" w:history="1">
            <w:r w:rsidR="00E648CF" w:rsidRPr="0074611E">
              <w:rPr>
                <w:rStyle w:val="Hipervnculo"/>
                <w:noProof/>
              </w:rPr>
              <w:t>5.2.3.1.</w:t>
            </w:r>
            <w:r>
              <w:rPr>
                <w:rStyle w:val="Hipervnculo"/>
                <w:noProof/>
              </w:rPr>
              <w:t xml:space="preserve">  </w:t>
            </w:r>
            <w:r w:rsidR="00E648CF" w:rsidRPr="0074611E">
              <w:rPr>
                <w:rStyle w:val="Hipervnculo"/>
                <w:noProof/>
              </w:rPr>
              <w:t xml:space="preserve">Estrategia </w:t>
            </w:r>
            <w:r w:rsidR="00E648CF" w:rsidRPr="0074611E">
              <w:rPr>
                <w:rStyle w:val="Hipervnculo"/>
                <w:rFonts w:eastAsia="OptimaLTStd"/>
                <w:bCs/>
                <w:noProof/>
                <w:lang w:val="es-MX"/>
              </w:rPr>
              <w:t>Financiera</w:t>
            </w:r>
            <w:r w:rsidR="00E648CF" w:rsidRPr="0074611E">
              <w:rPr>
                <w:rStyle w:val="Hipervnculo"/>
                <w:noProof/>
              </w:rPr>
              <w:t xml:space="preserve"> para la atención de la Emergencia</w:t>
            </w:r>
            <w:r w:rsidR="00E648CF">
              <w:rPr>
                <w:noProof/>
                <w:webHidden/>
              </w:rPr>
              <w:tab/>
            </w:r>
            <w:r w:rsidR="00E648CF">
              <w:rPr>
                <w:noProof/>
                <w:webHidden/>
              </w:rPr>
              <w:fldChar w:fldCharType="begin"/>
            </w:r>
            <w:r w:rsidR="00E648CF">
              <w:rPr>
                <w:noProof/>
                <w:webHidden/>
              </w:rPr>
              <w:instrText xml:space="preserve"> PAGEREF _Toc49939738 \h </w:instrText>
            </w:r>
            <w:r w:rsidR="00E648CF">
              <w:rPr>
                <w:noProof/>
                <w:webHidden/>
              </w:rPr>
            </w:r>
            <w:r w:rsidR="00E648CF">
              <w:rPr>
                <w:noProof/>
                <w:webHidden/>
              </w:rPr>
              <w:fldChar w:fldCharType="separate"/>
            </w:r>
            <w:r w:rsidR="00A87138">
              <w:rPr>
                <w:noProof/>
                <w:webHidden/>
              </w:rPr>
              <w:t>50</w:t>
            </w:r>
            <w:r w:rsidR="00E648CF">
              <w:rPr>
                <w:noProof/>
                <w:webHidden/>
              </w:rPr>
              <w:fldChar w:fldCharType="end"/>
            </w:r>
          </w:hyperlink>
        </w:p>
        <w:p w14:paraId="66727310" w14:textId="13F0FCC1" w:rsidR="00E648CF" w:rsidRDefault="000528D5">
          <w:pPr>
            <w:pStyle w:val="TDC1"/>
            <w:tabs>
              <w:tab w:val="left" w:pos="960"/>
            </w:tabs>
            <w:rPr>
              <w:rFonts w:asciiTheme="minorHAnsi" w:eastAsiaTheme="minorEastAsia" w:hAnsiTheme="minorHAnsi" w:cstheme="minorBidi"/>
              <w:noProof/>
              <w:sz w:val="22"/>
              <w:szCs w:val="22"/>
              <w:lang w:val="es-GT" w:eastAsia="es-GT"/>
            </w:rPr>
          </w:pPr>
          <w:r>
            <w:tab/>
          </w:r>
          <w:r>
            <w:tab/>
            <w:t xml:space="preserve">  </w:t>
          </w:r>
          <w:hyperlink w:anchor="_Toc49939739" w:history="1">
            <w:r w:rsidR="00E648CF" w:rsidRPr="0074611E">
              <w:rPr>
                <w:rStyle w:val="Hipervnculo"/>
                <w:noProof/>
              </w:rPr>
              <w:t>5.2.3.2.</w:t>
            </w:r>
            <w:r>
              <w:rPr>
                <w:rStyle w:val="Hipervnculo"/>
                <w:noProof/>
              </w:rPr>
              <w:t xml:space="preserve">  </w:t>
            </w:r>
            <w:r w:rsidR="00E648CF" w:rsidRPr="0074611E">
              <w:rPr>
                <w:rStyle w:val="Hipervnculo"/>
                <w:noProof/>
              </w:rPr>
              <w:t xml:space="preserve">Ampliaciones </w:t>
            </w:r>
            <w:r w:rsidR="00E648CF" w:rsidRPr="0074611E">
              <w:rPr>
                <w:rStyle w:val="Hipervnculo"/>
                <w:rFonts w:eastAsia="OptimaLTStd"/>
                <w:bCs/>
                <w:noProof/>
                <w:lang w:val="es-MX"/>
              </w:rPr>
              <w:t>presupuestarias</w:t>
            </w:r>
            <w:r w:rsidR="00E648CF" w:rsidRPr="0074611E">
              <w:rPr>
                <w:rStyle w:val="Hipervnculo"/>
                <w:noProof/>
              </w:rPr>
              <w:t xml:space="preserve"> Ejercicio Fiscal 2020</w:t>
            </w:r>
            <w:r w:rsidR="00E648CF">
              <w:rPr>
                <w:noProof/>
                <w:webHidden/>
              </w:rPr>
              <w:tab/>
            </w:r>
            <w:r w:rsidR="00E648CF">
              <w:rPr>
                <w:noProof/>
                <w:webHidden/>
              </w:rPr>
              <w:fldChar w:fldCharType="begin"/>
            </w:r>
            <w:r w:rsidR="00E648CF">
              <w:rPr>
                <w:noProof/>
                <w:webHidden/>
              </w:rPr>
              <w:instrText xml:space="preserve"> PAGEREF _Toc49939739 \h </w:instrText>
            </w:r>
            <w:r w:rsidR="00E648CF">
              <w:rPr>
                <w:noProof/>
                <w:webHidden/>
              </w:rPr>
            </w:r>
            <w:r w:rsidR="00E648CF">
              <w:rPr>
                <w:noProof/>
                <w:webHidden/>
              </w:rPr>
              <w:fldChar w:fldCharType="separate"/>
            </w:r>
            <w:r w:rsidR="00A87138">
              <w:rPr>
                <w:noProof/>
                <w:webHidden/>
              </w:rPr>
              <w:t>52</w:t>
            </w:r>
            <w:r w:rsidR="00E648CF">
              <w:rPr>
                <w:noProof/>
                <w:webHidden/>
              </w:rPr>
              <w:fldChar w:fldCharType="end"/>
            </w:r>
          </w:hyperlink>
        </w:p>
        <w:p w14:paraId="2D28349B" w14:textId="3C26DCA6" w:rsidR="00E648CF" w:rsidRDefault="000528D5" w:rsidP="0007442B">
          <w:pPr>
            <w:pStyle w:val="TDC1"/>
            <w:tabs>
              <w:tab w:val="left" w:pos="960"/>
            </w:tabs>
            <w:rPr>
              <w:rFonts w:asciiTheme="minorHAnsi" w:eastAsiaTheme="minorEastAsia" w:hAnsiTheme="minorHAnsi" w:cstheme="minorBidi"/>
              <w:noProof/>
              <w:sz w:val="22"/>
              <w:szCs w:val="22"/>
              <w:lang w:val="es-GT" w:eastAsia="es-GT"/>
            </w:rPr>
          </w:pPr>
          <w:r>
            <w:tab/>
          </w:r>
          <w:r>
            <w:tab/>
            <w:t xml:space="preserve">  </w:t>
          </w:r>
          <w:hyperlink w:anchor="_Toc49939740" w:history="1">
            <w:r w:rsidR="00E648CF" w:rsidRPr="0074611E">
              <w:rPr>
                <w:rStyle w:val="Hipervnculo"/>
                <w:noProof/>
              </w:rPr>
              <w:t>5.2.3.3.</w:t>
            </w:r>
            <w:r>
              <w:rPr>
                <w:rStyle w:val="Hipervnculo"/>
                <w:noProof/>
              </w:rPr>
              <w:t xml:space="preserve">  </w:t>
            </w:r>
            <w:r w:rsidR="00E648CF" w:rsidRPr="0074611E">
              <w:rPr>
                <w:rStyle w:val="Hipervnculo"/>
                <w:noProof/>
              </w:rPr>
              <w:t>Gasto Público para la atención de la emergencia</w:t>
            </w:r>
            <w:r w:rsidR="00E648CF">
              <w:rPr>
                <w:noProof/>
                <w:webHidden/>
              </w:rPr>
              <w:tab/>
            </w:r>
            <w:r w:rsidR="00E648CF">
              <w:rPr>
                <w:noProof/>
                <w:webHidden/>
              </w:rPr>
              <w:fldChar w:fldCharType="begin"/>
            </w:r>
            <w:r w:rsidR="00E648CF">
              <w:rPr>
                <w:noProof/>
                <w:webHidden/>
              </w:rPr>
              <w:instrText xml:space="preserve"> PAGEREF _Toc49939740 \h </w:instrText>
            </w:r>
            <w:r w:rsidR="00E648CF">
              <w:rPr>
                <w:noProof/>
                <w:webHidden/>
              </w:rPr>
            </w:r>
            <w:r w:rsidR="00E648CF">
              <w:rPr>
                <w:noProof/>
                <w:webHidden/>
              </w:rPr>
              <w:fldChar w:fldCharType="separate"/>
            </w:r>
            <w:r w:rsidR="00A87138">
              <w:rPr>
                <w:noProof/>
                <w:webHidden/>
              </w:rPr>
              <w:t>53</w:t>
            </w:r>
            <w:r w:rsidR="00E648CF">
              <w:rPr>
                <w:noProof/>
                <w:webHidden/>
              </w:rPr>
              <w:fldChar w:fldCharType="end"/>
            </w:r>
          </w:hyperlink>
        </w:p>
        <w:p w14:paraId="7A76F7C5" w14:textId="219F1C1D" w:rsidR="00E648CF" w:rsidRDefault="000528D5">
          <w:pPr>
            <w:pStyle w:val="TDC1"/>
            <w:tabs>
              <w:tab w:val="left" w:pos="960"/>
            </w:tabs>
            <w:rPr>
              <w:rFonts w:asciiTheme="minorHAnsi" w:eastAsiaTheme="minorEastAsia" w:hAnsiTheme="minorHAnsi" w:cstheme="minorBidi"/>
              <w:noProof/>
              <w:sz w:val="22"/>
              <w:szCs w:val="22"/>
              <w:lang w:val="es-GT" w:eastAsia="es-GT"/>
            </w:rPr>
          </w:pPr>
          <w:r>
            <w:tab/>
          </w:r>
          <w:r>
            <w:tab/>
            <w:t xml:space="preserve">  </w:t>
          </w:r>
          <w:hyperlink w:anchor="_Toc49939744" w:history="1">
            <w:r w:rsidR="00E648CF" w:rsidRPr="0074611E">
              <w:rPr>
                <w:rStyle w:val="Hipervnculo"/>
                <w:rFonts w:eastAsia="OptimaLTStd"/>
                <w:noProof/>
                <w:lang w:val="es-MX"/>
              </w:rPr>
              <w:t>5.2.3.4.</w:t>
            </w:r>
            <w:r>
              <w:rPr>
                <w:rStyle w:val="Hipervnculo"/>
                <w:rFonts w:eastAsia="OptimaLTStd"/>
                <w:noProof/>
                <w:lang w:val="es-MX"/>
              </w:rPr>
              <w:t xml:space="preserve">  </w:t>
            </w:r>
            <w:r w:rsidR="00E648CF" w:rsidRPr="0074611E">
              <w:rPr>
                <w:rStyle w:val="Hipervnculo"/>
                <w:rFonts w:eastAsia="OptimaLTStd"/>
                <w:bCs/>
                <w:noProof/>
                <w:lang w:val="es-MX"/>
              </w:rPr>
              <w:t>Transparencia y rendición de cuentas</w:t>
            </w:r>
            <w:r w:rsidR="00E648CF">
              <w:rPr>
                <w:noProof/>
                <w:webHidden/>
              </w:rPr>
              <w:tab/>
            </w:r>
            <w:r w:rsidR="00E648CF">
              <w:rPr>
                <w:noProof/>
                <w:webHidden/>
              </w:rPr>
              <w:fldChar w:fldCharType="begin"/>
            </w:r>
            <w:r w:rsidR="00E648CF">
              <w:rPr>
                <w:noProof/>
                <w:webHidden/>
              </w:rPr>
              <w:instrText xml:space="preserve"> PAGEREF _Toc49939744 \h </w:instrText>
            </w:r>
            <w:r w:rsidR="00E648CF">
              <w:rPr>
                <w:noProof/>
                <w:webHidden/>
              </w:rPr>
            </w:r>
            <w:r w:rsidR="00E648CF">
              <w:rPr>
                <w:noProof/>
                <w:webHidden/>
              </w:rPr>
              <w:fldChar w:fldCharType="separate"/>
            </w:r>
            <w:r w:rsidR="00A87138">
              <w:rPr>
                <w:noProof/>
                <w:webHidden/>
              </w:rPr>
              <w:t>58</w:t>
            </w:r>
            <w:r w:rsidR="00E648CF">
              <w:rPr>
                <w:noProof/>
                <w:webHidden/>
              </w:rPr>
              <w:fldChar w:fldCharType="end"/>
            </w:r>
          </w:hyperlink>
        </w:p>
        <w:p w14:paraId="410C3C20" w14:textId="3CA7B9D8" w:rsidR="00E648CF" w:rsidRDefault="000528D5">
          <w:pPr>
            <w:pStyle w:val="TDC1"/>
            <w:tabs>
              <w:tab w:val="left" w:pos="720"/>
            </w:tabs>
            <w:rPr>
              <w:rFonts w:asciiTheme="minorHAnsi" w:eastAsiaTheme="minorEastAsia" w:hAnsiTheme="minorHAnsi" w:cstheme="minorBidi"/>
              <w:noProof/>
              <w:sz w:val="22"/>
              <w:szCs w:val="22"/>
              <w:lang w:val="es-GT" w:eastAsia="es-GT"/>
            </w:rPr>
          </w:pPr>
          <w:r>
            <w:tab/>
          </w:r>
          <w:r>
            <w:tab/>
          </w:r>
          <w:hyperlink w:anchor="_Toc49939745" w:history="1">
            <w:r w:rsidR="00E648CF" w:rsidRPr="0074611E">
              <w:rPr>
                <w:rStyle w:val="Hipervnculo"/>
                <w:noProof/>
              </w:rPr>
              <w:t>5.2.4.</w:t>
            </w:r>
            <w:r>
              <w:rPr>
                <w:rStyle w:val="Hipervnculo"/>
                <w:noProof/>
              </w:rPr>
              <w:t xml:space="preserve">  </w:t>
            </w:r>
            <w:r w:rsidR="00E648CF" w:rsidRPr="0074611E">
              <w:rPr>
                <w:rStyle w:val="Hipervnculo"/>
                <w:noProof/>
              </w:rPr>
              <w:t>Riesgo de desastres provocados por fenómenos naturales</w:t>
            </w:r>
            <w:r w:rsidR="00E648CF">
              <w:rPr>
                <w:noProof/>
                <w:webHidden/>
              </w:rPr>
              <w:tab/>
            </w:r>
            <w:r w:rsidR="00E648CF">
              <w:rPr>
                <w:noProof/>
                <w:webHidden/>
              </w:rPr>
              <w:fldChar w:fldCharType="begin"/>
            </w:r>
            <w:r w:rsidR="00E648CF">
              <w:rPr>
                <w:noProof/>
                <w:webHidden/>
              </w:rPr>
              <w:instrText xml:space="preserve"> PAGEREF _Toc49939745 \h </w:instrText>
            </w:r>
            <w:r w:rsidR="00E648CF">
              <w:rPr>
                <w:noProof/>
                <w:webHidden/>
              </w:rPr>
            </w:r>
            <w:r w:rsidR="00E648CF">
              <w:rPr>
                <w:noProof/>
                <w:webHidden/>
              </w:rPr>
              <w:fldChar w:fldCharType="separate"/>
            </w:r>
            <w:r w:rsidR="00A87138">
              <w:rPr>
                <w:noProof/>
                <w:webHidden/>
              </w:rPr>
              <w:t>59</w:t>
            </w:r>
            <w:r w:rsidR="00E648CF">
              <w:rPr>
                <w:noProof/>
                <w:webHidden/>
              </w:rPr>
              <w:fldChar w:fldCharType="end"/>
            </w:r>
          </w:hyperlink>
        </w:p>
        <w:p w14:paraId="700627AF" w14:textId="04DC99EF" w:rsidR="008A5924" w:rsidRPr="00184700" w:rsidRDefault="008A5924" w:rsidP="008A5924">
          <w:r w:rsidRPr="00184700">
            <w:rPr>
              <w:rStyle w:val="Hipervnculo"/>
            </w:rPr>
            <w:fldChar w:fldCharType="end"/>
          </w:r>
        </w:p>
      </w:sdtContent>
    </w:sdt>
    <w:p w14:paraId="4E0F7907" w14:textId="0BB80E3E" w:rsidR="0007442B" w:rsidRDefault="0007442B">
      <w:pPr>
        <w:widowControl/>
        <w:spacing w:after="200" w:line="276" w:lineRule="auto"/>
        <w:rPr>
          <w:b/>
          <w:sz w:val="22"/>
          <w:szCs w:val="22"/>
          <w:lang w:val="es-ES" w:eastAsia="en-US"/>
        </w:rPr>
      </w:pPr>
      <w:r>
        <w:rPr>
          <w:b/>
        </w:rPr>
        <w:br w:type="page"/>
      </w:r>
    </w:p>
    <w:p w14:paraId="2F072A8E" w14:textId="77777777" w:rsidR="008A5924" w:rsidRPr="00184700" w:rsidRDefault="008A5924" w:rsidP="008A5924">
      <w:pPr>
        <w:pStyle w:val="Sinespaciado"/>
        <w:tabs>
          <w:tab w:val="left" w:pos="1134"/>
          <w:tab w:val="left" w:pos="1418"/>
          <w:tab w:val="right" w:pos="8789"/>
        </w:tabs>
        <w:spacing w:line="276" w:lineRule="auto"/>
        <w:ind w:left="1276" w:hanging="1276"/>
        <w:jc w:val="center"/>
        <w:rPr>
          <w:rFonts w:ascii="Times New Roman" w:hAnsi="Times New Roman"/>
          <w:b/>
        </w:rPr>
      </w:pPr>
    </w:p>
    <w:p w14:paraId="5242F716" w14:textId="54CB2DC4" w:rsidR="008A5924" w:rsidRPr="00784E7F" w:rsidRDefault="008A5924" w:rsidP="00DD6292">
      <w:pPr>
        <w:pStyle w:val="Ttulo1"/>
        <w:widowControl/>
        <w:numPr>
          <w:ilvl w:val="0"/>
          <w:numId w:val="5"/>
        </w:numPr>
        <w:spacing w:before="240" w:after="60"/>
        <w:jc w:val="left"/>
        <w:rPr>
          <w:sz w:val="28"/>
          <w:szCs w:val="28"/>
        </w:rPr>
      </w:pPr>
      <w:bookmarkStart w:id="1" w:name="_Toc49939712"/>
      <w:r w:rsidRPr="00784E7F">
        <w:rPr>
          <w:sz w:val="28"/>
          <w:szCs w:val="28"/>
        </w:rPr>
        <w:t>Riesgos Macroeconómicos</w:t>
      </w:r>
      <w:bookmarkEnd w:id="1"/>
    </w:p>
    <w:p w14:paraId="6E0DF6B5" w14:textId="3BCF67CE" w:rsidR="008A5924" w:rsidRDefault="008A5924" w:rsidP="008A5924">
      <w:pPr>
        <w:pStyle w:val="Sinespaciado"/>
        <w:jc w:val="both"/>
        <w:rPr>
          <w:rFonts w:ascii="Times New Roman" w:hAnsi="Times New Roman"/>
        </w:rPr>
      </w:pPr>
    </w:p>
    <w:p w14:paraId="3B2D0FEA" w14:textId="77777777" w:rsidR="00246A61" w:rsidRPr="00301C2D" w:rsidRDefault="00246A61" w:rsidP="00246A61">
      <w:pPr>
        <w:ind w:left="567" w:right="49"/>
        <w:jc w:val="both"/>
        <w:rPr>
          <w:sz w:val="24"/>
          <w:szCs w:val="24"/>
          <w:lang w:val="es-ES"/>
        </w:rPr>
      </w:pPr>
      <w:r w:rsidRPr="00301C2D">
        <w:rPr>
          <w:sz w:val="24"/>
          <w:szCs w:val="24"/>
          <w:lang w:val="es-ES"/>
        </w:rPr>
        <w:t>Los riesgos macroeconómicos están determinados por los cambios en la trayectoria de las variables macroeconómicas tanto del sector externo como de la economía doméstica, en este último haciendo especial énfasis en el crecimiento nominal y real de la economía, el comportamiento del comercio exterior (exportaciones e importaciones), algunos precios macroeconómicos como la inflación, las tasas de interés, el tipo de cambio, y otros factores como la liquidez del gobierno y de la economía, así como la materialización de pasivos contingentes</w:t>
      </w:r>
    </w:p>
    <w:p w14:paraId="4AC86710" w14:textId="77777777" w:rsidR="00246A61" w:rsidRPr="004A2797" w:rsidRDefault="00246A61" w:rsidP="00246A61">
      <w:pPr>
        <w:pStyle w:val="Ttulo1"/>
        <w:widowControl/>
        <w:numPr>
          <w:ilvl w:val="1"/>
          <w:numId w:val="5"/>
        </w:numPr>
        <w:spacing w:before="240" w:after="60"/>
        <w:ind w:left="993" w:right="49"/>
        <w:jc w:val="left"/>
        <w:rPr>
          <w:b w:val="0"/>
          <w:color w:val="auto"/>
          <w:sz w:val="24"/>
          <w:szCs w:val="24"/>
        </w:rPr>
      </w:pPr>
      <w:bookmarkStart w:id="2" w:name="_Toc49939713"/>
      <w:r w:rsidRPr="004A2797">
        <w:rPr>
          <w:color w:val="auto"/>
          <w:sz w:val="24"/>
          <w:szCs w:val="24"/>
        </w:rPr>
        <w:t>Riesgos en el sector externo.  Desviaciones en los pronósticos en la economía mundial</w:t>
      </w:r>
      <w:bookmarkEnd w:id="2"/>
      <w:r w:rsidRPr="004A2797">
        <w:rPr>
          <w:color w:val="auto"/>
          <w:sz w:val="24"/>
          <w:szCs w:val="24"/>
        </w:rPr>
        <w:t xml:space="preserve"> </w:t>
      </w:r>
    </w:p>
    <w:p w14:paraId="0526AF9A" w14:textId="77777777" w:rsidR="00246A61" w:rsidRPr="00FE76BD" w:rsidRDefault="00246A61" w:rsidP="00246A61">
      <w:pPr>
        <w:pStyle w:val="Sinespaciado"/>
        <w:ind w:left="708" w:right="49" w:hanging="141"/>
        <w:jc w:val="both"/>
        <w:rPr>
          <w:rFonts w:ascii="Times New Roman" w:hAnsi="Times New Roman"/>
          <w:sz w:val="24"/>
          <w:szCs w:val="24"/>
        </w:rPr>
      </w:pPr>
    </w:p>
    <w:p w14:paraId="382B51CE" w14:textId="77777777" w:rsidR="00246A61" w:rsidRPr="00FE76BD" w:rsidRDefault="00246A61" w:rsidP="00246A61">
      <w:pPr>
        <w:pStyle w:val="Sinespaciado"/>
        <w:ind w:left="567" w:right="49"/>
        <w:jc w:val="both"/>
        <w:rPr>
          <w:rFonts w:ascii="Times New Roman" w:hAnsi="Times New Roman"/>
          <w:sz w:val="24"/>
          <w:szCs w:val="24"/>
        </w:rPr>
      </w:pPr>
      <w:r w:rsidRPr="00FE76BD">
        <w:rPr>
          <w:rFonts w:ascii="Times New Roman" w:hAnsi="Times New Roman"/>
          <w:sz w:val="24"/>
          <w:szCs w:val="24"/>
        </w:rPr>
        <w:t xml:space="preserve">La economía mundial desaceleró su ritmo de crecimiento en 2018 a 3.6%, 3 puntos porcentuales menor a la tasa de 2017. Esto fue principalmente por la evolución de las tensiones comerciales entre Estados Unidos y China, la desaceleración en la Zona del Euro, las condiciones macroeconómicas de las economías avanzadas y emergentes, el endurecimiento de las regulaciones del crédito en China y la normalización de la política monetaria en economías avanzadas que tuvo repercusión en las condiciones financieras.  </w:t>
      </w:r>
    </w:p>
    <w:p w14:paraId="70EE21C7" w14:textId="77777777" w:rsidR="00246A61" w:rsidRPr="00FE76BD" w:rsidRDefault="00246A61" w:rsidP="00246A61">
      <w:pPr>
        <w:pStyle w:val="Sinespaciado"/>
        <w:ind w:left="567" w:right="49"/>
        <w:jc w:val="both"/>
        <w:rPr>
          <w:rFonts w:ascii="Times New Roman" w:hAnsi="Times New Roman"/>
          <w:sz w:val="24"/>
          <w:szCs w:val="24"/>
        </w:rPr>
      </w:pPr>
    </w:p>
    <w:p w14:paraId="7A92B63E" w14:textId="77777777" w:rsidR="00246A61" w:rsidRPr="00FE76BD" w:rsidRDefault="00246A61" w:rsidP="00246A61">
      <w:pPr>
        <w:pStyle w:val="Sinespaciado"/>
        <w:ind w:left="567" w:right="49"/>
        <w:jc w:val="both"/>
        <w:rPr>
          <w:rFonts w:ascii="Times New Roman" w:hAnsi="Times New Roman"/>
          <w:sz w:val="24"/>
          <w:szCs w:val="24"/>
        </w:rPr>
      </w:pPr>
      <w:r w:rsidRPr="00FE76BD">
        <w:rPr>
          <w:rFonts w:ascii="Times New Roman" w:hAnsi="Times New Roman"/>
          <w:sz w:val="24"/>
          <w:szCs w:val="24"/>
        </w:rPr>
        <w:t xml:space="preserve">En el primer semestre de 2019, se tenía el arrastre de estos efectos en las condiciones económicas mundiales, sin embargo, se esperaba un repunte en el segundo semestre por los estímulos fiscales y monetarios de China y la política monetaria acomodaticia de varios países incluyendo la Zona del Euro. Sin embargo, por la continuidad de las tensiones y por la incertidumbre alrededor de los mercados financieros se proyectaba que el crecimiento mundial tuviera este año también una desaceleración y que se ubicase alrededor de 3.0%, dicha proyección fue mayor por 10 puntos básicos que el crecimiento mundial observado. Asimismo, el crecimiento de las economías avanzadas se estimaba alrededor del 1.7% que coincidió con el crecimiento observado, para las economías emergentes y en desarrollo se esperaba un crecimiento de 3.9%, no obstante, este se ubicó en 3.7%, afectado por el crecimiento de </w:t>
      </w:r>
      <w:r>
        <w:rPr>
          <w:rFonts w:ascii="Times New Roman" w:hAnsi="Times New Roman"/>
          <w:sz w:val="24"/>
          <w:szCs w:val="24"/>
        </w:rPr>
        <w:t>I</w:t>
      </w:r>
      <w:r w:rsidRPr="00FE76BD">
        <w:rPr>
          <w:rFonts w:ascii="Times New Roman" w:hAnsi="Times New Roman"/>
          <w:sz w:val="24"/>
          <w:szCs w:val="24"/>
        </w:rPr>
        <w:t>ndia que fue 1.9 puntos porcentuales menor que el proyectado.</w:t>
      </w:r>
    </w:p>
    <w:p w14:paraId="6966588A" w14:textId="77777777" w:rsidR="00246A61" w:rsidRPr="00FE76BD" w:rsidRDefault="00246A61" w:rsidP="00246A61">
      <w:pPr>
        <w:pStyle w:val="Sinespaciado"/>
        <w:ind w:left="567" w:right="49"/>
        <w:jc w:val="both"/>
        <w:rPr>
          <w:rFonts w:ascii="Times New Roman" w:hAnsi="Times New Roman"/>
          <w:sz w:val="24"/>
          <w:szCs w:val="24"/>
        </w:rPr>
      </w:pPr>
    </w:p>
    <w:p w14:paraId="165F9541" w14:textId="77777777" w:rsidR="00246A61" w:rsidRPr="00FE76BD" w:rsidRDefault="00246A61" w:rsidP="00246A61">
      <w:pPr>
        <w:pStyle w:val="Sinespaciado"/>
        <w:ind w:left="567" w:right="49"/>
        <w:jc w:val="both"/>
        <w:rPr>
          <w:rFonts w:ascii="Times New Roman" w:hAnsi="Times New Roman"/>
          <w:sz w:val="24"/>
          <w:szCs w:val="24"/>
        </w:rPr>
      </w:pPr>
      <w:r w:rsidRPr="00FE76BD">
        <w:rPr>
          <w:rFonts w:ascii="Times New Roman" w:hAnsi="Times New Roman"/>
          <w:sz w:val="24"/>
          <w:szCs w:val="24"/>
        </w:rPr>
        <w:t>El crecimiento económico para el 2019 de Estados Unidos se estimaba en octubre de ese año en 2.4%, sin embargo, esta estimación fue mayor a la observada de 2.3%. Para la Zona del Euro se tuvo una subestimación de la proyección, su crecimiento se ubicó en 1.3%, esto en mayor parte a que el crecimiento de Alemania y Francia fue 10 y 30 puntos básicos mayor al proyectado. Latinoamérica, por su parte, tuvo una sobre estimación de 10 puntos básicos, su crecimiento económico se ubicó en 0.1%, un factor principal de la baja tasa de crecimiento en Latinoamérica fue la contracción en el crecimiento de México por 0.3</w:t>
      </w:r>
      <w:r>
        <w:rPr>
          <w:rFonts w:ascii="Times New Roman" w:hAnsi="Times New Roman"/>
          <w:sz w:val="24"/>
          <w:szCs w:val="24"/>
        </w:rPr>
        <w:t>%</w:t>
      </w:r>
      <w:r w:rsidRPr="00FE76BD">
        <w:rPr>
          <w:rFonts w:ascii="Times New Roman" w:hAnsi="Times New Roman"/>
          <w:sz w:val="24"/>
          <w:szCs w:val="24"/>
        </w:rPr>
        <w:t>, siendo esta tasa 0.7 puntos porcentuales menor a la proyección de octubre de 2019.</w:t>
      </w:r>
    </w:p>
    <w:p w14:paraId="6BEDA066" w14:textId="77777777" w:rsidR="00246A61" w:rsidRPr="00FE76BD" w:rsidRDefault="00246A61" w:rsidP="00246A61">
      <w:pPr>
        <w:pStyle w:val="Sinespaciado"/>
        <w:ind w:left="567" w:right="49"/>
        <w:jc w:val="both"/>
        <w:rPr>
          <w:rFonts w:ascii="Times New Roman" w:hAnsi="Times New Roman"/>
          <w:sz w:val="24"/>
          <w:szCs w:val="24"/>
        </w:rPr>
      </w:pPr>
    </w:p>
    <w:tbl>
      <w:tblPr>
        <w:tblStyle w:val="Tablaconcuadrcula"/>
        <w:tblW w:w="945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Look w:val="04A0" w:firstRow="1" w:lastRow="0" w:firstColumn="1" w:lastColumn="0" w:noHBand="0" w:noVBand="1"/>
      </w:tblPr>
      <w:tblGrid>
        <w:gridCol w:w="9456"/>
      </w:tblGrid>
      <w:tr w:rsidR="00246A61" w:rsidRPr="00FE76BD" w14:paraId="29B6EDD8" w14:textId="77777777" w:rsidTr="00BA4D6D">
        <w:trPr>
          <w:trHeight w:val="4944"/>
        </w:trPr>
        <w:tc>
          <w:tcPr>
            <w:tcW w:w="9456" w:type="dxa"/>
          </w:tcPr>
          <w:p w14:paraId="162F5554" w14:textId="79A1DE3D" w:rsidR="00246A61" w:rsidRDefault="00246A61" w:rsidP="00BA4D6D">
            <w:pPr>
              <w:pStyle w:val="Epgrafe"/>
              <w:keepNext/>
              <w:ind w:left="567" w:right="49"/>
              <w:rPr>
                <w:color w:val="auto"/>
                <w:sz w:val="24"/>
                <w:szCs w:val="24"/>
              </w:rPr>
            </w:pPr>
            <w:r w:rsidRPr="00FE76BD">
              <w:rPr>
                <w:color w:val="auto"/>
                <w:sz w:val="24"/>
                <w:szCs w:val="24"/>
              </w:rPr>
              <w:lastRenderedPageBreak/>
              <w:t xml:space="preserve">Gráfico  </w:t>
            </w:r>
            <w:r w:rsidRPr="00FE76BD">
              <w:rPr>
                <w:color w:val="auto"/>
                <w:sz w:val="24"/>
                <w:szCs w:val="24"/>
              </w:rPr>
              <w:fldChar w:fldCharType="begin"/>
            </w:r>
            <w:r w:rsidRPr="00FE76BD">
              <w:rPr>
                <w:color w:val="auto"/>
                <w:sz w:val="24"/>
                <w:szCs w:val="24"/>
              </w:rPr>
              <w:instrText xml:space="preserve"> SEQ Gráfico_ \* ARABIC </w:instrText>
            </w:r>
            <w:r w:rsidRPr="00FE76BD">
              <w:rPr>
                <w:color w:val="auto"/>
                <w:sz w:val="24"/>
                <w:szCs w:val="24"/>
              </w:rPr>
              <w:fldChar w:fldCharType="separate"/>
            </w:r>
            <w:r w:rsidR="00A87138">
              <w:rPr>
                <w:noProof/>
                <w:color w:val="auto"/>
                <w:sz w:val="24"/>
                <w:szCs w:val="24"/>
              </w:rPr>
              <w:t>1</w:t>
            </w:r>
            <w:r w:rsidRPr="00FE76BD">
              <w:rPr>
                <w:color w:val="auto"/>
                <w:sz w:val="24"/>
                <w:szCs w:val="24"/>
              </w:rPr>
              <w:fldChar w:fldCharType="end"/>
            </w:r>
            <w:r w:rsidRPr="00FE76BD">
              <w:rPr>
                <w:color w:val="auto"/>
                <w:sz w:val="24"/>
                <w:szCs w:val="24"/>
              </w:rPr>
              <w:t>. Proyección y crecimiento observado en 2019</w:t>
            </w:r>
          </w:p>
          <w:p w14:paraId="30E93D20" w14:textId="77777777" w:rsidR="00246A61" w:rsidRPr="00D8780F" w:rsidRDefault="00246A61" w:rsidP="00BA4D6D">
            <w:pPr>
              <w:jc w:val="center"/>
            </w:pPr>
            <w:r>
              <w:t>Porcentajes</w:t>
            </w:r>
          </w:p>
          <w:p w14:paraId="7EDAC4A5" w14:textId="77777777" w:rsidR="00246A61" w:rsidRPr="00FE76BD" w:rsidRDefault="00246A61" w:rsidP="00BA4D6D">
            <w:pPr>
              <w:ind w:left="567" w:right="49"/>
              <w:jc w:val="center"/>
              <w:rPr>
                <w:sz w:val="24"/>
                <w:szCs w:val="24"/>
              </w:rPr>
            </w:pPr>
            <w:r w:rsidRPr="00FE76BD">
              <w:rPr>
                <w:noProof/>
                <w:sz w:val="24"/>
                <w:szCs w:val="24"/>
                <w:lang w:val="es-ES"/>
              </w:rPr>
              <mc:AlternateContent>
                <mc:Choice Requires="wps">
                  <w:drawing>
                    <wp:anchor distT="0" distB="0" distL="114300" distR="114300" simplePos="0" relativeHeight="251682816" behindDoc="0" locked="0" layoutInCell="1" allowOverlap="1" wp14:anchorId="114A4AC8" wp14:editId="6A23A74E">
                      <wp:simplePos x="0" y="0"/>
                      <wp:positionH relativeFrom="column">
                        <wp:posOffset>538480</wp:posOffset>
                      </wp:positionH>
                      <wp:positionV relativeFrom="paragraph">
                        <wp:posOffset>2489835</wp:posOffset>
                      </wp:positionV>
                      <wp:extent cx="4411980" cy="274320"/>
                      <wp:effectExtent l="0" t="0" r="7620" b="0"/>
                      <wp:wrapNone/>
                      <wp:docPr id="11" name="Text Box 2"/>
                      <wp:cNvGraphicFramePr/>
                      <a:graphic xmlns:a="http://schemas.openxmlformats.org/drawingml/2006/main">
                        <a:graphicData uri="http://schemas.microsoft.com/office/word/2010/wordprocessingShape">
                          <wps:wsp>
                            <wps:cNvSpPr txBox="1"/>
                            <wps:spPr>
                              <a:xfrm>
                                <a:off x="0" y="0"/>
                                <a:ext cx="4411980" cy="274320"/>
                              </a:xfrm>
                              <a:prstGeom prst="rect">
                                <a:avLst/>
                              </a:prstGeom>
                              <a:solidFill>
                                <a:schemeClr val="lt1"/>
                              </a:solidFill>
                              <a:ln w="6350">
                                <a:noFill/>
                              </a:ln>
                            </wps:spPr>
                            <wps:txbx>
                              <w:txbxContent>
                                <w:p w14:paraId="6671E78D" w14:textId="77777777" w:rsidR="00963B9C" w:rsidRPr="004D0048" w:rsidRDefault="00963B9C" w:rsidP="00246A61">
                                  <w:pPr>
                                    <w:rPr>
                                      <w:bCs/>
                                      <w:szCs w:val="16"/>
                                    </w:rPr>
                                  </w:pPr>
                                  <w:r w:rsidRPr="004D0048">
                                    <w:rPr>
                                      <w:bCs/>
                                      <w:szCs w:val="16"/>
                                    </w:rPr>
                                    <w:t xml:space="preserve">Fuente: </w:t>
                                  </w:r>
                                  <w:r>
                                    <w:rPr>
                                      <w:bCs/>
                                      <w:szCs w:val="16"/>
                                    </w:rPr>
                                    <w:t xml:space="preserve">Elaboración DAPF con información del </w:t>
                                  </w:r>
                                  <w:r w:rsidRPr="004D0048">
                                    <w:rPr>
                                      <w:bCs/>
                                      <w:szCs w:val="16"/>
                                    </w:rPr>
                                    <w:t>FMI, WEO octubre de 2019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shapetype w14:anchorId="114A4AC8" id="_x0000_t202" coordsize="21600,21600" o:spt="202" path="m,l,21600r21600,l21600,xe">
                      <v:stroke joinstyle="miter"/>
                      <v:path gradientshapeok="t" o:connecttype="rect"/>
                    </v:shapetype>
                    <v:shape id="Text Box 2" o:spid="_x0000_s1026" type="#_x0000_t202" style="position:absolute;left:0;text-align:left;margin-left:42.4pt;margin-top:196.05pt;width:347.4pt;height:21.6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" fillcolor="white [3201]" stroked="f" strokeweight=".5pt">
                      <v:textbox>
                        <w:txbxContent>
                          <w:p w14:paraId="6671E78D" w14:textId="77777777" w:rsidR="00963B9C" w:rsidRPr="004D0048" w:rsidRDefault="00963B9C" w:rsidP="00246A61">
                            <w:pPr>
                              <w:rPr>
                                <w:bCs/>
                                <w:szCs w:val="16"/>
                              </w:rPr>
                            </w:pPr>
                            <w:r w:rsidRPr="004D0048">
                              <w:rPr>
                                <w:bCs/>
                                <w:szCs w:val="16"/>
                              </w:rPr>
                              <w:t xml:space="preserve">Fuente: </w:t>
                            </w:r>
                            <w:r>
                              <w:rPr>
                                <w:bCs/>
                                <w:szCs w:val="16"/>
                              </w:rPr>
                              <w:t xml:space="preserve">Elaboración DAPF con información del </w:t>
                            </w:r>
                            <w:r w:rsidRPr="004D0048">
                              <w:rPr>
                                <w:bCs/>
                                <w:szCs w:val="16"/>
                              </w:rPr>
                              <w:t>FMI, WEO octubre de 2019</w:t>
                            </w:r>
                          </w:p>
                        </w:txbxContent>
                      </v:textbox>
                    </v:shape>
                  </w:pict>
                </mc:Fallback>
              </mc:AlternateContent>
            </w:r>
            <w:r w:rsidRPr="00FE76BD">
              <w:rPr>
                <w:noProof/>
                <w:sz w:val="24"/>
                <w:szCs w:val="24"/>
              </w:rPr>
              <w:t xml:space="preserve"> </w:t>
            </w:r>
            <w:r w:rsidRPr="00FE76BD">
              <w:rPr>
                <w:noProof/>
                <w:sz w:val="24"/>
                <w:szCs w:val="24"/>
                <w:lang w:val="es-ES"/>
              </w:rPr>
              <w:drawing>
                <wp:inline distT="0" distB="0" distL="0" distR="0" wp14:anchorId="74D65491" wp14:editId="5D773AD5">
                  <wp:extent cx="5040000" cy="2520000"/>
                  <wp:effectExtent l="0" t="0" r="8255" b="0"/>
                  <wp:docPr id="43" name="Chart 1">
                    <a:extLst xmlns:a="http://schemas.openxmlformats.org/drawingml/2006/main">
                      <a:ext uri="{FF2B5EF4-FFF2-40B4-BE49-F238E27FC236}">
                        <a16:creationId xmlns:a16="http://schemas.microsoft.com/office/drawing/2014/main" xmlns:w16se="http://schemas.microsoft.com/office/word/2015/wordml/symex" xmlns:w15="http://schemas.microsoft.com/office/word/2012/wordml" xmlns:w="http://schemas.openxmlformats.org/wordprocessingml/2006/main" xmlns:w10="urn:schemas-microsoft-com:office:word" xmlns:v="urn:schemas-microsoft-com:vml" xmlns:o="urn:schemas-microsoft-com:office:office" xmlns:cx="http://schemas.microsoft.com/office/drawing/2014/chartex" xmlns="" id="{DED0CDAA-6E5E-4DE2-B38B-F287123C1DF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inline>
              </w:drawing>
            </w:r>
          </w:p>
        </w:tc>
      </w:tr>
    </w:tbl>
    <w:p w14:paraId="69CF53B4" w14:textId="77777777" w:rsidR="00246A61" w:rsidRPr="00FE76BD" w:rsidRDefault="00246A61" w:rsidP="00246A61">
      <w:pPr>
        <w:pStyle w:val="Sinespaciado"/>
        <w:ind w:left="567" w:right="49"/>
        <w:jc w:val="both"/>
        <w:rPr>
          <w:rFonts w:ascii="Times New Roman" w:hAnsi="Times New Roman"/>
          <w:sz w:val="24"/>
          <w:szCs w:val="24"/>
        </w:rPr>
      </w:pPr>
      <w:r w:rsidRPr="00FE76BD">
        <w:rPr>
          <w:rFonts w:ascii="Times New Roman" w:hAnsi="Times New Roman"/>
          <w:sz w:val="24"/>
          <w:szCs w:val="24"/>
        </w:rPr>
        <w:t>En el primer semestre del 2020 las condiciones económicas mundiales se han deteriorado dramáticamente debido a la emergencia mundial del COVID-19. Este escenario con la pandemia en un mundo globalizado ha forzado a los gobiernos a realizar medidas sociales y económicas para disminuir el alto costo humanitario y de la economía mundial. Lo anterior, ha propiciado un escenario de alta incertidumbre para los pronósticos, por lo cual el Fondo Monetario Internacional ha revisado a la baja las tasas de crecimiento de la economía mundial para el 2020, en octubre de 2019 la proyección se ubicaba en 3.4% y disminuyó a 3.3% para enero del 2020, posteriormente en marzo se dio la  declaración por parte de la Organización Mundial de Salud de la pandemia del COVID-19 y los pronósticos disminuyeron 6.3 puntos porcentuales situándose en -3.0% y posteriormente en junio disminuyó nuevamente en 1.9 puntos porcentuales, dicho crecimiento para ubicarse alrededor de -4.9%. La proyección de la contracción económica del 2020 bastante mayor en comparación a la contracción observada en el 2009 de -0.075%, durante la crisis financiera global.</w:t>
      </w:r>
    </w:p>
    <w:p w14:paraId="51CB113B" w14:textId="77777777" w:rsidR="00246A61" w:rsidRPr="00FE76BD" w:rsidRDefault="00246A61" w:rsidP="00246A61">
      <w:pPr>
        <w:pStyle w:val="Sinespaciado"/>
        <w:ind w:left="567" w:right="49"/>
        <w:jc w:val="both"/>
        <w:rPr>
          <w:rFonts w:ascii="Times New Roman" w:hAnsi="Times New Roman"/>
          <w:sz w:val="24"/>
          <w:szCs w:val="24"/>
        </w:rPr>
      </w:pPr>
    </w:p>
    <w:p w14:paraId="7660F366" w14:textId="004C008C" w:rsidR="00246A61" w:rsidRDefault="00246A61" w:rsidP="00246A61">
      <w:pPr>
        <w:ind w:left="567" w:right="49"/>
        <w:jc w:val="both"/>
        <w:rPr>
          <w:sz w:val="24"/>
          <w:szCs w:val="24"/>
        </w:rPr>
      </w:pPr>
      <w:r w:rsidRPr="00FE76BD">
        <w:rPr>
          <w:sz w:val="24"/>
          <w:szCs w:val="24"/>
        </w:rPr>
        <w:t>El crecimiento en las economías avanzadas se proyectaba en 1.6% a principio del 2019, posteriormente después de brotes generalizados de epidemias locales y que han desplegado drásticas medidas de contención la proyección disminuyó en abril 7.7 puntos porcentuales y en junio disminuyó otros 1.9 puntos porcentuales hasta ubicarse en -8.0%. Para las economías emergentes se estimaba un crecimiento de 4.4% antes de la propagación de la pandemia, posteriormente en abril de 2020 la estimación se redujo a -1.0% y en junio a -3.0%, deteriorándose las perspectivas económicas para estas economías en 7.4% en total.</w:t>
      </w:r>
    </w:p>
    <w:p w14:paraId="7EBDAB09" w14:textId="77777777" w:rsidR="00347A5E" w:rsidRPr="00FE76BD" w:rsidRDefault="00347A5E" w:rsidP="00246A61">
      <w:pPr>
        <w:ind w:left="567" w:right="49"/>
        <w:jc w:val="both"/>
        <w:rPr>
          <w:sz w:val="24"/>
          <w:szCs w:val="24"/>
        </w:rPr>
      </w:pPr>
    </w:p>
    <w:p w14:paraId="006690A3" w14:textId="77777777" w:rsidR="00246A61" w:rsidRPr="00FE76BD" w:rsidRDefault="00246A61" w:rsidP="00246A61">
      <w:pPr>
        <w:ind w:left="567" w:right="49"/>
        <w:jc w:val="both"/>
        <w:rPr>
          <w:sz w:val="24"/>
          <w:szCs w:val="24"/>
        </w:rPr>
      </w:pPr>
      <w:r w:rsidRPr="00FE76BD">
        <w:rPr>
          <w:sz w:val="24"/>
          <w:szCs w:val="24"/>
        </w:rPr>
        <w:t xml:space="preserve">La disminución de la proyección del crecimiento económico para Estados Unidos de América se ubicó en junio de 2020 en 8.0% habiendo disminuido 9.6 puntos porcentuales con respecto a la proyección de enero de 2020. Esto se debe a la propagación del virus en el primer trimestre del 2020 que provocó que millones de personas fueran diagnosticadas positivas de COVID-19, focalizadas en áreas metropolitanas. Las medidas de confinamiento para frenar la propagación han llevado al cierre de múltiples negocios e inducido a las personas a permanecer en sus </w:t>
      </w:r>
      <w:r w:rsidRPr="00FE76BD">
        <w:rPr>
          <w:sz w:val="24"/>
          <w:szCs w:val="24"/>
        </w:rPr>
        <w:lastRenderedPageBreak/>
        <w:t>hogares han atribuido a una contracción severa de las actividades económicas. La tasa de desempleo alcanzó los 14.7 puntos porcentuales en abril y 3.3 puntos porcentuales en mayo de 2020. Asimismo, se estima que las respuestas acumuladas de las políticas fiscales aumentarán el nivel de deuda aproximadamente en 20 punto</w:t>
      </w:r>
      <w:r>
        <w:rPr>
          <w:sz w:val="24"/>
          <w:szCs w:val="24"/>
        </w:rPr>
        <w:t>s</w:t>
      </w:r>
      <w:r w:rsidRPr="00FE76BD">
        <w:rPr>
          <w:sz w:val="24"/>
          <w:szCs w:val="24"/>
        </w:rPr>
        <w:t xml:space="preserve"> porcentuales del PIB.  Dichas políticas fueron dirigidas para proteger a las familias y a las empresas a través de transferencias, seguros de empleo, créditos entre otras medidas. Los mercados financieros han mostrado alta volatilidad, signos de estrés y los precios de los activos han disminuido.</w:t>
      </w:r>
    </w:p>
    <w:tbl>
      <w:tblPr>
        <w:tblStyle w:val="Tablaconcuadrcula"/>
        <w:tblW w:w="9456" w:type="dxa"/>
        <w:jc w:val="righ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Look w:val="04A0" w:firstRow="1" w:lastRow="0" w:firstColumn="1" w:lastColumn="0" w:noHBand="0" w:noVBand="1"/>
      </w:tblPr>
      <w:tblGrid>
        <w:gridCol w:w="9456"/>
      </w:tblGrid>
      <w:tr w:rsidR="00246A61" w:rsidRPr="00FE76BD" w14:paraId="64411048" w14:textId="77777777" w:rsidTr="00BA4D6D">
        <w:trPr>
          <w:trHeight w:val="4944"/>
          <w:jc w:val="right"/>
        </w:trPr>
        <w:tc>
          <w:tcPr>
            <w:tcW w:w="9456" w:type="dxa"/>
          </w:tcPr>
          <w:p w14:paraId="79C76500" w14:textId="77777777" w:rsidR="00246A61" w:rsidRPr="00FE76BD" w:rsidRDefault="00246A61" w:rsidP="00BA4D6D">
            <w:pPr>
              <w:ind w:right="49"/>
              <w:rPr>
                <w:sz w:val="24"/>
                <w:szCs w:val="24"/>
              </w:rPr>
            </w:pPr>
          </w:p>
          <w:p w14:paraId="717A9C25" w14:textId="18DD3C16" w:rsidR="00246A61" w:rsidRPr="00FE76BD" w:rsidRDefault="00246A61" w:rsidP="00BA4D6D">
            <w:pPr>
              <w:pStyle w:val="Epgrafe"/>
              <w:keepNext/>
              <w:ind w:left="567" w:right="49"/>
              <w:rPr>
                <w:color w:val="auto"/>
                <w:sz w:val="24"/>
                <w:szCs w:val="24"/>
              </w:rPr>
            </w:pPr>
            <w:r w:rsidRPr="00FE76BD">
              <w:rPr>
                <w:color w:val="auto"/>
                <w:sz w:val="24"/>
                <w:szCs w:val="24"/>
              </w:rPr>
              <w:t xml:space="preserve">Gráfico  </w:t>
            </w:r>
            <w:r w:rsidRPr="00FE76BD">
              <w:rPr>
                <w:color w:val="auto"/>
                <w:sz w:val="24"/>
                <w:szCs w:val="24"/>
              </w:rPr>
              <w:fldChar w:fldCharType="begin"/>
            </w:r>
            <w:r w:rsidRPr="00FE76BD">
              <w:rPr>
                <w:color w:val="auto"/>
                <w:sz w:val="24"/>
                <w:szCs w:val="24"/>
              </w:rPr>
              <w:instrText xml:space="preserve"> SEQ Gráfico_ \* ARABIC </w:instrText>
            </w:r>
            <w:r w:rsidRPr="00FE76BD">
              <w:rPr>
                <w:color w:val="auto"/>
                <w:sz w:val="24"/>
                <w:szCs w:val="24"/>
              </w:rPr>
              <w:fldChar w:fldCharType="separate"/>
            </w:r>
            <w:r w:rsidR="00A87138">
              <w:rPr>
                <w:noProof/>
                <w:color w:val="auto"/>
                <w:sz w:val="24"/>
                <w:szCs w:val="24"/>
              </w:rPr>
              <w:t>2</w:t>
            </w:r>
            <w:r w:rsidRPr="00FE76BD">
              <w:rPr>
                <w:noProof/>
                <w:color w:val="auto"/>
                <w:sz w:val="24"/>
                <w:szCs w:val="24"/>
              </w:rPr>
              <w:fldChar w:fldCharType="end"/>
            </w:r>
            <w:r w:rsidRPr="00FE76BD">
              <w:rPr>
                <w:color w:val="auto"/>
                <w:sz w:val="24"/>
                <w:szCs w:val="24"/>
              </w:rPr>
              <w:t>. Proyección de crecimiento económico para el 2020</w:t>
            </w:r>
          </w:p>
          <w:p w14:paraId="07C53C4B" w14:textId="77777777" w:rsidR="00246A61" w:rsidRDefault="00246A61" w:rsidP="00BA4D6D">
            <w:pPr>
              <w:ind w:left="567" w:right="49"/>
              <w:jc w:val="center"/>
              <w:rPr>
                <w:noProof/>
                <w:sz w:val="24"/>
                <w:szCs w:val="24"/>
              </w:rPr>
            </w:pPr>
            <w:r w:rsidRPr="00FE76BD">
              <w:rPr>
                <w:noProof/>
                <w:sz w:val="24"/>
                <w:szCs w:val="24"/>
                <w:lang w:val="es-ES"/>
              </w:rPr>
              <mc:AlternateContent>
                <mc:Choice Requires="wps">
                  <w:drawing>
                    <wp:anchor distT="0" distB="0" distL="114300" distR="114300" simplePos="0" relativeHeight="251685888" behindDoc="0" locked="0" layoutInCell="1" allowOverlap="1" wp14:anchorId="4218D678" wp14:editId="4DE8924F">
                      <wp:simplePos x="0" y="0"/>
                      <wp:positionH relativeFrom="column">
                        <wp:posOffset>820420</wp:posOffset>
                      </wp:positionH>
                      <wp:positionV relativeFrom="paragraph">
                        <wp:posOffset>2426335</wp:posOffset>
                      </wp:positionV>
                      <wp:extent cx="4099560" cy="259080"/>
                      <wp:effectExtent l="0" t="0" r="0" b="7620"/>
                      <wp:wrapNone/>
                      <wp:docPr id="13" name="Text Box 3"/>
                      <wp:cNvGraphicFramePr/>
                      <a:graphic xmlns:a="http://schemas.openxmlformats.org/drawingml/2006/main">
                        <a:graphicData uri="http://schemas.microsoft.com/office/word/2010/wordprocessingShape">
                          <wps:wsp>
                            <wps:cNvSpPr txBox="1"/>
                            <wps:spPr>
                              <a:xfrm>
                                <a:off x="0" y="0"/>
                                <a:ext cx="4099560" cy="259080"/>
                              </a:xfrm>
                              <a:prstGeom prst="rect">
                                <a:avLst/>
                              </a:prstGeom>
                              <a:solidFill>
                                <a:schemeClr val="lt1"/>
                              </a:solidFill>
                              <a:ln w="6350">
                                <a:noFill/>
                              </a:ln>
                            </wps:spPr>
                            <wps:txbx>
                              <w:txbxContent>
                                <w:p w14:paraId="63DBEBE0" w14:textId="77777777" w:rsidR="00963B9C" w:rsidRPr="004D0048" w:rsidRDefault="00963B9C" w:rsidP="00246A61">
                                  <w:r w:rsidRPr="004D0048">
                                    <w:t xml:space="preserve">Fuente: </w:t>
                                  </w:r>
                                  <w:r>
                                    <w:rPr>
                                      <w:bCs/>
                                      <w:szCs w:val="16"/>
                                    </w:rPr>
                                    <w:t xml:space="preserve">Elaboración DAPF con información del </w:t>
                                  </w:r>
                                  <w:r w:rsidRPr="004D0048">
                                    <w:rPr>
                                      <w:bCs/>
                                      <w:szCs w:val="16"/>
                                    </w:rPr>
                                    <w:t>FMI</w:t>
                                  </w:r>
                                  <w:r w:rsidRPr="004D0048">
                                    <w:t>, WEO junio de 2020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shape w14:anchorId="4218D678" id="Text Box 3" o:spid="_x0000_s1027" type="#_x0000_t202" style="position:absolute;left:0;text-align:left;margin-left:64.6pt;margin-top:191.05pt;width:322.8pt;height:20.4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" fillcolor="white [3201]" stroked="f" strokeweight=".5pt">
                      <v:textbox>
                        <w:txbxContent>
                          <w:p w14:paraId="63DBEBE0" w14:textId="77777777" w:rsidR="00963B9C" w:rsidRPr="004D0048" w:rsidRDefault="00963B9C" w:rsidP="00246A61">
                            <w:r w:rsidRPr="004D0048">
                              <w:t xml:space="preserve">Fuente: </w:t>
                            </w:r>
                            <w:r>
                              <w:rPr>
                                <w:bCs/>
                                <w:szCs w:val="16"/>
                              </w:rPr>
                              <w:t xml:space="preserve">Elaboración DAPF con información del </w:t>
                            </w:r>
                            <w:r w:rsidRPr="004D0048">
                              <w:rPr>
                                <w:bCs/>
                                <w:szCs w:val="16"/>
                              </w:rPr>
                              <w:t>FMI</w:t>
                            </w:r>
                            <w:r w:rsidRPr="004D0048">
                              <w:t>, WEO junio de 2020</w:t>
                            </w:r>
                          </w:p>
                        </w:txbxContent>
                      </v:textbox>
                    </v:shape>
                  </w:pict>
                </mc:Fallback>
              </mc:AlternateContent>
            </w:r>
            <w:r w:rsidRPr="00FE76BD">
              <w:rPr>
                <w:noProof/>
                <w:sz w:val="24"/>
                <w:szCs w:val="24"/>
                <w:lang w:val="es-ES"/>
              </w:rPr>
              <w:drawing>
                <wp:inline distT="0" distB="0" distL="0" distR="0" wp14:anchorId="6E41BCEF" wp14:editId="6AFA0DAA">
                  <wp:extent cx="5040000" cy="2520000"/>
                  <wp:effectExtent l="0" t="0" r="8255" b="0"/>
                  <wp:docPr id="45" name="Chart 5">
                    <a:extLst xmlns:a="http://schemas.openxmlformats.org/drawingml/2006/main">
                      <a:ext uri="{FF2B5EF4-FFF2-40B4-BE49-F238E27FC236}">
                        <a16:creationId xmlns:a16="http://schemas.microsoft.com/office/drawing/2014/main" xmlns:w16se="http://schemas.microsoft.com/office/word/2015/wordml/symex" xmlns:w15="http://schemas.microsoft.com/office/word/2012/wordml" xmlns:w="http://schemas.openxmlformats.org/wordprocessingml/2006/main" xmlns:w10="urn:schemas-microsoft-com:office:word" xmlns:v="urn:schemas-microsoft-com:vml" xmlns:o="urn:schemas-microsoft-com:office:office" xmlns:cx="http://schemas.microsoft.com/office/drawing/2014/chartex" xmlns="" id="{98E6DB74-EFC7-47F1-8F2D-C0CFA0BD9A0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r w:rsidRPr="00FE76BD">
              <w:rPr>
                <w:noProof/>
                <w:sz w:val="24"/>
                <w:szCs w:val="24"/>
              </w:rPr>
              <w:t xml:space="preserve"> </w:t>
            </w:r>
          </w:p>
          <w:p w14:paraId="34A6BEAC" w14:textId="77777777" w:rsidR="00246A61" w:rsidRDefault="00246A61" w:rsidP="00BA4D6D">
            <w:pPr>
              <w:ind w:left="567" w:right="49"/>
              <w:jc w:val="center"/>
              <w:rPr>
                <w:noProof/>
                <w:sz w:val="24"/>
                <w:szCs w:val="24"/>
              </w:rPr>
            </w:pPr>
          </w:p>
          <w:p w14:paraId="7BED9383" w14:textId="77777777" w:rsidR="00246A61" w:rsidRPr="00FE76BD" w:rsidRDefault="00246A61" w:rsidP="00BA4D6D">
            <w:pPr>
              <w:ind w:left="567" w:right="49"/>
              <w:jc w:val="center"/>
              <w:rPr>
                <w:sz w:val="24"/>
                <w:szCs w:val="24"/>
              </w:rPr>
            </w:pPr>
          </w:p>
        </w:tc>
      </w:tr>
    </w:tbl>
    <w:p w14:paraId="2F1A9890" w14:textId="59DCE7F6" w:rsidR="00246A61" w:rsidRDefault="00246A61" w:rsidP="00246A61">
      <w:pPr>
        <w:ind w:left="567" w:right="49"/>
        <w:jc w:val="both"/>
        <w:rPr>
          <w:sz w:val="24"/>
          <w:szCs w:val="24"/>
        </w:rPr>
      </w:pPr>
      <w:r w:rsidRPr="00FE76BD">
        <w:rPr>
          <w:sz w:val="24"/>
          <w:szCs w:val="24"/>
        </w:rPr>
        <w:t xml:space="preserve">La Zona del Euro ha sido afectada gravemente por los efectos negativos de la pandemia, ha sufrido un deterioro en sus pronósticos en junio de 2020 de 11.5 puntos porcentuales en relación con los pronósticos de enero de 2020, actualmente se estima que el crecimiento de esta región estará en -10.2% en dicho año. Esto se debe al fuerte golpe de la pandemia en las condiciones económicas, el contagio masivo inicio a finales de febrero en Italia, y posteriormente en otros países europeos, notablemente en Francia, Bélgica, Alemania y España. Algunos otros países, fueron menos afectados debido a que iniciaron confinamientos previamente a los contagios masivos. Las </w:t>
      </w:r>
      <w:r>
        <w:rPr>
          <w:sz w:val="24"/>
          <w:szCs w:val="24"/>
        </w:rPr>
        <w:t>medidas</w:t>
      </w:r>
      <w:r w:rsidRPr="00FE76BD">
        <w:rPr>
          <w:sz w:val="24"/>
          <w:szCs w:val="24"/>
        </w:rPr>
        <w:t xml:space="preserve"> de confinamiento han afectado enormemente la actividad económica, se estima que las </w:t>
      </w:r>
      <w:r w:rsidR="003438B8" w:rsidRPr="00FE76BD">
        <w:rPr>
          <w:sz w:val="24"/>
          <w:szCs w:val="24"/>
        </w:rPr>
        <w:t>pérdidas</w:t>
      </w:r>
      <w:r w:rsidRPr="00FE76BD">
        <w:rPr>
          <w:sz w:val="24"/>
          <w:szCs w:val="24"/>
        </w:rPr>
        <w:t xml:space="preserve"> en la producción han sido entre 25-30% durante los periodos del confinamiento. Los servicios han sido los más afectados, especialmente los que depende de un contacto directo con el proveedor.   Asimismo, el turismo fue afectado en gran manera por las restricciones en los viajes. En menor medida, las actividades manufactureras también han sido gravemente obstaculizadas, especialmente el sector automotriz que ha sido dependiente de cadenas de suministro internacionales. Esta obstaculización en el sector automotriz ha provocado recortes en la producción y ha afectado a los países de Europa central que está integrado fuertemente con Alemania. Asimismo, la actividad de construcción también se redujo en muchos países europeos, entre otras actividades productivas.</w:t>
      </w:r>
    </w:p>
    <w:p w14:paraId="2A5B9033" w14:textId="77777777" w:rsidR="00246A61" w:rsidRPr="00FE76BD" w:rsidRDefault="00246A61" w:rsidP="00246A61">
      <w:pPr>
        <w:ind w:left="567" w:right="49"/>
        <w:jc w:val="both"/>
        <w:rPr>
          <w:sz w:val="24"/>
          <w:szCs w:val="24"/>
        </w:rPr>
      </w:pPr>
    </w:p>
    <w:p w14:paraId="15B7BDBC" w14:textId="77777777" w:rsidR="00246A61" w:rsidRDefault="00246A61" w:rsidP="00246A61">
      <w:pPr>
        <w:ind w:left="567" w:right="49"/>
        <w:jc w:val="both"/>
        <w:rPr>
          <w:sz w:val="24"/>
          <w:szCs w:val="24"/>
        </w:rPr>
      </w:pPr>
      <w:r w:rsidRPr="00FE76BD">
        <w:rPr>
          <w:sz w:val="24"/>
          <w:szCs w:val="24"/>
        </w:rPr>
        <w:t xml:space="preserve">Las perspectivas económicas de Latinoamérica han disminuido al igual que las otras regiones, el pronóstico de su crecimiento disminuyó 11 puntos porcentuales en junio de 2020 con relación al pronóstico en enero de 2020. Esto se debe a que esta región ha empeorado dramáticamente por </w:t>
      </w:r>
      <w:r w:rsidRPr="00FE76BD">
        <w:rPr>
          <w:sz w:val="24"/>
          <w:szCs w:val="24"/>
        </w:rPr>
        <w:lastRenderedPageBreak/>
        <w:t xml:space="preserve">los efectos de la pandemia Covid-19, inicialmente Latinoamérica poseía poca participación en los casos confirmados del total mundial, sin embargo, la propagación ha sido rápida y esta situación cambió, además muchos países de la región podrían estar significativamente subestimados. La mayoría de los hacedores de política de la región han implementado un rango amplio de medidas de mitigación para disminuir la velocidad de propagación de la pandemia, se han cerrado escuelas, parcial o completamente fronteras y gran número de naciones han cerrado obligatoriamente sectores económicos y se han puesto restricciones de movilidad en múltiples </w:t>
      </w:r>
      <w:r w:rsidRPr="009A6504">
        <w:rPr>
          <w:sz w:val="24"/>
          <w:szCs w:val="24"/>
        </w:rPr>
        <w:t>semanas. Por otro lado, la fuerte caída de los precios mundiales de las materias primas, particularmente el petróleo</w:t>
      </w:r>
      <w:r w:rsidRPr="00FE76BD">
        <w:rPr>
          <w:sz w:val="24"/>
          <w:szCs w:val="24"/>
        </w:rPr>
        <w:t xml:space="preserve"> y gas natural ha afectado los productores de commodities de energía. También la abrupta desaceleración de Estados Unidos y China ha distorsionado las cadenas de suministro para México y Brasil causando una fuerte disminución en las exportaciones de los países productores de commodities como lo son Chile y Perú.</w:t>
      </w:r>
    </w:p>
    <w:p w14:paraId="44F69A88" w14:textId="77777777" w:rsidR="00246A61" w:rsidRPr="00FE76BD" w:rsidRDefault="00246A61" w:rsidP="00246A61">
      <w:pPr>
        <w:ind w:left="567" w:right="49"/>
        <w:jc w:val="both"/>
        <w:rPr>
          <w:sz w:val="24"/>
          <w:szCs w:val="24"/>
        </w:rPr>
      </w:pPr>
    </w:p>
    <w:tbl>
      <w:tblPr>
        <w:tblStyle w:val="Tablaconcuadrcula"/>
        <w:tblW w:w="8839"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839"/>
      </w:tblGrid>
      <w:tr w:rsidR="00246A61" w:rsidRPr="00FE76BD" w14:paraId="1937F3A4" w14:textId="77777777" w:rsidTr="00BA4D6D">
        <w:trPr>
          <w:trHeight w:val="3415"/>
          <w:jc w:val="center"/>
        </w:trPr>
        <w:tc>
          <w:tcPr>
            <w:tcW w:w="8839" w:type="dxa"/>
          </w:tcPr>
          <w:p w14:paraId="439326F4" w14:textId="2FA5C955" w:rsidR="00246A61" w:rsidRDefault="00246A61" w:rsidP="00BA4D6D">
            <w:pPr>
              <w:pStyle w:val="Epgrafe"/>
              <w:keepNext/>
              <w:ind w:left="567" w:right="49"/>
              <w:rPr>
                <w:color w:val="auto"/>
                <w:sz w:val="24"/>
                <w:szCs w:val="24"/>
              </w:rPr>
            </w:pPr>
            <w:r w:rsidRPr="00FE76BD">
              <w:rPr>
                <w:color w:val="auto"/>
                <w:sz w:val="24"/>
                <w:szCs w:val="24"/>
              </w:rPr>
              <w:t xml:space="preserve">Tabla </w:t>
            </w:r>
            <w:r w:rsidRPr="00FE76BD">
              <w:rPr>
                <w:color w:val="auto"/>
                <w:sz w:val="24"/>
                <w:szCs w:val="24"/>
              </w:rPr>
              <w:fldChar w:fldCharType="begin"/>
            </w:r>
            <w:r w:rsidRPr="00FE76BD">
              <w:rPr>
                <w:color w:val="auto"/>
                <w:sz w:val="24"/>
                <w:szCs w:val="24"/>
              </w:rPr>
              <w:instrText xml:space="preserve"> SEQ Tabla \* ARABIC </w:instrText>
            </w:r>
            <w:r w:rsidRPr="00FE76BD">
              <w:rPr>
                <w:color w:val="auto"/>
                <w:sz w:val="24"/>
                <w:szCs w:val="24"/>
              </w:rPr>
              <w:fldChar w:fldCharType="separate"/>
            </w:r>
            <w:r w:rsidR="00A87138">
              <w:rPr>
                <w:noProof/>
                <w:color w:val="auto"/>
                <w:sz w:val="24"/>
                <w:szCs w:val="24"/>
              </w:rPr>
              <w:t>1</w:t>
            </w:r>
            <w:r w:rsidRPr="00FE76BD">
              <w:rPr>
                <w:noProof/>
                <w:color w:val="auto"/>
                <w:sz w:val="24"/>
                <w:szCs w:val="24"/>
              </w:rPr>
              <w:fldChar w:fldCharType="end"/>
            </w:r>
            <w:r w:rsidRPr="00FE76BD">
              <w:rPr>
                <w:color w:val="auto"/>
                <w:sz w:val="24"/>
                <w:szCs w:val="24"/>
              </w:rPr>
              <w:t>. Proyección del crecimiento económico para el 2021</w:t>
            </w:r>
          </w:p>
          <w:p w14:paraId="7F4A266B" w14:textId="77777777" w:rsidR="00246A61" w:rsidRPr="00596DD0" w:rsidRDefault="00246A61" w:rsidP="00BA4D6D">
            <w:pPr>
              <w:jc w:val="center"/>
            </w:pPr>
            <w:r>
              <w:t>Porcentajes</w:t>
            </w:r>
          </w:p>
          <w:p w14:paraId="5AB0D786" w14:textId="77777777" w:rsidR="00246A61" w:rsidRPr="00FE76BD" w:rsidRDefault="00246A61" w:rsidP="00BA4D6D">
            <w:pPr>
              <w:ind w:left="567" w:right="49"/>
              <w:jc w:val="center"/>
              <w:rPr>
                <w:sz w:val="24"/>
                <w:szCs w:val="24"/>
              </w:rPr>
            </w:pPr>
            <w:r w:rsidRPr="00FE76BD">
              <w:rPr>
                <w:sz w:val="24"/>
                <w:szCs w:val="24"/>
              </w:rPr>
              <w:t>Por fechas de revisión de proyecciones</w:t>
            </w:r>
          </w:p>
          <w:tbl>
            <w:tblPr>
              <w:tblW w:w="8254" w:type="dxa"/>
              <w:jc w:val="center"/>
              <w:tblCellMar>
                <w:left w:w="70" w:type="dxa"/>
                <w:right w:w="70" w:type="dxa"/>
              </w:tblCellMar>
              <w:tblLook w:val="04A0" w:firstRow="1" w:lastRow="0" w:firstColumn="1" w:lastColumn="0" w:noHBand="0" w:noVBand="1"/>
            </w:tblPr>
            <w:tblGrid>
              <w:gridCol w:w="2835"/>
              <w:gridCol w:w="1308"/>
              <w:gridCol w:w="1417"/>
              <w:gridCol w:w="1276"/>
              <w:gridCol w:w="1418"/>
            </w:tblGrid>
            <w:tr w:rsidR="00246A61" w:rsidRPr="00FE76BD" w14:paraId="419EFCAD" w14:textId="77777777" w:rsidTr="00BA4D6D">
              <w:trPr>
                <w:trHeight w:val="480"/>
                <w:jc w:val="center"/>
              </w:trPr>
              <w:tc>
                <w:tcPr>
                  <w:tcW w:w="2835" w:type="dxa"/>
                  <w:tcBorders>
                    <w:top w:val="single" w:sz="4" w:space="0" w:color="auto"/>
                    <w:left w:val="single" w:sz="4" w:space="0" w:color="auto"/>
                    <w:bottom w:val="single" w:sz="4" w:space="0" w:color="auto"/>
                    <w:right w:val="single" w:sz="4" w:space="0" w:color="auto"/>
                  </w:tcBorders>
                  <w:shd w:val="clear" w:color="000000" w:fill="B4C6E7"/>
                  <w:noWrap/>
                  <w:vAlign w:val="center"/>
                  <w:hideMark/>
                </w:tcPr>
                <w:p w14:paraId="4D4904DF" w14:textId="77777777" w:rsidR="00246A61" w:rsidRPr="00FE76BD" w:rsidRDefault="00246A61" w:rsidP="00BA4D6D">
                  <w:pPr>
                    <w:ind w:left="567" w:right="49"/>
                    <w:jc w:val="center"/>
                    <w:rPr>
                      <w:b/>
                      <w:bCs/>
                      <w:sz w:val="24"/>
                      <w:szCs w:val="24"/>
                      <w:lang w:eastAsia="es-GT"/>
                    </w:rPr>
                  </w:pPr>
                  <w:r w:rsidRPr="00FE76BD">
                    <w:rPr>
                      <w:b/>
                      <w:bCs/>
                      <w:sz w:val="24"/>
                      <w:szCs w:val="24"/>
                      <w:lang w:eastAsia="es-GT"/>
                    </w:rPr>
                    <w:t>Grupo</w:t>
                  </w:r>
                </w:p>
              </w:tc>
              <w:tc>
                <w:tcPr>
                  <w:tcW w:w="1308" w:type="dxa"/>
                  <w:tcBorders>
                    <w:top w:val="single" w:sz="4" w:space="0" w:color="auto"/>
                    <w:left w:val="nil"/>
                    <w:bottom w:val="single" w:sz="4" w:space="0" w:color="auto"/>
                    <w:right w:val="single" w:sz="4" w:space="0" w:color="auto"/>
                  </w:tcBorders>
                  <w:shd w:val="clear" w:color="000000" w:fill="B4C6E7"/>
                  <w:vAlign w:val="center"/>
                  <w:hideMark/>
                </w:tcPr>
                <w:p w14:paraId="054CCD03" w14:textId="77777777" w:rsidR="00246A61" w:rsidRPr="00FE76BD" w:rsidRDefault="00246A61" w:rsidP="00BA4D6D">
                  <w:pPr>
                    <w:ind w:right="49"/>
                    <w:jc w:val="center"/>
                    <w:rPr>
                      <w:b/>
                      <w:bCs/>
                      <w:sz w:val="24"/>
                      <w:szCs w:val="24"/>
                      <w:lang w:eastAsia="es-GT"/>
                    </w:rPr>
                  </w:pPr>
                  <w:r w:rsidRPr="00FE76BD">
                    <w:rPr>
                      <w:b/>
                      <w:bCs/>
                      <w:sz w:val="24"/>
                      <w:szCs w:val="24"/>
                      <w:lang w:eastAsia="es-GT"/>
                    </w:rPr>
                    <w:t>WEO 01/2020 (1)</w:t>
                  </w:r>
                </w:p>
              </w:tc>
              <w:tc>
                <w:tcPr>
                  <w:tcW w:w="1417" w:type="dxa"/>
                  <w:tcBorders>
                    <w:top w:val="single" w:sz="4" w:space="0" w:color="auto"/>
                    <w:left w:val="nil"/>
                    <w:bottom w:val="single" w:sz="4" w:space="0" w:color="auto"/>
                    <w:right w:val="single" w:sz="4" w:space="0" w:color="auto"/>
                  </w:tcBorders>
                  <w:shd w:val="clear" w:color="000000" w:fill="B4C6E7"/>
                  <w:vAlign w:val="center"/>
                  <w:hideMark/>
                </w:tcPr>
                <w:p w14:paraId="6E619213" w14:textId="77777777" w:rsidR="00246A61" w:rsidRPr="00FE76BD" w:rsidRDefault="00246A61" w:rsidP="00BA4D6D">
                  <w:pPr>
                    <w:ind w:right="49"/>
                    <w:jc w:val="center"/>
                    <w:rPr>
                      <w:b/>
                      <w:bCs/>
                      <w:sz w:val="24"/>
                      <w:szCs w:val="24"/>
                      <w:lang w:eastAsia="es-GT"/>
                    </w:rPr>
                  </w:pPr>
                  <w:r w:rsidRPr="00FE76BD">
                    <w:rPr>
                      <w:b/>
                      <w:bCs/>
                      <w:sz w:val="24"/>
                      <w:szCs w:val="24"/>
                      <w:lang w:eastAsia="es-GT"/>
                    </w:rPr>
                    <w:t>WEO 04/2020</w:t>
                  </w:r>
                  <w:r w:rsidRPr="00FE76BD">
                    <w:rPr>
                      <w:b/>
                      <w:bCs/>
                      <w:sz w:val="24"/>
                      <w:szCs w:val="24"/>
                      <w:lang w:eastAsia="es-GT"/>
                    </w:rPr>
                    <w:br/>
                    <w:t>(2)</w:t>
                  </w:r>
                </w:p>
              </w:tc>
              <w:tc>
                <w:tcPr>
                  <w:tcW w:w="1276" w:type="dxa"/>
                  <w:tcBorders>
                    <w:top w:val="single" w:sz="4" w:space="0" w:color="auto"/>
                    <w:left w:val="nil"/>
                    <w:bottom w:val="single" w:sz="4" w:space="0" w:color="auto"/>
                    <w:right w:val="single" w:sz="4" w:space="0" w:color="auto"/>
                  </w:tcBorders>
                  <w:shd w:val="clear" w:color="000000" w:fill="B4C6E7"/>
                  <w:vAlign w:val="center"/>
                  <w:hideMark/>
                </w:tcPr>
                <w:p w14:paraId="302DE6A1" w14:textId="77777777" w:rsidR="00246A61" w:rsidRPr="00FE76BD" w:rsidRDefault="00246A61" w:rsidP="00BA4D6D">
                  <w:pPr>
                    <w:ind w:right="49"/>
                    <w:jc w:val="center"/>
                    <w:rPr>
                      <w:b/>
                      <w:bCs/>
                      <w:sz w:val="24"/>
                      <w:szCs w:val="24"/>
                      <w:lang w:eastAsia="es-GT"/>
                    </w:rPr>
                  </w:pPr>
                  <w:r w:rsidRPr="00FE76BD">
                    <w:rPr>
                      <w:b/>
                      <w:bCs/>
                      <w:sz w:val="24"/>
                      <w:szCs w:val="24"/>
                      <w:lang w:eastAsia="es-GT"/>
                    </w:rPr>
                    <w:t>WEO 06/2020</w:t>
                  </w:r>
                  <w:r w:rsidRPr="00FE76BD">
                    <w:rPr>
                      <w:b/>
                      <w:bCs/>
                      <w:sz w:val="24"/>
                      <w:szCs w:val="24"/>
                      <w:lang w:eastAsia="es-GT"/>
                    </w:rPr>
                    <w:br/>
                    <w:t>(3)</w:t>
                  </w:r>
                </w:p>
              </w:tc>
              <w:tc>
                <w:tcPr>
                  <w:tcW w:w="1418" w:type="dxa"/>
                  <w:tcBorders>
                    <w:top w:val="single" w:sz="4" w:space="0" w:color="auto"/>
                    <w:left w:val="nil"/>
                    <w:bottom w:val="single" w:sz="4" w:space="0" w:color="auto"/>
                    <w:right w:val="single" w:sz="4" w:space="0" w:color="auto"/>
                  </w:tcBorders>
                  <w:shd w:val="clear" w:color="000000" w:fill="B4C6E7"/>
                  <w:vAlign w:val="center"/>
                  <w:hideMark/>
                </w:tcPr>
                <w:p w14:paraId="6BF56E8D" w14:textId="77777777" w:rsidR="00246A61" w:rsidRPr="00FE76BD" w:rsidRDefault="00246A61" w:rsidP="00BA4D6D">
                  <w:pPr>
                    <w:ind w:right="49"/>
                    <w:rPr>
                      <w:b/>
                      <w:bCs/>
                      <w:sz w:val="24"/>
                      <w:szCs w:val="24"/>
                      <w:lang w:eastAsia="es-GT"/>
                    </w:rPr>
                  </w:pPr>
                  <w:r>
                    <w:rPr>
                      <w:b/>
                      <w:bCs/>
                      <w:sz w:val="24"/>
                      <w:szCs w:val="24"/>
                      <w:lang w:eastAsia="es-GT"/>
                    </w:rPr>
                    <w:t xml:space="preserve"> </w:t>
                  </w:r>
                  <w:r w:rsidRPr="00FE76BD">
                    <w:rPr>
                      <w:b/>
                      <w:bCs/>
                      <w:sz w:val="24"/>
                      <w:szCs w:val="24"/>
                      <w:lang w:eastAsia="es-GT"/>
                    </w:rPr>
                    <w:t>Variación</w:t>
                  </w:r>
                  <w:r w:rsidRPr="00FE76BD">
                    <w:rPr>
                      <w:b/>
                      <w:bCs/>
                      <w:sz w:val="24"/>
                      <w:szCs w:val="24"/>
                      <w:lang w:eastAsia="es-GT"/>
                    </w:rPr>
                    <w:br/>
                  </w:r>
                  <w:r>
                    <w:rPr>
                      <w:b/>
                      <w:bCs/>
                      <w:sz w:val="24"/>
                      <w:szCs w:val="24"/>
                      <w:lang w:eastAsia="es-GT"/>
                    </w:rPr>
                    <w:t xml:space="preserve">     </w:t>
                  </w:r>
                  <w:r w:rsidRPr="00FE76BD">
                    <w:rPr>
                      <w:b/>
                      <w:bCs/>
                      <w:sz w:val="24"/>
                      <w:szCs w:val="24"/>
                      <w:lang w:eastAsia="es-GT"/>
                    </w:rPr>
                    <w:t>(3)-(2)</w:t>
                  </w:r>
                </w:p>
              </w:tc>
            </w:tr>
            <w:tr w:rsidR="00246A61" w:rsidRPr="00FE76BD" w14:paraId="4BE27090" w14:textId="77777777" w:rsidTr="00BA4D6D">
              <w:trPr>
                <w:trHeight w:val="300"/>
                <w:jc w:val="center"/>
              </w:trPr>
              <w:tc>
                <w:tcPr>
                  <w:tcW w:w="2835" w:type="dxa"/>
                  <w:tcBorders>
                    <w:top w:val="nil"/>
                    <w:left w:val="single" w:sz="4" w:space="0" w:color="auto"/>
                    <w:bottom w:val="nil"/>
                    <w:right w:val="single" w:sz="4" w:space="0" w:color="auto"/>
                  </w:tcBorders>
                  <w:shd w:val="clear" w:color="auto" w:fill="auto"/>
                  <w:noWrap/>
                  <w:vAlign w:val="bottom"/>
                  <w:hideMark/>
                </w:tcPr>
                <w:p w14:paraId="0B505098" w14:textId="77777777" w:rsidR="00246A61" w:rsidRPr="00FE76BD" w:rsidRDefault="00246A61" w:rsidP="00BA4D6D">
                  <w:pPr>
                    <w:ind w:right="49"/>
                    <w:rPr>
                      <w:sz w:val="24"/>
                      <w:szCs w:val="24"/>
                      <w:lang w:eastAsia="es-GT"/>
                    </w:rPr>
                  </w:pPr>
                  <w:r w:rsidRPr="00FE76BD">
                    <w:rPr>
                      <w:sz w:val="24"/>
                      <w:szCs w:val="24"/>
                      <w:lang w:eastAsia="es-GT"/>
                    </w:rPr>
                    <w:t>Mundo</w:t>
                  </w:r>
                </w:p>
              </w:tc>
              <w:tc>
                <w:tcPr>
                  <w:tcW w:w="1308" w:type="dxa"/>
                  <w:tcBorders>
                    <w:top w:val="nil"/>
                    <w:left w:val="nil"/>
                    <w:bottom w:val="nil"/>
                    <w:right w:val="single" w:sz="4" w:space="0" w:color="auto"/>
                  </w:tcBorders>
                  <w:shd w:val="clear" w:color="auto" w:fill="auto"/>
                  <w:noWrap/>
                  <w:vAlign w:val="bottom"/>
                  <w:hideMark/>
                </w:tcPr>
                <w:p w14:paraId="23307F3C" w14:textId="77777777" w:rsidR="00246A61" w:rsidRPr="00FE76BD" w:rsidRDefault="00246A61" w:rsidP="00BA4D6D">
                  <w:pPr>
                    <w:ind w:left="567" w:right="49"/>
                    <w:jc w:val="center"/>
                    <w:rPr>
                      <w:sz w:val="24"/>
                      <w:szCs w:val="24"/>
                      <w:lang w:eastAsia="es-GT"/>
                    </w:rPr>
                  </w:pPr>
                  <w:r w:rsidRPr="00FE76BD">
                    <w:rPr>
                      <w:sz w:val="24"/>
                      <w:szCs w:val="24"/>
                      <w:lang w:eastAsia="es-GT"/>
                    </w:rPr>
                    <w:t>3.4</w:t>
                  </w:r>
                </w:p>
              </w:tc>
              <w:tc>
                <w:tcPr>
                  <w:tcW w:w="1417" w:type="dxa"/>
                  <w:tcBorders>
                    <w:top w:val="nil"/>
                    <w:left w:val="nil"/>
                    <w:bottom w:val="nil"/>
                    <w:right w:val="single" w:sz="4" w:space="0" w:color="auto"/>
                  </w:tcBorders>
                  <w:shd w:val="clear" w:color="auto" w:fill="auto"/>
                  <w:noWrap/>
                  <w:vAlign w:val="bottom"/>
                  <w:hideMark/>
                </w:tcPr>
                <w:p w14:paraId="168DD420" w14:textId="77777777" w:rsidR="00246A61" w:rsidRPr="00FE76BD" w:rsidRDefault="00246A61" w:rsidP="00BA4D6D">
                  <w:pPr>
                    <w:ind w:left="567" w:right="49"/>
                    <w:jc w:val="center"/>
                    <w:rPr>
                      <w:sz w:val="24"/>
                      <w:szCs w:val="24"/>
                      <w:lang w:eastAsia="es-GT"/>
                    </w:rPr>
                  </w:pPr>
                  <w:r w:rsidRPr="00FE76BD">
                    <w:rPr>
                      <w:sz w:val="24"/>
                      <w:szCs w:val="24"/>
                      <w:lang w:eastAsia="es-GT"/>
                    </w:rPr>
                    <w:t>5.8</w:t>
                  </w:r>
                </w:p>
              </w:tc>
              <w:tc>
                <w:tcPr>
                  <w:tcW w:w="1276" w:type="dxa"/>
                  <w:tcBorders>
                    <w:top w:val="nil"/>
                    <w:left w:val="nil"/>
                    <w:bottom w:val="nil"/>
                    <w:right w:val="single" w:sz="4" w:space="0" w:color="auto"/>
                  </w:tcBorders>
                  <w:shd w:val="clear" w:color="auto" w:fill="auto"/>
                  <w:noWrap/>
                  <w:vAlign w:val="bottom"/>
                  <w:hideMark/>
                </w:tcPr>
                <w:p w14:paraId="5A0F935C" w14:textId="77777777" w:rsidR="00246A61" w:rsidRPr="00FE76BD" w:rsidRDefault="00246A61" w:rsidP="00BA4D6D">
                  <w:pPr>
                    <w:ind w:left="567" w:right="49"/>
                    <w:jc w:val="center"/>
                    <w:rPr>
                      <w:sz w:val="24"/>
                      <w:szCs w:val="24"/>
                      <w:lang w:eastAsia="es-GT"/>
                    </w:rPr>
                  </w:pPr>
                  <w:r w:rsidRPr="00FE76BD">
                    <w:rPr>
                      <w:sz w:val="24"/>
                      <w:szCs w:val="24"/>
                      <w:lang w:eastAsia="es-GT"/>
                    </w:rPr>
                    <w:t>5.4</w:t>
                  </w:r>
                </w:p>
              </w:tc>
              <w:tc>
                <w:tcPr>
                  <w:tcW w:w="1418" w:type="dxa"/>
                  <w:tcBorders>
                    <w:top w:val="nil"/>
                    <w:left w:val="nil"/>
                    <w:bottom w:val="nil"/>
                    <w:right w:val="single" w:sz="4" w:space="0" w:color="auto"/>
                  </w:tcBorders>
                  <w:shd w:val="clear" w:color="auto" w:fill="auto"/>
                  <w:noWrap/>
                  <w:vAlign w:val="bottom"/>
                  <w:hideMark/>
                </w:tcPr>
                <w:p w14:paraId="2295120E" w14:textId="77777777" w:rsidR="00246A61" w:rsidRPr="00FE76BD" w:rsidRDefault="00246A61" w:rsidP="00BA4D6D">
                  <w:pPr>
                    <w:ind w:left="567" w:right="49"/>
                    <w:jc w:val="center"/>
                    <w:rPr>
                      <w:sz w:val="24"/>
                      <w:szCs w:val="24"/>
                      <w:lang w:eastAsia="es-GT"/>
                    </w:rPr>
                  </w:pPr>
                  <w:r w:rsidRPr="00FE76BD">
                    <w:rPr>
                      <w:sz w:val="24"/>
                      <w:szCs w:val="24"/>
                      <w:lang w:eastAsia="es-GT"/>
                    </w:rPr>
                    <w:t>-0.4</w:t>
                  </w:r>
                </w:p>
              </w:tc>
            </w:tr>
            <w:tr w:rsidR="00246A61" w:rsidRPr="00FE76BD" w14:paraId="0932F1E9" w14:textId="77777777" w:rsidTr="00BA4D6D">
              <w:trPr>
                <w:trHeight w:val="300"/>
                <w:jc w:val="center"/>
              </w:trPr>
              <w:tc>
                <w:tcPr>
                  <w:tcW w:w="2835" w:type="dxa"/>
                  <w:tcBorders>
                    <w:top w:val="nil"/>
                    <w:left w:val="single" w:sz="4" w:space="0" w:color="auto"/>
                    <w:bottom w:val="nil"/>
                    <w:right w:val="single" w:sz="4" w:space="0" w:color="auto"/>
                  </w:tcBorders>
                  <w:shd w:val="clear" w:color="auto" w:fill="auto"/>
                  <w:noWrap/>
                  <w:vAlign w:val="bottom"/>
                  <w:hideMark/>
                </w:tcPr>
                <w:p w14:paraId="4905171C" w14:textId="77777777" w:rsidR="00246A61" w:rsidRPr="00FE76BD" w:rsidRDefault="00246A61" w:rsidP="00BA4D6D">
                  <w:pPr>
                    <w:ind w:right="49"/>
                    <w:rPr>
                      <w:sz w:val="24"/>
                      <w:szCs w:val="24"/>
                      <w:lang w:eastAsia="es-GT"/>
                    </w:rPr>
                  </w:pPr>
                  <w:r w:rsidRPr="00FE76BD">
                    <w:rPr>
                      <w:sz w:val="24"/>
                      <w:szCs w:val="24"/>
                      <w:lang w:eastAsia="es-GT"/>
                    </w:rPr>
                    <w:t>Economías Avanzadas</w:t>
                  </w:r>
                </w:p>
              </w:tc>
              <w:tc>
                <w:tcPr>
                  <w:tcW w:w="1308" w:type="dxa"/>
                  <w:tcBorders>
                    <w:top w:val="nil"/>
                    <w:left w:val="nil"/>
                    <w:bottom w:val="nil"/>
                    <w:right w:val="single" w:sz="4" w:space="0" w:color="auto"/>
                  </w:tcBorders>
                  <w:shd w:val="clear" w:color="auto" w:fill="auto"/>
                  <w:noWrap/>
                  <w:vAlign w:val="bottom"/>
                  <w:hideMark/>
                </w:tcPr>
                <w:p w14:paraId="63545BFF" w14:textId="77777777" w:rsidR="00246A61" w:rsidRPr="00FE76BD" w:rsidRDefault="00246A61" w:rsidP="00BA4D6D">
                  <w:pPr>
                    <w:ind w:left="567" w:right="49"/>
                    <w:jc w:val="center"/>
                    <w:rPr>
                      <w:sz w:val="24"/>
                      <w:szCs w:val="24"/>
                      <w:lang w:eastAsia="es-GT"/>
                    </w:rPr>
                  </w:pPr>
                  <w:r w:rsidRPr="00FE76BD">
                    <w:rPr>
                      <w:sz w:val="24"/>
                      <w:szCs w:val="24"/>
                      <w:lang w:eastAsia="es-GT"/>
                    </w:rPr>
                    <w:t>1.6</w:t>
                  </w:r>
                </w:p>
              </w:tc>
              <w:tc>
                <w:tcPr>
                  <w:tcW w:w="1417" w:type="dxa"/>
                  <w:tcBorders>
                    <w:top w:val="nil"/>
                    <w:left w:val="nil"/>
                    <w:bottom w:val="nil"/>
                    <w:right w:val="single" w:sz="4" w:space="0" w:color="auto"/>
                  </w:tcBorders>
                  <w:shd w:val="clear" w:color="auto" w:fill="auto"/>
                  <w:noWrap/>
                  <w:vAlign w:val="bottom"/>
                  <w:hideMark/>
                </w:tcPr>
                <w:p w14:paraId="365A22C6" w14:textId="77777777" w:rsidR="00246A61" w:rsidRPr="00FE76BD" w:rsidRDefault="00246A61" w:rsidP="00BA4D6D">
                  <w:pPr>
                    <w:ind w:left="567" w:right="49"/>
                    <w:jc w:val="center"/>
                    <w:rPr>
                      <w:sz w:val="24"/>
                      <w:szCs w:val="24"/>
                      <w:lang w:eastAsia="es-GT"/>
                    </w:rPr>
                  </w:pPr>
                  <w:r w:rsidRPr="00FE76BD">
                    <w:rPr>
                      <w:sz w:val="24"/>
                      <w:szCs w:val="24"/>
                      <w:lang w:eastAsia="es-GT"/>
                    </w:rPr>
                    <w:t>4.5</w:t>
                  </w:r>
                </w:p>
              </w:tc>
              <w:tc>
                <w:tcPr>
                  <w:tcW w:w="1276" w:type="dxa"/>
                  <w:tcBorders>
                    <w:top w:val="nil"/>
                    <w:left w:val="nil"/>
                    <w:bottom w:val="nil"/>
                    <w:right w:val="single" w:sz="4" w:space="0" w:color="auto"/>
                  </w:tcBorders>
                  <w:shd w:val="clear" w:color="auto" w:fill="auto"/>
                  <w:noWrap/>
                  <w:vAlign w:val="bottom"/>
                  <w:hideMark/>
                </w:tcPr>
                <w:p w14:paraId="3AF4D74D" w14:textId="77777777" w:rsidR="00246A61" w:rsidRPr="00FE76BD" w:rsidRDefault="00246A61" w:rsidP="00BA4D6D">
                  <w:pPr>
                    <w:ind w:left="567" w:right="49"/>
                    <w:jc w:val="center"/>
                    <w:rPr>
                      <w:sz w:val="24"/>
                      <w:szCs w:val="24"/>
                      <w:lang w:eastAsia="es-GT"/>
                    </w:rPr>
                  </w:pPr>
                  <w:r w:rsidRPr="00FE76BD">
                    <w:rPr>
                      <w:sz w:val="24"/>
                      <w:szCs w:val="24"/>
                      <w:lang w:eastAsia="es-GT"/>
                    </w:rPr>
                    <w:t>4.8</w:t>
                  </w:r>
                </w:p>
              </w:tc>
              <w:tc>
                <w:tcPr>
                  <w:tcW w:w="1418" w:type="dxa"/>
                  <w:tcBorders>
                    <w:top w:val="nil"/>
                    <w:left w:val="nil"/>
                    <w:bottom w:val="nil"/>
                    <w:right w:val="single" w:sz="4" w:space="0" w:color="auto"/>
                  </w:tcBorders>
                  <w:shd w:val="clear" w:color="auto" w:fill="auto"/>
                  <w:noWrap/>
                  <w:vAlign w:val="bottom"/>
                  <w:hideMark/>
                </w:tcPr>
                <w:p w14:paraId="5DF488DA" w14:textId="77777777" w:rsidR="00246A61" w:rsidRPr="00FE76BD" w:rsidRDefault="00246A61" w:rsidP="00BA4D6D">
                  <w:pPr>
                    <w:ind w:left="567" w:right="49"/>
                    <w:jc w:val="center"/>
                    <w:rPr>
                      <w:sz w:val="24"/>
                      <w:szCs w:val="24"/>
                      <w:lang w:eastAsia="es-GT"/>
                    </w:rPr>
                  </w:pPr>
                  <w:r w:rsidRPr="00FE76BD">
                    <w:rPr>
                      <w:sz w:val="24"/>
                      <w:szCs w:val="24"/>
                      <w:lang w:eastAsia="es-GT"/>
                    </w:rPr>
                    <w:t>0.3</w:t>
                  </w:r>
                </w:p>
              </w:tc>
            </w:tr>
            <w:tr w:rsidR="00246A61" w:rsidRPr="00FE76BD" w14:paraId="42C92478" w14:textId="77777777" w:rsidTr="00BA4D6D">
              <w:trPr>
                <w:trHeight w:val="300"/>
                <w:jc w:val="center"/>
              </w:trPr>
              <w:tc>
                <w:tcPr>
                  <w:tcW w:w="2835" w:type="dxa"/>
                  <w:tcBorders>
                    <w:top w:val="nil"/>
                    <w:left w:val="single" w:sz="4" w:space="0" w:color="auto"/>
                    <w:bottom w:val="nil"/>
                    <w:right w:val="single" w:sz="4" w:space="0" w:color="auto"/>
                  </w:tcBorders>
                  <w:shd w:val="clear" w:color="auto" w:fill="auto"/>
                  <w:noWrap/>
                  <w:vAlign w:val="bottom"/>
                  <w:hideMark/>
                </w:tcPr>
                <w:p w14:paraId="02771B8A" w14:textId="77777777" w:rsidR="00246A61" w:rsidRPr="00FE76BD" w:rsidRDefault="00246A61" w:rsidP="00BA4D6D">
                  <w:pPr>
                    <w:ind w:right="49"/>
                    <w:rPr>
                      <w:sz w:val="24"/>
                      <w:szCs w:val="24"/>
                      <w:lang w:eastAsia="es-GT"/>
                    </w:rPr>
                  </w:pPr>
                  <w:r w:rsidRPr="00FE76BD">
                    <w:rPr>
                      <w:sz w:val="24"/>
                      <w:szCs w:val="24"/>
                      <w:lang w:eastAsia="es-GT"/>
                    </w:rPr>
                    <w:t>Estados Unidos</w:t>
                  </w:r>
                </w:p>
              </w:tc>
              <w:tc>
                <w:tcPr>
                  <w:tcW w:w="1308" w:type="dxa"/>
                  <w:tcBorders>
                    <w:top w:val="nil"/>
                    <w:left w:val="nil"/>
                    <w:bottom w:val="nil"/>
                    <w:right w:val="single" w:sz="4" w:space="0" w:color="auto"/>
                  </w:tcBorders>
                  <w:shd w:val="clear" w:color="auto" w:fill="auto"/>
                  <w:noWrap/>
                  <w:vAlign w:val="bottom"/>
                  <w:hideMark/>
                </w:tcPr>
                <w:p w14:paraId="2E6830D6" w14:textId="77777777" w:rsidR="00246A61" w:rsidRPr="00FE76BD" w:rsidRDefault="00246A61" w:rsidP="00BA4D6D">
                  <w:pPr>
                    <w:ind w:left="567" w:right="49"/>
                    <w:jc w:val="center"/>
                    <w:rPr>
                      <w:sz w:val="24"/>
                      <w:szCs w:val="24"/>
                      <w:lang w:eastAsia="es-GT"/>
                    </w:rPr>
                  </w:pPr>
                  <w:r w:rsidRPr="00FE76BD">
                    <w:rPr>
                      <w:sz w:val="24"/>
                      <w:szCs w:val="24"/>
                      <w:lang w:eastAsia="es-GT"/>
                    </w:rPr>
                    <w:t>1.7</w:t>
                  </w:r>
                </w:p>
              </w:tc>
              <w:tc>
                <w:tcPr>
                  <w:tcW w:w="1417" w:type="dxa"/>
                  <w:tcBorders>
                    <w:top w:val="nil"/>
                    <w:left w:val="nil"/>
                    <w:bottom w:val="nil"/>
                    <w:right w:val="single" w:sz="4" w:space="0" w:color="auto"/>
                  </w:tcBorders>
                  <w:shd w:val="clear" w:color="auto" w:fill="auto"/>
                  <w:noWrap/>
                  <w:vAlign w:val="bottom"/>
                  <w:hideMark/>
                </w:tcPr>
                <w:p w14:paraId="6E2641F5" w14:textId="77777777" w:rsidR="00246A61" w:rsidRPr="00FE76BD" w:rsidRDefault="00246A61" w:rsidP="00BA4D6D">
                  <w:pPr>
                    <w:ind w:left="567" w:right="49"/>
                    <w:jc w:val="center"/>
                    <w:rPr>
                      <w:sz w:val="24"/>
                      <w:szCs w:val="24"/>
                      <w:lang w:eastAsia="es-GT"/>
                    </w:rPr>
                  </w:pPr>
                  <w:r w:rsidRPr="00FE76BD">
                    <w:rPr>
                      <w:sz w:val="24"/>
                      <w:szCs w:val="24"/>
                      <w:lang w:eastAsia="es-GT"/>
                    </w:rPr>
                    <w:t>4.7</w:t>
                  </w:r>
                </w:p>
              </w:tc>
              <w:tc>
                <w:tcPr>
                  <w:tcW w:w="1276" w:type="dxa"/>
                  <w:tcBorders>
                    <w:top w:val="nil"/>
                    <w:left w:val="nil"/>
                    <w:bottom w:val="nil"/>
                    <w:right w:val="single" w:sz="4" w:space="0" w:color="auto"/>
                  </w:tcBorders>
                  <w:shd w:val="clear" w:color="auto" w:fill="auto"/>
                  <w:noWrap/>
                  <w:vAlign w:val="bottom"/>
                  <w:hideMark/>
                </w:tcPr>
                <w:p w14:paraId="4CBD3808" w14:textId="77777777" w:rsidR="00246A61" w:rsidRPr="00FE76BD" w:rsidRDefault="00246A61" w:rsidP="00BA4D6D">
                  <w:pPr>
                    <w:ind w:left="567" w:right="49"/>
                    <w:jc w:val="center"/>
                    <w:rPr>
                      <w:sz w:val="24"/>
                      <w:szCs w:val="24"/>
                      <w:lang w:eastAsia="es-GT"/>
                    </w:rPr>
                  </w:pPr>
                  <w:r w:rsidRPr="00FE76BD">
                    <w:rPr>
                      <w:sz w:val="24"/>
                      <w:szCs w:val="24"/>
                      <w:lang w:eastAsia="es-GT"/>
                    </w:rPr>
                    <w:t>4.5</w:t>
                  </w:r>
                </w:p>
              </w:tc>
              <w:tc>
                <w:tcPr>
                  <w:tcW w:w="1418" w:type="dxa"/>
                  <w:tcBorders>
                    <w:top w:val="nil"/>
                    <w:left w:val="nil"/>
                    <w:bottom w:val="nil"/>
                    <w:right w:val="single" w:sz="4" w:space="0" w:color="auto"/>
                  </w:tcBorders>
                  <w:shd w:val="clear" w:color="auto" w:fill="auto"/>
                  <w:noWrap/>
                  <w:vAlign w:val="bottom"/>
                  <w:hideMark/>
                </w:tcPr>
                <w:p w14:paraId="121B77A1" w14:textId="77777777" w:rsidR="00246A61" w:rsidRPr="00FE76BD" w:rsidRDefault="00246A61" w:rsidP="00BA4D6D">
                  <w:pPr>
                    <w:ind w:left="567" w:right="49"/>
                    <w:jc w:val="center"/>
                    <w:rPr>
                      <w:sz w:val="24"/>
                      <w:szCs w:val="24"/>
                      <w:lang w:eastAsia="es-GT"/>
                    </w:rPr>
                  </w:pPr>
                  <w:r w:rsidRPr="00FE76BD">
                    <w:rPr>
                      <w:sz w:val="24"/>
                      <w:szCs w:val="24"/>
                      <w:lang w:eastAsia="es-GT"/>
                    </w:rPr>
                    <w:t>-0.2</w:t>
                  </w:r>
                </w:p>
              </w:tc>
            </w:tr>
            <w:tr w:rsidR="00246A61" w:rsidRPr="00FE76BD" w14:paraId="24349AC6" w14:textId="77777777" w:rsidTr="00BA4D6D">
              <w:trPr>
                <w:trHeight w:val="300"/>
                <w:jc w:val="center"/>
              </w:trPr>
              <w:tc>
                <w:tcPr>
                  <w:tcW w:w="2835" w:type="dxa"/>
                  <w:tcBorders>
                    <w:top w:val="nil"/>
                    <w:left w:val="single" w:sz="4" w:space="0" w:color="auto"/>
                    <w:bottom w:val="nil"/>
                    <w:right w:val="single" w:sz="4" w:space="0" w:color="auto"/>
                  </w:tcBorders>
                  <w:shd w:val="clear" w:color="auto" w:fill="auto"/>
                  <w:noWrap/>
                  <w:vAlign w:val="bottom"/>
                  <w:hideMark/>
                </w:tcPr>
                <w:p w14:paraId="3988E649" w14:textId="77777777" w:rsidR="00246A61" w:rsidRPr="00FE76BD" w:rsidRDefault="00246A61" w:rsidP="00BA4D6D">
                  <w:pPr>
                    <w:ind w:right="49"/>
                    <w:rPr>
                      <w:sz w:val="24"/>
                      <w:szCs w:val="24"/>
                      <w:lang w:eastAsia="es-GT"/>
                    </w:rPr>
                  </w:pPr>
                  <w:r w:rsidRPr="00FE76BD">
                    <w:rPr>
                      <w:sz w:val="24"/>
                      <w:szCs w:val="24"/>
                      <w:lang w:eastAsia="es-GT"/>
                    </w:rPr>
                    <w:t>Zona del Euro</w:t>
                  </w:r>
                </w:p>
              </w:tc>
              <w:tc>
                <w:tcPr>
                  <w:tcW w:w="1308" w:type="dxa"/>
                  <w:tcBorders>
                    <w:top w:val="nil"/>
                    <w:left w:val="nil"/>
                    <w:bottom w:val="nil"/>
                    <w:right w:val="single" w:sz="4" w:space="0" w:color="auto"/>
                  </w:tcBorders>
                  <w:shd w:val="clear" w:color="auto" w:fill="auto"/>
                  <w:noWrap/>
                  <w:vAlign w:val="bottom"/>
                  <w:hideMark/>
                </w:tcPr>
                <w:p w14:paraId="53F75E6D" w14:textId="77777777" w:rsidR="00246A61" w:rsidRPr="00FE76BD" w:rsidRDefault="00246A61" w:rsidP="00BA4D6D">
                  <w:pPr>
                    <w:ind w:left="567" w:right="49"/>
                    <w:jc w:val="center"/>
                    <w:rPr>
                      <w:sz w:val="24"/>
                      <w:szCs w:val="24"/>
                      <w:lang w:eastAsia="es-GT"/>
                    </w:rPr>
                  </w:pPr>
                  <w:r w:rsidRPr="00FE76BD">
                    <w:rPr>
                      <w:sz w:val="24"/>
                      <w:szCs w:val="24"/>
                      <w:lang w:eastAsia="es-GT"/>
                    </w:rPr>
                    <w:t>1.4</w:t>
                  </w:r>
                </w:p>
              </w:tc>
              <w:tc>
                <w:tcPr>
                  <w:tcW w:w="1417" w:type="dxa"/>
                  <w:tcBorders>
                    <w:top w:val="nil"/>
                    <w:left w:val="nil"/>
                    <w:bottom w:val="nil"/>
                    <w:right w:val="single" w:sz="4" w:space="0" w:color="auto"/>
                  </w:tcBorders>
                  <w:shd w:val="clear" w:color="auto" w:fill="auto"/>
                  <w:noWrap/>
                  <w:vAlign w:val="bottom"/>
                  <w:hideMark/>
                </w:tcPr>
                <w:p w14:paraId="53EE689E" w14:textId="77777777" w:rsidR="00246A61" w:rsidRPr="00FE76BD" w:rsidRDefault="00246A61" w:rsidP="00BA4D6D">
                  <w:pPr>
                    <w:ind w:left="567" w:right="49"/>
                    <w:jc w:val="center"/>
                    <w:rPr>
                      <w:sz w:val="24"/>
                      <w:szCs w:val="24"/>
                      <w:lang w:eastAsia="es-GT"/>
                    </w:rPr>
                  </w:pPr>
                  <w:r w:rsidRPr="00FE76BD">
                    <w:rPr>
                      <w:sz w:val="24"/>
                      <w:szCs w:val="24"/>
                      <w:lang w:eastAsia="es-GT"/>
                    </w:rPr>
                    <w:t>4.7</w:t>
                  </w:r>
                </w:p>
              </w:tc>
              <w:tc>
                <w:tcPr>
                  <w:tcW w:w="1276" w:type="dxa"/>
                  <w:tcBorders>
                    <w:top w:val="nil"/>
                    <w:left w:val="nil"/>
                    <w:bottom w:val="nil"/>
                    <w:right w:val="single" w:sz="4" w:space="0" w:color="auto"/>
                  </w:tcBorders>
                  <w:shd w:val="clear" w:color="auto" w:fill="auto"/>
                  <w:noWrap/>
                  <w:vAlign w:val="bottom"/>
                  <w:hideMark/>
                </w:tcPr>
                <w:p w14:paraId="7C305A40" w14:textId="77777777" w:rsidR="00246A61" w:rsidRPr="00FE76BD" w:rsidRDefault="00246A61" w:rsidP="00BA4D6D">
                  <w:pPr>
                    <w:ind w:left="567" w:right="49"/>
                    <w:jc w:val="center"/>
                    <w:rPr>
                      <w:sz w:val="24"/>
                      <w:szCs w:val="24"/>
                      <w:lang w:eastAsia="es-GT"/>
                    </w:rPr>
                  </w:pPr>
                  <w:r w:rsidRPr="00FE76BD">
                    <w:rPr>
                      <w:sz w:val="24"/>
                      <w:szCs w:val="24"/>
                      <w:lang w:eastAsia="es-GT"/>
                    </w:rPr>
                    <w:t>6.0</w:t>
                  </w:r>
                </w:p>
              </w:tc>
              <w:tc>
                <w:tcPr>
                  <w:tcW w:w="1418" w:type="dxa"/>
                  <w:tcBorders>
                    <w:top w:val="nil"/>
                    <w:left w:val="nil"/>
                    <w:bottom w:val="nil"/>
                    <w:right w:val="single" w:sz="4" w:space="0" w:color="auto"/>
                  </w:tcBorders>
                  <w:shd w:val="clear" w:color="auto" w:fill="auto"/>
                  <w:noWrap/>
                  <w:vAlign w:val="bottom"/>
                  <w:hideMark/>
                </w:tcPr>
                <w:p w14:paraId="660335D2" w14:textId="77777777" w:rsidR="00246A61" w:rsidRPr="00FE76BD" w:rsidRDefault="00246A61" w:rsidP="00BA4D6D">
                  <w:pPr>
                    <w:ind w:left="567" w:right="49"/>
                    <w:jc w:val="center"/>
                    <w:rPr>
                      <w:sz w:val="24"/>
                      <w:szCs w:val="24"/>
                      <w:lang w:eastAsia="es-GT"/>
                    </w:rPr>
                  </w:pPr>
                  <w:r w:rsidRPr="00FE76BD">
                    <w:rPr>
                      <w:sz w:val="24"/>
                      <w:szCs w:val="24"/>
                      <w:lang w:eastAsia="es-GT"/>
                    </w:rPr>
                    <w:t>1.3</w:t>
                  </w:r>
                </w:p>
              </w:tc>
            </w:tr>
            <w:tr w:rsidR="00246A61" w:rsidRPr="00FE76BD" w14:paraId="0F769A02" w14:textId="77777777" w:rsidTr="00BA4D6D">
              <w:trPr>
                <w:trHeight w:val="300"/>
                <w:jc w:val="center"/>
              </w:trPr>
              <w:tc>
                <w:tcPr>
                  <w:tcW w:w="2835" w:type="dxa"/>
                  <w:tcBorders>
                    <w:top w:val="nil"/>
                    <w:left w:val="single" w:sz="4" w:space="0" w:color="auto"/>
                    <w:bottom w:val="nil"/>
                    <w:right w:val="single" w:sz="4" w:space="0" w:color="auto"/>
                  </w:tcBorders>
                  <w:shd w:val="clear" w:color="auto" w:fill="auto"/>
                  <w:noWrap/>
                  <w:vAlign w:val="bottom"/>
                  <w:hideMark/>
                </w:tcPr>
                <w:p w14:paraId="11225D79" w14:textId="77777777" w:rsidR="00246A61" w:rsidRPr="00FE76BD" w:rsidRDefault="00246A61" w:rsidP="00BA4D6D">
                  <w:pPr>
                    <w:ind w:right="49"/>
                    <w:rPr>
                      <w:sz w:val="24"/>
                      <w:szCs w:val="24"/>
                      <w:lang w:eastAsia="es-GT"/>
                    </w:rPr>
                  </w:pPr>
                  <w:r w:rsidRPr="00FE76BD">
                    <w:rPr>
                      <w:sz w:val="24"/>
                      <w:szCs w:val="24"/>
                      <w:lang w:eastAsia="es-GT"/>
                    </w:rPr>
                    <w:t>Economías Emergentes y en Desarrollo</w:t>
                  </w:r>
                </w:p>
              </w:tc>
              <w:tc>
                <w:tcPr>
                  <w:tcW w:w="1308" w:type="dxa"/>
                  <w:tcBorders>
                    <w:top w:val="nil"/>
                    <w:left w:val="nil"/>
                    <w:bottom w:val="nil"/>
                    <w:right w:val="single" w:sz="4" w:space="0" w:color="auto"/>
                  </w:tcBorders>
                  <w:shd w:val="clear" w:color="auto" w:fill="auto"/>
                  <w:noWrap/>
                  <w:vAlign w:val="bottom"/>
                  <w:hideMark/>
                </w:tcPr>
                <w:p w14:paraId="6E689FA1" w14:textId="77777777" w:rsidR="00246A61" w:rsidRPr="00FE76BD" w:rsidRDefault="00246A61" w:rsidP="00BA4D6D">
                  <w:pPr>
                    <w:ind w:left="567" w:right="49"/>
                    <w:jc w:val="center"/>
                    <w:rPr>
                      <w:sz w:val="24"/>
                      <w:szCs w:val="24"/>
                      <w:lang w:eastAsia="es-GT"/>
                    </w:rPr>
                  </w:pPr>
                  <w:r w:rsidRPr="00FE76BD">
                    <w:rPr>
                      <w:sz w:val="24"/>
                      <w:szCs w:val="24"/>
                      <w:lang w:eastAsia="es-GT"/>
                    </w:rPr>
                    <w:t>4.6</w:t>
                  </w:r>
                </w:p>
              </w:tc>
              <w:tc>
                <w:tcPr>
                  <w:tcW w:w="1417" w:type="dxa"/>
                  <w:tcBorders>
                    <w:top w:val="nil"/>
                    <w:left w:val="nil"/>
                    <w:bottom w:val="nil"/>
                    <w:right w:val="single" w:sz="4" w:space="0" w:color="auto"/>
                  </w:tcBorders>
                  <w:shd w:val="clear" w:color="auto" w:fill="auto"/>
                  <w:noWrap/>
                  <w:vAlign w:val="bottom"/>
                  <w:hideMark/>
                </w:tcPr>
                <w:p w14:paraId="3EC0D7ED" w14:textId="77777777" w:rsidR="00246A61" w:rsidRPr="00FE76BD" w:rsidRDefault="00246A61" w:rsidP="00BA4D6D">
                  <w:pPr>
                    <w:ind w:left="567" w:right="49"/>
                    <w:jc w:val="center"/>
                    <w:rPr>
                      <w:sz w:val="24"/>
                      <w:szCs w:val="24"/>
                      <w:lang w:eastAsia="es-GT"/>
                    </w:rPr>
                  </w:pPr>
                  <w:r w:rsidRPr="00FE76BD">
                    <w:rPr>
                      <w:sz w:val="24"/>
                      <w:szCs w:val="24"/>
                      <w:lang w:eastAsia="es-GT"/>
                    </w:rPr>
                    <w:t>6.6</w:t>
                  </w:r>
                </w:p>
              </w:tc>
              <w:tc>
                <w:tcPr>
                  <w:tcW w:w="1276" w:type="dxa"/>
                  <w:tcBorders>
                    <w:top w:val="nil"/>
                    <w:left w:val="nil"/>
                    <w:bottom w:val="nil"/>
                    <w:right w:val="single" w:sz="4" w:space="0" w:color="auto"/>
                  </w:tcBorders>
                  <w:shd w:val="clear" w:color="auto" w:fill="auto"/>
                  <w:noWrap/>
                  <w:vAlign w:val="bottom"/>
                  <w:hideMark/>
                </w:tcPr>
                <w:p w14:paraId="0728836E" w14:textId="77777777" w:rsidR="00246A61" w:rsidRPr="00FE76BD" w:rsidRDefault="00246A61" w:rsidP="00BA4D6D">
                  <w:pPr>
                    <w:ind w:left="567" w:right="49"/>
                    <w:jc w:val="center"/>
                    <w:rPr>
                      <w:sz w:val="24"/>
                      <w:szCs w:val="24"/>
                      <w:lang w:eastAsia="es-GT"/>
                    </w:rPr>
                  </w:pPr>
                  <w:r w:rsidRPr="00FE76BD">
                    <w:rPr>
                      <w:sz w:val="24"/>
                      <w:szCs w:val="24"/>
                      <w:lang w:eastAsia="es-GT"/>
                    </w:rPr>
                    <w:t>5.9</w:t>
                  </w:r>
                </w:p>
              </w:tc>
              <w:tc>
                <w:tcPr>
                  <w:tcW w:w="1418" w:type="dxa"/>
                  <w:tcBorders>
                    <w:top w:val="nil"/>
                    <w:left w:val="nil"/>
                    <w:bottom w:val="nil"/>
                    <w:right w:val="single" w:sz="4" w:space="0" w:color="auto"/>
                  </w:tcBorders>
                  <w:shd w:val="clear" w:color="auto" w:fill="auto"/>
                  <w:noWrap/>
                  <w:vAlign w:val="bottom"/>
                  <w:hideMark/>
                </w:tcPr>
                <w:p w14:paraId="3846CEC1" w14:textId="77777777" w:rsidR="00246A61" w:rsidRPr="00FE76BD" w:rsidRDefault="00246A61" w:rsidP="00BA4D6D">
                  <w:pPr>
                    <w:ind w:left="567" w:right="49"/>
                    <w:jc w:val="center"/>
                    <w:rPr>
                      <w:sz w:val="24"/>
                      <w:szCs w:val="24"/>
                      <w:lang w:eastAsia="es-GT"/>
                    </w:rPr>
                  </w:pPr>
                  <w:r w:rsidRPr="00FE76BD">
                    <w:rPr>
                      <w:sz w:val="24"/>
                      <w:szCs w:val="24"/>
                      <w:lang w:eastAsia="es-GT"/>
                    </w:rPr>
                    <w:t>-0.7</w:t>
                  </w:r>
                </w:p>
              </w:tc>
            </w:tr>
            <w:tr w:rsidR="00246A61" w:rsidRPr="00FE76BD" w14:paraId="5F56B2B5" w14:textId="77777777" w:rsidTr="00BA4D6D">
              <w:trPr>
                <w:trHeight w:val="300"/>
                <w:jc w:val="center"/>
              </w:trPr>
              <w:tc>
                <w:tcPr>
                  <w:tcW w:w="2835" w:type="dxa"/>
                  <w:tcBorders>
                    <w:top w:val="nil"/>
                    <w:left w:val="single" w:sz="4" w:space="0" w:color="auto"/>
                    <w:bottom w:val="single" w:sz="4" w:space="0" w:color="auto"/>
                    <w:right w:val="single" w:sz="4" w:space="0" w:color="auto"/>
                  </w:tcBorders>
                  <w:shd w:val="clear" w:color="auto" w:fill="auto"/>
                  <w:noWrap/>
                  <w:vAlign w:val="bottom"/>
                  <w:hideMark/>
                </w:tcPr>
                <w:p w14:paraId="53FEF4AD" w14:textId="77777777" w:rsidR="00246A61" w:rsidRPr="00FE76BD" w:rsidRDefault="00246A61" w:rsidP="00BA4D6D">
                  <w:pPr>
                    <w:ind w:right="49"/>
                    <w:rPr>
                      <w:sz w:val="24"/>
                      <w:szCs w:val="24"/>
                      <w:lang w:eastAsia="es-GT"/>
                    </w:rPr>
                  </w:pPr>
                  <w:r w:rsidRPr="00FE76BD">
                    <w:rPr>
                      <w:sz w:val="24"/>
                      <w:szCs w:val="24"/>
                      <w:lang w:eastAsia="es-GT"/>
                    </w:rPr>
                    <w:t>Latinoamérica y el Caribe</w:t>
                  </w:r>
                </w:p>
              </w:tc>
              <w:tc>
                <w:tcPr>
                  <w:tcW w:w="1308" w:type="dxa"/>
                  <w:tcBorders>
                    <w:top w:val="nil"/>
                    <w:left w:val="nil"/>
                    <w:bottom w:val="single" w:sz="4" w:space="0" w:color="auto"/>
                    <w:right w:val="single" w:sz="4" w:space="0" w:color="auto"/>
                  </w:tcBorders>
                  <w:shd w:val="clear" w:color="auto" w:fill="auto"/>
                  <w:noWrap/>
                  <w:vAlign w:val="bottom"/>
                  <w:hideMark/>
                </w:tcPr>
                <w:p w14:paraId="76FD624B" w14:textId="77777777" w:rsidR="00246A61" w:rsidRPr="00FE76BD" w:rsidRDefault="00246A61" w:rsidP="00BA4D6D">
                  <w:pPr>
                    <w:ind w:left="567" w:right="49"/>
                    <w:jc w:val="center"/>
                    <w:rPr>
                      <w:sz w:val="24"/>
                      <w:szCs w:val="24"/>
                      <w:lang w:eastAsia="es-GT"/>
                    </w:rPr>
                  </w:pPr>
                  <w:r w:rsidRPr="00FE76BD">
                    <w:rPr>
                      <w:sz w:val="24"/>
                      <w:szCs w:val="24"/>
                      <w:lang w:eastAsia="es-GT"/>
                    </w:rPr>
                    <w:t>2.3</w:t>
                  </w:r>
                </w:p>
              </w:tc>
              <w:tc>
                <w:tcPr>
                  <w:tcW w:w="1417" w:type="dxa"/>
                  <w:tcBorders>
                    <w:top w:val="nil"/>
                    <w:left w:val="nil"/>
                    <w:bottom w:val="single" w:sz="4" w:space="0" w:color="auto"/>
                    <w:right w:val="single" w:sz="4" w:space="0" w:color="auto"/>
                  </w:tcBorders>
                  <w:shd w:val="clear" w:color="auto" w:fill="auto"/>
                  <w:noWrap/>
                  <w:vAlign w:val="bottom"/>
                  <w:hideMark/>
                </w:tcPr>
                <w:p w14:paraId="71B0C217" w14:textId="77777777" w:rsidR="00246A61" w:rsidRPr="00FE76BD" w:rsidRDefault="00246A61" w:rsidP="00BA4D6D">
                  <w:pPr>
                    <w:ind w:left="567" w:right="49"/>
                    <w:jc w:val="center"/>
                    <w:rPr>
                      <w:sz w:val="24"/>
                      <w:szCs w:val="24"/>
                      <w:lang w:eastAsia="es-GT"/>
                    </w:rPr>
                  </w:pPr>
                  <w:r w:rsidRPr="00FE76BD">
                    <w:rPr>
                      <w:sz w:val="24"/>
                      <w:szCs w:val="24"/>
                      <w:lang w:eastAsia="es-GT"/>
                    </w:rPr>
                    <w:t>3.4</w:t>
                  </w:r>
                </w:p>
              </w:tc>
              <w:tc>
                <w:tcPr>
                  <w:tcW w:w="1276" w:type="dxa"/>
                  <w:tcBorders>
                    <w:top w:val="nil"/>
                    <w:left w:val="nil"/>
                    <w:bottom w:val="single" w:sz="4" w:space="0" w:color="auto"/>
                    <w:right w:val="single" w:sz="4" w:space="0" w:color="auto"/>
                  </w:tcBorders>
                  <w:shd w:val="clear" w:color="auto" w:fill="auto"/>
                  <w:noWrap/>
                  <w:vAlign w:val="bottom"/>
                  <w:hideMark/>
                </w:tcPr>
                <w:p w14:paraId="2512ED75" w14:textId="77777777" w:rsidR="00246A61" w:rsidRPr="00FE76BD" w:rsidRDefault="00246A61" w:rsidP="00BA4D6D">
                  <w:pPr>
                    <w:ind w:left="567" w:right="49"/>
                    <w:jc w:val="center"/>
                    <w:rPr>
                      <w:sz w:val="24"/>
                      <w:szCs w:val="24"/>
                      <w:lang w:eastAsia="es-GT"/>
                    </w:rPr>
                  </w:pPr>
                  <w:r w:rsidRPr="00FE76BD">
                    <w:rPr>
                      <w:sz w:val="24"/>
                      <w:szCs w:val="24"/>
                      <w:lang w:eastAsia="es-GT"/>
                    </w:rPr>
                    <w:t>3.7</w:t>
                  </w:r>
                </w:p>
              </w:tc>
              <w:tc>
                <w:tcPr>
                  <w:tcW w:w="1418" w:type="dxa"/>
                  <w:tcBorders>
                    <w:top w:val="nil"/>
                    <w:left w:val="nil"/>
                    <w:bottom w:val="single" w:sz="4" w:space="0" w:color="auto"/>
                    <w:right w:val="single" w:sz="4" w:space="0" w:color="auto"/>
                  </w:tcBorders>
                  <w:shd w:val="clear" w:color="auto" w:fill="auto"/>
                  <w:noWrap/>
                  <w:vAlign w:val="bottom"/>
                  <w:hideMark/>
                </w:tcPr>
                <w:p w14:paraId="622C7A24" w14:textId="77777777" w:rsidR="00246A61" w:rsidRPr="00FE76BD" w:rsidRDefault="00246A61" w:rsidP="00BA4D6D">
                  <w:pPr>
                    <w:ind w:left="567" w:right="49"/>
                    <w:jc w:val="center"/>
                    <w:rPr>
                      <w:sz w:val="24"/>
                      <w:szCs w:val="24"/>
                      <w:lang w:eastAsia="es-GT"/>
                    </w:rPr>
                  </w:pPr>
                  <w:r w:rsidRPr="00FE76BD">
                    <w:rPr>
                      <w:sz w:val="24"/>
                      <w:szCs w:val="24"/>
                      <w:lang w:eastAsia="es-GT"/>
                    </w:rPr>
                    <w:t>0.3</w:t>
                  </w:r>
                </w:p>
              </w:tc>
            </w:tr>
          </w:tbl>
          <w:p w14:paraId="1C12BEB8" w14:textId="77777777" w:rsidR="00246A61" w:rsidRPr="00FE76BD" w:rsidRDefault="00246A61" w:rsidP="00BA4D6D">
            <w:pPr>
              <w:ind w:right="49"/>
              <w:rPr>
                <w:szCs w:val="24"/>
              </w:rPr>
            </w:pPr>
            <w:r>
              <w:rPr>
                <w:szCs w:val="24"/>
              </w:rPr>
              <w:t xml:space="preserve">    </w:t>
            </w:r>
            <w:r w:rsidRPr="00FE76BD">
              <w:rPr>
                <w:szCs w:val="24"/>
              </w:rPr>
              <w:t xml:space="preserve">Fuente: </w:t>
            </w:r>
            <w:r>
              <w:rPr>
                <w:szCs w:val="24"/>
              </w:rPr>
              <w:t xml:space="preserve">Elaboración DAPF con información </w:t>
            </w:r>
            <w:r w:rsidRPr="00FE76BD">
              <w:rPr>
                <w:szCs w:val="24"/>
              </w:rPr>
              <w:t>FMI, WEO junio de 2020</w:t>
            </w:r>
          </w:p>
          <w:p w14:paraId="162B6114" w14:textId="77777777" w:rsidR="00246A61" w:rsidRPr="00FE76BD" w:rsidRDefault="00246A61" w:rsidP="00BA4D6D">
            <w:pPr>
              <w:ind w:left="567" w:right="49"/>
              <w:rPr>
                <w:sz w:val="24"/>
                <w:szCs w:val="24"/>
              </w:rPr>
            </w:pPr>
          </w:p>
        </w:tc>
      </w:tr>
    </w:tbl>
    <w:p w14:paraId="128A96F9" w14:textId="487B46AF" w:rsidR="00246A61" w:rsidRDefault="00246A61" w:rsidP="00246A61">
      <w:pPr>
        <w:ind w:left="567" w:right="49"/>
        <w:jc w:val="both"/>
        <w:rPr>
          <w:sz w:val="24"/>
          <w:szCs w:val="24"/>
          <w:lang w:val="es-MX"/>
        </w:rPr>
      </w:pPr>
      <w:r>
        <w:rPr>
          <w:sz w:val="24"/>
          <w:szCs w:val="24"/>
          <w:lang w:val="es-MX"/>
        </w:rPr>
        <w:t xml:space="preserve">Estimaciones preliminares para </w:t>
      </w:r>
      <w:r w:rsidRPr="00FE76BD">
        <w:rPr>
          <w:sz w:val="24"/>
          <w:szCs w:val="24"/>
          <w:lang w:val="es-MX"/>
        </w:rPr>
        <w:t xml:space="preserve">2021 </w:t>
      </w:r>
      <w:r>
        <w:rPr>
          <w:sz w:val="24"/>
          <w:szCs w:val="24"/>
          <w:lang w:val="es-MX"/>
        </w:rPr>
        <w:t>prevén un</w:t>
      </w:r>
      <w:r w:rsidRPr="00FE76BD">
        <w:rPr>
          <w:sz w:val="24"/>
          <w:szCs w:val="24"/>
          <w:lang w:val="es-MX"/>
        </w:rPr>
        <w:t xml:space="preserve"> crecimiento económico mundial </w:t>
      </w:r>
      <w:r>
        <w:rPr>
          <w:sz w:val="24"/>
          <w:szCs w:val="24"/>
          <w:lang w:val="es-MX"/>
        </w:rPr>
        <w:t>del</w:t>
      </w:r>
      <w:r w:rsidRPr="00FE76BD">
        <w:rPr>
          <w:sz w:val="24"/>
          <w:szCs w:val="24"/>
          <w:lang w:val="es-MX"/>
        </w:rPr>
        <w:t xml:space="preserve"> 5.4%, reflejando una normalización hacia su tendencia de largo plazo. Este rebote depende de un desvanecimiento de la pandemia en la segunda mitad del 2020, mostrando los resultados de las estrategias de contención de la enfermedad tomadas en la mayor parte del mundo y se logre una recuperación de la confianza de los consumidores e inversores. Asimismo, se espera la efectividad de las políticas económicas para limitar los efectos negativos en la actividad económica y financiera, de tal manera que estas acciones prevengan efectos negativos en el desempleo y el sistema crediticio.</w:t>
      </w:r>
    </w:p>
    <w:p w14:paraId="3C538622" w14:textId="77777777" w:rsidR="00E420AA" w:rsidRPr="00FE76BD" w:rsidRDefault="00E420AA" w:rsidP="00246A61">
      <w:pPr>
        <w:ind w:left="567" w:right="49"/>
        <w:jc w:val="both"/>
        <w:rPr>
          <w:sz w:val="24"/>
          <w:szCs w:val="24"/>
          <w:lang w:val="es-MX"/>
        </w:rPr>
      </w:pPr>
    </w:p>
    <w:p w14:paraId="69CE915E" w14:textId="6B4DA908" w:rsidR="00246A61" w:rsidRDefault="00246A61" w:rsidP="00246A61">
      <w:pPr>
        <w:ind w:left="567" w:right="49"/>
        <w:jc w:val="both"/>
        <w:rPr>
          <w:sz w:val="24"/>
          <w:szCs w:val="24"/>
          <w:lang w:val="es-MX"/>
        </w:rPr>
      </w:pPr>
      <w:r w:rsidRPr="00FE76BD">
        <w:rPr>
          <w:sz w:val="24"/>
          <w:szCs w:val="24"/>
          <w:lang w:val="es-MX"/>
        </w:rPr>
        <w:t>El crecimiento de las economías avanzadas se estima en 4.8% para el 2021, esto debido a que se espera que el crecimiento de Estados Unidos se ubique en 4.5% en el mismo año, esto por la recuperación de la confianza de los agentes económicos y el fuerte apoyo en las políticas de salud y económicas. En la Zona del Euro se espera un crecimiento de 6.0%, derivado del desvanecimiento de la pandemia en la región y los efectos de las políticas fiscales y monetarias acomodaticias.</w:t>
      </w:r>
    </w:p>
    <w:p w14:paraId="1D5A7A37" w14:textId="77777777" w:rsidR="00E420AA" w:rsidRPr="00FE76BD" w:rsidRDefault="00E420AA" w:rsidP="00246A61">
      <w:pPr>
        <w:ind w:left="567" w:right="49"/>
        <w:jc w:val="both"/>
        <w:rPr>
          <w:sz w:val="24"/>
          <w:szCs w:val="24"/>
          <w:lang w:val="es-MX"/>
        </w:rPr>
      </w:pPr>
    </w:p>
    <w:p w14:paraId="34ABA4DB" w14:textId="4BC2ADAD" w:rsidR="00246A61" w:rsidRDefault="00246A61" w:rsidP="00246A61">
      <w:pPr>
        <w:ind w:left="567" w:right="49"/>
        <w:jc w:val="both"/>
        <w:rPr>
          <w:sz w:val="24"/>
          <w:szCs w:val="24"/>
          <w:lang w:val="es-MX"/>
        </w:rPr>
      </w:pPr>
      <w:r w:rsidRPr="00FE76BD">
        <w:rPr>
          <w:sz w:val="24"/>
          <w:szCs w:val="24"/>
          <w:lang w:val="es-MX"/>
        </w:rPr>
        <w:t xml:space="preserve">En las economías emergentes y en desarrollo se </w:t>
      </w:r>
      <w:r w:rsidR="003438B8" w:rsidRPr="00FE76BD">
        <w:rPr>
          <w:sz w:val="24"/>
          <w:szCs w:val="24"/>
          <w:lang w:val="es-MX"/>
        </w:rPr>
        <w:t>pronostica</w:t>
      </w:r>
      <w:r w:rsidRPr="00FE76BD">
        <w:rPr>
          <w:sz w:val="24"/>
          <w:szCs w:val="24"/>
          <w:lang w:val="es-MX"/>
        </w:rPr>
        <w:t xml:space="preserve"> que su crecimiento esté en 5.9% en el 2021, esto es con la expectativa de una fuerte recuperación del crecimiento</w:t>
      </w:r>
      <w:r>
        <w:rPr>
          <w:sz w:val="24"/>
          <w:szCs w:val="24"/>
          <w:lang w:val="es-MX"/>
        </w:rPr>
        <w:t xml:space="preserve"> </w:t>
      </w:r>
      <w:r w:rsidRPr="009A6504">
        <w:rPr>
          <w:sz w:val="24"/>
          <w:szCs w:val="24"/>
          <w:lang w:val="es-MX"/>
        </w:rPr>
        <w:t>de</w:t>
      </w:r>
      <w:r w:rsidRPr="00FE76BD">
        <w:rPr>
          <w:sz w:val="24"/>
          <w:szCs w:val="24"/>
          <w:lang w:val="es-MX"/>
        </w:rPr>
        <w:t xml:space="preserve"> China (8.2%) y la </w:t>
      </w:r>
      <w:r w:rsidRPr="00FE76BD">
        <w:rPr>
          <w:sz w:val="24"/>
          <w:szCs w:val="24"/>
          <w:lang w:val="es-MX"/>
        </w:rPr>
        <w:lastRenderedPageBreak/>
        <w:t>recuperación de los flujos del comercio internacional y de inversión. Para las otras economías diferentes de China se espera un crecimiento más modesto, para las economías emergentes y en desarrollo de Europa un 4.3% y para Latinoamérica y el Caribe en 3.7%. El crecimiento de Latinoamérica se sustenta en la recuperación y desvanecimiento de los efectos de la pandemia en la región, y una fuerte recuperación en el sector fiscal y empresarial.</w:t>
      </w:r>
    </w:p>
    <w:p w14:paraId="37E03A01" w14:textId="77777777" w:rsidR="00246A61" w:rsidRPr="00FE76BD" w:rsidRDefault="00246A61" w:rsidP="00246A61">
      <w:pPr>
        <w:ind w:left="567" w:right="49"/>
        <w:jc w:val="both"/>
        <w:rPr>
          <w:sz w:val="24"/>
          <w:szCs w:val="24"/>
          <w:lang w:val="es-MX"/>
        </w:rPr>
      </w:pPr>
    </w:p>
    <w:p w14:paraId="301E070A" w14:textId="77777777" w:rsidR="00246A61" w:rsidRDefault="00246A61" w:rsidP="00246A61">
      <w:pPr>
        <w:ind w:left="567" w:right="49"/>
        <w:jc w:val="both"/>
        <w:rPr>
          <w:sz w:val="24"/>
          <w:szCs w:val="24"/>
        </w:rPr>
      </w:pPr>
      <w:r>
        <w:rPr>
          <w:sz w:val="24"/>
          <w:szCs w:val="24"/>
        </w:rPr>
        <w:t>El</w:t>
      </w:r>
      <w:r w:rsidRPr="00FE76BD">
        <w:rPr>
          <w:sz w:val="24"/>
          <w:szCs w:val="24"/>
        </w:rPr>
        <w:t xml:space="preserve"> crecimiento económico para la región Centroamericana se contraiga un 2.2% con relación al 2019. El crecimiento económico para Costa Rica estará alrededor de –3.3%, el de El Salvador en -5.4%, Honduras -2.4% y Nicaragua -6.0%, respectivamente. Estas reducciones en la tasa de crecimiento se explican por la exposición de la región a la contracción económica de Estados Unidos, debido a las remesas de los migrantes y la reducción de las exportaciones a dicho país. A pesar de que la reducción de los precios de productos básicos no genera un gran problema para la región, debido a que es una importadora neta de alimentos y energía, la reducción en el turismo y la inversión extranjera directa traerán también efectos negativos</w:t>
      </w:r>
    </w:p>
    <w:p w14:paraId="0B00D9D6" w14:textId="77777777" w:rsidR="00246A61" w:rsidRDefault="00246A61" w:rsidP="00246A61">
      <w:pPr>
        <w:ind w:right="49"/>
        <w:jc w:val="both"/>
        <w:rPr>
          <w:sz w:val="24"/>
          <w:szCs w:val="24"/>
        </w:rPr>
      </w:pPr>
    </w:p>
    <w:p w14:paraId="3AB199FE" w14:textId="77777777" w:rsidR="00246A61" w:rsidRPr="00FE76BD" w:rsidRDefault="00246A61" w:rsidP="00246A61">
      <w:pPr>
        <w:ind w:left="567" w:right="49"/>
        <w:jc w:val="both"/>
        <w:rPr>
          <w:sz w:val="24"/>
          <w:szCs w:val="24"/>
          <w:lang w:val="es-MX"/>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962"/>
      </w:tblGrid>
      <w:tr w:rsidR="00246A61" w:rsidRPr="00FE76BD" w14:paraId="02525741" w14:textId="77777777" w:rsidTr="00BA4D6D">
        <w:tc>
          <w:tcPr>
            <w:tcW w:w="9962" w:type="dxa"/>
          </w:tcPr>
          <w:p w14:paraId="4A6D8867" w14:textId="77777777" w:rsidR="00246A61" w:rsidRDefault="00246A61" w:rsidP="00BA4D6D">
            <w:pPr>
              <w:pStyle w:val="Epgrafe"/>
              <w:keepNext/>
              <w:ind w:left="567" w:right="49"/>
              <w:rPr>
                <w:color w:val="auto"/>
                <w:sz w:val="24"/>
                <w:szCs w:val="24"/>
              </w:rPr>
            </w:pPr>
            <w:r w:rsidRPr="00FE76BD">
              <w:rPr>
                <w:color w:val="auto"/>
                <w:sz w:val="24"/>
                <w:szCs w:val="24"/>
              </w:rPr>
              <w:t>Gráfico 3. Perspectivas del crecimiento económico de Centroamérica</w:t>
            </w:r>
          </w:p>
          <w:p w14:paraId="6716BD2B" w14:textId="77777777" w:rsidR="00246A61" w:rsidRPr="00D8780F" w:rsidRDefault="00246A61" w:rsidP="00BA4D6D">
            <w:pPr>
              <w:jc w:val="center"/>
            </w:pPr>
            <w:r>
              <w:t>Porcentajes</w:t>
            </w:r>
          </w:p>
          <w:p w14:paraId="6E640E15" w14:textId="77777777" w:rsidR="00246A61" w:rsidRPr="00FE76BD" w:rsidRDefault="00246A61" w:rsidP="00BA4D6D">
            <w:pPr>
              <w:ind w:left="567" w:right="49"/>
              <w:jc w:val="center"/>
              <w:rPr>
                <w:sz w:val="24"/>
                <w:szCs w:val="24"/>
                <w:lang w:val="es-MX"/>
              </w:rPr>
            </w:pPr>
            <w:r w:rsidRPr="00FE76BD">
              <w:rPr>
                <w:noProof/>
                <w:sz w:val="24"/>
                <w:szCs w:val="24"/>
                <w:lang w:val="es-ES"/>
              </w:rPr>
              <w:drawing>
                <wp:inline distT="0" distB="0" distL="0" distR="0" wp14:anchorId="15EB21E1" wp14:editId="787F7699">
                  <wp:extent cx="5075859" cy="2588223"/>
                  <wp:effectExtent l="0" t="0" r="0" b="3175"/>
                  <wp:docPr id="50" name="Gráfico 50">
                    <a:extLst xmlns:a="http://schemas.openxmlformats.org/drawingml/2006/main">
                      <a:ext uri="{FF2B5EF4-FFF2-40B4-BE49-F238E27FC236}">
                        <a16:creationId xmlns:a16="http://schemas.microsoft.com/office/drawing/2014/main" xmlns:w16se="http://schemas.microsoft.com/office/word/2015/wordml/symex" xmlns:w15="http://schemas.microsoft.com/office/word/2012/wordml" xmlns:w="http://schemas.openxmlformats.org/wordprocessingml/2006/main" xmlns:w10="urn:schemas-microsoft-com:office:word" xmlns:v="urn:schemas-microsoft-com:vml" xmlns:o="urn:schemas-microsoft-com:office:office" xmlns:cx="http://schemas.microsoft.com/office/drawing/2014/chartex" xmlns="" id="{FC308A11-9ED2-42BF-AE30-645F0B208A2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14:paraId="0F7D3850" w14:textId="77777777" w:rsidR="00246A61" w:rsidRPr="00FE76BD" w:rsidRDefault="00246A61" w:rsidP="00BA4D6D">
            <w:pPr>
              <w:ind w:left="567" w:right="49" w:firstLine="708"/>
              <w:rPr>
                <w:szCs w:val="24"/>
              </w:rPr>
            </w:pPr>
            <w:r w:rsidRPr="00FE76BD">
              <w:rPr>
                <w:szCs w:val="24"/>
              </w:rPr>
              <w:t xml:space="preserve">Fuente: Elaboración </w:t>
            </w:r>
            <w:r>
              <w:rPr>
                <w:szCs w:val="24"/>
              </w:rPr>
              <w:t xml:space="preserve">DAPF </w:t>
            </w:r>
            <w:r w:rsidRPr="00FE76BD">
              <w:rPr>
                <w:szCs w:val="24"/>
              </w:rPr>
              <w:t>con información del Fondo Monetario Internacional</w:t>
            </w:r>
          </w:p>
          <w:p w14:paraId="51E61221" w14:textId="77777777" w:rsidR="00246A61" w:rsidRPr="00FE76BD" w:rsidRDefault="00246A61" w:rsidP="00BA4D6D">
            <w:pPr>
              <w:ind w:left="567" w:right="49"/>
              <w:jc w:val="center"/>
              <w:rPr>
                <w:sz w:val="24"/>
                <w:szCs w:val="24"/>
                <w:lang w:val="es-MX"/>
              </w:rPr>
            </w:pPr>
          </w:p>
        </w:tc>
      </w:tr>
    </w:tbl>
    <w:p w14:paraId="2BEA153B" w14:textId="77777777" w:rsidR="00246A61" w:rsidRPr="00FE76BD" w:rsidRDefault="00246A61" w:rsidP="00246A61">
      <w:pPr>
        <w:ind w:right="49"/>
        <w:rPr>
          <w:sz w:val="24"/>
          <w:szCs w:val="24"/>
          <w:lang w:val="es-MX"/>
        </w:rPr>
      </w:pPr>
    </w:p>
    <w:p w14:paraId="4E3D5040" w14:textId="77777777" w:rsidR="00246A61" w:rsidRDefault="00246A61" w:rsidP="00246A61">
      <w:pPr>
        <w:pStyle w:val="Ttulo1"/>
        <w:widowControl/>
        <w:numPr>
          <w:ilvl w:val="1"/>
          <w:numId w:val="5"/>
        </w:numPr>
        <w:ind w:left="993" w:right="49"/>
        <w:jc w:val="left"/>
        <w:rPr>
          <w:b w:val="0"/>
          <w:color w:val="auto"/>
          <w:sz w:val="24"/>
          <w:szCs w:val="24"/>
        </w:rPr>
      </w:pPr>
      <w:bookmarkStart w:id="3" w:name="_Toc49939714"/>
      <w:r w:rsidRPr="004A2797">
        <w:rPr>
          <w:color w:val="auto"/>
          <w:sz w:val="24"/>
          <w:szCs w:val="24"/>
        </w:rPr>
        <w:t>Riesgo de una pandemia por COVID-19 más prolongada</w:t>
      </w:r>
      <w:bookmarkEnd w:id="3"/>
    </w:p>
    <w:p w14:paraId="213C9399" w14:textId="77777777" w:rsidR="00246A61" w:rsidRPr="004A2797" w:rsidRDefault="00246A61" w:rsidP="00246A61"/>
    <w:p w14:paraId="2BF72116" w14:textId="77777777" w:rsidR="00246A61" w:rsidRDefault="00246A61" w:rsidP="00246A61">
      <w:pPr>
        <w:ind w:left="567" w:right="49"/>
        <w:jc w:val="both"/>
        <w:rPr>
          <w:sz w:val="24"/>
          <w:szCs w:val="24"/>
          <w:lang w:val="es-MX"/>
        </w:rPr>
      </w:pPr>
      <w:r w:rsidRPr="00FE76BD">
        <w:rPr>
          <w:sz w:val="24"/>
          <w:szCs w:val="24"/>
          <w:lang w:val="es-MX"/>
        </w:rPr>
        <w:t>La economía mundial está experimentando una de las recesiones más grande registradas, dado la magnitud del choque sin precedentes, los pronósticos están sujetos a un alto grado de incertidumbre. A pesar de los esfuerzos de los hacedores de política, el aumento de casos y nuevos brotes son una realidad, más aún en los países con dificultades para poder rastrear la evolución de la pandemia, esto puede atenuar más los costos incontenibles sobre la salud y el desarrollo económico. Un fuerte aumento en el número de pacientes que necesitan hospitalización y segundas olas, podrían abrumar incluso a los sistemas de salud más robustos de las economías avan</w:t>
      </w:r>
      <w:r w:rsidRPr="009A6504">
        <w:rPr>
          <w:sz w:val="24"/>
          <w:szCs w:val="24"/>
          <w:lang w:val="es-MX"/>
        </w:rPr>
        <w:t>zadas</w:t>
      </w:r>
      <w:r w:rsidRPr="00FE76BD">
        <w:rPr>
          <w:sz w:val="24"/>
          <w:szCs w:val="24"/>
          <w:lang w:val="es-MX"/>
        </w:rPr>
        <w:t xml:space="preserve">, y ser bastante peor en algunos países emergentes y en desarrollo. En este contexto, sería necesaria la extensión o implementación de medidas similares para disminuir </w:t>
      </w:r>
      <w:r w:rsidRPr="00FE76BD">
        <w:rPr>
          <w:sz w:val="24"/>
          <w:szCs w:val="24"/>
          <w:lang w:val="es-MX"/>
        </w:rPr>
        <w:lastRenderedPageBreak/>
        <w:t>la propagación y salvar vidas, en este caso se precipitaría nuevos colapsos al consumo privado, la capacidad de los hogares para obtener fondos necesarios para mantener el consumo básico sería aún más tensa, dada las pérdidas de ingresos anteriores y los bajos niveles de ahorro.</w:t>
      </w:r>
    </w:p>
    <w:p w14:paraId="42BD0DED" w14:textId="77777777" w:rsidR="00246A61" w:rsidRPr="00FE76BD" w:rsidRDefault="00246A61" w:rsidP="00246A61">
      <w:pPr>
        <w:ind w:left="567" w:right="49"/>
        <w:jc w:val="both"/>
        <w:rPr>
          <w:sz w:val="24"/>
          <w:szCs w:val="24"/>
          <w:lang w:val="es-MX"/>
        </w:rPr>
      </w:pPr>
    </w:p>
    <w:p w14:paraId="69CC1B21" w14:textId="77777777" w:rsidR="00246A61" w:rsidRPr="00FE76BD" w:rsidRDefault="00246A61" w:rsidP="00246A61">
      <w:pPr>
        <w:ind w:left="567" w:right="49"/>
        <w:jc w:val="both"/>
        <w:rPr>
          <w:sz w:val="24"/>
          <w:szCs w:val="24"/>
          <w:lang w:val="es-MX"/>
        </w:rPr>
      </w:pPr>
      <w:r w:rsidRPr="00FE76BD">
        <w:rPr>
          <w:sz w:val="24"/>
          <w:szCs w:val="24"/>
          <w:lang w:val="es-MX"/>
        </w:rPr>
        <w:t>La tasa de crecimiento de los casos acumulados ha aumentado constantemente, de tal manera que a pesar de que en los casos confirmados por semana se vio un punto de inflexión hacia la baja en la semana del 5 al 11, semanas posteriores la curva volvió a tomar una tendencia ascendente. En la última semana de junio había 11.051 millones de casos confirmados en el mundo, de los cuales Estados Unidos tiene la mayor participación, seguido de Brasil, India y Rusia.</w:t>
      </w:r>
    </w:p>
    <w:tbl>
      <w:tblPr>
        <w:tblStyle w:val="Tablaconcuadrcula"/>
        <w:tblW w:w="9365"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Look w:val="04A0" w:firstRow="1" w:lastRow="0" w:firstColumn="1" w:lastColumn="0" w:noHBand="0" w:noVBand="1"/>
      </w:tblPr>
      <w:tblGrid>
        <w:gridCol w:w="9365"/>
      </w:tblGrid>
      <w:tr w:rsidR="00246A61" w:rsidRPr="00FE76BD" w14:paraId="3996B9A5" w14:textId="77777777" w:rsidTr="00BA4D6D">
        <w:trPr>
          <w:trHeight w:val="5069"/>
          <w:jc w:val="center"/>
        </w:trPr>
        <w:tc>
          <w:tcPr>
            <w:tcW w:w="9365" w:type="dxa"/>
          </w:tcPr>
          <w:p w14:paraId="5639BF9E" w14:textId="77777777" w:rsidR="00246A61" w:rsidRPr="00FE76BD" w:rsidRDefault="00246A61" w:rsidP="00BA4D6D">
            <w:pPr>
              <w:ind w:left="567" w:right="49"/>
              <w:jc w:val="center"/>
              <w:rPr>
                <w:sz w:val="24"/>
                <w:szCs w:val="24"/>
              </w:rPr>
            </w:pPr>
          </w:p>
          <w:p w14:paraId="0078E931" w14:textId="77777777" w:rsidR="00246A61" w:rsidRPr="00FE76BD" w:rsidRDefault="00246A61" w:rsidP="00BA4D6D">
            <w:pPr>
              <w:pStyle w:val="Epgrafe"/>
              <w:keepNext/>
              <w:ind w:left="567" w:right="49"/>
              <w:rPr>
                <w:color w:val="auto"/>
                <w:sz w:val="24"/>
                <w:szCs w:val="24"/>
              </w:rPr>
            </w:pPr>
            <w:r w:rsidRPr="00FE76BD">
              <w:rPr>
                <w:noProof/>
                <w:color w:val="auto"/>
                <w:sz w:val="24"/>
                <w:szCs w:val="24"/>
                <w:lang w:val="es-ES"/>
              </w:rPr>
              <mc:AlternateContent>
                <mc:Choice Requires="wps">
                  <w:drawing>
                    <wp:anchor distT="0" distB="0" distL="114300" distR="114300" simplePos="0" relativeHeight="251683840" behindDoc="0" locked="0" layoutInCell="1" allowOverlap="1" wp14:anchorId="4CF5BED2" wp14:editId="0AA66638">
                      <wp:simplePos x="0" y="0"/>
                      <wp:positionH relativeFrom="column">
                        <wp:posOffset>680258</wp:posOffset>
                      </wp:positionH>
                      <wp:positionV relativeFrom="paragraph">
                        <wp:posOffset>2622492</wp:posOffset>
                      </wp:positionV>
                      <wp:extent cx="4102873" cy="309107"/>
                      <wp:effectExtent l="0" t="0" r="0" b="0"/>
                      <wp:wrapNone/>
                      <wp:docPr id="36" name="Text Box 36"/>
                      <wp:cNvGraphicFramePr/>
                      <a:graphic xmlns:a="http://schemas.openxmlformats.org/drawingml/2006/main">
                        <a:graphicData uri="http://schemas.microsoft.com/office/word/2010/wordprocessingShape">
                          <wps:wsp>
                            <wps:cNvSpPr txBox="1"/>
                            <wps:spPr>
                              <a:xfrm>
                                <a:off x="0" y="0"/>
                                <a:ext cx="4102873" cy="309107"/>
                              </a:xfrm>
                              <a:prstGeom prst="rect">
                                <a:avLst/>
                              </a:prstGeom>
                              <a:solidFill>
                                <a:schemeClr val="lt1"/>
                              </a:solidFill>
                              <a:ln w="6350">
                                <a:noFill/>
                              </a:ln>
                            </wps:spPr>
                            <wps:txbx>
                              <w:txbxContent>
                                <w:p w14:paraId="7C20420F" w14:textId="77777777" w:rsidR="00963B9C" w:rsidRPr="00D92E1F" w:rsidRDefault="00963B9C" w:rsidP="00246A61">
                                  <w:r w:rsidRPr="00D92E1F">
                                    <w:t xml:space="preserve">Fuente: Elaboración </w:t>
                                  </w:r>
                                  <w:r>
                                    <w:t>DAPF</w:t>
                                  </w:r>
                                  <w:r w:rsidRPr="00D92E1F">
                                    <w:t xml:space="preserve"> c</w:t>
                                  </w:r>
                                  <w:r>
                                    <w:t>on información de “Our World in Data”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shape w14:anchorId="4CF5BED2" id="Text Box 36" o:spid="_x0000_s1028" type="#_x0000_t202" style="position:absolute;left:0;text-align:left;margin-left:53.55pt;margin-top:206.5pt;width:323.05pt;height:24.3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" fillcolor="white [3201]" stroked="f" strokeweight=".5pt">
                      <v:textbox>
                        <w:txbxContent>
                          <w:p w14:paraId="7C20420F" w14:textId="77777777" w:rsidR="00963B9C" w:rsidRPr="00D92E1F" w:rsidRDefault="00963B9C" w:rsidP="00246A61">
                            <w:r w:rsidRPr="00D92E1F">
                              <w:t xml:space="preserve">Fuente: Elaboración </w:t>
                            </w:r>
                            <w:r>
                              <w:t>DAPF</w:t>
                            </w:r>
                            <w:r w:rsidRPr="00D92E1F">
                              <w:t xml:space="preserve"> c</w:t>
                            </w:r>
                            <w:r>
                              <w:t>on información de “</w:t>
                            </w:r>
                            <w:proofErr w:type="spellStart"/>
                            <w:r>
                              <w:t>Our</w:t>
                            </w:r>
                            <w:proofErr w:type="spellEnd"/>
                            <w:r>
                              <w:t xml:space="preserve"> </w:t>
                            </w:r>
                            <w:proofErr w:type="spellStart"/>
                            <w:r>
                              <w:t>World</w:t>
                            </w:r>
                            <w:proofErr w:type="spellEnd"/>
                            <w:r>
                              <w:t xml:space="preserve"> in Data”</w:t>
                            </w:r>
                          </w:p>
                        </w:txbxContent>
                      </v:textbox>
                    </v:shape>
                  </w:pict>
                </mc:Fallback>
              </mc:AlternateContent>
            </w:r>
            <w:r w:rsidRPr="00FE76BD">
              <w:rPr>
                <w:color w:val="auto"/>
                <w:sz w:val="24"/>
                <w:szCs w:val="24"/>
              </w:rPr>
              <w:t xml:space="preserve">Gráfico 4. Evolución de la Pandemia COVID-19 en el mundo  </w:t>
            </w:r>
            <w:r w:rsidRPr="00FE76BD">
              <w:rPr>
                <w:noProof/>
                <w:color w:val="auto"/>
                <w:sz w:val="24"/>
                <w:szCs w:val="24"/>
                <w:lang w:val="es-ES"/>
              </w:rPr>
              <w:drawing>
                <wp:inline distT="0" distB="0" distL="0" distR="0" wp14:anchorId="2CAC2359" wp14:editId="62D4DF3A">
                  <wp:extent cx="5040000" cy="2520000"/>
                  <wp:effectExtent l="0" t="0" r="8255" b="0"/>
                  <wp:docPr id="39" name="Chart 39">
                    <a:extLst xmlns:a="http://schemas.openxmlformats.org/drawingml/2006/main">
                      <a:ext uri="{FF2B5EF4-FFF2-40B4-BE49-F238E27FC236}">
                        <a16:creationId xmlns:a16="http://schemas.microsoft.com/office/drawing/2014/main" xmlns:w16se="http://schemas.microsoft.com/office/word/2015/wordml/symex" xmlns:w15="http://schemas.microsoft.com/office/word/2012/wordml" xmlns:w="http://schemas.openxmlformats.org/wordprocessingml/2006/main" xmlns:w10="urn:schemas-microsoft-com:office:word" xmlns:v="urn:schemas-microsoft-com:vml" xmlns:o="urn:schemas-microsoft-com:office:office" xmlns:cx="http://schemas.microsoft.com/office/drawing/2014/chartex" xmlns="" id="{EDEABE0F-A239-4B1D-A685-97F775CF4A1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r w:rsidRPr="00FE76BD">
              <w:rPr>
                <w:noProof/>
                <w:color w:val="auto"/>
                <w:sz w:val="24"/>
                <w:szCs w:val="24"/>
              </w:rPr>
              <w:t xml:space="preserve"> </w:t>
            </w:r>
          </w:p>
        </w:tc>
      </w:tr>
    </w:tbl>
    <w:p w14:paraId="665CB54C" w14:textId="77777777" w:rsidR="00246A61" w:rsidRPr="004D0048" w:rsidRDefault="00246A61" w:rsidP="00246A61">
      <w:pPr>
        <w:ind w:right="49"/>
        <w:jc w:val="both"/>
        <w:rPr>
          <w:b/>
          <w:bCs/>
          <w:sz w:val="10"/>
          <w:szCs w:val="24"/>
          <w:lang w:val="es-MX"/>
        </w:rPr>
      </w:pPr>
    </w:p>
    <w:p w14:paraId="0DA41F6C" w14:textId="77777777" w:rsidR="00246A61" w:rsidRDefault="00246A61" w:rsidP="00246A61">
      <w:pPr>
        <w:pStyle w:val="Ttulo1"/>
        <w:widowControl/>
        <w:numPr>
          <w:ilvl w:val="1"/>
          <w:numId w:val="5"/>
        </w:numPr>
        <w:ind w:left="993" w:right="49"/>
        <w:jc w:val="left"/>
        <w:rPr>
          <w:b w:val="0"/>
          <w:color w:val="auto"/>
          <w:sz w:val="24"/>
          <w:szCs w:val="24"/>
        </w:rPr>
      </w:pPr>
      <w:bookmarkStart w:id="4" w:name="_Toc49939715"/>
      <w:r w:rsidRPr="004A2797">
        <w:rPr>
          <w:color w:val="auto"/>
          <w:sz w:val="24"/>
          <w:szCs w:val="24"/>
        </w:rPr>
        <w:t>Volatilidad en los precios de las materias primas</w:t>
      </w:r>
      <w:bookmarkEnd w:id="4"/>
      <w:r w:rsidRPr="004A2797">
        <w:rPr>
          <w:color w:val="auto"/>
          <w:sz w:val="24"/>
          <w:szCs w:val="24"/>
        </w:rPr>
        <w:t xml:space="preserve"> </w:t>
      </w:r>
    </w:p>
    <w:p w14:paraId="6C561A8B" w14:textId="77777777" w:rsidR="00246A61" w:rsidRPr="004A2797" w:rsidRDefault="00246A61" w:rsidP="00246A61"/>
    <w:p w14:paraId="3E453C0F" w14:textId="77777777" w:rsidR="00246A61" w:rsidRDefault="00246A61" w:rsidP="00246A61">
      <w:pPr>
        <w:ind w:left="567" w:right="49"/>
        <w:jc w:val="both"/>
        <w:rPr>
          <w:sz w:val="24"/>
          <w:szCs w:val="24"/>
        </w:rPr>
      </w:pPr>
      <w:r w:rsidRPr="00FE76BD">
        <w:rPr>
          <w:sz w:val="24"/>
          <w:szCs w:val="24"/>
        </w:rPr>
        <w:t xml:space="preserve">Actualmente existe el riesgo que el precio del crudo de petróleo pueda disminuir nuevamente por la constante reducción de la demanda y falta de acuerdos por la OPEP, como sucedió en el primer trimestre del 2020. La materialización de este riesgo </w:t>
      </w:r>
      <w:r w:rsidRPr="00FE76BD">
        <w:rPr>
          <w:sz w:val="24"/>
          <w:szCs w:val="24"/>
          <w:lang w:val="es-MX"/>
        </w:rPr>
        <w:t xml:space="preserve">afectaría las actividades en muchas regiones exportadoras de petróleo particularmente el Medio Oriente y las regiones de medio oriente </w:t>
      </w:r>
      <w:r w:rsidRPr="009A6504">
        <w:rPr>
          <w:sz w:val="24"/>
          <w:szCs w:val="24"/>
          <w:lang w:val="es-MX"/>
        </w:rPr>
        <w:t>y norte</w:t>
      </w:r>
      <w:r w:rsidRPr="00FE76BD">
        <w:rPr>
          <w:sz w:val="24"/>
          <w:szCs w:val="24"/>
          <w:lang w:val="es-MX"/>
        </w:rPr>
        <w:t xml:space="preserve"> de África. </w:t>
      </w:r>
      <w:r w:rsidRPr="00FE76BD">
        <w:rPr>
          <w:sz w:val="24"/>
          <w:szCs w:val="24"/>
        </w:rPr>
        <w:t xml:space="preserve"> La Administración de Información Energética de Estados Unidos (EIA) por sus siglas en inglés estima que el precio del WTI promedió en USD$26.5/bbl en el segundo trimestre de 2020 y se pronóstica que para el segundo semestre el precio promedio se sitúe en USD$34.5/bbl, de tal manera que el promedio del precio para el 2020 estará alrededor de USD$$35.3. Asimismo, se estima que el precio promedio del límite inferior del intervalo del precio de futuros de WTI se situé en USD$.23.44, para el segundo semestre de 2020.</w:t>
      </w:r>
    </w:p>
    <w:p w14:paraId="011DE524" w14:textId="77777777" w:rsidR="00246A61" w:rsidRPr="00FE76BD" w:rsidRDefault="00246A61" w:rsidP="00246A61">
      <w:pPr>
        <w:ind w:left="567" w:right="49"/>
        <w:jc w:val="both"/>
        <w:rPr>
          <w:sz w:val="24"/>
          <w:szCs w:val="24"/>
          <w:lang w:val="es-MX"/>
        </w:rPr>
      </w:pPr>
    </w:p>
    <w:p w14:paraId="72EC59CF" w14:textId="77777777" w:rsidR="00246A61" w:rsidRPr="00FE76BD" w:rsidRDefault="00246A61" w:rsidP="00246A61">
      <w:pPr>
        <w:ind w:left="567" w:right="49"/>
        <w:jc w:val="both"/>
        <w:rPr>
          <w:sz w:val="24"/>
          <w:szCs w:val="24"/>
          <w:lang w:val="es-MX"/>
        </w:rPr>
      </w:pPr>
      <w:r w:rsidRPr="00FE76BD">
        <w:rPr>
          <w:sz w:val="24"/>
          <w:szCs w:val="24"/>
        </w:rPr>
        <w:t xml:space="preserve">En el primer semestre del año 2020 los precios del petróleo han tenido una alta volatilidad, la desviación estándar de los precios spot del crudo WTI es de 13.9, es decir una volatilidad 3 veces mayor que la del 2018, el año en que iniciaron las tensiones comerciales entre Estados Unidos y China la desviación estándar se encontró en 4.32. Para el 2021 se tiene la </w:t>
      </w:r>
      <w:r w:rsidRPr="00FE76BD">
        <w:rPr>
          <w:sz w:val="24"/>
          <w:szCs w:val="24"/>
          <w:lang w:val="es-MX"/>
        </w:rPr>
        <w:t xml:space="preserve">expectativa del aumento en los precios del petróleo que posee la mayor parte de ponderación en este tipo de materia prima, para el 2021 la EIA estima que su precio promedio este alrededor de </w:t>
      </w:r>
      <w:r w:rsidRPr="009A6504">
        <w:rPr>
          <w:sz w:val="24"/>
          <w:szCs w:val="24"/>
          <w:lang w:val="es-MX"/>
        </w:rPr>
        <w:lastRenderedPageBreak/>
        <w:t>USD43.75bb/, esta</w:t>
      </w:r>
      <w:r w:rsidRPr="00FE76BD">
        <w:rPr>
          <w:sz w:val="24"/>
          <w:szCs w:val="24"/>
          <w:lang w:val="es-MX"/>
        </w:rPr>
        <w:t xml:space="preserve"> recuperación en el precio se debe al fin de medidas de mitigación por lo que la demanda del crudo gradualmente recuperará, así mismo la volatilidad en los inventarios de petróleo disminuirá.</w:t>
      </w:r>
    </w:p>
    <w:p w14:paraId="6D679C7B" w14:textId="77777777" w:rsidR="00E420AA" w:rsidRDefault="00E420AA" w:rsidP="00246A61">
      <w:pPr>
        <w:ind w:left="567" w:right="49"/>
        <w:jc w:val="both"/>
        <w:rPr>
          <w:sz w:val="24"/>
          <w:szCs w:val="24"/>
          <w:lang w:val="es-MX"/>
        </w:rPr>
      </w:pPr>
    </w:p>
    <w:p w14:paraId="703E6231" w14:textId="330F4F72" w:rsidR="00246A61" w:rsidRPr="00FE76BD" w:rsidRDefault="00246A61" w:rsidP="00246A61">
      <w:pPr>
        <w:ind w:left="567" w:right="49"/>
        <w:jc w:val="both"/>
        <w:rPr>
          <w:sz w:val="24"/>
          <w:szCs w:val="24"/>
        </w:rPr>
      </w:pPr>
      <w:r w:rsidRPr="00FE76BD">
        <w:rPr>
          <w:sz w:val="24"/>
          <w:szCs w:val="24"/>
          <w:lang w:val="es-MX"/>
        </w:rPr>
        <w:t>El Banco mundial reviso a la baja en abril de 2020 los pronósticos de los índices de precios de los commodities realizados en octubre de 2020, para los commodities de energía el índice de precios disminuyo 26.7 puntos porcentuales, para los metales y minerales la reducción fue de 9.1 puntos porcentuales. Los commodities de agricultura su reducción fue bastante menor, siendo esta 0.7 puntos porcentuales, debido a que estos productos tienen una menor elasticidad con respecto al ingreso. Los metales preciosos tuvieron un aumento en su índice de 8.1 puntos porcentuales esto debido a que los inversionistas ven a estos productos como una inversión segura.</w:t>
      </w:r>
    </w:p>
    <w:p w14:paraId="2449F141" w14:textId="77777777" w:rsidR="00246A61" w:rsidRPr="00FE76BD" w:rsidRDefault="00246A61" w:rsidP="00246A61">
      <w:pPr>
        <w:ind w:left="567" w:right="49"/>
        <w:jc w:val="both"/>
        <w:rPr>
          <w:sz w:val="24"/>
          <w:szCs w:val="24"/>
          <w:lang w:val="es-MX"/>
        </w:rPr>
      </w:pPr>
    </w:p>
    <w:tbl>
      <w:tblPr>
        <w:tblStyle w:val="Tablaconcuadrcula"/>
        <w:tblW w:w="8850"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Look w:val="04A0" w:firstRow="1" w:lastRow="0" w:firstColumn="1" w:lastColumn="0" w:noHBand="0" w:noVBand="1"/>
      </w:tblPr>
      <w:tblGrid>
        <w:gridCol w:w="4779"/>
        <w:gridCol w:w="4779"/>
      </w:tblGrid>
      <w:tr w:rsidR="00246A61" w:rsidRPr="00FE76BD" w14:paraId="33D9F63C" w14:textId="77777777" w:rsidTr="00BA4D6D">
        <w:trPr>
          <w:trHeight w:val="4784"/>
          <w:jc w:val="center"/>
        </w:trPr>
        <w:tc>
          <w:tcPr>
            <w:tcW w:w="4425" w:type="dxa"/>
          </w:tcPr>
          <w:p w14:paraId="43B92367" w14:textId="77777777" w:rsidR="00246A61" w:rsidRPr="00FE76BD" w:rsidRDefault="00246A61" w:rsidP="00BA4D6D">
            <w:pPr>
              <w:pStyle w:val="Epgrafe"/>
              <w:keepNext/>
              <w:ind w:left="567" w:right="49"/>
              <w:rPr>
                <w:color w:val="auto"/>
                <w:sz w:val="24"/>
                <w:szCs w:val="24"/>
              </w:rPr>
            </w:pPr>
            <w:r w:rsidRPr="00FE76BD">
              <w:rPr>
                <w:color w:val="auto"/>
                <w:sz w:val="24"/>
                <w:szCs w:val="24"/>
              </w:rPr>
              <w:t xml:space="preserve">Gráfico 5. Pronósticos de los índices de precios de commodities </w:t>
            </w:r>
          </w:p>
          <w:p w14:paraId="309009A0" w14:textId="77777777" w:rsidR="00246A61" w:rsidRPr="00FE76BD" w:rsidRDefault="00246A61" w:rsidP="00BA4D6D">
            <w:pPr>
              <w:ind w:left="567" w:right="49"/>
              <w:jc w:val="both"/>
              <w:rPr>
                <w:sz w:val="24"/>
                <w:szCs w:val="24"/>
                <w:lang w:val="es-MX"/>
              </w:rPr>
            </w:pPr>
            <w:r w:rsidRPr="00FE76BD">
              <w:rPr>
                <w:noProof/>
                <w:sz w:val="24"/>
                <w:szCs w:val="24"/>
                <w:lang w:val="es-ES"/>
              </w:rPr>
              <mc:AlternateContent>
                <mc:Choice Requires="wps">
                  <w:drawing>
                    <wp:anchor distT="0" distB="0" distL="114300" distR="114300" simplePos="0" relativeHeight="251677696" behindDoc="0" locked="0" layoutInCell="1" allowOverlap="1" wp14:anchorId="1B84A25E" wp14:editId="4A55B203">
                      <wp:simplePos x="0" y="0"/>
                      <wp:positionH relativeFrom="column">
                        <wp:posOffset>75565</wp:posOffset>
                      </wp:positionH>
                      <wp:positionV relativeFrom="paragraph">
                        <wp:posOffset>2442845</wp:posOffset>
                      </wp:positionV>
                      <wp:extent cx="3086100" cy="390525"/>
                      <wp:effectExtent l="0" t="0" r="0" b="9525"/>
                      <wp:wrapNone/>
                      <wp:docPr id="47" name="Text Box 47"/>
                      <wp:cNvGraphicFramePr/>
                      <a:graphic xmlns:a="http://schemas.openxmlformats.org/drawingml/2006/main">
                        <a:graphicData uri="http://schemas.microsoft.com/office/word/2010/wordprocessingShape">
                          <wps:wsp>
                            <wps:cNvSpPr txBox="1"/>
                            <wps:spPr>
                              <a:xfrm>
                                <a:off x="0" y="0"/>
                                <a:ext cx="3086100" cy="390525"/>
                              </a:xfrm>
                              <a:prstGeom prst="rect">
                                <a:avLst/>
                              </a:prstGeom>
                              <a:solidFill>
                                <a:schemeClr val="lt1"/>
                              </a:solidFill>
                              <a:ln w="6350">
                                <a:noFill/>
                              </a:ln>
                            </wps:spPr>
                            <wps:txbx>
                              <w:txbxContent>
                                <w:p w14:paraId="33F8715E" w14:textId="77777777" w:rsidR="00963B9C" w:rsidRPr="004D0048" w:rsidRDefault="00963B9C" w:rsidP="00246A61">
                                  <w:pPr>
                                    <w:rPr>
                                      <w:szCs w:val="15"/>
                                    </w:rPr>
                                  </w:pPr>
                                  <w:r w:rsidRPr="004D0048">
                                    <w:rPr>
                                      <w:szCs w:val="15"/>
                                    </w:rPr>
                                    <w:t>Fuente: Elaboración</w:t>
                                  </w:r>
                                  <w:r>
                                    <w:rPr>
                                      <w:szCs w:val="15"/>
                                    </w:rPr>
                                    <w:t xml:space="preserve"> DAPF</w:t>
                                  </w:r>
                                  <w:r w:rsidRPr="004D0048">
                                    <w:rPr>
                                      <w:szCs w:val="15"/>
                                    </w:rPr>
                                    <w:t xml:space="preserve"> con información del Banco Mundial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shape w14:anchorId="1B84A25E" id="Text Box 47" o:spid="_x0000_s1029" type="#_x0000_t202" style="position:absolute;left:0;text-align:left;margin-left:5.95pt;margin-top:192.35pt;width:243pt;height:30.7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" fillcolor="white [3201]" stroked="f" strokeweight=".5pt">
                      <v:textbox>
                        <w:txbxContent>
                          <w:p w14:paraId="33F8715E" w14:textId="77777777" w:rsidR="00963B9C" w:rsidRPr="004D0048" w:rsidRDefault="00963B9C" w:rsidP="00246A61">
                            <w:pPr>
                              <w:rPr>
                                <w:szCs w:val="15"/>
                              </w:rPr>
                            </w:pPr>
                            <w:r w:rsidRPr="004D0048">
                              <w:rPr>
                                <w:szCs w:val="15"/>
                              </w:rPr>
                              <w:t>Fuente: Elaboración</w:t>
                            </w:r>
                            <w:r>
                              <w:rPr>
                                <w:szCs w:val="15"/>
                              </w:rPr>
                              <w:t xml:space="preserve"> DAPF</w:t>
                            </w:r>
                            <w:r w:rsidRPr="004D0048">
                              <w:rPr>
                                <w:szCs w:val="15"/>
                              </w:rPr>
                              <w:t xml:space="preserve"> con información del Banco Mundial</w:t>
                            </w:r>
                          </w:p>
                        </w:txbxContent>
                      </v:textbox>
                    </v:shape>
                  </w:pict>
                </mc:Fallback>
              </mc:AlternateContent>
            </w:r>
            <w:r w:rsidRPr="00FE76BD">
              <w:rPr>
                <w:noProof/>
                <w:sz w:val="24"/>
                <w:szCs w:val="24"/>
                <w:lang w:val="es-ES"/>
              </w:rPr>
              <w:drawing>
                <wp:inline distT="0" distB="0" distL="0" distR="0" wp14:anchorId="549AE9F7" wp14:editId="560E9081">
                  <wp:extent cx="2555218" cy="2449564"/>
                  <wp:effectExtent l="0" t="0" r="0" b="8255"/>
                  <wp:docPr id="51" name="Chart 51">
                    <a:extLst xmlns:a="http://schemas.openxmlformats.org/drawingml/2006/main">
                      <a:ext uri="{FF2B5EF4-FFF2-40B4-BE49-F238E27FC236}">
                        <a16:creationId xmlns:a16="http://schemas.microsoft.com/office/drawing/2014/main" xmlns:w16se="http://schemas.microsoft.com/office/word/2015/wordml/symex" xmlns:w15="http://schemas.microsoft.com/office/word/2012/wordml" xmlns:w="http://schemas.openxmlformats.org/wordprocessingml/2006/main" xmlns:w10="urn:schemas-microsoft-com:office:word" xmlns:v="urn:schemas-microsoft-com:vml" xmlns:o="urn:schemas-microsoft-com:office:office" xmlns:cx="http://schemas.microsoft.com/office/drawing/2014/chartex" xmlns="" id="{69D2C8C0-C9B5-4FCF-8C1F-4AEB8B26292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tc>
        <w:tc>
          <w:tcPr>
            <w:tcW w:w="4425" w:type="dxa"/>
          </w:tcPr>
          <w:p w14:paraId="20CE057C" w14:textId="77777777" w:rsidR="00246A61" w:rsidRPr="00FE76BD" w:rsidRDefault="00246A61" w:rsidP="00BA4D6D">
            <w:pPr>
              <w:pStyle w:val="Epgrafe"/>
              <w:keepNext/>
              <w:ind w:left="567" w:right="49"/>
              <w:rPr>
                <w:color w:val="auto"/>
                <w:sz w:val="24"/>
                <w:szCs w:val="24"/>
              </w:rPr>
            </w:pPr>
            <w:r w:rsidRPr="00FE76BD">
              <w:rPr>
                <w:color w:val="auto"/>
                <w:sz w:val="24"/>
                <w:szCs w:val="24"/>
              </w:rPr>
              <w:t>Gráfico 6. Revisión de los índices de precios de commodities</w:t>
            </w:r>
          </w:p>
          <w:p w14:paraId="1AB52F08" w14:textId="77777777" w:rsidR="00246A61" w:rsidRPr="00FE76BD" w:rsidRDefault="00246A61" w:rsidP="00BA4D6D">
            <w:pPr>
              <w:pStyle w:val="Epgrafe"/>
              <w:keepNext/>
              <w:ind w:left="567" w:right="49"/>
              <w:jc w:val="both"/>
              <w:rPr>
                <w:color w:val="auto"/>
                <w:sz w:val="24"/>
                <w:szCs w:val="24"/>
              </w:rPr>
            </w:pPr>
            <w:r w:rsidRPr="00FE76BD">
              <w:rPr>
                <w:noProof/>
                <w:color w:val="auto"/>
                <w:sz w:val="24"/>
                <w:szCs w:val="24"/>
                <w:lang w:val="es-ES"/>
              </w:rPr>
              <mc:AlternateContent>
                <mc:Choice Requires="wps">
                  <w:drawing>
                    <wp:anchor distT="0" distB="0" distL="114300" distR="114300" simplePos="0" relativeHeight="251675648" behindDoc="0" locked="0" layoutInCell="1" allowOverlap="1" wp14:anchorId="07CA94A9" wp14:editId="01B5CB2D">
                      <wp:simplePos x="0" y="0"/>
                      <wp:positionH relativeFrom="column">
                        <wp:posOffset>193675</wp:posOffset>
                      </wp:positionH>
                      <wp:positionV relativeFrom="paragraph">
                        <wp:posOffset>2453640</wp:posOffset>
                      </wp:positionV>
                      <wp:extent cx="2981325" cy="381000"/>
                      <wp:effectExtent l="0" t="0" r="9525" b="0"/>
                      <wp:wrapNone/>
                      <wp:docPr id="48" name="Text Box 48"/>
                      <wp:cNvGraphicFramePr/>
                      <a:graphic xmlns:a="http://schemas.openxmlformats.org/drawingml/2006/main">
                        <a:graphicData uri="http://schemas.microsoft.com/office/word/2010/wordprocessingShape">
                          <wps:wsp>
                            <wps:cNvSpPr txBox="1"/>
                            <wps:spPr>
                              <a:xfrm>
                                <a:off x="0" y="0"/>
                                <a:ext cx="2981325" cy="381000"/>
                              </a:xfrm>
                              <a:prstGeom prst="rect">
                                <a:avLst/>
                              </a:prstGeom>
                              <a:solidFill>
                                <a:schemeClr val="lt1"/>
                              </a:solidFill>
                              <a:ln w="6350">
                                <a:noFill/>
                              </a:ln>
                            </wps:spPr>
                            <wps:txbx>
                              <w:txbxContent>
                                <w:p w14:paraId="7C270540" w14:textId="77777777" w:rsidR="00963B9C" w:rsidRPr="00F815C3" w:rsidRDefault="00963B9C" w:rsidP="00246A61">
                                  <w:pPr>
                                    <w:rPr>
                                      <w:sz w:val="15"/>
                                      <w:szCs w:val="15"/>
                                    </w:rPr>
                                  </w:pPr>
                                  <w:r w:rsidRPr="004D0048">
                                    <w:rPr>
                                      <w:szCs w:val="15"/>
                                    </w:rPr>
                                    <w:t xml:space="preserve">Fuente: Elaboración </w:t>
                                  </w:r>
                                  <w:r>
                                    <w:rPr>
                                      <w:szCs w:val="15"/>
                                    </w:rPr>
                                    <w:t xml:space="preserve">DAPF </w:t>
                                  </w:r>
                                  <w:r w:rsidRPr="004D0048">
                                    <w:rPr>
                                      <w:szCs w:val="15"/>
                                    </w:rPr>
                                    <w:t>con información del Banco</w:t>
                                  </w:r>
                                  <w:r w:rsidRPr="004D0048">
                                    <w:rPr>
                                      <w:sz w:val="28"/>
                                      <w:szCs w:val="15"/>
                                    </w:rPr>
                                    <w:t xml:space="preserve"> </w:t>
                                  </w:r>
                                  <w:r w:rsidRPr="004D0048">
                                    <w:rPr>
                                      <w:szCs w:val="15"/>
                                    </w:rPr>
                                    <w:t>Mundial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shape w14:anchorId="07CA94A9" id="Text Box 48" o:spid="_x0000_s1030" type="#_x0000_t202" style="position:absolute;left:0;text-align:left;margin-left:15.25pt;margin-top:193.2pt;width:234.75pt;height:30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" fillcolor="white [3201]" stroked="f" strokeweight=".5pt">
                      <v:textbox>
                        <w:txbxContent>
                          <w:p w14:paraId="7C270540" w14:textId="77777777" w:rsidR="00963B9C" w:rsidRPr="00F815C3" w:rsidRDefault="00963B9C" w:rsidP="00246A61">
                            <w:pPr>
                              <w:rPr>
                                <w:sz w:val="15"/>
                                <w:szCs w:val="15"/>
                              </w:rPr>
                            </w:pPr>
                            <w:r w:rsidRPr="004D0048">
                              <w:rPr>
                                <w:szCs w:val="15"/>
                              </w:rPr>
                              <w:t xml:space="preserve">Fuente: Elaboración </w:t>
                            </w:r>
                            <w:r>
                              <w:rPr>
                                <w:szCs w:val="15"/>
                              </w:rPr>
                              <w:t xml:space="preserve">DAPF </w:t>
                            </w:r>
                            <w:r w:rsidRPr="004D0048">
                              <w:rPr>
                                <w:szCs w:val="15"/>
                              </w:rPr>
                              <w:t>con información del Banco</w:t>
                            </w:r>
                            <w:r w:rsidRPr="004D0048">
                              <w:rPr>
                                <w:sz w:val="28"/>
                                <w:szCs w:val="15"/>
                              </w:rPr>
                              <w:t xml:space="preserve"> </w:t>
                            </w:r>
                            <w:r w:rsidRPr="004D0048">
                              <w:rPr>
                                <w:szCs w:val="15"/>
                              </w:rPr>
                              <w:t>Mundial</w:t>
                            </w:r>
                          </w:p>
                        </w:txbxContent>
                      </v:textbox>
                    </v:shape>
                  </w:pict>
                </mc:Fallback>
              </mc:AlternateContent>
            </w:r>
            <w:r w:rsidRPr="00FE76BD">
              <w:rPr>
                <w:noProof/>
                <w:color w:val="auto"/>
                <w:sz w:val="24"/>
                <w:szCs w:val="24"/>
                <w:lang w:val="es-ES"/>
              </w:rPr>
              <w:drawing>
                <wp:inline distT="0" distB="0" distL="0" distR="0" wp14:anchorId="36401E2B" wp14:editId="54D22087">
                  <wp:extent cx="2555218" cy="2478378"/>
                  <wp:effectExtent l="0" t="0" r="0" b="0"/>
                  <wp:docPr id="53" name="Chart 53">
                    <a:extLst xmlns:a="http://schemas.openxmlformats.org/drawingml/2006/main">
                      <a:ext uri="{FF2B5EF4-FFF2-40B4-BE49-F238E27FC236}">
                        <a16:creationId xmlns:a16="http://schemas.microsoft.com/office/drawing/2014/main" xmlns:w16se="http://schemas.microsoft.com/office/word/2015/wordml/symex" xmlns:w15="http://schemas.microsoft.com/office/word/2012/wordml" xmlns:w="http://schemas.openxmlformats.org/wordprocessingml/2006/main" xmlns:w10="urn:schemas-microsoft-com:office:word" xmlns:v="urn:schemas-microsoft-com:vml" xmlns:o="urn:schemas-microsoft-com:office:office" xmlns:cx="http://schemas.microsoft.com/office/drawing/2014/chartex" xmlns="" id="{7F7F2F83-C061-409E-880D-2044BBC3078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tc>
      </w:tr>
    </w:tbl>
    <w:p w14:paraId="4BC83BB4" w14:textId="77777777" w:rsidR="00246A61" w:rsidRPr="00FE76BD" w:rsidRDefault="00246A61" w:rsidP="00246A61">
      <w:pPr>
        <w:ind w:left="567" w:right="49"/>
        <w:jc w:val="both"/>
        <w:rPr>
          <w:sz w:val="24"/>
          <w:szCs w:val="24"/>
          <w:lang w:val="es-MX"/>
        </w:rPr>
      </w:pPr>
    </w:p>
    <w:p w14:paraId="5BA75569" w14:textId="77777777" w:rsidR="00246A61" w:rsidRPr="004A2797" w:rsidRDefault="00246A61" w:rsidP="00246A61">
      <w:pPr>
        <w:pStyle w:val="Ttulo1"/>
        <w:widowControl/>
        <w:numPr>
          <w:ilvl w:val="1"/>
          <w:numId w:val="5"/>
        </w:numPr>
        <w:spacing w:before="240" w:after="60"/>
        <w:ind w:left="993" w:right="49"/>
        <w:jc w:val="left"/>
        <w:rPr>
          <w:b w:val="0"/>
          <w:color w:val="auto"/>
          <w:sz w:val="24"/>
          <w:szCs w:val="24"/>
        </w:rPr>
      </w:pPr>
      <w:bookmarkStart w:id="5" w:name="_Toc49939716"/>
      <w:r w:rsidRPr="004A2797">
        <w:rPr>
          <w:color w:val="auto"/>
          <w:sz w:val="24"/>
          <w:szCs w:val="24"/>
        </w:rPr>
        <w:t>Alta volatilidad en los mercados financieros</w:t>
      </w:r>
      <w:bookmarkEnd w:id="5"/>
    </w:p>
    <w:p w14:paraId="3D848200" w14:textId="77777777" w:rsidR="00246A61" w:rsidRPr="00F32109" w:rsidRDefault="00246A61" w:rsidP="00246A61">
      <w:pPr>
        <w:ind w:left="567" w:right="49"/>
        <w:jc w:val="both"/>
        <w:rPr>
          <w:b/>
          <w:bCs/>
          <w:sz w:val="24"/>
          <w:szCs w:val="24"/>
        </w:rPr>
      </w:pPr>
    </w:p>
    <w:p w14:paraId="1F7C0036" w14:textId="77777777" w:rsidR="00246A61" w:rsidRDefault="00246A61" w:rsidP="00246A61">
      <w:pPr>
        <w:ind w:left="567" w:right="49"/>
        <w:jc w:val="both"/>
        <w:rPr>
          <w:sz w:val="24"/>
          <w:szCs w:val="24"/>
          <w:lang w:val="es-MX"/>
        </w:rPr>
      </w:pPr>
      <w:r w:rsidRPr="00FE76BD">
        <w:rPr>
          <w:sz w:val="24"/>
          <w:szCs w:val="24"/>
          <w:lang w:val="es-MX"/>
        </w:rPr>
        <w:t xml:space="preserve">El sentimiento del mercado financiero se ha deteriorado desde mediados de febrero por las preocupaciones sobre la propagación global de COVID-19 y las consecuencias económicas, así como la caída del precio del petróleo en marzo. El rendimiento esperado ha aumentado por el aumento del riesgo, los spreads soberanos han aumentado considerablemente, el flujo de fondos hacia los mercados emergentes se ha revertido, particularmente en el caso de bonos y acciones de divisas fuerte. Asimismo, los movimientos de divisas han reflejado cambios en el sentimiento al riesgo y ha habido una depreciación de las monedas de los países en desarrollo y emergentes. </w:t>
      </w:r>
    </w:p>
    <w:p w14:paraId="7320D2A8" w14:textId="77777777" w:rsidR="00246A61" w:rsidRPr="00FE76BD" w:rsidRDefault="00246A61" w:rsidP="00246A61">
      <w:pPr>
        <w:ind w:left="567" w:right="49"/>
        <w:jc w:val="both"/>
        <w:rPr>
          <w:sz w:val="24"/>
          <w:szCs w:val="24"/>
          <w:lang w:val="es-MX"/>
        </w:rPr>
      </w:pPr>
    </w:p>
    <w:p w14:paraId="4D3E7C54" w14:textId="77777777" w:rsidR="00246A61" w:rsidRPr="00FE76BD" w:rsidRDefault="00246A61" w:rsidP="00246A61">
      <w:pPr>
        <w:ind w:left="567" w:right="49"/>
        <w:jc w:val="both"/>
        <w:rPr>
          <w:sz w:val="24"/>
          <w:szCs w:val="24"/>
        </w:rPr>
      </w:pPr>
      <w:r w:rsidRPr="00FE76BD">
        <w:rPr>
          <w:sz w:val="24"/>
          <w:szCs w:val="24"/>
          <w:lang w:val="es-MX"/>
        </w:rPr>
        <w:t xml:space="preserve">Tanto el índice VIX que mide la volatilidad del </w:t>
      </w:r>
      <w:r w:rsidRPr="00FE76BD">
        <w:rPr>
          <w:sz w:val="24"/>
          <w:szCs w:val="24"/>
        </w:rPr>
        <w:t xml:space="preserve">índice de Standard &amp; Poor´s 500 (S&amp;P 500), como el índice VXEEM de los mercados emergentes mostraron una volatilidad de los mercados financieros en el mes de marzo, una volatilidad mayor incluso a la registrada en la crisis financiera del año 2008, mostrando la gran incertidumbre de los inversionistas y habiendo </w:t>
      </w:r>
      <w:r w:rsidRPr="00FE76BD">
        <w:rPr>
          <w:sz w:val="24"/>
          <w:szCs w:val="24"/>
        </w:rPr>
        <w:lastRenderedPageBreak/>
        <w:t>repercusiones negativas para los precios de los activos financieros como su rendimiento esperado. En los próximos meses el índice mostró una menor volatilidad, sin embargo, derivado de nuevas preocupaciones sobre la propagación del COVID-19, de nuevas olas, una mayor dificultad para remover las restricciones de movilidad entre fronteras o una caída del precio del petr</w:t>
      </w:r>
      <w:r>
        <w:rPr>
          <w:sz w:val="24"/>
          <w:szCs w:val="24"/>
        </w:rPr>
        <w:t>ó</w:t>
      </w:r>
      <w:r w:rsidRPr="00FE76BD">
        <w:rPr>
          <w:sz w:val="24"/>
          <w:szCs w:val="24"/>
        </w:rPr>
        <w:t>le</w:t>
      </w:r>
      <w:r>
        <w:rPr>
          <w:sz w:val="24"/>
          <w:szCs w:val="24"/>
        </w:rPr>
        <w:t>o</w:t>
      </w:r>
      <w:r w:rsidRPr="00FE76BD">
        <w:rPr>
          <w:sz w:val="24"/>
          <w:szCs w:val="24"/>
        </w:rPr>
        <w:t xml:space="preserve"> podrían aumentar nuevamente la volatilidad en los mercados.</w:t>
      </w:r>
    </w:p>
    <w:p w14:paraId="713481BF" w14:textId="77777777" w:rsidR="00246A61" w:rsidRPr="00FE76BD" w:rsidRDefault="00246A61" w:rsidP="00246A61">
      <w:pPr>
        <w:ind w:left="567" w:right="49"/>
        <w:jc w:val="both"/>
        <w:rPr>
          <w:sz w:val="24"/>
          <w:szCs w:val="24"/>
          <w:lang w:val="es-MX"/>
        </w:rPr>
      </w:pPr>
    </w:p>
    <w:tbl>
      <w:tblPr>
        <w:tblStyle w:val="Tablaconcuadrcu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Look w:val="04A0" w:firstRow="1" w:lastRow="0" w:firstColumn="1" w:lastColumn="0" w:noHBand="0" w:noVBand="1"/>
      </w:tblPr>
      <w:tblGrid>
        <w:gridCol w:w="8597"/>
      </w:tblGrid>
      <w:tr w:rsidR="00246A61" w:rsidRPr="00FE76BD" w14:paraId="3DD80FB8" w14:textId="77777777" w:rsidTr="00BA4D6D">
        <w:trPr>
          <w:trHeight w:val="4899"/>
          <w:jc w:val="center"/>
        </w:trPr>
        <w:tc>
          <w:tcPr>
            <w:tcW w:w="8597" w:type="dxa"/>
          </w:tcPr>
          <w:p w14:paraId="0662776C" w14:textId="77777777" w:rsidR="00246A61" w:rsidRPr="00FE76BD" w:rsidRDefault="00246A61" w:rsidP="00BA4D6D">
            <w:pPr>
              <w:pStyle w:val="Epgrafe"/>
              <w:keepNext/>
              <w:ind w:left="567" w:right="49"/>
              <w:rPr>
                <w:color w:val="auto"/>
                <w:sz w:val="24"/>
                <w:szCs w:val="24"/>
              </w:rPr>
            </w:pPr>
            <w:bookmarkStart w:id="6" w:name="_Toc16519883"/>
            <w:r w:rsidRPr="00FE76BD">
              <w:rPr>
                <w:color w:val="auto"/>
                <w:sz w:val="24"/>
                <w:szCs w:val="24"/>
              </w:rPr>
              <w:t>Gráfico 7. Índice VIX y VXEEM</w:t>
            </w:r>
          </w:p>
          <w:p w14:paraId="0A8C279B" w14:textId="77777777" w:rsidR="00246A61" w:rsidRPr="00FE76BD" w:rsidRDefault="00246A61" w:rsidP="00BA4D6D">
            <w:r w:rsidRPr="00FE76BD">
              <w:rPr>
                <w:noProof/>
                <w:lang w:val="es-ES"/>
              </w:rPr>
              <mc:AlternateContent>
                <mc:Choice Requires="wps">
                  <w:drawing>
                    <wp:anchor distT="0" distB="0" distL="114300" distR="114300" simplePos="0" relativeHeight="251678720" behindDoc="0" locked="0" layoutInCell="1" allowOverlap="1" wp14:anchorId="1C36C1C6" wp14:editId="7BB47D87">
                      <wp:simplePos x="0" y="0"/>
                      <wp:positionH relativeFrom="column">
                        <wp:posOffset>24764</wp:posOffset>
                      </wp:positionH>
                      <wp:positionV relativeFrom="paragraph">
                        <wp:posOffset>2538730</wp:posOffset>
                      </wp:positionV>
                      <wp:extent cx="3971925" cy="276225"/>
                      <wp:effectExtent l="0" t="0" r="9525" b="9525"/>
                      <wp:wrapNone/>
                      <wp:docPr id="66" name="Text Box 66"/>
                      <wp:cNvGraphicFramePr/>
                      <a:graphic xmlns:a="http://schemas.openxmlformats.org/drawingml/2006/main">
                        <a:graphicData uri="http://schemas.microsoft.com/office/word/2010/wordprocessingShape">
                          <wps:wsp>
                            <wps:cNvSpPr txBox="1"/>
                            <wps:spPr>
                              <a:xfrm>
                                <a:off x="0" y="0"/>
                                <a:ext cx="3971925" cy="276225"/>
                              </a:xfrm>
                              <a:prstGeom prst="rect">
                                <a:avLst/>
                              </a:prstGeom>
                              <a:solidFill>
                                <a:schemeClr val="lt1"/>
                              </a:solidFill>
                              <a:ln w="6350">
                                <a:noFill/>
                              </a:ln>
                            </wps:spPr>
                            <wps:txbx>
                              <w:txbxContent>
                                <w:p w14:paraId="51617844" w14:textId="77777777" w:rsidR="00963B9C" w:rsidRPr="004D0048" w:rsidRDefault="00963B9C" w:rsidP="00246A61">
                                  <w:r w:rsidRPr="004D0048">
                                    <w:t xml:space="preserve">Fuente: Elaboración </w:t>
                                  </w:r>
                                  <w:r>
                                    <w:t xml:space="preserve">DAPF </w:t>
                                  </w:r>
                                  <w:r w:rsidRPr="004D0048">
                                    <w:t xml:space="preserve">con información </w:t>
                                  </w:r>
                                  <w:r>
                                    <w:t>de Investing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shape w14:anchorId="1C36C1C6" id="Text Box 66" o:spid="_x0000_s1031" type="#_x0000_t202" style="position:absolute;margin-left:1.95pt;margin-top:199.9pt;width:312.75pt;height:21.7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" fillcolor="white [3201]" stroked="f" strokeweight=".5pt">
                      <v:textbox>
                        <w:txbxContent>
                          <w:p w14:paraId="51617844" w14:textId="77777777" w:rsidR="00963B9C" w:rsidRPr="004D0048" w:rsidRDefault="00963B9C" w:rsidP="00246A61">
                            <w:r w:rsidRPr="004D0048">
                              <w:t xml:space="preserve">Fuente: Elaboración </w:t>
                            </w:r>
                            <w:r>
                              <w:t xml:space="preserve">DAPF </w:t>
                            </w:r>
                            <w:r w:rsidRPr="004D0048">
                              <w:t xml:space="preserve">con información </w:t>
                            </w:r>
                            <w:r>
                              <w:t xml:space="preserve">de </w:t>
                            </w:r>
                            <w:proofErr w:type="spellStart"/>
                            <w:r>
                              <w:t>Investing</w:t>
                            </w:r>
                            <w:proofErr w:type="spellEnd"/>
                          </w:p>
                        </w:txbxContent>
                      </v:textbox>
                    </v:shape>
                  </w:pict>
                </mc:Fallback>
              </mc:AlternateContent>
            </w:r>
            <w:r w:rsidRPr="00FE76BD">
              <w:rPr>
                <w:noProof/>
                <w:lang w:val="es-ES"/>
              </w:rPr>
              <w:drawing>
                <wp:inline distT="0" distB="0" distL="0" distR="0" wp14:anchorId="56409183" wp14:editId="061B36F8">
                  <wp:extent cx="5040000" cy="2520000"/>
                  <wp:effectExtent l="0" t="0" r="8255" b="0"/>
                  <wp:docPr id="65" name="Chart 65">
                    <a:extLst xmlns:a="http://schemas.openxmlformats.org/drawingml/2006/main">
                      <a:ext uri="{FF2B5EF4-FFF2-40B4-BE49-F238E27FC236}">
                        <a16:creationId xmlns:a16="http://schemas.microsoft.com/office/drawing/2014/main" xmlns:w16se="http://schemas.microsoft.com/office/word/2015/wordml/symex" xmlns:w15="http://schemas.microsoft.com/office/word/2012/wordml" xmlns:w="http://schemas.openxmlformats.org/wordprocessingml/2006/main" xmlns:w10="urn:schemas-microsoft-com:office:word" xmlns:v="urn:schemas-microsoft-com:vml" xmlns:o="urn:schemas-microsoft-com:office:office" xmlns:cx="http://schemas.microsoft.com/office/drawing/2014/chartex" xmlns="" id="{CE38B0C6-C130-44DF-BBA3-6BCBCB278FB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tc>
      </w:tr>
    </w:tbl>
    <w:p w14:paraId="24DFD857" w14:textId="77777777" w:rsidR="00246A61" w:rsidRPr="00FE76BD" w:rsidRDefault="00246A61" w:rsidP="00246A61">
      <w:pPr>
        <w:ind w:right="49"/>
        <w:rPr>
          <w:sz w:val="24"/>
          <w:szCs w:val="24"/>
        </w:rPr>
      </w:pPr>
    </w:p>
    <w:p w14:paraId="3A7B5AEC" w14:textId="77777777" w:rsidR="00246A61" w:rsidRDefault="00246A61" w:rsidP="00246A61">
      <w:pPr>
        <w:pStyle w:val="Ttulo1"/>
        <w:widowControl/>
        <w:numPr>
          <w:ilvl w:val="0"/>
          <w:numId w:val="5"/>
        </w:numPr>
        <w:ind w:left="567" w:right="49"/>
        <w:jc w:val="left"/>
        <w:rPr>
          <w:b w:val="0"/>
          <w:color w:val="auto"/>
          <w:sz w:val="24"/>
          <w:szCs w:val="24"/>
        </w:rPr>
      </w:pPr>
      <w:bookmarkStart w:id="7" w:name="_Toc49939717"/>
      <w:r w:rsidRPr="004A2797">
        <w:rPr>
          <w:color w:val="auto"/>
          <w:sz w:val="24"/>
          <w:szCs w:val="24"/>
        </w:rPr>
        <w:t>Riesgos en la economía doméstica</w:t>
      </w:r>
      <w:bookmarkEnd w:id="7"/>
    </w:p>
    <w:p w14:paraId="295BD6FE" w14:textId="77777777" w:rsidR="00246A61" w:rsidRPr="004A2797" w:rsidRDefault="00246A61" w:rsidP="00246A61"/>
    <w:p w14:paraId="43539E26" w14:textId="77777777" w:rsidR="00246A61" w:rsidRPr="004A2797" w:rsidRDefault="00246A61" w:rsidP="00246A61">
      <w:pPr>
        <w:pStyle w:val="Ttulo1"/>
        <w:widowControl/>
        <w:numPr>
          <w:ilvl w:val="1"/>
          <w:numId w:val="5"/>
        </w:numPr>
        <w:ind w:left="993" w:right="49"/>
        <w:jc w:val="left"/>
        <w:rPr>
          <w:b w:val="0"/>
          <w:color w:val="auto"/>
          <w:sz w:val="24"/>
          <w:szCs w:val="24"/>
        </w:rPr>
      </w:pPr>
      <w:bookmarkStart w:id="8" w:name="_Toc49939718"/>
      <w:r w:rsidRPr="004A2797">
        <w:rPr>
          <w:color w:val="auto"/>
          <w:sz w:val="24"/>
          <w:szCs w:val="24"/>
        </w:rPr>
        <w:t>Desviaciones de los pronósticos macroeconómicos</w:t>
      </w:r>
      <w:bookmarkEnd w:id="6"/>
      <w:bookmarkEnd w:id="8"/>
    </w:p>
    <w:p w14:paraId="79E6E367" w14:textId="77777777" w:rsidR="00246A61" w:rsidRPr="00FE76BD" w:rsidRDefault="00246A61" w:rsidP="00246A61">
      <w:pPr>
        <w:pStyle w:val="Sinespaciado"/>
        <w:ind w:left="567" w:right="49"/>
        <w:jc w:val="both"/>
        <w:rPr>
          <w:rFonts w:ascii="Times New Roman" w:hAnsi="Times New Roman"/>
          <w:sz w:val="24"/>
          <w:szCs w:val="24"/>
        </w:rPr>
      </w:pPr>
    </w:p>
    <w:p w14:paraId="29AEF130" w14:textId="77777777" w:rsidR="00246A61" w:rsidRPr="00FE76BD" w:rsidRDefault="00246A61" w:rsidP="00246A61">
      <w:pPr>
        <w:pStyle w:val="Sinespaciado"/>
        <w:ind w:left="567" w:right="49"/>
        <w:jc w:val="both"/>
        <w:rPr>
          <w:rFonts w:ascii="Times New Roman" w:hAnsi="Times New Roman"/>
          <w:sz w:val="24"/>
          <w:szCs w:val="24"/>
        </w:rPr>
      </w:pPr>
      <w:r w:rsidRPr="00FE76BD">
        <w:rPr>
          <w:rFonts w:ascii="Times New Roman" w:hAnsi="Times New Roman"/>
          <w:sz w:val="24"/>
          <w:szCs w:val="24"/>
        </w:rPr>
        <w:t xml:space="preserve">El seguimiento del comportamiento de las principales variables macroeconómicas brinda elementos para evaluar a priori la volatilidad en el comportamiento de estas variables para las estimaciones fiscales principalmente la recaudación tributaria y el análisis de sostenibilidad de deuda. </w:t>
      </w:r>
    </w:p>
    <w:p w14:paraId="37678133" w14:textId="77777777" w:rsidR="00246A61" w:rsidRPr="00FE76BD" w:rsidRDefault="00246A61" w:rsidP="00246A61">
      <w:pPr>
        <w:pStyle w:val="Sinespaciado"/>
        <w:ind w:left="567" w:right="49"/>
        <w:jc w:val="both"/>
        <w:rPr>
          <w:rFonts w:ascii="Times New Roman" w:hAnsi="Times New Roman"/>
          <w:sz w:val="24"/>
          <w:szCs w:val="24"/>
        </w:rPr>
      </w:pPr>
    </w:p>
    <w:p w14:paraId="18D4554D" w14:textId="77777777" w:rsidR="00246A61" w:rsidRDefault="00246A61" w:rsidP="00246A61">
      <w:pPr>
        <w:ind w:left="567" w:right="49"/>
        <w:jc w:val="both"/>
        <w:rPr>
          <w:sz w:val="24"/>
          <w:szCs w:val="24"/>
        </w:rPr>
      </w:pPr>
      <w:r w:rsidRPr="00FE76BD">
        <w:rPr>
          <w:sz w:val="24"/>
          <w:szCs w:val="24"/>
          <w:lang w:val="es-MX"/>
        </w:rPr>
        <w:t>El crecimiento económico tuvo una tendencia al alza en los últimos años, después de un mínimo de crecimiento de 2.7% en el 2016. En el año 2017 se tuvo una tasa de 3.0% y en el 2018 está aumentó a 3.2%</w:t>
      </w:r>
      <w:r w:rsidRPr="00FE76BD">
        <w:rPr>
          <w:sz w:val="24"/>
          <w:szCs w:val="24"/>
        </w:rPr>
        <w:t>, esta leve recuperación se debió principalmente por el dinamismo de la demanda interna, en particular el consumo privado. En el 2018 el sector productivo de comercio y reparación de vehículos contribuyó 0.5 puntos porcentuales al crecimiento, la misma cantidad que contribuyó las industrias manufactureras, estos dos sectores poseen la mayor participación en relación con el total de la producción. Asimismo, las actividades inmobiliarias el sector construcción tuvieron una tasa de crecimiento de 4.1% y 5.1% respectivamente, contribuyendo a la tasa de crecimiento económico de la economía en 0.6 puntos porcentuales.</w:t>
      </w:r>
    </w:p>
    <w:p w14:paraId="24D9214C" w14:textId="77777777" w:rsidR="00246A61" w:rsidRPr="00FE76BD" w:rsidRDefault="00246A61" w:rsidP="00246A61">
      <w:pPr>
        <w:ind w:left="567" w:right="49"/>
        <w:jc w:val="both"/>
        <w:rPr>
          <w:sz w:val="24"/>
          <w:szCs w:val="24"/>
        </w:rPr>
      </w:pPr>
    </w:p>
    <w:p w14:paraId="38DF2E89" w14:textId="77777777" w:rsidR="00246A61" w:rsidRDefault="00246A61" w:rsidP="00246A61">
      <w:pPr>
        <w:ind w:left="567" w:right="49"/>
        <w:jc w:val="both"/>
        <w:rPr>
          <w:sz w:val="24"/>
          <w:szCs w:val="24"/>
        </w:rPr>
      </w:pPr>
      <w:r w:rsidRPr="00FE76BD">
        <w:rPr>
          <w:sz w:val="24"/>
          <w:szCs w:val="24"/>
        </w:rPr>
        <w:t>El comportamiento que mostraron las perspectivas del crecimiento económico en 2019 mostró</w:t>
      </w:r>
      <w:r>
        <w:rPr>
          <w:sz w:val="24"/>
          <w:szCs w:val="24"/>
        </w:rPr>
        <w:t xml:space="preserve"> una </w:t>
      </w:r>
      <w:r w:rsidRPr="00FE76BD">
        <w:rPr>
          <w:sz w:val="24"/>
          <w:szCs w:val="24"/>
        </w:rPr>
        <w:t>expectativa</w:t>
      </w:r>
      <w:r>
        <w:rPr>
          <w:sz w:val="24"/>
          <w:szCs w:val="24"/>
        </w:rPr>
        <w:t xml:space="preserve"> alta</w:t>
      </w:r>
      <w:r w:rsidRPr="00FE76BD">
        <w:rPr>
          <w:sz w:val="24"/>
          <w:szCs w:val="24"/>
        </w:rPr>
        <w:t xml:space="preserve">, desde diciembre del 2018 se pronosticaba que el crecimiento iba a estar cerca de su potencial, este se estimaba en 3.4%, con una desviación de -0.4 puntos porcentuales </w:t>
      </w:r>
      <w:r w:rsidRPr="00FE76BD">
        <w:rPr>
          <w:sz w:val="24"/>
          <w:szCs w:val="24"/>
        </w:rPr>
        <w:lastRenderedPageBreak/>
        <w:t xml:space="preserve">con respecto al crecimiento observado.  Asimismo, en diciembre del 2019 las perspectivas aumentaron 0.2 puntos porcentuales siendo este aún menor al observado por 0.2 puntos porcentuales, de tal manera que en ese año el crecimiento observado fue 3.8%, el crecimiento más alto desde 2015. </w:t>
      </w:r>
    </w:p>
    <w:p w14:paraId="65091403" w14:textId="77777777" w:rsidR="00246A61" w:rsidRPr="00FE76BD" w:rsidRDefault="00246A61" w:rsidP="00246A61">
      <w:pPr>
        <w:ind w:left="567" w:right="49"/>
        <w:jc w:val="both"/>
        <w:rPr>
          <w:sz w:val="24"/>
          <w:szCs w:val="24"/>
        </w:rPr>
      </w:pPr>
    </w:p>
    <w:tbl>
      <w:tblPr>
        <w:tblStyle w:val="Tablaconcuadrcula"/>
        <w:tblW w:w="8850"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Look w:val="04A0" w:firstRow="1" w:lastRow="0" w:firstColumn="1" w:lastColumn="0" w:noHBand="0" w:noVBand="1"/>
      </w:tblPr>
      <w:tblGrid>
        <w:gridCol w:w="4724"/>
        <w:gridCol w:w="4724"/>
      </w:tblGrid>
      <w:tr w:rsidR="00246A61" w:rsidRPr="00FE76BD" w14:paraId="2907D4E5" w14:textId="77777777" w:rsidTr="00BA4D6D">
        <w:trPr>
          <w:trHeight w:val="4784"/>
          <w:jc w:val="center"/>
        </w:trPr>
        <w:tc>
          <w:tcPr>
            <w:tcW w:w="4425" w:type="dxa"/>
          </w:tcPr>
          <w:p w14:paraId="2851938E" w14:textId="77777777" w:rsidR="00246A61" w:rsidRPr="00FE76BD" w:rsidRDefault="00246A61" w:rsidP="00BA4D6D">
            <w:pPr>
              <w:pStyle w:val="Epgrafe"/>
              <w:keepNext/>
              <w:ind w:left="567" w:right="49"/>
              <w:rPr>
                <w:color w:val="auto"/>
                <w:sz w:val="24"/>
                <w:szCs w:val="24"/>
              </w:rPr>
            </w:pPr>
            <w:r w:rsidRPr="00FE76BD">
              <w:rPr>
                <w:color w:val="auto"/>
                <w:sz w:val="24"/>
                <w:szCs w:val="24"/>
              </w:rPr>
              <w:t xml:space="preserve">Gráfico 8. PIB real </w:t>
            </w:r>
          </w:p>
          <w:p w14:paraId="5C96679B" w14:textId="77777777" w:rsidR="00246A61" w:rsidRPr="00FE76BD" w:rsidRDefault="00246A61" w:rsidP="00BA4D6D">
            <w:pPr>
              <w:pStyle w:val="Epgrafe"/>
              <w:keepNext/>
              <w:ind w:left="567" w:right="49"/>
              <w:rPr>
                <w:color w:val="auto"/>
                <w:sz w:val="24"/>
                <w:szCs w:val="24"/>
              </w:rPr>
            </w:pPr>
            <w:r w:rsidRPr="00FE76BD">
              <w:rPr>
                <w:b w:val="0"/>
                <w:bCs/>
                <w:color w:val="auto"/>
                <w:sz w:val="24"/>
                <w:szCs w:val="24"/>
              </w:rPr>
              <w:t>Desviación de las proyecciones respecto al observado de 2019</w:t>
            </w:r>
          </w:p>
          <w:p w14:paraId="111187EB" w14:textId="77777777" w:rsidR="00246A61" w:rsidRPr="00FE76BD" w:rsidRDefault="00246A61" w:rsidP="00BA4D6D">
            <w:pPr>
              <w:ind w:left="567" w:right="49"/>
              <w:jc w:val="both"/>
              <w:rPr>
                <w:sz w:val="24"/>
                <w:szCs w:val="24"/>
                <w:lang w:val="es-MX"/>
              </w:rPr>
            </w:pPr>
            <w:r w:rsidRPr="00FE76BD">
              <w:rPr>
                <w:noProof/>
                <w:sz w:val="24"/>
                <w:szCs w:val="24"/>
                <w:lang w:val="es-ES"/>
              </w:rPr>
              <mc:AlternateContent>
                <mc:Choice Requires="wps">
                  <w:drawing>
                    <wp:anchor distT="0" distB="0" distL="114300" distR="114300" simplePos="0" relativeHeight="251672576" behindDoc="0" locked="0" layoutInCell="1" allowOverlap="1" wp14:anchorId="5D187C8B" wp14:editId="0F6EC008">
                      <wp:simplePos x="0" y="0"/>
                      <wp:positionH relativeFrom="column">
                        <wp:posOffset>116840</wp:posOffset>
                      </wp:positionH>
                      <wp:positionV relativeFrom="paragraph">
                        <wp:posOffset>2452370</wp:posOffset>
                      </wp:positionV>
                      <wp:extent cx="2929255" cy="438150"/>
                      <wp:effectExtent l="0" t="0" r="4445" b="0"/>
                      <wp:wrapNone/>
                      <wp:docPr id="14" name="Text Box 14"/>
                      <wp:cNvGraphicFramePr/>
                      <a:graphic xmlns:a="http://schemas.openxmlformats.org/drawingml/2006/main">
                        <a:graphicData uri="http://schemas.microsoft.com/office/word/2010/wordprocessingShape">
                          <wps:wsp>
                            <wps:cNvSpPr txBox="1"/>
                            <wps:spPr>
                              <a:xfrm>
                                <a:off x="0" y="0"/>
                                <a:ext cx="2929255" cy="438150"/>
                              </a:xfrm>
                              <a:prstGeom prst="rect">
                                <a:avLst/>
                              </a:prstGeom>
                              <a:solidFill>
                                <a:schemeClr val="lt1"/>
                              </a:solidFill>
                              <a:ln w="6350">
                                <a:noFill/>
                              </a:ln>
                            </wps:spPr>
                            <wps:txbx>
                              <w:txbxContent>
                                <w:p w14:paraId="420A234C" w14:textId="77777777" w:rsidR="00963B9C" w:rsidRPr="00F815C3" w:rsidRDefault="00963B9C" w:rsidP="00246A61">
                                  <w:pPr>
                                    <w:rPr>
                                      <w:sz w:val="15"/>
                                      <w:szCs w:val="15"/>
                                    </w:rPr>
                                  </w:pPr>
                                  <w:r w:rsidRPr="004D0048">
                                    <w:rPr>
                                      <w:szCs w:val="15"/>
                                    </w:rPr>
                                    <w:t xml:space="preserve">Fuente: Elaboración </w:t>
                                  </w:r>
                                  <w:r>
                                    <w:rPr>
                                      <w:szCs w:val="15"/>
                                    </w:rPr>
                                    <w:t xml:space="preserve">DAPF </w:t>
                                  </w:r>
                                  <w:r w:rsidRPr="004D0048">
                                    <w:rPr>
                                      <w:szCs w:val="15"/>
                                    </w:rPr>
                                    <w:t xml:space="preserve">con información de BANGUAT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shape w14:anchorId="5D187C8B" id="Text Box 14" o:spid="_x0000_s1032" type="#_x0000_t202" style="position:absolute;left:0;text-align:left;margin-left:9.2pt;margin-top:193.1pt;width:230.65pt;height:34.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" fillcolor="white [3201]" stroked="f" strokeweight=".5pt">
                      <v:textbox>
                        <w:txbxContent>
                          <w:p w14:paraId="420A234C" w14:textId="77777777" w:rsidR="00963B9C" w:rsidRPr="00F815C3" w:rsidRDefault="00963B9C" w:rsidP="00246A61">
                            <w:pPr>
                              <w:rPr>
                                <w:sz w:val="15"/>
                                <w:szCs w:val="15"/>
                              </w:rPr>
                            </w:pPr>
                            <w:r w:rsidRPr="004D0048">
                              <w:rPr>
                                <w:szCs w:val="15"/>
                              </w:rPr>
                              <w:t xml:space="preserve">Fuente: Elaboración </w:t>
                            </w:r>
                            <w:r>
                              <w:rPr>
                                <w:szCs w:val="15"/>
                              </w:rPr>
                              <w:t xml:space="preserve">DAPF </w:t>
                            </w:r>
                            <w:r w:rsidRPr="004D0048">
                              <w:rPr>
                                <w:szCs w:val="15"/>
                              </w:rPr>
                              <w:t xml:space="preserve">con información de BANGUAT </w:t>
                            </w:r>
                          </w:p>
                        </w:txbxContent>
                      </v:textbox>
                    </v:shape>
                  </w:pict>
                </mc:Fallback>
              </mc:AlternateContent>
            </w:r>
            <w:r w:rsidRPr="00FE76BD">
              <w:rPr>
                <w:noProof/>
                <w:sz w:val="24"/>
                <w:szCs w:val="24"/>
                <w:lang w:val="es-ES"/>
              </w:rPr>
              <w:drawing>
                <wp:inline distT="0" distB="0" distL="0" distR="0" wp14:anchorId="26C9BD16" wp14:editId="2467C817">
                  <wp:extent cx="2520000" cy="2520000"/>
                  <wp:effectExtent l="0" t="0" r="0" b="0"/>
                  <wp:docPr id="52" name="Chart 10">
                    <a:extLst xmlns:a="http://schemas.openxmlformats.org/drawingml/2006/main">
                      <a:ext uri="{FF2B5EF4-FFF2-40B4-BE49-F238E27FC236}">
                        <a16:creationId xmlns:a16="http://schemas.microsoft.com/office/drawing/2014/main" xmlns:w16se="http://schemas.microsoft.com/office/word/2015/wordml/symex" xmlns:w15="http://schemas.microsoft.com/office/word/2012/wordml" xmlns:w="http://schemas.openxmlformats.org/wordprocessingml/2006/main" xmlns:w10="urn:schemas-microsoft-com:office:word" xmlns:v="urn:schemas-microsoft-com:vml" xmlns:o="urn:schemas-microsoft-com:office:office" xmlns:cx="http://schemas.microsoft.com/office/drawing/2014/chartex" xmlns="" id="{48A724A1-C7DF-4D90-8C6E-05080A00DEF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tc>
        <w:tc>
          <w:tcPr>
            <w:tcW w:w="4425" w:type="dxa"/>
          </w:tcPr>
          <w:p w14:paraId="6897F758" w14:textId="77777777" w:rsidR="00246A61" w:rsidRPr="00FE76BD" w:rsidRDefault="00246A61" w:rsidP="00BA4D6D">
            <w:pPr>
              <w:pStyle w:val="Epgrafe"/>
              <w:keepNext/>
              <w:ind w:left="567" w:right="49"/>
              <w:rPr>
                <w:color w:val="auto"/>
                <w:sz w:val="24"/>
                <w:szCs w:val="24"/>
              </w:rPr>
            </w:pPr>
            <w:r w:rsidRPr="00FE76BD">
              <w:rPr>
                <w:color w:val="auto"/>
                <w:sz w:val="24"/>
                <w:szCs w:val="24"/>
              </w:rPr>
              <w:t>Gráfico 9. PIB nominal</w:t>
            </w:r>
          </w:p>
          <w:p w14:paraId="28F8D4EB" w14:textId="77777777" w:rsidR="00246A61" w:rsidRPr="00FE76BD" w:rsidRDefault="00246A61" w:rsidP="00BA4D6D">
            <w:pPr>
              <w:pStyle w:val="Epgrafe"/>
              <w:keepNext/>
              <w:ind w:left="567" w:right="49"/>
              <w:rPr>
                <w:color w:val="auto"/>
                <w:sz w:val="24"/>
                <w:szCs w:val="24"/>
              </w:rPr>
            </w:pPr>
            <w:r w:rsidRPr="00FE76BD">
              <w:rPr>
                <w:b w:val="0"/>
                <w:bCs/>
                <w:color w:val="auto"/>
                <w:sz w:val="24"/>
                <w:szCs w:val="24"/>
              </w:rPr>
              <w:t>Desviación de las proyecciones respecto al observado de 2019</w:t>
            </w:r>
          </w:p>
          <w:p w14:paraId="6D0D0F10" w14:textId="77777777" w:rsidR="00246A61" w:rsidRPr="00FE76BD" w:rsidRDefault="00246A61" w:rsidP="00BA4D6D">
            <w:pPr>
              <w:pStyle w:val="Epgrafe"/>
              <w:keepNext/>
              <w:ind w:left="567" w:right="49"/>
              <w:jc w:val="both"/>
              <w:rPr>
                <w:color w:val="auto"/>
                <w:sz w:val="24"/>
                <w:szCs w:val="24"/>
              </w:rPr>
            </w:pPr>
            <w:r w:rsidRPr="00FE76BD">
              <w:rPr>
                <w:noProof/>
                <w:color w:val="auto"/>
                <w:sz w:val="24"/>
                <w:szCs w:val="24"/>
                <w:lang w:val="es-ES"/>
              </w:rPr>
              <mc:AlternateContent>
                <mc:Choice Requires="wps">
                  <w:drawing>
                    <wp:anchor distT="0" distB="0" distL="114300" distR="114300" simplePos="0" relativeHeight="251671552" behindDoc="0" locked="0" layoutInCell="1" allowOverlap="1" wp14:anchorId="3C73DEB1" wp14:editId="4432F8F4">
                      <wp:simplePos x="0" y="0"/>
                      <wp:positionH relativeFrom="column">
                        <wp:posOffset>260349</wp:posOffset>
                      </wp:positionH>
                      <wp:positionV relativeFrom="paragraph">
                        <wp:posOffset>2461895</wp:posOffset>
                      </wp:positionV>
                      <wp:extent cx="2886075" cy="428625"/>
                      <wp:effectExtent l="0" t="0" r="9525" b="9525"/>
                      <wp:wrapNone/>
                      <wp:docPr id="15" name="Text Box 13"/>
                      <wp:cNvGraphicFramePr/>
                      <a:graphic xmlns:a="http://schemas.openxmlformats.org/drawingml/2006/main">
                        <a:graphicData uri="http://schemas.microsoft.com/office/word/2010/wordprocessingShape">
                          <wps:wsp>
                            <wps:cNvSpPr txBox="1"/>
                            <wps:spPr>
                              <a:xfrm>
                                <a:off x="0" y="0"/>
                                <a:ext cx="2886075" cy="428625"/>
                              </a:xfrm>
                              <a:prstGeom prst="rect">
                                <a:avLst/>
                              </a:prstGeom>
                              <a:solidFill>
                                <a:schemeClr val="lt1"/>
                              </a:solidFill>
                              <a:ln w="6350">
                                <a:noFill/>
                              </a:ln>
                            </wps:spPr>
                            <wps:txbx>
                              <w:txbxContent>
                                <w:p w14:paraId="7CE986EA" w14:textId="77777777" w:rsidR="00963B9C" w:rsidRPr="004D0048" w:rsidRDefault="00963B9C" w:rsidP="00246A61">
                                  <w:pPr>
                                    <w:rPr>
                                      <w:szCs w:val="15"/>
                                    </w:rPr>
                                  </w:pPr>
                                  <w:r w:rsidRPr="004D0048">
                                    <w:rPr>
                                      <w:szCs w:val="15"/>
                                    </w:rPr>
                                    <w:t xml:space="preserve">Fuente: Elaboración </w:t>
                                  </w:r>
                                  <w:r>
                                    <w:rPr>
                                      <w:szCs w:val="15"/>
                                    </w:rPr>
                                    <w:t xml:space="preserve">DAPF </w:t>
                                  </w:r>
                                  <w:r w:rsidRPr="004D0048">
                                    <w:rPr>
                                      <w:szCs w:val="15"/>
                                    </w:rPr>
                                    <w:t>con información de BANGUAT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shape w14:anchorId="3C73DEB1" id="Text Box 13" o:spid="_x0000_s1033" type="#_x0000_t202" style="position:absolute;left:0;text-align:left;margin-left:20.5pt;margin-top:193.85pt;width:227.25pt;height:33.7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" fillcolor="white [3201]" stroked="f" strokeweight=".5pt">
                      <v:textbox>
                        <w:txbxContent>
                          <w:p w14:paraId="7CE986EA" w14:textId="77777777" w:rsidR="00963B9C" w:rsidRPr="004D0048" w:rsidRDefault="00963B9C" w:rsidP="00246A61">
                            <w:pPr>
                              <w:rPr>
                                <w:szCs w:val="15"/>
                              </w:rPr>
                            </w:pPr>
                            <w:r w:rsidRPr="004D0048">
                              <w:rPr>
                                <w:szCs w:val="15"/>
                              </w:rPr>
                              <w:t xml:space="preserve">Fuente: Elaboración </w:t>
                            </w:r>
                            <w:r>
                              <w:rPr>
                                <w:szCs w:val="15"/>
                              </w:rPr>
                              <w:t xml:space="preserve">DAPF </w:t>
                            </w:r>
                            <w:r w:rsidRPr="004D0048">
                              <w:rPr>
                                <w:szCs w:val="15"/>
                              </w:rPr>
                              <w:t>con información de BANGUAT</w:t>
                            </w:r>
                          </w:p>
                        </w:txbxContent>
                      </v:textbox>
                    </v:shape>
                  </w:pict>
                </mc:Fallback>
              </mc:AlternateContent>
            </w:r>
            <w:r w:rsidRPr="00FE76BD">
              <w:rPr>
                <w:noProof/>
                <w:color w:val="auto"/>
                <w:sz w:val="24"/>
                <w:szCs w:val="24"/>
                <w:lang w:val="es-ES"/>
              </w:rPr>
              <w:drawing>
                <wp:inline distT="0" distB="0" distL="0" distR="0" wp14:anchorId="72857B82" wp14:editId="05E02663">
                  <wp:extent cx="2520000" cy="2520000"/>
                  <wp:effectExtent l="0" t="0" r="0" b="0"/>
                  <wp:docPr id="54" name="Chart 11">
                    <a:extLst xmlns:a="http://schemas.openxmlformats.org/drawingml/2006/main">
                      <a:ext uri="{FF2B5EF4-FFF2-40B4-BE49-F238E27FC236}">
                        <a16:creationId xmlns:a16="http://schemas.microsoft.com/office/drawing/2014/main" xmlns:w16se="http://schemas.microsoft.com/office/word/2015/wordml/symex" xmlns:w15="http://schemas.microsoft.com/office/word/2012/wordml" xmlns:w="http://schemas.openxmlformats.org/wordprocessingml/2006/main" xmlns:w10="urn:schemas-microsoft-com:office:word" xmlns:v="urn:schemas-microsoft-com:vml" xmlns:o="urn:schemas-microsoft-com:office:office" xmlns:cx="http://schemas.microsoft.com/office/drawing/2014/chartex" xmlns="" id="{785AF397-E9B3-4F6E-A2EC-56AA68CB0F8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tc>
      </w:tr>
    </w:tbl>
    <w:p w14:paraId="2C7F273D" w14:textId="77777777" w:rsidR="00246A61" w:rsidRPr="00FE76BD" w:rsidRDefault="00246A61" w:rsidP="00246A61">
      <w:pPr>
        <w:ind w:left="567" w:right="49"/>
        <w:jc w:val="both"/>
        <w:rPr>
          <w:sz w:val="24"/>
          <w:szCs w:val="24"/>
        </w:rPr>
      </w:pPr>
    </w:p>
    <w:p w14:paraId="25112508" w14:textId="77777777" w:rsidR="00246A61" w:rsidRPr="004D0048" w:rsidRDefault="00246A61" w:rsidP="00246A61">
      <w:pPr>
        <w:ind w:left="567" w:right="49"/>
        <w:jc w:val="both"/>
        <w:rPr>
          <w:sz w:val="14"/>
          <w:szCs w:val="24"/>
        </w:rPr>
      </w:pPr>
    </w:p>
    <w:p w14:paraId="1DC65D87" w14:textId="77777777" w:rsidR="00246A61" w:rsidRDefault="00246A61" w:rsidP="00246A61">
      <w:pPr>
        <w:ind w:left="567" w:right="49"/>
        <w:jc w:val="both"/>
        <w:rPr>
          <w:sz w:val="24"/>
          <w:szCs w:val="24"/>
        </w:rPr>
      </w:pPr>
      <w:r w:rsidRPr="00FE76BD">
        <w:rPr>
          <w:sz w:val="24"/>
          <w:szCs w:val="24"/>
        </w:rPr>
        <w:t>El aumento del crecimiento en el 2019 se explica por el destino del gasto principalmente por el consumo privado y de gobierno al presentar una contribución al crecimiento económico en dicho año de 4.2%, 0.5 puntos porcentuales mayor a la contribución de 2018. Por otro lado, la inversión tuvo un alto crecimiento en el 2019 de 10.1%, mayor al crecimiento de 5.6% del año 2018. No obstante, aunque la tasa de crecimiento casi se duplica, al representar la inversión únicamente el 15% del PIB, la contribución de este componente en el crecimiento fue de 1.4% en 2019.</w:t>
      </w:r>
    </w:p>
    <w:p w14:paraId="5DFED1AB" w14:textId="77777777" w:rsidR="00246A61" w:rsidRPr="00FE76BD" w:rsidRDefault="00246A61" w:rsidP="00246A61">
      <w:pPr>
        <w:ind w:left="567" w:right="49"/>
        <w:jc w:val="both"/>
        <w:rPr>
          <w:sz w:val="24"/>
          <w:szCs w:val="24"/>
        </w:rPr>
      </w:pPr>
    </w:p>
    <w:p w14:paraId="13BE6DDB" w14:textId="77777777" w:rsidR="00246A61" w:rsidRDefault="00246A61" w:rsidP="00246A61">
      <w:pPr>
        <w:ind w:left="567" w:right="49"/>
        <w:jc w:val="both"/>
        <w:rPr>
          <w:sz w:val="24"/>
          <w:szCs w:val="24"/>
        </w:rPr>
      </w:pPr>
      <w:r w:rsidRPr="00FE76BD">
        <w:rPr>
          <w:sz w:val="24"/>
          <w:szCs w:val="24"/>
        </w:rPr>
        <w:t>En lo que respecta al PIB por el enfoque de la producción, el comercio y reparación de vehículos contribuyó al crecimiento económico del 2019 en 0.6 puntos porcentuales, las industrias manufactureras en 0.4, la agricultura en 0.2 y las actividades inmobiliarias en 0.4 puntos porcentuales respectivamente. El sector construcción tuvo un crecimiento del 8.3% en 2019, 3.2 puntos porcentuales mayor al crecimiento de 2018, a pesar de representar menos del 5% del total del PIB, contribuyó al crecimiento económico por 0.4 puntos porcentuales en 2019, el doble de contribución en comparación al 2018.</w:t>
      </w:r>
    </w:p>
    <w:p w14:paraId="0B893125" w14:textId="77777777" w:rsidR="00246A61" w:rsidRPr="00FE76BD" w:rsidRDefault="00246A61" w:rsidP="00246A61">
      <w:pPr>
        <w:ind w:left="567" w:right="49"/>
        <w:jc w:val="both"/>
        <w:rPr>
          <w:sz w:val="24"/>
          <w:szCs w:val="24"/>
        </w:rPr>
      </w:pPr>
    </w:p>
    <w:p w14:paraId="292F0FF7" w14:textId="77777777" w:rsidR="00246A61" w:rsidRDefault="00246A61" w:rsidP="00246A61">
      <w:pPr>
        <w:ind w:left="567" w:right="49"/>
        <w:jc w:val="both"/>
        <w:rPr>
          <w:sz w:val="24"/>
          <w:szCs w:val="24"/>
        </w:rPr>
      </w:pPr>
      <w:r w:rsidRPr="00FE76BD">
        <w:rPr>
          <w:sz w:val="24"/>
          <w:szCs w:val="24"/>
        </w:rPr>
        <w:t xml:space="preserve">Por su parte, el Producto Interno Bruto Nominal en 2019 también tuvo perspectivas al alza, la desviación del pronóstico de diciembre de 2018 con respecto al crecimiento observado de 2019 fue de 0.5 puntos porcentuales, de la misma manera en todas las revisiones de perspectivas los pronósticos tuvieron una sobre estimación de 0.1 puntos porcentuales, ubicándose la tasa de crecimiento del PIB nominal en dicho año en 7.4%. Esta sobreestimación en parte se explica a que el ritmo inflacionario interanual tuvo una tendencia a la baja desde junio de 2019, pasando </w:t>
      </w:r>
      <w:r w:rsidRPr="00FE76BD">
        <w:rPr>
          <w:sz w:val="24"/>
          <w:szCs w:val="24"/>
        </w:rPr>
        <w:lastRenderedPageBreak/>
        <w:t>de 4.8% a 2.9% en noviembre del mismo año, a pesar de esto en diciembre el ritmo inflacionario se recuperó y se ubicó en 3.4% en el rango meta de 4%±1% del Banco de Guatemala.</w:t>
      </w:r>
    </w:p>
    <w:p w14:paraId="0D844110" w14:textId="77777777" w:rsidR="00246A61" w:rsidRPr="00FE76BD" w:rsidRDefault="00246A61" w:rsidP="00246A61">
      <w:pPr>
        <w:ind w:left="567" w:right="49"/>
        <w:jc w:val="both"/>
        <w:rPr>
          <w:sz w:val="24"/>
          <w:szCs w:val="24"/>
        </w:rPr>
      </w:pPr>
    </w:p>
    <w:p w14:paraId="25C0BD7C" w14:textId="77777777" w:rsidR="00246A61" w:rsidRPr="00FE76BD" w:rsidRDefault="00246A61" w:rsidP="00246A61">
      <w:pPr>
        <w:ind w:left="567" w:right="49"/>
        <w:jc w:val="both"/>
        <w:rPr>
          <w:sz w:val="24"/>
          <w:szCs w:val="24"/>
          <w:lang w:val="es-MX"/>
        </w:rPr>
      </w:pPr>
      <w:r w:rsidRPr="00FE76BD">
        <w:rPr>
          <w:sz w:val="24"/>
          <w:szCs w:val="24"/>
          <w:lang w:val="es-MX"/>
        </w:rPr>
        <w:t>El crecimiento de las exportaciones FOB y de las importaciones CIF ha sido volátil en los últimos años. Las exportaciones tuvieron un máximo de crecimiento de 7.8% en el 2014 y un mínimo de -2.1% para el 2016, el crecimiento para 2018 fue negativo en 0.1% Situación que se explica en buena medida por la reducción de las exportaciones de café y azúcar, productos que tuvieron una fuerte disminución de sus precios en el 2018, de tal manera que el azúcar tuvo una variación negativa de 23.3% y una contribución al crecimiento de las exportaciones negativa de 1.7 puntos porcentuales. Por su lado, el café tuvo una variación de -2.6% y una contribución de -0.6 puntos porcentuales.  En cuanto a las importaciones, estas tuvieron una alta tasa de crecimiento de 8.2% en 2017 con relación al promedio del 2014-2018 de 2.5%, posteriormente en el 2018 la tasa se ralentizó a 7.0%, parte de esta ralentización del 2018 se debe a que los vehículos y material de transporte tuvieron una variación negativa de 6.8%, estos productos poseen la mayor participación del total de las importaciones. Asimismo, las maquinarias para usos electrotécnicos que poseen el segundo lugar en participación también mostraron una variación negativa de 2%.</w:t>
      </w:r>
    </w:p>
    <w:p w14:paraId="6E31FA23" w14:textId="77777777" w:rsidR="00246A61" w:rsidRPr="00FE76BD" w:rsidRDefault="00246A61" w:rsidP="00246A61">
      <w:pPr>
        <w:ind w:left="567" w:right="49"/>
        <w:jc w:val="both"/>
        <w:rPr>
          <w:sz w:val="24"/>
          <w:szCs w:val="24"/>
          <w:lang w:val="es-MX"/>
        </w:rPr>
      </w:pPr>
    </w:p>
    <w:tbl>
      <w:tblPr>
        <w:tblStyle w:val="Tablaconcuadrcula"/>
        <w:tblW w:w="8850"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Look w:val="04A0" w:firstRow="1" w:lastRow="0" w:firstColumn="1" w:lastColumn="0" w:noHBand="0" w:noVBand="1"/>
      </w:tblPr>
      <w:tblGrid>
        <w:gridCol w:w="4724"/>
        <w:gridCol w:w="4724"/>
      </w:tblGrid>
      <w:tr w:rsidR="00246A61" w:rsidRPr="00FE76BD" w14:paraId="07024877" w14:textId="77777777" w:rsidTr="00BA4D6D">
        <w:trPr>
          <w:trHeight w:val="4784"/>
          <w:jc w:val="center"/>
        </w:trPr>
        <w:tc>
          <w:tcPr>
            <w:tcW w:w="4425" w:type="dxa"/>
          </w:tcPr>
          <w:p w14:paraId="0E56047B" w14:textId="77777777" w:rsidR="00246A61" w:rsidRPr="00FE76BD" w:rsidRDefault="00246A61" w:rsidP="00BA4D6D">
            <w:pPr>
              <w:pStyle w:val="Epgrafe"/>
              <w:keepNext/>
              <w:ind w:left="567" w:right="49"/>
              <w:rPr>
                <w:color w:val="auto"/>
                <w:sz w:val="24"/>
                <w:szCs w:val="24"/>
              </w:rPr>
            </w:pPr>
            <w:r w:rsidRPr="00FE76BD">
              <w:rPr>
                <w:color w:val="auto"/>
                <w:sz w:val="24"/>
                <w:szCs w:val="24"/>
              </w:rPr>
              <w:t>Gráfico 10. Exportaciones FOB</w:t>
            </w:r>
          </w:p>
          <w:p w14:paraId="14F6AE97" w14:textId="77777777" w:rsidR="00246A61" w:rsidRPr="00FE76BD" w:rsidRDefault="00246A61" w:rsidP="00BA4D6D">
            <w:pPr>
              <w:pStyle w:val="Epgrafe"/>
              <w:keepNext/>
              <w:ind w:left="567" w:right="49"/>
              <w:rPr>
                <w:color w:val="auto"/>
                <w:sz w:val="24"/>
                <w:szCs w:val="24"/>
              </w:rPr>
            </w:pPr>
            <w:r w:rsidRPr="00FE76BD">
              <w:rPr>
                <w:b w:val="0"/>
                <w:bCs/>
                <w:color w:val="auto"/>
                <w:sz w:val="24"/>
                <w:szCs w:val="24"/>
              </w:rPr>
              <w:t>Desviación de las proyecciones respecto al observado de 2019</w:t>
            </w:r>
          </w:p>
          <w:p w14:paraId="56948A68" w14:textId="77777777" w:rsidR="00246A61" w:rsidRPr="00FE76BD" w:rsidRDefault="00246A61" w:rsidP="00BA4D6D">
            <w:pPr>
              <w:ind w:left="567" w:right="49"/>
              <w:jc w:val="both"/>
              <w:rPr>
                <w:sz w:val="24"/>
                <w:szCs w:val="24"/>
                <w:lang w:val="es-MX"/>
              </w:rPr>
            </w:pPr>
            <w:r w:rsidRPr="00FE76BD">
              <w:rPr>
                <w:noProof/>
                <w:sz w:val="24"/>
                <w:szCs w:val="24"/>
                <w:lang w:val="es-ES"/>
              </w:rPr>
              <mc:AlternateContent>
                <mc:Choice Requires="wps">
                  <w:drawing>
                    <wp:anchor distT="0" distB="0" distL="114300" distR="114300" simplePos="0" relativeHeight="251674624" behindDoc="0" locked="0" layoutInCell="1" allowOverlap="1" wp14:anchorId="032D56B2" wp14:editId="7D639D03">
                      <wp:simplePos x="0" y="0"/>
                      <wp:positionH relativeFrom="column">
                        <wp:posOffset>173990</wp:posOffset>
                      </wp:positionH>
                      <wp:positionV relativeFrom="paragraph">
                        <wp:posOffset>2370455</wp:posOffset>
                      </wp:positionV>
                      <wp:extent cx="2828925" cy="400050"/>
                      <wp:effectExtent l="0" t="0" r="9525" b="0"/>
                      <wp:wrapNone/>
                      <wp:docPr id="18" name="Text Box 24"/>
                      <wp:cNvGraphicFramePr/>
                      <a:graphic xmlns:a="http://schemas.openxmlformats.org/drawingml/2006/main">
                        <a:graphicData uri="http://schemas.microsoft.com/office/word/2010/wordprocessingShape">
                          <wps:wsp>
                            <wps:cNvSpPr txBox="1"/>
                            <wps:spPr>
                              <a:xfrm>
                                <a:off x="0" y="0"/>
                                <a:ext cx="2828925" cy="400050"/>
                              </a:xfrm>
                              <a:prstGeom prst="rect">
                                <a:avLst/>
                              </a:prstGeom>
                              <a:solidFill>
                                <a:schemeClr val="lt1"/>
                              </a:solidFill>
                              <a:ln w="6350">
                                <a:noFill/>
                              </a:ln>
                            </wps:spPr>
                            <wps:txbx>
                              <w:txbxContent>
                                <w:p w14:paraId="1250D844" w14:textId="77777777" w:rsidR="00963B9C" w:rsidRPr="004D0048" w:rsidRDefault="00963B9C" w:rsidP="00246A61">
                                  <w:pPr>
                                    <w:rPr>
                                      <w:szCs w:val="15"/>
                                    </w:rPr>
                                  </w:pPr>
                                  <w:r w:rsidRPr="004D0048">
                                    <w:rPr>
                                      <w:szCs w:val="15"/>
                                    </w:rPr>
                                    <w:t xml:space="preserve">Fuente: Elaboración </w:t>
                                  </w:r>
                                  <w:r>
                                    <w:rPr>
                                      <w:szCs w:val="15"/>
                                    </w:rPr>
                                    <w:t xml:space="preserve">DAPF </w:t>
                                  </w:r>
                                  <w:r w:rsidRPr="004D0048">
                                    <w:rPr>
                                      <w:szCs w:val="15"/>
                                    </w:rPr>
                                    <w:t>con información de BANGUAT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shape w14:anchorId="032D56B2" id="Text Box 24" o:spid="_x0000_s1034" type="#_x0000_t202" style="position:absolute;left:0;text-align:left;margin-left:13.7pt;margin-top:186.65pt;width:222.75pt;height:31.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" fillcolor="white [3201]" stroked="f" strokeweight=".5pt">
                      <v:textbox>
                        <w:txbxContent>
                          <w:p w14:paraId="1250D844" w14:textId="77777777" w:rsidR="00963B9C" w:rsidRPr="004D0048" w:rsidRDefault="00963B9C" w:rsidP="00246A61">
                            <w:pPr>
                              <w:rPr>
                                <w:szCs w:val="15"/>
                              </w:rPr>
                            </w:pPr>
                            <w:r w:rsidRPr="004D0048">
                              <w:rPr>
                                <w:szCs w:val="15"/>
                              </w:rPr>
                              <w:t xml:space="preserve">Fuente: Elaboración </w:t>
                            </w:r>
                            <w:r>
                              <w:rPr>
                                <w:szCs w:val="15"/>
                              </w:rPr>
                              <w:t xml:space="preserve">DAPF </w:t>
                            </w:r>
                            <w:r w:rsidRPr="004D0048">
                              <w:rPr>
                                <w:szCs w:val="15"/>
                              </w:rPr>
                              <w:t>con información de BANGUAT</w:t>
                            </w:r>
                          </w:p>
                        </w:txbxContent>
                      </v:textbox>
                    </v:shape>
                  </w:pict>
                </mc:Fallback>
              </mc:AlternateContent>
            </w:r>
            <w:r w:rsidRPr="00FE76BD">
              <w:rPr>
                <w:noProof/>
                <w:sz w:val="24"/>
                <w:szCs w:val="24"/>
                <w:lang w:val="es-ES"/>
              </w:rPr>
              <w:drawing>
                <wp:inline distT="0" distB="0" distL="0" distR="0" wp14:anchorId="718B7EB1" wp14:editId="0F882DC9">
                  <wp:extent cx="2520000" cy="2520000"/>
                  <wp:effectExtent l="0" t="0" r="0" b="0"/>
                  <wp:docPr id="22" name="Chart 22">
                    <a:extLst xmlns:a="http://schemas.openxmlformats.org/drawingml/2006/main">
                      <a:ext uri="{FF2B5EF4-FFF2-40B4-BE49-F238E27FC236}">
                        <a16:creationId xmlns:a16="http://schemas.microsoft.com/office/drawing/2014/main" xmlns:w16se="http://schemas.microsoft.com/office/word/2015/wordml/symex" xmlns:w15="http://schemas.microsoft.com/office/word/2012/wordml" xmlns:w="http://schemas.openxmlformats.org/wordprocessingml/2006/main" xmlns:w10="urn:schemas-microsoft-com:office:word" xmlns:v="urn:schemas-microsoft-com:vml" xmlns:o="urn:schemas-microsoft-com:office:office" xmlns:cx="http://schemas.microsoft.com/office/drawing/2014/chartex" xmlns="" id="{F2834DE4-17A5-4004-8613-0BB119996D5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tc>
        <w:tc>
          <w:tcPr>
            <w:tcW w:w="4425" w:type="dxa"/>
          </w:tcPr>
          <w:p w14:paraId="1B8E906D" w14:textId="77777777" w:rsidR="00246A61" w:rsidRPr="00FE76BD" w:rsidRDefault="00246A61" w:rsidP="00BA4D6D">
            <w:pPr>
              <w:pStyle w:val="Epgrafe"/>
              <w:keepNext/>
              <w:ind w:left="567" w:right="49"/>
              <w:rPr>
                <w:color w:val="auto"/>
                <w:sz w:val="24"/>
                <w:szCs w:val="24"/>
              </w:rPr>
            </w:pPr>
            <w:r w:rsidRPr="00FE76BD">
              <w:rPr>
                <w:color w:val="auto"/>
                <w:sz w:val="24"/>
                <w:szCs w:val="24"/>
              </w:rPr>
              <w:t>Gráfico 11. Importaciones FOB</w:t>
            </w:r>
          </w:p>
          <w:p w14:paraId="47475481" w14:textId="77777777" w:rsidR="00246A61" w:rsidRPr="00FE76BD" w:rsidRDefault="00246A61" w:rsidP="00BA4D6D">
            <w:pPr>
              <w:pStyle w:val="Epgrafe"/>
              <w:keepNext/>
              <w:ind w:left="567" w:right="49"/>
              <w:rPr>
                <w:color w:val="auto"/>
                <w:sz w:val="24"/>
                <w:szCs w:val="24"/>
              </w:rPr>
            </w:pPr>
            <w:r w:rsidRPr="00FE76BD">
              <w:rPr>
                <w:b w:val="0"/>
                <w:bCs/>
                <w:color w:val="auto"/>
                <w:sz w:val="24"/>
                <w:szCs w:val="24"/>
              </w:rPr>
              <w:t>Desviación de las proyecciones respecto al observado de 2019</w:t>
            </w:r>
          </w:p>
          <w:p w14:paraId="1681A777" w14:textId="77777777" w:rsidR="00246A61" w:rsidRPr="00FE76BD" w:rsidRDefault="00246A61" w:rsidP="00BA4D6D">
            <w:pPr>
              <w:pStyle w:val="Epgrafe"/>
              <w:keepNext/>
              <w:ind w:left="567" w:right="49"/>
              <w:jc w:val="both"/>
              <w:rPr>
                <w:color w:val="auto"/>
                <w:sz w:val="24"/>
                <w:szCs w:val="24"/>
              </w:rPr>
            </w:pPr>
            <w:r w:rsidRPr="00FE76BD">
              <w:rPr>
                <w:noProof/>
                <w:color w:val="auto"/>
                <w:sz w:val="24"/>
                <w:szCs w:val="24"/>
                <w:lang w:val="es-ES"/>
              </w:rPr>
              <mc:AlternateContent>
                <mc:Choice Requires="wps">
                  <w:drawing>
                    <wp:anchor distT="0" distB="0" distL="114300" distR="114300" simplePos="0" relativeHeight="251673600" behindDoc="0" locked="0" layoutInCell="1" allowOverlap="1" wp14:anchorId="765137A1" wp14:editId="24D023DC">
                      <wp:simplePos x="0" y="0"/>
                      <wp:positionH relativeFrom="column">
                        <wp:posOffset>355600</wp:posOffset>
                      </wp:positionH>
                      <wp:positionV relativeFrom="paragraph">
                        <wp:posOffset>2214880</wp:posOffset>
                      </wp:positionV>
                      <wp:extent cx="2828925" cy="428625"/>
                      <wp:effectExtent l="0" t="0" r="9525" b="9525"/>
                      <wp:wrapNone/>
                      <wp:docPr id="19" name="Text Box 16"/>
                      <wp:cNvGraphicFramePr/>
                      <a:graphic xmlns:a="http://schemas.openxmlformats.org/drawingml/2006/main">
                        <a:graphicData uri="http://schemas.microsoft.com/office/word/2010/wordprocessingShape">
                          <wps:wsp>
                            <wps:cNvSpPr txBox="1"/>
                            <wps:spPr>
                              <a:xfrm>
                                <a:off x="0" y="0"/>
                                <a:ext cx="2828925" cy="428625"/>
                              </a:xfrm>
                              <a:prstGeom prst="rect">
                                <a:avLst/>
                              </a:prstGeom>
                              <a:solidFill>
                                <a:schemeClr val="lt1"/>
                              </a:solidFill>
                              <a:ln w="6350">
                                <a:noFill/>
                              </a:ln>
                            </wps:spPr>
                            <wps:txbx>
                              <w:txbxContent>
                                <w:p w14:paraId="117BBEE5" w14:textId="77777777" w:rsidR="00963B9C" w:rsidRPr="004D0048" w:rsidRDefault="00963B9C" w:rsidP="00246A61">
                                  <w:pPr>
                                    <w:rPr>
                                      <w:szCs w:val="15"/>
                                    </w:rPr>
                                  </w:pPr>
                                  <w:r w:rsidRPr="004D0048">
                                    <w:rPr>
                                      <w:szCs w:val="15"/>
                                    </w:rPr>
                                    <w:t xml:space="preserve">Fuente: Elaboración </w:t>
                                  </w:r>
                                  <w:r>
                                    <w:rPr>
                                      <w:szCs w:val="15"/>
                                    </w:rPr>
                                    <w:t xml:space="preserve">DAPF </w:t>
                                  </w:r>
                                  <w:r w:rsidRPr="004D0048">
                                    <w:rPr>
                                      <w:szCs w:val="15"/>
                                    </w:rPr>
                                    <w:t>con información de BANGUAT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shape w14:anchorId="765137A1" id="Text Box 16" o:spid="_x0000_s1035" type="#_x0000_t202" style="position:absolute;left:0;text-align:left;margin-left:28pt;margin-top:174.4pt;width:222.75pt;height:33.7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" fillcolor="white [3201]" stroked="f" strokeweight=".5pt">
                      <v:textbox>
                        <w:txbxContent>
                          <w:p w14:paraId="117BBEE5" w14:textId="77777777" w:rsidR="00963B9C" w:rsidRPr="004D0048" w:rsidRDefault="00963B9C" w:rsidP="00246A61">
                            <w:pPr>
                              <w:rPr>
                                <w:szCs w:val="15"/>
                              </w:rPr>
                            </w:pPr>
                            <w:r w:rsidRPr="004D0048">
                              <w:rPr>
                                <w:szCs w:val="15"/>
                              </w:rPr>
                              <w:t xml:space="preserve">Fuente: Elaboración </w:t>
                            </w:r>
                            <w:r>
                              <w:rPr>
                                <w:szCs w:val="15"/>
                              </w:rPr>
                              <w:t xml:space="preserve">DAPF </w:t>
                            </w:r>
                            <w:r w:rsidRPr="004D0048">
                              <w:rPr>
                                <w:szCs w:val="15"/>
                              </w:rPr>
                              <w:t>con información de BANGUAT</w:t>
                            </w:r>
                          </w:p>
                        </w:txbxContent>
                      </v:textbox>
                    </v:shape>
                  </w:pict>
                </mc:Fallback>
              </mc:AlternateContent>
            </w:r>
            <w:r w:rsidRPr="00FE76BD">
              <w:rPr>
                <w:noProof/>
                <w:color w:val="auto"/>
                <w:sz w:val="24"/>
                <w:szCs w:val="24"/>
                <w:lang w:val="es-ES"/>
              </w:rPr>
              <w:drawing>
                <wp:inline distT="0" distB="0" distL="0" distR="0" wp14:anchorId="5FFC78E0" wp14:editId="73B60DED">
                  <wp:extent cx="2519680" cy="2219325"/>
                  <wp:effectExtent l="0" t="0" r="0" b="0"/>
                  <wp:docPr id="23" name="Chart 23">
                    <a:extLst xmlns:a="http://schemas.openxmlformats.org/drawingml/2006/main">
                      <a:ext uri="{FF2B5EF4-FFF2-40B4-BE49-F238E27FC236}">
                        <a16:creationId xmlns:a16="http://schemas.microsoft.com/office/drawing/2014/main" xmlns:w16se="http://schemas.microsoft.com/office/word/2015/wordml/symex" xmlns:w15="http://schemas.microsoft.com/office/word/2012/wordml" xmlns:w="http://schemas.openxmlformats.org/wordprocessingml/2006/main" xmlns:w10="urn:schemas-microsoft-com:office:word" xmlns:v="urn:schemas-microsoft-com:vml" xmlns:o="urn:schemas-microsoft-com:office:office" xmlns:cx="http://schemas.microsoft.com/office/drawing/2014/chartex" xmlns="" id="{BAD36EAC-7BA5-474A-944B-63F18F9B897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tc>
      </w:tr>
    </w:tbl>
    <w:p w14:paraId="7DA2B499" w14:textId="77777777" w:rsidR="00246A61" w:rsidRPr="00FE76BD" w:rsidRDefault="00246A61" w:rsidP="00246A61">
      <w:pPr>
        <w:ind w:left="567" w:right="49"/>
        <w:jc w:val="both"/>
        <w:rPr>
          <w:sz w:val="24"/>
          <w:szCs w:val="24"/>
          <w:lang w:val="es-MX"/>
        </w:rPr>
      </w:pPr>
    </w:p>
    <w:p w14:paraId="65F75AB3" w14:textId="77777777" w:rsidR="00246A61" w:rsidRDefault="00246A61" w:rsidP="00246A61">
      <w:pPr>
        <w:ind w:left="567" w:right="49"/>
        <w:jc w:val="both"/>
        <w:rPr>
          <w:sz w:val="24"/>
          <w:szCs w:val="24"/>
          <w:lang w:val="es-MX"/>
        </w:rPr>
      </w:pPr>
    </w:p>
    <w:p w14:paraId="5D5F6E73" w14:textId="77777777" w:rsidR="00246A61" w:rsidRDefault="00246A61" w:rsidP="00246A61">
      <w:pPr>
        <w:ind w:left="567" w:right="49"/>
        <w:jc w:val="both"/>
        <w:rPr>
          <w:sz w:val="24"/>
          <w:szCs w:val="24"/>
          <w:lang w:val="es-MX"/>
        </w:rPr>
      </w:pPr>
      <w:r w:rsidRPr="00FE76BD">
        <w:rPr>
          <w:sz w:val="24"/>
          <w:szCs w:val="24"/>
          <w:lang w:val="es-MX"/>
        </w:rPr>
        <w:t xml:space="preserve">A pesar de la volatilidad de los últimos años de las exportaciones, para diciembre de 2018 se pronosticaba que el crecimiento de estas se ubicara en 7.5% en 2019, posteriormente en abril de 2019 el pronóstico tuvo una revisión a la baja en 1.5 puntos porcentuales menos, sin embargo por la disminución de la demanda externa originada por los continuos efectos negativos de las tensiones comerciales de Estados Unidos y China los pronósticos  de agosto y diciembre de 2019 se ubicaron en 2.5%, con una subestimación de 1 punto porcentual, debido a que el crecimiento observado de las exportaciones fue de 3.5%.  La mayor parte del crecimiento de las exportaciones en dicho año se debe a la mejora del desempeño del cardamomo que tuvo un crecimiento de 49.3% y una contribución al crecimiento del total de exportaciones FOB de 1.9 </w:t>
      </w:r>
      <w:r>
        <w:rPr>
          <w:sz w:val="24"/>
          <w:szCs w:val="24"/>
          <w:lang w:val="es-MX"/>
        </w:rPr>
        <w:lastRenderedPageBreak/>
        <w:t>%</w:t>
      </w:r>
      <w:r w:rsidRPr="00FE76BD">
        <w:rPr>
          <w:sz w:val="24"/>
          <w:szCs w:val="24"/>
          <w:lang w:val="es-MX"/>
        </w:rPr>
        <w:t>, esto debido al aumento extraordinario de los precios internacionales de este producto, originados por un recorte en la oferta de India en este año.</w:t>
      </w:r>
    </w:p>
    <w:p w14:paraId="311D216C" w14:textId="77777777" w:rsidR="00246A61" w:rsidRPr="00FE76BD" w:rsidRDefault="00246A61" w:rsidP="00246A61">
      <w:pPr>
        <w:ind w:left="567" w:right="49"/>
        <w:jc w:val="both"/>
        <w:rPr>
          <w:sz w:val="24"/>
          <w:szCs w:val="24"/>
          <w:lang w:val="es-MX"/>
        </w:rPr>
      </w:pPr>
    </w:p>
    <w:p w14:paraId="4597F870" w14:textId="77777777" w:rsidR="00246A61" w:rsidRDefault="00246A61" w:rsidP="00246A61">
      <w:pPr>
        <w:ind w:left="567" w:right="49"/>
        <w:jc w:val="both"/>
        <w:rPr>
          <w:sz w:val="24"/>
          <w:szCs w:val="24"/>
          <w:lang w:val="es-MX"/>
        </w:rPr>
      </w:pPr>
      <w:r w:rsidRPr="00FE76BD">
        <w:rPr>
          <w:sz w:val="24"/>
          <w:szCs w:val="24"/>
          <w:lang w:val="es-MX"/>
        </w:rPr>
        <w:t>Por su parte, las importaciones muestran una alta expectativa en sus perspectivas, de tal manera que se esperaba que su tasa de crecimiento se ubicará en 7.5% en los primeros pronósticos de 2019.  Sin embargo, posteriormente estos fueron revisados a la baja a 6.5% en agosto de 2019 y después a 3.0% en diciembre de 2019, teniendo una sobre estimación de 1.2 puntos porcentuales, la tasa de crecimiento de las importaciones observada fue de 1.8%. Esta fuerte ralentización de las importaciones se debió a la disminución de los precios internacionales de los productos de importación, originados principalmente por la disminución del crudo de Petróleo WTI</w:t>
      </w:r>
      <w:r w:rsidRPr="00FE76BD">
        <w:rPr>
          <w:sz w:val="24"/>
          <w:szCs w:val="24"/>
        </w:rPr>
        <w:t>, este promedió en los USD$56.99 el barril, una disminución de USD$7.79 con relación al promedio del 2018</w:t>
      </w:r>
      <w:r w:rsidRPr="00FE76BD">
        <w:rPr>
          <w:sz w:val="24"/>
          <w:szCs w:val="24"/>
          <w:lang w:val="es-MX"/>
        </w:rPr>
        <w:t>. Los principales productos importados de las industrias manufactureras son los vehículos, las máquinas para usos electrotécnicos y los materiales plásticos, que tuvieron un crecimiento para 2019 de 1.3%, 7.1% y 5.9% respectivamente, explicando parte de la ralentización del crecimiento de las importaciones en esta industria la baja tasa de crecimiento de los vehículos y los materiales plásticos. Las industrias extractivas tuvieron una disminución en la tasa de variación interanual de 0.1% en el 2019, esto debido a la disminución de importación de gasolina (-2.0%), además del hierro y acero con una disminución de 4.8%, respectivamente.</w:t>
      </w:r>
    </w:p>
    <w:p w14:paraId="7222B01C" w14:textId="77777777" w:rsidR="00246A61" w:rsidRPr="00FE76BD" w:rsidRDefault="00246A61" w:rsidP="00246A61">
      <w:pPr>
        <w:ind w:left="567" w:right="49"/>
        <w:jc w:val="both"/>
        <w:rPr>
          <w:sz w:val="24"/>
          <w:szCs w:val="24"/>
          <w:lang w:val="es-MX"/>
        </w:rPr>
      </w:pPr>
    </w:p>
    <w:p w14:paraId="37CB10B1" w14:textId="77777777" w:rsidR="00246A61" w:rsidRDefault="00246A61" w:rsidP="00246A61">
      <w:pPr>
        <w:ind w:left="567" w:right="49"/>
        <w:jc w:val="both"/>
        <w:rPr>
          <w:sz w:val="24"/>
          <w:szCs w:val="24"/>
          <w:lang w:val="es-MX"/>
        </w:rPr>
      </w:pPr>
      <w:r w:rsidRPr="00FE76BD">
        <w:rPr>
          <w:sz w:val="24"/>
          <w:szCs w:val="24"/>
          <w:lang w:val="es-MX"/>
        </w:rPr>
        <w:t>Todos los pronósticos de las variables macroeconómicas han sido revisados a la baja en 2020, como consecuencia de las distintas circunstancias derivadas del brote y propagación del COVID-19, esta estimación es producto de la caída de la demanda por los cierres provocados por las medidas de confinamiento y distanciamiento social, la cual conduce a una disminución en el consumo y la inversión, así como la incertidumbre generalizada sobre la profundidad y duración de la crisis, lo cual provocaría deterioro de la confianza empresarial y con ello retraso en la inversión. Además de ello las restricciones de viajes provocarán una fuerte caída en el turismo que por el lado de la oferta afectarán en la importación de suministros para la industria y ruptura en la cadena de abastecimientos producto de la caída de la producción global.</w:t>
      </w:r>
    </w:p>
    <w:p w14:paraId="044C2D26" w14:textId="77777777" w:rsidR="00246A61" w:rsidRPr="00FE76BD" w:rsidRDefault="00246A61" w:rsidP="00246A61">
      <w:pPr>
        <w:ind w:left="567" w:right="49"/>
        <w:jc w:val="both"/>
        <w:rPr>
          <w:sz w:val="24"/>
          <w:szCs w:val="24"/>
          <w:lang w:val="es-MX"/>
        </w:rPr>
      </w:pPr>
    </w:p>
    <w:p w14:paraId="796CABEB" w14:textId="77777777" w:rsidR="00246A61" w:rsidRPr="00FE76BD" w:rsidRDefault="00246A61" w:rsidP="00246A61">
      <w:pPr>
        <w:ind w:left="567" w:right="49"/>
        <w:jc w:val="both"/>
        <w:rPr>
          <w:sz w:val="24"/>
          <w:szCs w:val="24"/>
          <w:lang w:val="es-MX"/>
        </w:rPr>
      </w:pPr>
      <w:r w:rsidRPr="00FE76BD">
        <w:rPr>
          <w:sz w:val="24"/>
          <w:szCs w:val="24"/>
          <w:lang w:val="es-MX"/>
        </w:rPr>
        <w:t>El crecimiento económico de 2020 se pronosticaba en 3.7%, en diciembre de 2019, sin embargo, por el rápido deterioro de las condiciones económicas por los efectos de la pandemia COVID-19 tuvo una revisión a la baja en mayo de 2020 en 4.2 puntos porcentuales y posteriormente en junio otros 2 puntos porcentuales, de tal manera que actualmente el pronóstico se ubica en -3.5%. Se pronóstica que la mayoría de actividades productivas tendrán variaciones negativas en el 2020, las actividades de alojamiento y de servicio de comidas alrededor de -12.4%, la explotación de minas y canteras en -7.7%, el sector construcción en -6.0%, el transporte y almacenamiento en -7.0%, el comercio y reparación de vehículos  un -3.0% (esta actividad económica es la más relevante en términos de aporte al PIB, ya que su peso relativo es de alrededor del 18% en el 2019), así como la industria manufacturera con -3.7% igualmente tiene un peso relativo dentro del PIB de 14.1%, las actividades profesionales, científicas y técnicas con -1.2%, el suministro de electricidad y agua tendrá un crecimiento de -3.7%, las actividades de servicios administrativos un -3.1% además de otras actividades de servicios con -9.0%, y por ultimo las actividades de atención de la salud humana tendrán un crecimiento de -1.3%.</w:t>
      </w:r>
    </w:p>
    <w:p w14:paraId="590C6183" w14:textId="77777777" w:rsidR="00246A61" w:rsidRPr="00FE76BD" w:rsidRDefault="00246A61" w:rsidP="00246A61">
      <w:pPr>
        <w:ind w:left="567" w:right="49"/>
        <w:jc w:val="both"/>
        <w:rPr>
          <w:sz w:val="24"/>
          <w:szCs w:val="24"/>
          <w:lang w:val="es-MX"/>
        </w:rPr>
      </w:pPr>
    </w:p>
    <w:tbl>
      <w:tblPr>
        <w:tblStyle w:val="Tablaconcuadrcu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Look w:val="04A0" w:firstRow="1" w:lastRow="0" w:firstColumn="1" w:lastColumn="0" w:noHBand="0" w:noVBand="1"/>
      </w:tblPr>
      <w:tblGrid>
        <w:gridCol w:w="4716"/>
        <w:gridCol w:w="4687"/>
      </w:tblGrid>
      <w:tr w:rsidR="00246A61" w:rsidRPr="00FE76BD" w14:paraId="59390ECD" w14:textId="77777777" w:rsidTr="00BA4D6D">
        <w:trPr>
          <w:trHeight w:val="2881"/>
          <w:jc w:val="center"/>
        </w:trPr>
        <w:tc>
          <w:tcPr>
            <w:tcW w:w="4700" w:type="dxa"/>
          </w:tcPr>
          <w:p w14:paraId="4B05C444" w14:textId="77777777" w:rsidR="00246A61" w:rsidRPr="00FE76BD" w:rsidRDefault="00246A61" w:rsidP="00BA4D6D">
            <w:pPr>
              <w:pStyle w:val="Epgrafe"/>
              <w:keepNext/>
              <w:ind w:left="567" w:right="49"/>
              <w:rPr>
                <w:color w:val="auto"/>
                <w:sz w:val="24"/>
                <w:szCs w:val="24"/>
              </w:rPr>
            </w:pPr>
            <w:r w:rsidRPr="00FE76BD">
              <w:rPr>
                <w:color w:val="auto"/>
                <w:sz w:val="24"/>
                <w:szCs w:val="24"/>
              </w:rPr>
              <w:lastRenderedPageBreak/>
              <w:t>Gráfico 12. Pronóstico del PIB real en 2020</w:t>
            </w:r>
          </w:p>
          <w:p w14:paraId="37475133" w14:textId="77777777" w:rsidR="00246A61" w:rsidRPr="00FE76BD" w:rsidRDefault="00246A61" w:rsidP="00BA4D6D">
            <w:pPr>
              <w:ind w:left="567" w:right="49"/>
              <w:jc w:val="both"/>
              <w:rPr>
                <w:sz w:val="24"/>
                <w:szCs w:val="24"/>
                <w:lang w:val="es-MX"/>
              </w:rPr>
            </w:pPr>
            <w:r w:rsidRPr="00FE76BD">
              <w:rPr>
                <w:noProof/>
                <w:sz w:val="24"/>
                <w:szCs w:val="24"/>
                <w:lang w:val="es-ES"/>
              </w:rPr>
              <w:drawing>
                <wp:inline distT="0" distB="0" distL="0" distR="0" wp14:anchorId="2A413429" wp14:editId="227AD480">
                  <wp:extent cx="2488817" cy="1440000"/>
                  <wp:effectExtent l="0" t="0" r="6985" b="8255"/>
                  <wp:docPr id="26" name="Chart 26">
                    <a:extLst xmlns:a="http://schemas.openxmlformats.org/drawingml/2006/main">
                      <a:ext uri="{FF2B5EF4-FFF2-40B4-BE49-F238E27FC236}">
                        <a16:creationId xmlns:a16="http://schemas.microsoft.com/office/drawing/2014/main" xmlns:w16se="http://schemas.microsoft.com/office/word/2015/wordml/symex" xmlns:w15="http://schemas.microsoft.com/office/word/2012/wordml" xmlns:w="http://schemas.openxmlformats.org/wordprocessingml/2006/main" xmlns:w10="urn:schemas-microsoft-com:office:word" xmlns:v="urn:schemas-microsoft-com:vml" xmlns:o="urn:schemas-microsoft-com:office:office" xmlns:cx="http://schemas.microsoft.com/office/drawing/2014/chartex" xmlns="" id="{F34A4A24-83F2-4508-9B03-C32B7029B3C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tc>
        <w:tc>
          <w:tcPr>
            <w:tcW w:w="4687" w:type="dxa"/>
          </w:tcPr>
          <w:p w14:paraId="4602EBF7" w14:textId="77777777" w:rsidR="00246A61" w:rsidRPr="00FE76BD" w:rsidRDefault="00246A61" w:rsidP="00BA4D6D">
            <w:pPr>
              <w:pStyle w:val="Epgrafe"/>
              <w:keepNext/>
              <w:ind w:left="567" w:right="49"/>
              <w:rPr>
                <w:color w:val="auto"/>
                <w:sz w:val="24"/>
                <w:szCs w:val="24"/>
              </w:rPr>
            </w:pPr>
            <w:r w:rsidRPr="00FE76BD">
              <w:rPr>
                <w:color w:val="auto"/>
                <w:sz w:val="24"/>
                <w:szCs w:val="24"/>
              </w:rPr>
              <w:t>Gráfico 13. Pronóstico del PIB nominal en 2020</w:t>
            </w:r>
          </w:p>
          <w:p w14:paraId="792345C8" w14:textId="77777777" w:rsidR="00246A61" w:rsidRPr="00FE76BD" w:rsidRDefault="00246A61" w:rsidP="00BA4D6D">
            <w:pPr>
              <w:ind w:left="567" w:right="49"/>
              <w:jc w:val="both"/>
              <w:rPr>
                <w:sz w:val="24"/>
                <w:szCs w:val="24"/>
                <w:lang w:val="es-MX"/>
              </w:rPr>
            </w:pPr>
            <w:r w:rsidRPr="00FE76BD">
              <w:rPr>
                <w:noProof/>
                <w:sz w:val="24"/>
                <w:szCs w:val="24"/>
                <w:lang w:val="es-ES"/>
              </w:rPr>
              <w:drawing>
                <wp:inline distT="0" distB="0" distL="0" distR="0" wp14:anchorId="5D36F08A" wp14:editId="1FB6C742">
                  <wp:extent cx="2488817" cy="1440000"/>
                  <wp:effectExtent l="0" t="0" r="6985" b="8255"/>
                  <wp:docPr id="27" name="Chart 27">
                    <a:extLst xmlns:a="http://schemas.openxmlformats.org/drawingml/2006/main">
                      <a:ext uri="{FF2B5EF4-FFF2-40B4-BE49-F238E27FC236}">
                        <a16:creationId xmlns:a16="http://schemas.microsoft.com/office/drawing/2014/main" xmlns:w16se="http://schemas.microsoft.com/office/word/2015/wordml/symex" xmlns:w15="http://schemas.microsoft.com/office/word/2012/wordml" xmlns:w="http://schemas.openxmlformats.org/wordprocessingml/2006/main" xmlns:w10="urn:schemas-microsoft-com:office:word" xmlns:v="urn:schemas-microsoft-com:vml" xmlns:o="urn:schemas-microsoft-com:office:office" xmlns:cx="http://schemas.microsoft.com/office/drawing/2014/chartex" xmlns="" id="{5EE25F08-EE4F-4F20-8C48-9E94577C735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tc>
      </w:tr>
      <w:tr w:rsidR="00246A61" w:rsidRPr="00FE76BD" w14:paraId="1AEDBCE0" w14:textId="77777777" w:rsidTr="00BA4D6D">
        <w:trPr>
          <w:trHeight w:val="2965"/>
          <w:jc w:val="center"/>
        </w:trPr>
        <w:tc>
          <w:tcPr>
            <w:tcW w:w="4700" w:type="dxa"/>
          </w:tcPr>
          <w:p w14:paraId="7CF9C621" w14:textId="77777777" w:rsidR="00246A61" w:rsidRPr="00FE76BD" w:rsidRDefault="00246A61" w:rsidP="00BA4D6D">
            <w:pPr>
              <w:pStyle w:val="Epgrafe"/>
              <w:keepNext/>
              <w:ind w:left="567" w:right="49"/>
              <w:rPr>
                <w:color w:val="auto"/>
                <w:sz w:val="24"/>
                <w:szCs w:val="24"/>
              </w:rPr>
            </w:pPr>
            <w:r w:rsidRPr="00FE76BD">
              <w:rPr>
                <w:color w:val="auto"/>
                <w:sz w:val="24"/>
                <w:szCs w:val="24"/>
              </w:rPr>
              <w:t>Gráfico 14. Pronóstico de exportaciones en 2020</w:t>
            </w:r>
          </w:p>
          <w:p w14:paraId="1532E344" w14:textId="038E4E1F" w:rsidR="00246A61" w:rsidRPr="00FE76BD" w:rsidRDefault="00246A61" w:rsidP="00BA4D6D">
            <w:pPr>
              <w:ind w:left="567" w:right="49"/>
              <w:jc w:val="both"/>
              <w:rPr>
                <w:sz w:val="24"/>
                <w:szCs w:val="24"/>
                <w:lang w:val="es-MX"/>
              </w:rPr>
            </w:pPr>
            <w:r w:rsidRPr="00FE76BD">
              <w:rPr>
                <w:noProof/>
                <w:sz w:val="24"/>
                <w:szCs w:val="24"/>
                <w:lang w:val="es-ES"/>
              </w:rPr>
              <mc:AlternateContent>
                <mc:Choice Requires="wps">
                  <w:drawing>
                    <wp:anchor distT="0" distB="0" distL="114300" distR="114300" simplePos="0" relativeHeight="251679744" behindDoc="0" locked="0" layoutInCell="1" allowOverlap="1" wp14:anchorId="420702BF" wp14:editId="22013613">
                      <wp:simplePos x="0" y="0"/>
                      <wp:positionH relativeFrom="column">
                        <wp:posOffset>158115</wp:posOffset>
                      </wp:positionH>
                      <wp:positionV relativeFrom="paragraph">
                        <wp:posOffset>1438275</wp:posOffset>
                      </wp:positionV>
                      <wp:extent cx="4259580" cy="449580"/>
                      <wp:effectExtent l="0" t="0" r="7620" b="7620"/>
                      <wp:wrapNone/>
                      <wp:docPr id="30" name="Text Box 30"/>
                      <wp:cNvGraphicFramePr/>
                      <a:graphic xmlns:a="http://schemas.openxmlformats.org/drawingml/2006/main">
                        <a:graphicData uri="http://schemas.microsoft.com/office/word/2010/wordprocessingShape">
                          <wps:wsp>
                            <wps:cNvSpPr txBox="1"/>
                            <wps:spPr>
                              <a:xfrm>
                                <a:off x="0" y="0"/>
                                <a:ext cx="4259580" cy="449580"/>
                              </a:xfrm>
                              <a:prstGeom prst="rect">
                                <a:avLst/>
                              </a:prstGeom>
                              <a:solidFill>
                                <a:schemeClr val="lt1"/>
                              </a:solidFill>
                              <a:ln w="6350">
                                <a:noFill/>
                              </a:ln>
                            </wps:spPr>
                            <wps:txbx>
                              <w:txbxContent>
                                <w:p w14:paraId="4DC26DF9" w14:textId="77777777" w:rsidR="00963B9C" w:rsidRPr="00FE76BD" w:rsidRDefault="00963B9C" w:rsidP="00246A61">
                                  <w:pPr>
                                    <w:rPr>
                                      <w:szCs w:val="15"/>
                                    </w:rPr>
                                  </w:pPr>
                                  <w:r w:rsidRPr="00FE76BD">
                                    <w:rPr>
                                      <w:szCs w:val="15"/>
                                    </w:rPr>
                                    <w:t xml:space="preserve">Fuente: Elaboración </w:t>
                                  </w:r>
                                  <w:r>
                                    <w:rPr>
                                      <w:szCs w:val="15"/>
                                    </w:rPr>
                                    <w:t xml:space="preserve">DAPF </w:t>
                                  </w:r>
                                  <w:r w:rsidRPr="00FE76BD">
                                    <w:rPr>
                                      <w:szCs w:val="15"/>
                                    </w:rPr>
                                    <w:t>con información de BANGUAT</w:t>
                                  </w:r>
                                </w:p>
                                <w:p w14:paraId="3701C937" w14:textId="77777777" w:rsidR="00963B9C" w:rsidRPr="00FE76BD" w:rsidRDefault="00963B9C" w:rsidP="00246A61">
                                  <w:pPr>
                                    <w:rPr>
                                      <w:szCs w:val="15"/>
                                    </w:rPr>
                                  </w:pPr>
                                  <w:r>
                                    <w:rPr>
                                      <w:szCs w:val="15"/>
                                    </w:rPr>
                                    <w:t xml:space="preserve">Nota: </w:t>
                                  </w:r>
                                  <w:r w:rsidRPr="00FE76BD">
                                    <w:rPr>
                                      <w:szCs w:val="15"/>
                                    </w:rPr>
                                    <w:t>La desviación es con respecto al pronóstico de diciembre de 2019</w:t>
                                  </w:r>
                                </w:p>
                                <w:p w14:paraId="5A912210" w14:textId="77777777" w:rsidR="00963B9C" w:rsidRPr="00F815C3" w:rsidRDefault="00963B9C" w:rsidP="00246A61">
                                  <w:pPr>
                                    <w:rPr>
                                      <w:sz w:val="15"/>
                                      <w:szCs w:val="15"/>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shape w14:anchorId="420702BF" id="Text Box 30" o:spid="_x0000_s1036" type="#_x0000_t202" style="position:absolute;left:0;text-align:left;margin-left:12.45pt;margin-top:113.25pt;width:335.4pt;height:35.4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" fillcolor="white [3201]" stroked="f" strokeweight=".5pt">
                      <v:textbox>
                        <w:txbxContent>
                          <w:p w14:paraId="4DC26DF9" w14:textId="77777777" w:rsidR="00963B9C" w:rsidRPr="00FE76BD" w:rsidRDefault="00963B9C" w:rsidP="00246A61">
                            <w:pPr>
                              <w:rPr>
                                <w:szCs w:val="15"/>
                              </w:rPr>
                            </w:pPr>
                            <w:r w:rsidRPr="00FE76BD">
                              <w:rPr>
                                <w:szCs w:val="15"/>
                              </w:rPr>
                              <w:t xml:space="preserve">Fuente: Elaboración </w:t>
                            </w:r>
                            <w:r>
                              <w:rPr>
                                <w:szCs w:val="15"/>
                              </w:rPr>
                              <w:t xml:space="preserve">DAPF </w:t>
                            </w:r>
                            <w:r w:rsidRPr="00FE76BD">
                              <w:rPr>
                                <w:szCs w:val="15"/>
                              </w:rPr>
                              <w:t>con información de BANGUAT</w:t>
                            </w:r>
                          </w:p>
                          <w:p w14:paraId="3701C937" w14:textId="77777777" w:rsidR="00963B9C" w:rsidRPr="00FE76BD" w:rsidRDefault="00963B9C" w:rsidP="00246A61">
                            <w:pPr>
                              <w:rPr>
                                <w:szCs w:val="15"/>
                              </w:rPr>
                            </w:pPr>
                            <w:r>
                              <w:rPr>
                                <w:szCs w:val="15"/>
                              </w:rPr>
                              <w:t xml:space="preserve">Nota: </w:t>
                            </w:r>
                            <w:r w:rsidRPr="00FE76BD">
                              <w:rPr>
                                <w:szCs w:val="15"/>
                              </w:rPr>
                              <w:t>La desviación es con respecto al pronóstico de diciembre de 2019</w:t>
                            </w:r>
                          </w:p>
                          <w:p w14:paraId="5A912210" w14:textId="77777777" w:rsidR="00963B9C" w:rsidRPr="00F815C3" w:rsidRDefault="00963B9C" w:rsidP="00246A61">
                            <w:pPr>
                              <w:rPr>
                                <w:sz w:val="15"/>
                                <w:szCs w:val="15"/>
                              </w:rPr>
                            </w:pPr>
                          </w:p>
                        </w:txbxContent>
                      </v:textbox>
                    </v:shape>
                  </w:pict>
                </mc:Fallback>
              </mc:AlternateContent>
            </w:r>
            <w:r w:rsidR="000F2F66">
              <w:rPr>
                <w:noProof/>
                <w:lang w:val="es-ES"/>
              </w:rPr>
              <w:drawing>
                <wp:inline distT="0" distB="0" distL="0" distR="0" wp14:anchorId="0557B795" wp14:editId="112A8B13">
                  <wp:extent cx="2506747" cy="1379040"/>
                  <wp:effectExtent l="0" t="0" r="8255" b="0"/>
                  <wp:docPr id="2" name="Gráfico 2">
                    <a:extLst xmlns:a="http://schemas.openxmlformats.org/drawingml/2006/main">
                      <a:ext uri="{FF2B5EF4-FFF2-40B4-BE49-F238E27FC236}">
                        <a16:creationId xmlns:a16="http://schemas.microsoft.com/office/drawing/2014/main" xmlns:w16se="http://schemas.microsoft.com/office/word/2015/wordml/symex" xmlns:w15="http://schemas.microsoft.com/office/word/2012/wordml" xmlns:w="http://schemas.openxmlformats.org/wordprocessingml/2006/main" xmlns:w10="urn:schemas-microsoft-com:office:word" xmlns:v="urn:schemas-microsoft-com:vml" xmlns:o="urn:schemas-microsoft-com:office:office" xmlns:cx="http://schemas.microsoft.com/office/drawing/2014/chartex" xmlns="" id="{FFAA460C-755C-4C82-B589-381F0E107D2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tc>
        <w:tc>
          <w:tcPr>
            <w:tcW w:w="4687" w:type="dxa"/>
          </w:tcPr>
          <w:p w14:paraId="5C45642B" w14:textId="77777777" w:rsidR="00246A61" w:rsidRPr="00FE76BD" w:rsidRDefault="00246A61" w:rsidP="00BA4D6D">
            <w:pPr>
              <w:pStyle w:val="Epgrafe"/>
              <w:keepNext/>
              <w:ind w:left="567" w:right="49"/>
              <w:rPr>
                <w:color w:val="auto"/>
                <w:sz w:val="24"/>
                <w:szCs w:val="24"/>
              </w:rPr>
            </w:pPr>
            <w:r w:rsidRPr="00FE76BD">
              <w:rPr>
                <w:color w:val="auto"/>
                <w:sz w:val="24"/>
                <w:szCs w:val="24"/>
              </w:rPr>
              <w:t>Gráfico 15. Pronóstico de importaciones en 2020</w:t>
            </w:r>
          </w:p>
          <w:p w14:paraId="5A74D9D1" w14:textId="77777777" w:rsidR="00246A61" w:rsidRDefault="00246A61" w:rsidP="00BA4D6D">
            <w:pPr>
              <w:ind w:left="567" w:right="49"/>
              <w:jc w:val="both"/>
              <w:rPr>
                <w:sz w:val="24"/>
                <w:szCs w:val="24"/>
                <w:lang w:val="es-MX"/>
              </w:rPr>
            </w:pPr>
          </w:p>
          <w:p w14:paraId="6D20B5DC" w14:textId="4FD51A8A" w:rsidR="00DA39CD" w:rsidRPr="00DA39CD" w:rsidRDefault="00DA39CD" w:rsidP="00DA39CD">
            <w:pPr>
              <w:jc w:val="center"/>
              <w:rPr>
                <w:sz w:val="24"/>
                <w:szCs w:val="24"/>
                <w:lang w:val="es-MX"/>
              </w:rPr>
            </w:pPr>
            <w:r>
              <w:rPr>
                <w:noProof/>
                <w:lang w:val="es-ES"/>
              </w:rPr>
              <w:drawing>
                <wp:inline distT="0" distB="0" distL="0" distR="0" wp14:anchorId="3D680463" wp14:editId="44BF8246">
                  <wp:extent cx="2506747" cy="1379040"/>
                  <wp:effectExtent l="0" t="0" r="8255" b="0"/>
                  <wp:docPr id="3" name="Gráfico 3">
                    <a:extLst xmlns:a="http://schemas.openxmlformats.org/drawingml/2006/main">
                      <a:ext uri="{FF2B5EF4-FFF2-40B4-BE49-F238E27FC236}">
                        <a16:creationId xmlns:a16="http://schemas.microsoft.com/office/drawing/2014/main" xmlns:w16se="http://schemas.microsoft.com/office/word/2015/wordml/symex" xmlns:w15="http://schemas.microsoft.com/office/word/2012/wordml" xmlns:w="http://schemas.openxmlformats.org/wordprocessingml/2006/main" xmlns:w10="urn:schemas-microsoft-com:office:word" xmlns:v="urn:schemas-microsoft-com:vml" xmlns:o="urn:schemas-microsoft-com:office:office" xmlns:cx="http://schemas.microsoft.com/office/drawing/2014/chartex" xmlns="" id="{AF3C8E6B-1AA4-4590-BD0E-62137E5D052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tc>
      </w:tr>
      <w:tr w:rsidR="00246A61" w:rsidRPr="00FE76BD" w14:paraId="44CB1567" w14:textId="77777777" w:rsidTr="00BA4D6D">
        <w:trPr>
          <w:trHeight w:val="472"/>
          <w:jc w:val="center"/>
        </w:trPr>
        <w:tc>
          <w:tcPr>
            <w:tcW w:w="9387" w:type="dxa"/>
            <w:gridSpan w:val="2"/>
          </w:tcPr>
          <w:p w14:paraId="2D738BE8" w14:textId="77777777" w:rsidR="00246A61" w:rsidRPr="00FE76BD" w:rsidRDefault="00246A61" w:rsidP="00BA4D6D">
            <w:pPr>
              <w:pStyle w:val="Epgrafe"/>
              <w:keepNext/>
              <w:ind w:left="567" w:right="49"/>
              <w:rPr>
                <w:color w:val="auto"/>
                <w:sz w:val="24"/>
                <w:szCs w:val="24"/>
              </w:rPr>
            </w:pPr>
          </w:p>
        </w:tc>
      </w:tr>
    </w:tbl>
    <w:p w14:paraId="3E00ED41" w14:textId="77777777" w:rsidR="00246A61" w:rsidRPr="00FE76BD" w:rsidRDefault="00246A61" w:rsidP="00246A61">
      <w:pPr>
        <w:ind w:left="567" w:right="49"/>
        <w:jc w:val="both"/>
        <w:rPr>
          <w:sz w:val="24"/>
          <w:szCs w:val="24"/>
          <w:lang w:val="es-MX"/>
        </w:rPr>
      </w:pPr>
    </w:p>
    <w:p w14:paraId="449AB27A" w14:textId="77777777" w:rsidR="00246A61" w:rsidRDefault="00246A61" w:rsidP="00246A61">
      <w:pPr>
        <w:ind w:left="567" w:right="49"/>
        <w:jc w:val="both"/>
        <w:rPr>
          <w:sz w:val="24"/>
          <w:szCs w:val="24"/>
          <w:lang w:val="es-MX"/>
        </w:rPr>
      </w:pPr>
      <w:r w:rsidRPr="00FE76BD">
        <w:rPr>
          <w:sz w:val="24"/>
          <w:szCs w:val="24"/>
          <w:lang w:val="es-MX"/>
        </w:rPr>
        <w:t>El PIB nominal también tuvo revisiones a la baja con respecto al pronóstico de crecimiento de 2020, en diciembre de 2019 se esperaba un crecimiento de 6.2%, posteriormente en mayo debido a los efectos negativos de la pandemia tuvo una reducción de 4.4 puntos porcentuales y posteriormente 2.3 puntos adicionales en junio, de tal manera que el pronóstico se ubica alrededor de los -1.5%. Además, de la contracción del PIB real, la inflación esperada en 2020 se estima en 2% debajo de la meta de 4%±1% del Banco de Guatemala, esto por las presiones a la baja de los precios por parte los productos importados, a la disminución de la demanda interna y las restricciones en la producción por las medidas de contención tomadas para mitigar la epidemia local.</w:t>
      </w:r>
    </w:p>
    <w:p w14:paraId="7DBDC051" w14:textId="77777777" w:rsidR="00246A61" w:rsidRPr="00FE76BD" w:rsidRDefault="00246A61" w:rsidP="00246A61">
      <w:pPr>
        <w:ind w:left="567" w:right="49"/>
        <w:jc w:val="both"/>
        <w:rPr>
          <w:sz w:val="24"/>
          <w:szCs w:val="24"/>
          <w:lang w:val="es-MX"/>
        </w:rPr>
      </w:pPr>
    </w:p>
    <w:p w14:paraId="3E58E427" w14:textId="77777777" w:rsidR="00F5461D" w:rsidRPr="004C22A5" w:rsidRDefault="00F5461D" w:rsidP="00F5461D">
      <w:pPr>
        <w:ind w:left="567" w:right="49"/>
        <w:jc w:val="both"/>
        <w:rPr>
          <w:sz w:val="24"/>
          <w:szCs w:val="24"/>
        </w:rPr>
      </w:pPr>
      <w:r w:rsidRPr="004C22A5">
        <w:rPr>
          <w:sz w:val="24"/>
          <w:szCs w:val="24"/>
        </w:rPr>
        <w:t xml:space="preserve">El pronóstico de la tasa de crecimiento de las exportaciones se ubicaba en </w:t>
      </w:r>
      <w:r>
        <w:rPr>
          <w:sz w:val="24"/>
          <w:szCs w:val="24"/>
        </w:rPr>
        <w:t>1</w:t>
      </w:r>
      <w:r w:rsidRPr="004C22A5">
        <w:rPr>
          <w:sz w:val="24"/>
          <w:szCs w:val="24"/>
        </w:rPr>
        <w:t>.5% en diciembre de 2019. Posteriormente, hubo una fuerte disminución de la demanda externa por las medidas de confinamiento de los socios comerciales y el cierre de fronteras internacionales que han distorsionado las cadenas de suministro y afectado el volumen de comercio, de tal manera que el Fondo Monetario Internacional estima que el volumen del comercio mundial disminuya 11.9% en 2020. Además, de la disminución de la demanda externa, las materias primas tuvieron una fuerte baja desde marzo de 2020, por lo que para mayo la tasa de crecimiento de las exportaciones se ubicaba en -</w:t>
      </w:r>
      <w:r>
        <w:rPr>
          <w:sz w:val="24"/>
          <w:szCs w:val="24"/>
        </w:rPr>
        <w:t>9.5</w:t>
      </w:r>
      <w:r w:rsidRPr="004C22A5">
        <w:rPr>
          <w:sz w:val="24"/>
          <w:szCs w:val="24"/>
        </w:rPr>
        <w:t>% y en junio de 2020 tuvo otra revisión a la baja de 2 puntos porcentuales hasta ubicarse en -1</w:t>
      </w:r>
      <w:r>
        <w:rPr>
          <w:sz w:val="24"/>
          <w:szCs w:val="24"/>
        </w:rPr>
        <w:t>1.5</w:t>
      </w:r>
      <w:r w:rsidRPr="004C22A5">
        <w:rPr>
          <w:sz w:val="24"/>
          <w:szCs w:val="24"/>
        </w:rPr>
        <w:t>%.</w:t>
      </w:r>
    </w:p>
    <w:p w14:paraId="674E1567" w14:textId="77777777" w:rsidR="00E420AA" w:rsidRPr="00FE76BD" w:rsidRDefault="00E420AA" w:rsidP="00246A61">
      <w:pPr>
        <w:ind w:left="567" w:right="49"/>
        <w:jc w:val="both"/>
        <w:rPr>
          <w:sz w:val="24"/>
          <w:szCs w:val="24"/>
          <w:lang w:val="es-MX"/>
        </w:rPr>
      </w:pPr>
    </w:p>
    <w:p w14:paraId="7F41EE69" w14:textId="63C1A581" w:rsidR="002A3E0A" w:rsidRPr="004C22A5" w:rsidRDefault="002A3E0A" w:rsidP="002A3E0A">
      <w:pPr>
        <w:ind w:left="567" w:right="49"/>
        <w:jc w:val="both"/>
        <w:rPr>
          <w:sz w:val="24"/>
          <w:szCs w:val="24"/>
        </w:rPr>
      </w:pPr>
      <w:r w:rsidRPr="004C22A5">
        <w:rPr>
          <w:sz w:val="24"/>
          <w:szCs w:val="24"/>
        </w:rPr>
        <w:t xml:space="preserve">Para las importaciones se tenía una proyección de crecimiento del 2020 en diciembre de 2019 del </w:t>
      </w:r>
      <w:r>
        <w:rPr>
          <w:sz w:val="24"/>
          <w:szCs w:val="24"/>
        </w:rPr>
        <w:t>2</w:t>
      </w:r>
      <w:r w:rsidRPr="004C22A5">
        <w:rPr>
          <w:sz w:val="24"/>
          <w:szCs w:val="24"/>
        </w:rPr>
        <w:t xml:space="preserve">.0%, sin embargo, después de los efectos negativos en la demanda interna por el COVID-19, la </w:t>
      </w:r>
      <w:r w:rsidRPr="004C22A5">
        <w:rPr>
          <w:sz w:val="24"/>
          <w:szCs w:val="24"/>
        </w:rPr>
        <w:lastRenderedPageBreak/>
        <w:t xml:space="preserve">tasa fue disminuida en mayo de 2020 en </w:t>
      </w:r>
      <w:r>
        <w:rPr>
          <w:sz w:val="24"/>
          <w:szCs w:val="24"/>
        </w:rPr>
        <w:t>10.5</w:t>
      </w:r>
      <w:r w:rsidRPr="004C22A5">
        <w:rPr>
          <w:sz w:val="24"/>
          <w:szCs w:val="24"/>
        </w:rPr>
        <w:t xml:space="preserve"> puntos porcentuales y posteriormente en junio en 2 puntos porcentuales adicionales hasta ubicarse la variación interanual en -</w:t>
      </w:r>
      <w:r>
        <w:rPr>
          <w:sz w:val="24"/>
          <w:szCs w:val="24"/>
        </w:rPr>
        <w:t>10</w:t>
      </w:r>
      <w:r w:rsidRPr="004C22A5">
        <w:rPr>
          <w:sz w:val="24"/>
          <w:szCs w:val="24"/>
        </w:rPr>
        <w:t>.</w:t>
      </w:r>
      <w:r>
        <w:rPr>
          <w:sz w:val="24"/>
          <w:szCs w:val="24"/>
        </w:rPr>
        <w:t>5</w:t>
      </w:r>
      <w:r w:rsidRPr="004C22A5">
        <w:rPr>
          <w:sz w:val="24"/>
          <w:szCs w:val="24"/>
        </w:rPr>
        <w:t xml:space="preserve">%. Las importaciones han tenido una tendencia a la baja en los últimos años por la constante disminución de los precios del petróleo que ha afectado a los productos de energía y ha generado presiones a la baja en la inflación externa. En marzo de 2020 se tuvo una variación interanual negativa de 9.7%, en el mes que se empezaron las medidas de mitigación y en abril la tasa interanual fue de -16.0%, además de la caída de la demanda interna han surgido inconvenientes en cuanto al transporte, logística y distribución a nivel internacional.  La tasa de variación acumulada para abril es de </w:t>
      </w:r>
      <w:r>
        <w:rPr>
          <w:sz w:val="24"/>
          <w:szCs w:val="24"/>
        </w:rPr>
        <w:t xml:space="preserve">            </w:t>
      </w:r>
      <w:r w:rsidRPr="004C22A5">
        <w:rPr>
          <w:sz w:val="24"/>
          <w:szCs w:val="24"/>
        </w:rPr>
        <w:t>-4.6%.</w:t>
      </w:r>
    </w:p>
    <w:p w14:paraId="3B13C070" w14:textId="77777777" w:rsidR="00246A61" w:rsidRPr="00FE76BD" w:rsidRDefault="00246A61" w:rsidP="00246A61">
      <w:pPr>
        <w:ind w:left="567" w:right="49"/>
        <w:jc w:val="both"/>
        <w:rPr>
          <w:sz w:val="24"/>
          <w:szCs w:val="24"/>
        </w:rPr>
      </w:pPr>
    </w:p>
    <w:p w14:paraId="7FCA6EBC" w14:textId="77777777" w:rsidR="00246A61" w:rsidRPr="00FE76BD" w:rsidRDefault="00246A61" w:rsidP="00246A61">
      <w:pPr>
        <w:ind w:left="567" w:right="49"/>
        <w:jc w:val="both"/>
        <w:rPr>
          <w:sz w:val="24"/>
          <w:szCs w:val="24"/>
        </w:rPr>
      </w:pPr>
      <w:r w:rsidRPr="00FE76BD">
        <w:rPr>
          <w:sz w:val="24"/>
          <w:szCs w:val="24"/>
        </w:rPr>
        <w:t>En los años 2017-2018 la inflación interanual se ha mantuvo en la banda de 4% ±1% establecida por el Banco de Guatemala. En el 2019, a pesar de una baja tasa interanual en el tercer trimestre de ese año, la inflación observada terminó en el rango meta del Banco de Guatemala. Esto fue principalmente por un aumento en los precios de transporte (5.4%), con un aumento absoluto en la diferencia de la tasa en 6.6% con respecto el 2018 y un aumento en la inflación de alimentos y bebidas (6.0%, restaurantes y hoteles y bienes y servicios (0.8%).</w:t>
      </w:r>
    </w:p>
    <w:tbl>
      <w:tblPr>
        <w:tblStyle w:val="Tablaconcuadrcula"/>
        <w:tblW w:w="9456"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Look w:val="04A0" w:firstRow="1" w:lastRow="0" w:firstColumn="1" w:lastColumn="0" w:noHBand="0" w:noVBand="1"/>
      </w:tblPr>
      <w:tblGrid>
        <w:gridCol w:w="9456"/>
      </w:tblGrid>
      <w:tr w:rsidR="00246A61" w:rsidRPr="00FE76BD" w14:paraId="3F9E87FA" w14:textId="77777777" w:rsidTr="00BA4D6D">
        <w:trPr>
          <w:trHeight w:val="4944"/>
          <w:jc w:val="center"/>
        </w:trPr>
        <w:tc>
          <w:tcPr>
            <w:tcW w:w="9456" w:type="dxa"/>
          </w:tcPr>
          <w:p w14:paraId="140731A3" w14:textId="77777777" w:rsidR="00246A61" w:rsidRPr="00FE76BD" w:rsidRDefault="00246A61" w:rsidP="00BA4D6D">
            <w:pPr>
              <w:ind w:left="567" w:right="49"/>
              <w:jc w:val="center"/>
              <w:rPr>
                <w:sz w:val="24"/>
                <w:szCs w:val="24"/>
              </w:rPr>
            </w:pPr>
          </w:p>
          <w:p w14:paraId="7308001F" w14:textId="77777777" w:rsidR="00246A61" w:rsidRPr="00FE76BD" w:rsidRDefault="00246A61" w:rsidP="00BA4D6D">
            <w:pPr>
              <w:pStyle w:val="Sinespaciado"/>
              <w:ind w:left="567" w:right="49"/>
              <w:jc w:val="center"/>
              <w:rPr>
                <w:rFonts w:ascii="Times New Roman" w:hAnsi="Times New Roman"/>
                <w:bCs/>
                <w:sz w:val="24"/>
                <w:szCs w:val="24"/>
              </w:rPr>
            </w:pPr>
            <w:r w:rsidRPr="00FE76BD">
              <w:rPr>
                <w:rFonts w:ascii="Times New Roman" w:hAnsi="Times New Roman"/>
                <w:b/>
                <w:bCs/>
                <w:sz w:val="24"/>
                <w:szCs w:val="24"/>
              </w:rPr>
              <w:t xml:space="preserve">Gráfico </w:t>
            </w:r>
            <w:r>
              <w:rPr>
                <w:rFonts w:ascii="Times New Roman" w:hAnsi="Times New Roman"/>
                <w:b/>
                <w:bCs/>
                <w:sz w:val="24"/>
                <w:szCs w:val="24"/>
              </w:rPr>
              <w:t>16</w:t>
            </w:r>
            <w:r w:rsidRPr="00FE76BD">
              <w:rPr>
                <w:rFonts w:ascii="Times New Roman" w:hAnsi="Times New Roman"/>
                <w:b/>
                <w:bCs/>
                <w:sz w:val="24"/>
                <w:szCs w:val="24"/>
              </w:rPr>
              <w:t>. Evolución del ritmo inflacionario</w:t>
            </w:r>
          </w:p>
          <w:p w14:paraId="14F99129" w14:textId="77777777" w:rsidR="00246A61" w:rsidRPr="00FE76BD" w:rsidRDefault="00246A61" w:rsidP="00BA4D6D">
            <w:pPr>
              <w:pStyle w:val="Sinespaciado"/>
              <w:ind w:left="567" w:right="49"/>
              <w:jc w:val="center"/>
              <w:rPr>
                <w:rFonts w:ascii="Times New Roman" w:hAnsi="Times New Roman"/>
                <w:sz w:val="24"/>
                <w:szCs w:val="24"/>
              </w:rPr>
            </w:pPr>
            <w:r w:rsidRPr="00FE76BD">
              <w:rPr>
                <w:rFonts w:ascii="Times New Roman" w:hAnsi="Times New Roman"/>
                <w:sz w:val="24"/>
                <w:szCs w:val="24"/>
              </w:rPr>
              <w:t>Porcentajes</w:t>
            </w:r>
          </w:p>
          <w:p w14:paraId="45429AF3" w14:textId="77777777" w:rsidR="00246A61" w:rsidRPr="00FE76BD" w:rsidRDefault="00246A61" w:rsidP="00BA4D6D">
            <w:pPr>
              <w:ind w:left="567" w:right="49"/>
              <w:jc w:val="center"/>
              <w:rPr>
                <w:noProof/>
                <w:sz w:val="24"/>
                <w:szCs w:val="24"/>
              </w:rPr>
            </w:pPr>
            <w:r w:rsidRPr="00FE76BD">
              <w:rPr>
                <w:noProof/>
                <w:sz w:val="24"/>
                <w:szCs w:val="24"/>
                <w:lang w:val="es-ES"/>
              </w:rPr>
              <w:drawing>
                <wp:inline distT="0" distB="0" distL="0" distR="0" wp14:anchorId="04B0E826" wp14:editId="11C6AEC8">
                  <wp:extent cx="5045715" cy="2521905"/>
                  <wp:effectExtent l="0" t="0" r="2540" b="0"/>
                  <wp:docPr id="21" name="Gráfico 21">
                    <a:extLst xmlns:a="http://schemas.openxmlformats.org/drawingml/2006/main">
                      <a:ext uri="{FF2B5EF4-FFF2-40B4-BE49-F238E27FC236}">
                        <a16:creationId xmlns:a16="http://schemas.microsoft.com/office/drawing/2014/main" xmlns:w16se="http://schemas.microsoft.com/office/word/2015/wordml/symex" xmlns:w15="http://schemas.microsoft.com/office/word/2012/wordml" xmlns:w="http://schemas.openxmlformats.org/wordprocessingml/2006/main" xmlns:w10="urn:schemas-microsoft-com:office:word" xmlns:v="urn:schemas-microsoft-com:vml" xmlns:o="urn:schemas-microsoft-com:office:office" xmlns:cx="http://schemas.microsoft.com/office/drawing/2014/chartex" xmlns="" id="{1EC6110B-B52B-4C23-8AA1-56F588A34DE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r w:rsidRPr="00FE76BD">
              <w:rPr>
                <w:noProof/>
                <w:sz w:val="24"/>
                <w:szCs w:val="24"/>
              </w:rPr>
              <w:t xml:space="preserve"> </w:t>
            </w:r>
          </w:p>
          <w:p w14:paraId="273F39F1" w14:textId="77777777" w:rsidR="00246A61" w:rsidRPr="00FE76BD" w:rsidRDefault="00246A61" w:rsidP="00BA4D6D">
            <w:pPr>
              <w:ind w:left="567" w:right="49"/>
              <w:rPr>
                <w:sz w:val="24"/>
                <w:szCs w:val="24"/>
              </w:rPr>
            </w:pPr>
            <w:r w:rsidRPr="00FE76BD">
              <w:rPr>
                <w:szCs w:val="24"/>
              </w:rPr>
              <w:t xml:space="preserve">Fuente: Elaboración </w:t>
            </w:r>
            <w:r>
              <w:rPr>
                <w:szCs w:val="24"/>
              </w:rPr>
              <w:t xml:space="preserve">DAPF </w:t>
            </w:r>
            <w:r w:rsidRPr="00FE76BD">
              <w:rPr>
                <w:szCs w:val="24"/>
              </w:rPr>
              <w:t>con información de BANGUAT</w:t>
            </w:r>
          </w:p>
        </w:tc>
      </w:tr>
    </w:tbl>
    <w:p w14:paraId="3FD348DA" w14:textId="77777777" w:rsidR="00246A61" w:rsidRPr="00FE76BD" w:rsidRDefault="00246A61" w:rsidP="00246A61">
      <w:pPr>
        <w:ind w:left="567" w:right="49"/>
        <w:jc w:val="both"/>
        <w:rPr>
          <w:sz w:val="24"/>
          <w:szCs w:val="24"/>
          <w:lang w:val="es-MX"/>
        </w:rPr>
      </w:pPr>
    </w:p>
    <w:p w14:paraId="279EB487" w14:textId="77777777" w:rsidR="00246A61" w:rsidRDefault="00246A61" w:rsidP="00246A61">
      <w:pPr>
        <w:ind w:left="567" w:right="49"/>
        <w:jc w:val="both"/>
        <w:rPr>
          <w:sz w:val="24"/>
          <w:szCs w:val="24"/>
          <w:lang w:val="es-MX"/>
        </w:rPr>
      </w:pPr>
      <w:r w:rsidRPr="00FE76BD">
        <w:rPr>
          <w:sz w:val="24"/>
          <w:szCs w:val="24"/>
          <w:lang w:val="es-MX"/>
        </w:rPr>
        <w:t xml:space="preserve">El ritmo inflacionario de enero a mayo de 2020 estuvo abajo de la meta establecida por el Banco de Guatemala, en mayo se situó en 1.8%, posteriormente en el mes de junio hubo una recuperación y la inflación interanual se ubicó en 2.4%, aún debajo de la meta. En mayo, se pronosticaba que la inflación al final del año se ubicará en 2.8%, sin embargo, debido a las fuertes presiones a la baja de la inflación originada por el COVID-19, en junio se realizó una revisión a la baja por 0.8 puntos porcentuales, de tal manera que se proyecta que el ritmo inflacionario de 2020 se encuentre en 2.0%. </w:t>
      </w:r>
    </w:p>
    <w:p w14:paraId="0E807703" w14:textId="77777777" w:rsidR="00246A61" w:rsidRPr="00FE76BD" w:rsidRDefault="00246A61" w:rsidP="00246A61">
      <w:pPr>
        <w:ind w:left="567" w:right="49"/>
        <w:jc w:val="both"/>
        <w:rPr>
          <w:sz w:val="24"/>
          <w:szCs w:val="24"/>
          <w:lang w:val="es-MX"/>
        </w:rPr>
      </w:pPr>
    </w:p>
    <w:p w14:paraId="71626B01" w14:textId="77777777" w:rsidR="00246A61" w:rsidRPr="00FE76BD" w:rsidRDefault="00246A61" w:rsidP="00246A61">
      <w:pPr>
        <w:ind w:left="567" w:right="49"/>
        <w:jc w:val="both"/>
        <w:rPr>
          <w:sz w:val="24"/>
          <w:szCs w:val="24"/>
          <w:lang w:val="es-MX"/>
        </w:rPr>
      </w:pPr>
      <w:r w:rsidRPr="00FE76BD">
        <w:rPr>
          <w:sz w:val="24"/>
          <w:szCs w:val="24"/>
          <w:lang w:val="es-MX"/>
        </w:rPr>
        <w:t xml:space="preserve">Por su parte, el panel de analistas privados respecto a las expectativas de inflación anticipa en junio de 2020 que el ritmo inflacionario a diciembre del 2020 será de 2.99% y de 3.96% en el año 2021%.  En comparación de la expectativa de inflación de mayo de 2020, esta disminuyó </w:t>
      </w:r>
      <w:r w:rsidRPr="00FE76BD">
        <w:rPr>
          <w:sz w:val="24"/>
          <w:szCs w:val="24"/>
          <w:lang w:val="es-MX"/>
        </w:rPr>
        <w:lastRenderedPageBreak/>
        <w:t>0.66 puntos porcentuales para diciembre de 2020 y 0.20 puntos porcentuales para diciembre de 2021. En opinión de dicho panel, los principales factores que podrían explicar el pronóstico de inflación para diciembre de 2020 son: el comportamiento de los precios de los combustibles, el desempeño de la política fiscal, desempeño de la política monetaria, la trayectoria del precio internacional del petróleo, los precios de las materias primas, el comportamiento del tipo de cambio nominal y la estacionalidad de los productos agrícolas. En el ámbito externo, se anticipa que las presiones serían, principalmente deflacionarias, debido a la fuerte caída de la demanda agregada a nivel mundial y la drástica reducción del precio internacional del petróleo; no obstante, podrían ocurrir algunas presiones inflacionarias, en el corto plazo, debido a las interrupciones en las cadenas de suministro a nivel mundial.</w:t>
      </w:r>
    </w:p>
    <w:p w14:paraId="67AFF90D" w14:textId="77777777" w:rsidR="00246A61" w:rsidRPr="00FE76BD" w:rsidRDefault="00246A61" w:rsidP="00246A61">
      <w:pPr>
        <w:ind w:left="567" w:right="49"/>
        <w:jc w:val="both"/>
        <w:rPr>
          <w:sz w:val="24"/>
          <w:szCs w:val="24"/>
          <w:lang w:val="es-MX"/>
        </w:rPr>
      </w:pPr>
    </w:p>
    <w:p w14:paraId="64F252F1" w14:textId="77777777" w:rsidR="00246A61" w:rsidRDefault="00246A61" w:rsidP="00246A61">
      <w:pPr>
        <w:ind w:left="567" w:right="49"/>
        <w:jc w:val="both"/>
        <w:rPr>
          <w:sz w:val="24"/>
          <w:szCs w:val="24"/>
          <w:lang w:val="es-MX"/>
        </w:rPr>
      </w:pPr>
      <w:r w:rsidRPr="00FE76BD">
        <w:rPr>
          <w:sz w:val="24"/>
          <w:szCs w:val="24"/>
          <w:lang w:val="es-MX"/>
        </w:rPr>
        <w:t>En los últimos años el tipo de cambio de referencia se ha mantenido con poca volatilidad y su tendencia de largo plazo ha permanecido, en diciembre se tuvo una volatilidad media en comparación a lo observado en años recientes, la cual tuvo una leve tendencia a la apreciación con un mínimo de Q7.26 x US$1.00 y un máximo de Q.7.56 x US$1.00. En el año del 2018 fue el año hasta el momento en el que se ha tenido una mayor volatilidad, la desviación estándar de la serie diaria fue de 0.14 con una media de Q7.51 x US$1.00 y una marcada tendencia a la depreciación, en este año se tuvo un mínimo de Q7.33 x US$1.00 y un máximo de Q7.74 x US$1.00, mostrando un rango bastante más amplio que los últimos años. En diciembre la volatilidad fue menor y no existió una tendencia marcada, de tal manera que el promedio del tipo de cambio fue de Q7.69 x US$1.00. Al 30 de junio de 2020 a pesar de los efectos negativos mundiales del COVID-19, como lo es el movimiento de capitales derivado de la incertidumbre de los inversionistas y las bajas en las tasa de interés, el tipo de cambio se ha mantenido estable, con excepción de marzo en el cual en este mes se registró una desviación estándar de 0.06, aproximadamente tres veces mayor que la de diciembre de 2017 y seis veces que la de 2018 y 2019, esto se debió a una fuerte depreciación que se dio en las últimas semanas de dicho mes, en las cuales el tipo de cambio de referencia alcanzo los Q7.92 x US$1.00. Sin embargo, por la participación del Banco de Guatemala a través de la regla de participación y una participación excepcional (acumulación de reservas) en este mes para poder ofertar una cantidad mayor para estabilizar la depreciación causada por la alta volatilidad se ha logrado mantener estable el tipo de cambio en el presente año, por lo que esta entidad ha intervenido en la compra de divisas por USD$1,480.7 millones y en la venta por USD$421.7 millones, de los cuales USD$11.3 millones de ventas fueron por la volatilidad inusual.</w:t>
      </w:r>
    </w:p>
    <w:p w14:paraId="3F64E4FB" w14:textId="77777777" w:rsidR="00246A61" w:rsidRPr="00FE76BD" w:rsidRDefault="00246A61" w:rsidP="00246A61">
      <w:pPr>
        <w:ind w:left="567" w:right="49"/>
        <w:jc w:val="both"/>
        <w:rPr>
          <w:sz w:val="24"/>
          <w:szCs w:val="24"/>
          <w:lang w:val="es-MX"/>
        </w:rPr>
      </w:pPr>
    </w:p>
    <w:p w14:paraId="1CB14D93" w14:textId="77777777" w:rsidR="00246A61" w:rsidRPr="00FE76BD" w:rsidRDefault="00246A61" w:rsidP="00246A61">
      <w:pPr>
        <w:ind w:left="567" w:right="49"/>
        <w:jc w:val="both"/>
        <w:rPr>
          <w:sz w:val="24"/>
          <w:szCs w:val="24"/>
          <w:lang w:val="es-MX"/>
        </w:rPr>
      </w:pPr>
      <w:r w:rsidRPr="00FE76BD">
        <w:rPr>
          <w:sz w:val="24"/>
          <w:szCs w:val="24"/>
          <w:lang w:val="es-MX"/>
        </w:rPr>
        <w:t>En el caso de las tasas de interés, la tasa activa ha disminuido de 13.1% a 12.7</w:t>
      </w:r>
      <w:r>
        <w:rPr>
          <w:sz w:val="24"/>
          <w:szCs w:val="24"/>
          <w:lang w:val="es-MX"/>
        </w:rPr>
        <w:t>%</w:t>
      </w:r>
      <w:r w:rsidRPr="00FE76BD">
        <w:rPr>
          <w:sz w:val="24"/>
          <w:szCs w:val="24"/>
          <w:lang w:val="es-MX"/>
        </w:rPr>
        <w:t xml:space="preserve"> del 2017 al 2019, en el 2020 hasta junio el promedio se ha mantenido en 12.7%. La tasa pasiva también ha disminuido pasando de 5.4% en 2017 a 5.0% en 2020, de enero a junio de 2020 la tasa pasiva disminuyó a 4.8 puntos porcentuales. Asimismo, en los últimos años el spread de estas tasas de interés se había mantenido con un aumento de 10 puntos básicos en el 2018, pero volviendo a 7.7% en 2019, sin embargo, de enero a junio de 2020 el spread aumentó 20 puntos porcentuales lo cual podría ser el inicio de leves repercusiones en el sector productivo y ahorrantes si se mantienen esto debido a que es un indicador de ineficiencias de mercado que generan desincentivos en el proceso ahorro e inversión. En este caso el aumento del spread bancario en parte refleja los efectos negativos por la deterioración de las condiciones económicas internas y externas hacia el mercado financiero interno.</w:t>
      </w:r>
    </w:p>
    <w:p w14:paraId="58F9B274" w14:textId="77777777" w:rsidR="00246A61" w:rsidRPr="00FE76BD" w:rsidRDefault="00246A61" w:rsidP="00246A61">
      <w:pPr>
        <w:tabs>
          <w:tab w:val="left" w:pos="7976"/>
        </w:tabs>
        <w:ind w:right="49"/>
        <w:jc w:val="both"/>
        <w:rPr>
          <w:sz w:val="24"/>
          <w:szCs w:val="24"/>
          <w:lang w:val="es-MX"/>
        </w:rPr>
      </w:pPr>
      <w:r w:rsidRPr="00FE76BD">
        <w:rPr>
          <w:sz w:val="24"/>
          <w:szCs w:val="24"/>
          <w:lang w:val="es-MX"/>
        </w:rPr>
        <w:tab/>
      </w:r>
    </w:p>
    <w:tbl>
      <w:tblPr>
        <w:tblStyle w:val="Tablaconcuadrcula"/>
        <w:tblW w:w="8850"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Look w:val="04A0" w:firstRow="1" w:lastRow="0" w:firstColumn="1" w:lastColumn="0" w:noHBand="0" w:noVBand="1"/>
      </w:tblPr>
      <w:tblGrid>
        <w:gridCol w:w="4726"/>
        <w:gridCol w:w="4686"/>
      </w:tblGrid>
      <w:tr w:rsidR="00246A61" w:rsidRPr="00FE76BD" w14:paraId="7D8774BB" w14:textId="77777777" w:rsidTr="00BA4D6D">
        <w:trPr>
          <w:trHeight w:val="4784"/>
          <w:jc w:val="center"/>
        </w:trPr>
        <w:tc>
          <w:tcPr>
            <w:tcW w:w="4425" w:type="dxa"/>
          </w:tcPr>
          <w:p w14:paraId="7E3FF2DD" w14:textId="77777777" w:rsidR="00246A61" w:rsidRPr="00FE76BD" w:rsidRDefault="00246A61" w:rsidP="00BA4D6D">
            <w:pPr>
              <w:pStyle w:val="Epgrafe"/>
              <w:keepNext/>
              <w:ind w:left="567" w:right="49"/>
              <w:rPr>
                <w:color w:val="auto"/>
                <w:sz w:val="24"/>
                <w:szCs w:val="24"/>
              </w:rPr>
            </w:pPr>
            <w:r w:rsidRPr="00FE76BD">
              <w:rPr>
                <w:color w:val="auto"/>
                <w:sz w:val="24"/>
                <w:szCs w:val="24"/>
              </w:rPr>
              <w:lastRenderedPageBreak/>
              <w:t xml:space="preserve">Gráfico </w:t>
            </w:r>
            <w:r>
              <w:rPr>
                <w:color w:val="auto"/>
                <w:sz w:val="24"/>
                <w:szCs w:val="24"/>
              </w:rPr>
              <w:t>17</w:t>
            </w:r>
            <w:r w:rsidRPr="00FE76BD">
              <w:rPr>
                <w:color w:val="auto"/>
                <w:sz w:val="24"/>
                <w:szCs w:val="24"/>
              </w:rPr>
              <w:t>. Desviación estándar del tipo de cambio de referencia</w:t>
            </w:r>
          </w:p>
          <w:p w14:paraId="7655099C" w14:textId="77777777" w:rsidR="00246A61" w:rsidRPr="00FE76BD" w:rsidRDefault="00246A61" w:rsidP="00BA4D6D">
            <w:pPr>
              <w:ind w:left="567" w:right="49"/>
              <w:jc w:val="center"/>
              <w:rPr>
                <w:sz w:val="24"/>
                <w:szCs w:val="24"/>
                <w:lang w:val="es-MX"/>
              </w:rPr>
            </w:pPr>
            <w:r w:rsidRPr="00FE76BD">
              <w:rPr>
                <w:noProof/>
                <w:sz w:val="24"/>
                <w:szCs w:val="24"/>
                <w:lang w:val="es-ES"/>
              </w:rPr>
              <mc:AlternateContent>
                <mc:Choice Requires="wps">
                  <w:drawing>
                    <wp:anchor distT="0" distB="0" distL="114300" distR="114300" simplePos="0" relativeHeight="251681792" behindDoc="0" locked="0" layoutInCell="1" allowOverlap="1" wp14:anchorId="0E2BF23F" wp14:editId="46F90838">
                      <wp:simplePos x="0" y="0"/>
                      <wp:positionH relativeFrom="column">
                        <wp:posOffset>182245</wp:posOffset>
                      </wp:positionH>
                      <wp:positionV relativeFrom="paragraph">
                        <wp:posOffset>2380615</wp:posOffset>
                      </wp:positionV>
                      <wp:extent cx="2876550" cy="400050"/>
                      <wp:effectExtent l="0" t="0" r="0" b="0"/>
                      <wp:wrapNone/>
                      <wp:docPr id="25" name="Text Box 24"/>
                      <wp:cNvGraphicFramePr/>
                      <a:graphic xmlns:a="http://schemas.openxmlformats.org/drawingml/2006/main">
                        <a:graphicData uri="http://schemas.microsoft.com/office/word/2010/wordprocessingShape">
                          <wps:wsp>
                            <wps:cNvSpPr txBox="1"/>
                            <wps:spPr>
                              <a:xfrm>
                                <a:off x="0" y="0"/>
                                <a:ext cx="2876550" cy="400050"/>
                              </a:xfrm>
                              <a:prstGeom prst="rect">
                                <a:avLst/>
                              </a:prstGeom>
                              <a:solidFill>
                                <a:schemeClr val="lt1"/>
                              </a:solidFill>
                              <a:ln w="6350">
                                <a:noFill/>
                              </a:ln>
                            </wps:spPr>
                            <wps:txbx>
                              <w:txbxContent>
                                <w:p w14:paraId="55FA2C1A" w14:textId="77777777" w:rsidR="00963B9C" w:rsidRPr="004D0048" w:rsidRDefault="00963B9C" w:rsidP="00246A61">
                                  <w:r w:rsidRPr="004D0048">
                                    <w:t xml:space="preserve">Fuente: Elaboración </w:t>
                                  </w:r>
                                  <w:r>
                                    <w:t xml:space="preserve">DAPF </w:t>
                                  </w:r>
                                  <w:r w:rsidRPr="004D0048">
                                    <w:t>con información de BANGUAT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shape w14:anchorId="0E2BF23F" id="_x0000_s1037" type="#_x0000_t202" style="position:absolute;left:0;text-align:left;margin-left:14.35pt;margin-top:187.45pt;width:226.5pt;height:31.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" fillcolor="white [3201]" stroked="f" strokeweight=".5pt">
                      <v:textbox>
                        <w:txbxContent>
                          <w:p w14:paraId="55FA2C1A" w14:textId="77777777" w:rsidR="00963B9C" w:rsidRPr="004D0048" w:rsidRDefault="00963B9C" w:rsidP="00246A61">
                            <w:r w:rsidRPr="004D0048">
                              <w:t xml:space="preserve">Fuente: Elaboración </w:t>
                            </w:r>
                            <w:r>
                              <w:t xml:space="preserve">DAPF </w:t>
                            </w:r>
                            <w:r w:rsidRPr="004D0048">
                              <w:t>con información de BANGUAT</w:t>
                            </w:r>
                          </w:p>
                        </w:txbxContent>
                      </v:textbox>
                    </v:shape>
                  </w:pict>
                </mc:Fallback>
              </mc:AlternateContent>
            </w:r>
            <w:r w:rsidRPr="00FE76BD">
              <w:rPr>
                <w:noProof/>
                <w:sz w:val="24"/>
                <w:szCs w:val="24"/>
                <w:lang w:val="es-ES"/>
              </w:rPr>
              <w:drawing>
                <wp:inline distT="0" distB="0" distL="0" distR="0" wp14:anchorId="5ABD220F" wp14:editId="24D091DC">
                  <wp:extent cx="2521233" cy="2505992"/>
                  <wp:effectExtent l="0" t="0" r="0" b="8890"/>
                  <wp:docPr id="63" name="Gráfico 63">
                    <a:extLst xmlns:a="http://schemas.openxmlformats.org/drawingml/2006/main">
                      <a:ext uri="{FF2B5EF4-FFF2-40B4-BE49-F238E27FC236}">
                        <a16:creationId xmlns:a16="http://schemas.microsoft.com/office/drawing/2014/main" xmlns:w16se="http://schemas.microsoft.com/office/word/2015/wordml/symex" xmlns:w15="http://schemas.microsoft.com/office/word/2012/wordml" xmlns:w="http://schemas.openxmlformats.org/wordprocessingml/2006/main" xmlns:w10="urn:schemas-microsoft-com:office:word" xmlns:v="urn:schemas-microsoft-com:vml" xmlns:o="urn:schemas-microsoft-com:office:office" xmlns:cx="http://schemas.microsoft.com/office/drawing/2014/chartex" xmlns="" id="{40B02CD5-B4B9-49D3-A1C4-67230617727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tc>
        <w:tc>
          <w:tcPr>
            <w:tcW w:w="4425" w:type="dxa"/>
          </w:tcPr>
          <w:p w14:paraId="375E934B" w14:textId="77777777" w:rsidR="00246A61" w:rsidRPr="00FE76BD" w:rsidRDefault="00246A61" w:rsidP="00BA4D6D">
            <w:pPr>
              <w:pStyle w:val="Epgrafe"/>
              <w:keepNext/>
              <w:ind w:left="567" w:right="49"/>
              <w:rPr>
                <w:color w:val="auto"/>
                <w:sz w:val="24"/>
                <w:szCs w:val="24"/>
              </w:rPr>
            </w:pPr>
            <w:r w:rsidRPr="00FE76BD">
              <w:rPr>
                <w:color w:val="auto"/>
                <w:sz w:val="24"/>
                <w:szCs w:val="24"/>
              </w:rPr>
              <w:t xml:space="preserve">Gráfico </w:t>
            </w:r>
            <w:r>
              <w:rPr>
                <w:color w:val="auto"/>
                <w:sz w:val="24"/>
                <w:szCs w:val="24"/>
              </w:rPr>
              <w:t>18</w:t>
            </w:r>
            <w:r w:rsidRPr="00FE76BD">
              <w:rPr>
                <w:color w:val="auto"/>
                <w:sz w:val="24"/>
                <w:szCs w:val="24"/>
              </w:rPr>
              <w:t>. Tasa de interés activa, pasiva y su spread</w:t>
            </w:r>
          </w:p>
          <w:p w14:paraId="42457432" w14:textId="77777777" w:rsidR="00246A61" w:rsidRPr="00FE76BD" w:rsidRDefault="00246A61" w:rsidP="00BA4D6D">
            <w:pPr>
              <w:pStyle w:val="Epgrafe"/>
              <w:keepNext/>
              <w:ind w:left="567" w:right="49"/>
              <w:rPr>
                <w:color w:val="auto"/>
                <w:sz w:val="24"/>
                <w:szCs w:val="24"/>
              </w:rPr>
            </w:pPr>
            <w:r w:rsidRPr="00FE76BD">
              <w:rPr>
                <w:noProof/>
                <w:color w:val="auto"/>
                <w:sz w:val="24"/>
                <w:szCs w:val="24"/>
                <w:lang w:val="es-ES"/>
              </w:rPr>
              <mc:AlternateContent>
                <mc:Choice Requires="wps">
                  <w:drawing>
                    <wp:anchor distT="0" distB="0" distL="114300" distR="114300" simplePos="0" relativeHeight="251680768" behindDoc="0" locked="0" layoutInCell="1" allowOverlap="1" wp14:anchorId="70787AC9" wp14:editId="590B775D">
                      <wp:simplePos x="0" y="0"/>
                      <wp:positionH relativeFrom="column">
                        <wp:posOffset>361950</wp:posOffset>
                      </wp:positionH>
                      <wp:positionV relativeFrom="paragraph">
                        <wp:posOffset>2494914</wp:posOffset>
                      </wp:positionV>
                      <wp:extent cx="2809875" cy="428625"/>
                      <wp:effectExtent l="0" t="0" r="9525" b="9525"/>
                      <wp:wrapNone/>
                      <wp:docPr id="31" name="Text Box 16"/>
                      <wp:cNvGraphicFramePr/>
                      <a:graphic xmlns:a="http://schemas.openxmlformats.org/drawingml/2006/main">
                        <a:graphicData uri="http://schemas.microsoft.com/office/word/2010/wordprocessingShape">
                          <wps:wsp>
                            <wps:cNvSpPr txBox="1"/>
                            <wps:spPr>
                              <a:xfrm>
                                <a:off x="0" y="0"/>
                                <a:ext cx="2809875" cy="428625"/>
                              </a:xfrm>
                              <a:prstGeom prst="rect">
                                <a:avLst/>
                              </a:prstGeom>
                              <a:solidFill>
                                <a:schemeClr val="lt1"/>
                              </a:solidFill>
                              <a:ln w="6350">
                                <a:noFill/>
                              </a:ln>
                            </wps:spPr>
                            <wps:txbx>
                              <w:txbxContent>
                                <w:p w14:paraId="76A037F8" w14:textId="77777777" w:rsidR="00963B9C" w:rsidRPr="004D0048" w:rsidRDefault="00963B9C" w:rsidP="00246A61">
                                  <w:r w:rsidRPr="004D0048">
                                    <w:t xml:space="preserve">Fuente: Elaboración </w:t>
                                  </w:r>
                                  <w:r>
                                    <w:t xml:space="preserve">DAPF </w:t>
                                  </w:r>
                                  <w:r w:rsidRPr="004D0048">
                                    <w:t>con información de BANGUAT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shape w14:anchorId="70787AC9" id="_x0000_s1038" type="#_x0000_t202" style="position:absolute;left:0;text-align:left;margin-left:28.5pt;margin-top:196.45pt;width:221.25pt;height:33.7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" fillcolor="white [3201]" stroked="f" strokeweight=".5pt">
                      <v:textbox>
                        <w:txbxContent>
                          <w:p w14:paraId="76A037F8" w14:textId="77777777" w:rsidR="00963B9C" w:rsidRPr="004D0048" w:rsidRDefault="00963B9C" w:rsidP="00246A61">
                            <w:r w:rsidRPr="004D0048">
                              <w:t xml:space="preserve">Fuente: Elaboración </w:t>
                            </w:r>
                            <w:r>
                              <w:t xml:space="preserve">DAPF </w:t>
                            </w:r>
                            <w:r w:rsidRPr="004D0048">
                              <w:t>con información de BANGUAT</w:t>
                            </w:r>
                          </w:p>
                        </w:txbxContent>
                      </v:textbox>
                    </v:shape>
                  </w:pict>
                </mc:Fallback>
              </mc:AlternateContent>
            </w:r>
            <w:r w:rsidRPr="00FE76BD">
              <w:rPr>
                <w:noProof/>
                <w:color w:val="auto"/>
                <w:sz w:val="24"/>
                <w:szCs w:val="24"/>
                <w:lang w:val="es-ES"/>
              </w:rPr>
              <w:drawing>
                <wp:inline distT="0" distB="0" distL="0" distR="0" wp14:anchorId="27EF1EDA" wp14:editId="1B7F5289">
                  <wp:extent cx="2488819" cy="2499405"/>
                  <wp:effectExtent l="0" t="0" r="6985" b="0"/>
                  <wp:docPr id="1409" name="Gráfico 1409">
                    <a:extLst xmlns:a="http://schemas.openxmlformats.org/drawingml/2006/main">
                      <a:ext uri="{FF2B5EF4-FFF2-40B4-BE49-F238E27FC236}">
                        <a16:creationId xmlns:a16="http://schemas.microsoft.com/office/drawing/2014/main" xmlns:w16se="http://schemas.microsoft.com/office/word/2015/wordml/symex" xmlns:w15="http://schemas.microsoft.com/office/word/2012/wordml" xmlns:w="http://schemas.openxmlformats.org/wordprocessingml/2006/main" xmlns:w10="urn:schemas-microsoft-com:office:word" xmlns:v="urn:schemas-microsoft-com:vml" xmlns:o="urn:schemas-microsoft-com:office:office" xmlns:cx="http://schemas.microsoft.com/office/drawing/2014/chartex" xmlns="" id="{67B757AB-EBE2-4D03-A809-8F78C681DE9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tc>
      </w:tr>
    </w:tbl>
    <w:p w14:paraId="50963094" w14:textId="77777777" w:rsidR="00246A61" w:rsidRPr="00FE76BD" w:rsidRDefault="00246A61" w:rsidP="00246A61">
      <w:pPr>
        <w:ind w:left="567" w:right="49"/>
        <w:jc w:val="both"/>
        <w:rPr>
          <w:sz w:val="24"/>
          <w:szCs w:val="24"/>
          <w:lang w:val="es-MX"/>
        </w:rPr>
      </w:pPr>
    </w:p>
    <w:p w14:paraId="2CD28757" w14:textId="77777777" w:rsidR="00246A61" w:rsidRPr="004A2797" w:rsidRDefault="00246A61" w:rsidP="00246A61">
      <w:pPr>
        <w:pStyle w:val="Ttulo1"/>
        <w:widowControl/>
        <w:numPr>
          <w:ilvl w:val="1"/>
          <w:numId w:val="5"/>
        </w:numPr>
        <w:ind w:left="993" w:right="49"/>
        <w:jc w:val="left"/>
        <w:rPr>
          <w:b w:val="0"/>
          <w:color w:val="auto"/>
          <w:sz w:val="24"/>
          <w:szCs w:val="24"/>
        </w:rPr>
      </w:pPr>
      <w:bookmarkStart w:id="9" w:name="_Toc16519884"/>
      <w:bookmarkStart w:id="10" w:name="_Toc49939719"/>
      <w:r w:rsidRPr="004A2797">
        <w:rPr>
          <w:color w:val="auto"/>
          <w:sz w:val="24"/>
          <w:szCs w:val="24"/>
        </w:rPr>
        <w:t>Desviaciones de los pronósticos fiscales</w:t>
      </w:r>
      <w:bookmarkEnd w:id="9"/>
      <w:bookmarkEnd w:id="10"/>
    </w:p>
    <w:p w14:paraId="239EEBD3" w14:textId="77777777" w:rsidR="00246A61" w:rsidRPr="00FE76BD" w:rsidRDefault="00246A61" w:rsidP="00246A61">
      <w:pPr>
        <w:pStyle w:val="Sinespaciado"/>
        <w:ind w:left="567" w:right="49"/>
        <w:jc w:val="both"/>
        <w:outlineLvl w:val="0"/>
        <w:rPr>
          <w:rFonts w:ascii="Times New Roman" w:hAnsi="Times New Roman"/>
          <w:b/>
          <w:sz w:val="24"/>
          <w:szCs w:val="24"/>
          <w:lang w:val="es-MX"/>
        </w:rPr>
      </w:pPr>
    </w:p>
    <w:p w14:paraId="22C9C19D" w14:textId="77777777" w:rsidR="00246A61" w:rsidRPr="00FE76BD" w:rsidRDefault="00246A61" w:rsidP="00246A61">
      <w:pPr>
        <w:pStyle w:val="Sinespaciado"/>
        <w:ind w:left="567" w:right="49"/>
        <w:jc w:val="both"/>
        <w:rPr>
          <w:rFonts w:ascii="Times New Roman" w:hAnsi="Times New Roman"/>
          <w:sz w:val="24"/>
          <w:szCs w:val="24"/>
          <w:lang w:val="es-MX"/>
        </w:rPr>
      </w:pPr>
      <w:r w:rsidRPr="00FE76BD">
        <w:rPr>
          <w:rFonts w:ascii="Times New Roman" w:hAnsi="Times New Roman"/>
          <w:sz w:val="24"/>
          <w:szCs w:val="24"/>
          <w:lang w:val="es-MX"/>
        </w:rPr>
        <w:t>Las variables fiscales también han mostrado desviaciones entre lo observado y lo que se programa inicialmente en el presupuesto, estas desviaciones son originadas por factores exógenos como la actividad económica nacional e internacional, decisiones de política y el comportamiento de los agentes (entidades públicas, contribuyentes de impuestos, entidades internacionales, entre otros).</w:t>
      </w:r>
    </w:p>
    <w:p w14:paraId="31157436" w14:textId="77777777" w:rsidR="00246A61" w:rsidRPr="002D03E9" w:rsidRDefault="00246A61" w:rsidP="00246A61">
      <w:pPr>
        <w:pStyle w:val="Sinespaciado"/>
        <w:ind w:left="567" w:right="49"/>
        <w:jc w:val="both"/>
        <w:rPr>
          <w:rFonts w:ascii="Times New Roman" w:hAnsi="Times New Roman"/>
          <w:b/>
          <w:sz w:val="24"/>
          <w:szCs w:val="24"/>
          <w:lang w:val="es-MX"/>
        </w:rPr>
      </w:pPr>
    </w:p>
    <w:p w14:paraId="1F17FCBB" w14:textId="77777777" w:rsidR="00246A61" w:rsidRPr="00FE76BD" w:rsidRDefault="00246A61" w:rsidP="00246A61">
      <w:pPr>
        <w:pStyle w:val="Sinespaciado"/>
        <w:ind w:left="567" w:right="49"/>
        <w:jc w:val="both"/>
        <w:rPr>
          <w:rFonts w:ascii="Times New Roman" w:hAnsi="Times New Roman"/>
          <w:sz w:val="24"/>
          <w:szCs w:val="24"/>
          <w:lang w:val="es-MX"/>
        </w:rPr>
      </w:pPr>
      <w:r w:rsidRPr="00FE76BD">
        <w:rPr>
          <w:rFonts w:ascii="Times New Roman" w:hAnsi="Times New Roman"/>
          <w:sz w:val="24"/>
          <w:szCs w:val="24"/>
          <w:lang w:val="es-MX"/>
        </w:rPr>
        <w:t>En ese sentido, los ingresos fiscales que excluye los ingresos por endeudamiento ha mostrado desviaciones con respecto a lo previsto, en algunos años dicha desviación es mayor que en otros, por ejemplo en 2017, los ingresos totales observados con respecto al PIB fueron menores a los pronosticados en 0.5</w:t>
      </w:r>
      <w:r>
        <w:rPr>
          <w:rFonts w:ascii="Times New Roman" w:hAnsi="Times New Roman"/>
          <w:sz w:val="24"/>
          <w:szCs w:val="24"/>
          <w:lang w:val="es-MX"/>
        </w:rPr>
        <w:t>%</w:t>
      </w:r>
      <w:r w:rsidRPr="00FE76BD">
        <w:rPr>
          <w:rFonts w:ascii="Times New Roman" w:hAnsi="Times New Roman"/>
          <w:sz w:val="24"/>
          <w:szCs w:val="24"/>
          <w:lang w:val="es-MX"/>
        </w:rPr>
        <w:t xml:space="preserve">, en donde la recaudación tributaria quedó por debajo de la meta en 0.3 </w:t>
      </w:r>
      <w:r>
        <w:rPr>
          <w:rFonts w:ascii="Times New Roman" w:hAnsi="Times New Roman"/>
          <w:sz w:val="24"/>
          <w:szCs w:val="24"/>
          <w:lang w:val="es-MX"/>
        </w:rPr>
        <w:t>%</w:t>
      </w:r>
      <w:r w:rsidRPr="00FE76BD">
        <w:rPr>
          <w:rFonts w:ascii="Times New Roman" w:hAnsi="Times New Roman"/>
          <w:sz w:val="24"/>
          <w:szCs w:val="24"/>
          <w:lang w:val="es-MX"/>
        </w:rPr>
        <w:t xml:space="preserve"> del PIB, en dicho año la caída se debió en parte a la desaceleración económica, la apreciación del tipo cambio y la reducción de las medidas administrativas realizadas por la SAT. En el 2018 hubo una mejora en la recaudación tributaria, de tal manera que la desviación fue positiva por 0.2 puntos porcentuales del PIB, esto derivado principalmente no fue aprobado el presupuesto para ese año, por lo que quedó en vigencia el del año anterior. El 2018 fue considerado por SAT el año del combate a la defraudación y contrabando aduaneros, para lograr este objetivo la SAT realizó propuestas de políticas de control basadas en procesos de gestión de riesgo e inteligencia aduanera. Asimismo, en 2018 se experimentó una depreciación del tipo de cambio nominal que propició una mayor recaudación. En el 2019 la desviación de los ingresos fiscales fue de -0.4 puntos porcentuales del PIB y la desviación de los ingresos tributarios fue de -0.2 puntos porcentuales del PIB.</w:t>
      </w:r>
    </w:p>
    <w:p w14:paraId="764765DA" w14:textId="77777777" w:rsidR="00246A61" w:rsidRPr="00FE76BD" w:rsidRDefault="00246A61" w:rsidP="00246A61">
      <w:pPr>
        <w:pStyle w:val="Sinespaciado"/>
        <w:ind w:left="567" w:right="49"/>
        <w:jc w:val="both"/>
        <w:rPr>
          <w:rFonts w:ascii="Times New Roman" w:hAnsi="Times New Roman"/>
          <w:sz w:val="24"/>
          <w:szCs w:val="24"/>
          <w:lang w:val="es-MX"/>
        </w:rPr>
      </w:pPr>
    </w:p>
    <w:p w14:paraId="2C1B46D2" w14:textId="77777777" w:rsidR="00246A61" w:rsidRPr="00FE76BD" w:rsidRDefault="00246A61" w:rsidP="00246A61">
      <w:pPr>
        <w:ind w:left="567" w:right="49"/>
        <w:jc w:val="both"/>
        <w:rPr>
          <w:sz w:val="24"/>
          <w:szCs w:val="24"/>
          <w:lang w:val="es-MX"/>
        </w:rPr>
      </w:pPr>
      <w:r w:rsidRPr="00FE76BD">
        <w:rPr>
          <w:sz w:val="24"/>
          <w:szCs w:val="24"/>
          <w:lang w:val="es-MX"/>
        </w:rPr>
        <w:t xml:space="preserve">Por el lado del gasto público, en 2017 mostró una brecha negativa de -1.2 </w:t>
      </w:r>
      <w:r>
        <w:rPr>
          <w:sz w:val="24"/>
          <w:szCs w:val="24"/>
          <w:lang w:val="es-MX"/>
        </w:rPr>
        <w:t>%</w:t>
      </w:r>
      <w:r w:rsidRPr="00FE76BD">
        <w:rPr>
          <w:sz w:val="24"/>
          <w:szCs w:val="24"/>
          <w:lang w:val="es-MX"/>
        </w:rPr>
        <w:t xml:space="preserve"> del PIB, es decir, el gasto ejecutado estuvo por debajo de lo programado en el presupuesto, esto se debe a que en el proceso de ejecución, la normativa presupuestaria, así como su interpretación se introdujeron una serie de rigideces en la ejecución que afectó sensiblemente la labor de algunos ministerios e </w:t>
      </w:r>
      <w:r w:rsidRPr="00FE76BD">
        <w:rPr>
          <w:sz w:val="24"/>
          <w:szCs w:val="24"/>
          <w:lang w:val="es-MX"/>
        </w:rPr>
        <w:lastRenderedPageBreak/>
        <w:t xml:space="preserve">incidió negativamente en su desempeño, además algunas de las entidades tuvieron dificultades en la licitación y adjudicación de contratos de bienes y servicios y de obras públicas. En el 2018 la desviación de lo presupuestado con respecto a lo ejecutado de –0.6 puntos porcentuales del PIB, menor a la desviación de 2017. Lo anterior se debe a que el presupuesto de 2018 no fue aprobado y entró en vigor el presupuesto del ejercicio fiscal 2017. </w:t>
      </w:r>
      <w:bookmarkStart w:id="11" w:name="_Hlk43270020"/>
      <w:r w:rsidRPr="00FE76BD">
        <w:rPr>
          <w:sz w:val="24"/>
          <w:szCs w:val="24"/>
          <w:lang w:val="es-MX"/>
        </w:rPr>
        <w:t>Esta situación condujo a la autoridad fiscal a organizar y realizar una serie de acciones tendentes a reorientar un presupuesto que no era funcional para los objetivos que se habían planteado para dicho año, debido a que la programación no estaba acorde con las necesidades institucionales y con el financiamiento necesario para su ejecución.</w:t>
      </w:r>
      <w:bookmarkEnd w:id="11"/>
      <w:r w:rsidRPr="00FE76BD">
        <w:rPr>
          <w:sz w:val="24"/>
          <w:szCs w:val="24"/>
          <w:lang w:val="es-MX"/>
        </w:rPr>
        <w:t xml:space="preserve"> Adicionalmente, las rigideces que contenía el presupuesto en vigencia siguieron minando la ejecución en algunas entidades. </w:t>
      </w:r>
    </w:p>
    <w:p w14:paraId="2D78AC0C" w14:textId="77777777" w:rsidR="00246A61" w:rsidRPr="00FE76BD" w:rsidRDefault="00246A61" w:rsidP="00246A61">
      <w:pPr>
        <w:ind w:left="567" w:right="49"/>
        <w:jc w:val="both"/>
        <w:rPr>
          <w:sz w:val="24"/>
          <w:szCs w:val="24"/>
          <w:lang w:val="es-MX"/>
        </w:rPr>
      </w:pPr>
    </w:p>
    <w:p w14:paraId="096D2653" w14:textId="77777777" w:rsidR="00246A61" w:rsidRPr="00FE76BD" w:rsidRDefault="00246A61" w:rsidP="00246A61">
      <w:pPr>
        <w:ind w:left="567" w:right="49"/>
        <w:jc w:val="both"/>
        <w:rPr>
          <w:sz w:val="24"/>
          <w:szCs w:val="24"/>
          <w:lang w:val="es-MX"/>
        </w:rPr>
      </w:pPr>
      <w:r w:rsidRPr="00FE76BD">
        <w:rPr>
          <w:sz w:val="24"/>
          <w:szCs w:val="24"/>
          <w:lang w:val="es-MX"/>
        </w:rPr>
        <w:t>Para 2019 la ejecución presupuestaria del gasto tuvo una brecha negativa de -0.9 puntos porcentuales con respecto al PIB, uno de los factores principales, fue el aumento en la asignación de gasto, derivado de la aprobación del presupuesto para 2019 por parte del Congreso de la República.  Sin embargo, esto facilitó el trabajo de las entidades con relación a que el presupuesto estaba acorde a las necesidades institucionales y las actividades contaban con la fuente de financiamiento debidamente identificada desde el principio para asegurar su ejecución.   Otro elemento relevante de la ejecución de 2019 es en relación con la conclusión del proceso de asimilación de los nuevos sistemas de control de la Contraloría General de Cuentas y la aplicación de las nuevas normas de contrataciones del Estado, esto en años anteriores había propiciado una rigidez en la ejecución del gasto, misma que se empezó a desvanecer a partir del año 2018.</w:t>
      </w:r>
    </w:p>
    <w:p w14:paraId="3B63E916" w14:textId="77777777" w:rsidR="00246A61" w:rsidRPr="00FE76BD" w:rsidRDefault="00246A61" w:rsidP="00246A61">
      <w:pPr>
        <w:ind w:left="567" w:right="49"/>
        <w:jc w:val="both"/>
        <w:rPr>
          <w:sz w:val="24"/>
          <w:szCs w:val="24"/>
          <w:lang w:val="es-MX"/>
        </w:rPr>
      </w:pPr>
    </w:p>
    <w:p w14:paraId="02F1CDE8" w14:textId="77777777" w:rsidR="00246A61" w:rsidRDefault="00246A61" w:rsidP="00246A61">
      <w:pPr>
        <w:ind w:left="567" w:right="49"/>
        <w:jc w:val="both"/>
        <w:rPr>
          <w:sz w:val="24"/>
          <w:szCs w:val="24"/>
          <w:lang w:val="es-MX"/>
        </w:rPr>
      </w:pPr>
      <w:r w:rsidRPr="00FE76BD">
        <w:rPr>
          <w:sz w:val="24"/>
          <w:szCs w:val="24"/>
          <w:lang w:val="es-MX"/>
        </w:rPr>
        <w:t>En 2017 la desviación del déficit fiscal observado con respecto al presupuestado fue positivo por 0.7 porcentuales, para este año se tenía presupuestado un déficit del 2.1% del PIB y el observado se ubicó en 1.4%, a pesar de que los ingresos fiscales estuvieron por debajo de lo presupuestado, la brecha del gasto fue aproximadamente el doble, teniendo como repercusión una disminución del déficit fiscal. En el 2018, la desviación del  déficit fiscal fue menor que la de 2017, y se ubicó en 0.5%, esto debido a que el crecimiento de los ingresos tributarios estuvo por debajo del crecimiento económico nominal, la carga tributaria se redujo nuevamente hasta ubicarse en 11.4%, mientras que el gasto público en términos del PIB aumentó, hasta ubicarse en 13.2%, derivado de un mayor gasto de inversión, ambos efectos ejercieron una presión al alza en el déficit fiscal, el cual se situó al final de 2018 en 1.9% del PIB. La desviación del déficit del 2019 fue también positiva por 0.5 puntos porcentuales del PIB, esto se debe a que este año estuvo marcado por un entorno macroeconómico favorable, aunque con una carga tributaria mayor, siendo de 11.3% del PIB, en este año se tuvo un mayor dinamismo de la ejecución de gasto público, por lo cual el déficit fiscal estuvo en aumento hasta ubicarse en 2.2% del PIB.</w:t>
      </w:r>
    </w:p>
    <w:p w14:paraId="1174F9C0" w14:textId="77777777" w:rsidR="00246A61" w:rsidRDefault="00246A61" w:rsidP="00246A61">
      <w:pPr>
        <w:ind w:left="567" w:right="49"/>
        <w:jc w:val="both"/>
        <w:rPr>
          <w:sz w:val="24"/>
          <w:szCs w:val="24"/>
          <w:lang w:val="es-MX"/>
        </w:rPr>
      </w:pPr>
    </w:p>
    <w:p w14:paraId="4F9E04A2" w14:textId="77777777" w:rsidR="00246A61" w:rsidRDefault="00246A61" w:rsidP="00246A61">
      <w:pPr>
        <w:ind w:left="567" w:right="49"/>
        <w:jc w:val="both"/>
        <w:rPr>
          <w:sz w:val="24"/>
          <w:szCs w:val="24"/>
          <w:lang w:val="es-MX"/>
        </w:rPr>
      </w:pPr>
    </w:p>
    <w:p w14:paraId="7C248913" w14:textId="77777777" w:rsidR="00246A61" w:rsidRDefault="00246A61" w:rsidP="00246A61">
      <w:pPr>
        <w:ind w:left="567" w:right="49"/>
        <w:jc w:val="both"/>
        <w:rPr>
          <w:sz w:val="24"/>
          <w:szCs w:val="24"/>
          <w:lang w:val="es-MX"/>
        </w:rPr>
      </w:pPr>
    </w:p>
    <w:p w14:paraId="20AB9005" w14:textId="77777777" w:rsidR="00246A61" w:rsidRDefault="00246A61" w:rsidP="00246A61">
      <w:pPr>
        <w:ind w:left="567" w:right="49"/>
        <w:jc w:val="both"/>
        <w:rPr>
          <w:sz w:val="24"/>
          <w:szCs w:val="24"/>
          <w:lang w:val="es-MX"/>
        </w:rPr>
      </w:pPr>
    </w:p>
    <w:p w14:paraId="70C0DBDE" w14:textId="77777777" w:rsidR="00246A61" w:rsidRDefault="00246A61" w:rsidP="00246A61">
      <w:pPr>
        <w:ind w:left="567" w:right="49"/>
        <w:jc w:val="both"/>
        <w:rPr>
          <w:sz w:val="24"/>
          <w:szCs w:val="24"/>
          <w:lang w:val="es-MX"/>
        </w:rPr>
      </w:pPr>
    </w:p>
    <w:p w14:paraId="31BFBB80" w14:textId="77777777" w:rsidR="00246A61" w:rsidRPr="00FE76BD" w:rsidRDefault="00246A61" w:rsidP="00246A61">
      <w:pPr>
        <w:ind w:left="567" w:right="49"/>
        <w:jc w:val="both"/>
        <w:rPr>
          <w:sz w:val="24"/>
          <w:szCs w:val="24"/>
          <w:lang w:val="es-MX"/>
        </w:rPr>
      </w:pPr>
    </w:p>
    <w:p w14:paraId="2388EE0D" w14:textId="77777777" w:rsidR="00246A61" w:rsidRPr="00FE76BD" w:rsidRDefault="00246A61" w:rsidP="00246A61">
      <w:pPr>
        <w:ind w:left="567" w:right="49"/>
        <w:jc w:val="both"/>
        <w:rPr>
          <w:sz w:val="24"/>
          <w:szCs w:val="24"/>
          <w:lang w:val="es-MX"/>
        </w:rPr>
      </w:pPr>
    </w:p>
    <w:tbl>
      <w:tblPr>
        <w:tblStyle w:val="Tablaconcuadrcula"/>
        <w:tblW w:w="8784"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Look w:val="04A0" w:firstRow="1" w:lastRow="0" w:firstColumn="1" w:lastColumn="0" w:noHBand="0" w:noVBand="1"/>
      </w:tblPr>
      <w:tblGrid>
        <w:gridCol w:w="5196"/>
        <w:gridCol w:w="4700"/>
      </w:tblGrid>
      <w:tr w:rsidR="00246A61" w:rsidRPr="00FE76BD" w14:paraId="7B666C25" w14:textId="77777777" w:rsidTr="00BA4D6D">
        <w:trPr>
          <w:trHeight w:val="4681"/>
          <w:jc w:val="center"/>
        </w:trPr>
        <w:tc>
          <w:tcPr>
            <w:tcW w:w="4610" w:type="dxa"/>
          </w:tcPr>
          <w:p w14:paraId="57212650" w14:textId="77777777" w:rsidR="00246A61" w:rsidRPr="00FE76BD" w:rsidRDefault="00246A61" w:rsidP="00BA4D6D">
            <w:pPr>
              <w:pStyle w:val="Epgrafe"/>
              <w:keepNext/>
              <w:ind w:left="567" w:right="49"/>
              <w:rPr>
                <w:color w:val="auto"/>
                <w:sz w:val="24"/>
                <w:szCs w:val="24"/>
              </w:rPr>
            </w:pPr>
            <w:r w:rsidRPr="00FE76BD">
              <w:rPr>
                <w:color w:val="auto"/>
                <w:sz w:val="24"/>
                <w:szCs w:val="24"/>
              </w:rPr>
              <w:lastRenderedPageBreak/>
              <w:t xml:space="preserve">Gráfico </w:t>
            </w:r>
            <w:r>
              <w:rPr>
                <w:color w:val="auto"/>
                <w:sz w:val="24"/>
                <w:szCs w:val="24"/>
              </w:rPr>
              <w:t>19</w:t>
            </w:r>
            <w:r w:rsidRPr="00FE76BD">
              <w:rPr>
                <w:color w:val="auto"/>
                <w:sz w:val="24"/>
                <w:szCs w:val="24"/>
              </w:rPr>
              <w:t>. Desviación entre lo presupuestado y ejecutado de Ingresos y Gastos</w:t>
            </w:r>
            <w:r>
              <w:rPr>
                <w:color w:val="auto"/>
                <w:sz w:val="24"/>
                <w:szCs w:val="24"/>
              </w:rPr>
              <w:t xml:space="preserve"> </w:t>
            </w:r>
          </w:p>
          <w:p w14:paraId="2DC7B0BE" w14:textId="77777777" w:rsidR="00246A61" w:rsidRPr="00FE76BD" w:rsidRDefault="00246A61" w:rsidP="00BA4D6D">
            <w:pPr>
              <w:ind w:left="567" w:right="49"/>
              <w:jc w:val="both"/>
              <w:rPr>
                <w:sz w:val="24"/>
                <w:szCs w:val="24"/>
                <w:lang w:val="es-MX"/>
              </w:rPr>
            </w:pPr>
            <w:r w:rsidRPr="00FE76BD">
              <w:rPr>
                <w:noProof/>
                <w:sz w:val="24"/>
                <w:szCs w:val="24"/>
                <w:lang w:val="es-ES"/>
              </w:rPr>
              <mc:AlternateContent>
                <mc:Choice Requires="wps">
                  <w:drawing>
                    <wp:anchor distT="0" distB="0" distL="114300" distR="114300" simplePos="0" relativeHeight="251686912" behindDoc="0" locked="0" layoutInCell="1" allowOverlap="1" wp14:anchorId="7E8E143A" wp14:editId="2BAAF9B2">
                      <wp:simplePos x="0" y="0"/>
                      <wp:positionH relativeFrom="column">
                        <wp:posOffset>154517</wp:posOffset>
                      </wp:positionH>
                      <wp:positionV relativeFrom="paragraph">
                        <wp:posOffset>2048721</wp:posOffset>
                      </wp:positionV>
                      <wp:extent cx="2682240" cy="266700"/>
                      <wp:effectExtent l="0" t="0" r="3810" b="0"/>
                      <wp:wrapNone/>
                      <wp:docPr id="32" name="Text Box 24"/>
                      <wp:cNvGraphicFramePr/>
                      <a:graphic xmlns:a="http://schemas.openxmlformats.org/drawingml/2006/main">
                        <a:graphicData uri="http://schemas.microsoft.com/office/word/2010/wordprocessingShape">
                          <wps:wsp>
                            <wps:cNvSpPr txBox="1"/>
                            <wps:spPr>
                              <a:xfrm>
                                <a:off x="0" y="0"/>
                                <a:ext cx="2682240" cy="266700"/>
                              </a:xfrm>
                              <a:prstGeom prst="rect">
                                <a:avLst/>
                              </a:prstGeom>
                              <a:solidFill>
                                <a:schemeClr val="lt1"/>
                              </a:solidFill>
                              <a:ln w="6350">
                                <a:noFill/>
                              </a:ln>
                            </wps:spPr>
                            <wps:txbx>
                              <w:txbxContent>
                                <w:p w14:paraId="6432E382" w14:textId="77777777" w:rsidR="00963B9C" w:rsidRPr="004D0048" w:rsidRDefault="00963B9C" w:rsidP="00246A61">
                                  <w:r w:rsidRPr="004D0048">
                                    <w:t>Fuente: Ministerio de Finanzas Públicas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shape w14:anchorId="7E8E143A" id="_x0000_s1039" type="#_x0000_t202" style="position:absolute;left:0;text-align:left;margin-left:12.15pt;margin-top:161.3pt;width:211.2pt;height:21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" fillcolor="white [3201]" stroked="f" strokeweight=".5pt">
                      <v:textbox>
                        <w:txbxContent>
                          <w:p w14:paraId="6432E382" w14:textId="77777777" w:rsidR="00963B9C" w:rsidRPr="004D0048" w:rsidRDefault="00963B9C" w:rsidP="00246A61">
                            <w:r w:rsidRPr="004D0048">
                              <w:t>Fuente: Ministerio de Finanzas Públicas</w:t>
                            </w:r>
                          </w:p>
                        </w:txbxContent>
                      </v:textbox>
                    </v:shape>
                  </w:pict>
                </mc:Fallback>
              </mc:AlternateContent>
            </w:r>
            <w:r w:rsidRPr="00FE76BD">
              <w:rPr>
                <w:noProof/>
                <w:sz w:val="24"/>
                <w:szCs w:val="24"/>
                <w:lang w:val="es-ES"/>
              </w:rPr>
              <w:drawing>
                <wp:inline distT="0" distB="0" distL="0" distR="0" wp14:anchorId="5939E89F" wp14:editId="3C13CB10">
                  <wp:extent cx="2816225" cy="2143125"/>
                  <wp:effectExtent l="0" t="0" r="3175" b="0"/>
                  <wp:docPr id="1410" name="Gráfico 1410">
                    <a:extLst xmlns:a="http://schemas.openxmlformats.org/drawingml/2006/main">
                      <a:ext uri="{FF2B5EF4-FFF2-40B4-BE49-F238E27FC236}">
                        <a16:creationId xmlns:a16="http://schemas.microsoft.com/office/drawing/2014/main" xmlns:w16se="http://schemas.microsoft.com/office/word/2015/wordml/symex" xmlns:w15="http://schemas.microsoft.com/office/word/2012/wordml" xmlns:w="http://schemas.openxmlformats.org/wordprocessingml/2006/main" xmlns:w10="urn:schemas-microsoft-com:office:word" xmlns:v="urn:schemas-microsoft-com:vml" xmlns:o="urn:schemas-microsoft-com:office:office" xmlns:cx="http://schemas.microsoft.com/office/drawing/2014/chartex" xmlns="" id="{36BA6847-0FC0-4F85-94D9-433AB00E1D2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tc>
        <w:tc>
          <w:tcPr>
            <w:tcW w:w="4174" w:type="dxa"/>
          </w:tcPr>
          <w:p w14:paraId="60D42F28" w14:textId="77777777" w:rsidR="00246A61" w:rsidRPr="00FE76BD" w:rsidRDefault="00246A61" w:rsidP="00BA4D6D">
            <w:pPr>
              <w:pStyle w:val="Epgrafe"/>
              <w:keepNext/>
              <w:ind w:left="567" w:right="49"/>
              <w:rPr>
                <w:color w:val="auto"/>
                <w:sz w:val="24"/>
                <w:szCs w:val="24"/>
              </w:rPr>
            </w:pPr>
            <w:r w:rsidRPr="00FE76BD">
              <w:rPr>
                <w:color w:val="auto"/>
                <w:sz w:val="24"/>
                <w:szCs w:val="24"/>
              </w:rPr>
              <w:t xml:space="preserve">Gráfico </w:t>
            </w:r>
            <w:r>
              <w:rPr>
                <w:color w:val="auto"/>
                <w:sz w:val="24"/>
                <w:szCs w:val="24"/>
              </w:rPr>
              <w:t>20</w:t>
            </w:r>
            <w:r w:rsidRPr="00FE76BD">
              <w:rPr>
                <w:color w:val="auto"/>
                <w:sz w:val="24"/>
                <w:szCs w:val="24"/>
              </w:rPr>
              <w:t>. Desviación entre lo presupuestado y ejecutado del déficit fiscal</w:t>
            </w:r>
            <w:r w:rsidRPr="00FE76BD">
              <w:rPr>
                <w:noProof/>
                <w:color w:val="auto"/>
                <w:sz w:val="24"/>
                <w:szCs w:val="24"/>
                <w:lang w:eastAsia="es-GT"/>
              </w:rPr>
              <w:t xml:space="preserve"> </w:t>
            </w:r>
          </w:p>
          <w:p w14:paraId="4721EBF8" w14:textId="77777777" w:rsidR="00246A61" w:rsidRPr="00FE76BD" w:rsidRDefault="00246A61" w:rsidP="00BA4D6D">
            <w:pPr>
              <w:pStyle w:val="Epgrafe"/>
              <w:keepNext/>
              <w:ind w:left="567" w:right="49"/>
              <w:jc w:val="both"/>
              <w:rPr>
                <w:color w:val="auto"/>
                <w:sz w:val="24"/>
                <w:szCs w:val="24"/>
              </w:rPr>
            </w:pPr>
            <w:r w:rsidRPr="00FE76BD">
              <w:rPr>
                <w:noProof/>
                <w:color w:val="auto"/>
                <w:sz w:val="24"/>
                <w:szCs w:val="24"/>
                <w:lang w:val="es-ES"/>
              </w:rPr>
              <mc:AlternateContent>
                <mc:Choice Requires="wps">
                  <w:drawing>
                    <wp:anchor distT="0" distB="0" distL="114300" distR="114300" simplePos="0" relativeHeight="251687936" behindDoc="0" locked="0" layoutInCell="1" allowOverlap="1" wp14:anchorId="4FF805B6" wp14:editId="78FFFA05">
                      <wp:simplePos x="0" y="0"/>
                      <wp:positionH relativeFrom="column">
                        <wp:posOffset>-58633</wp:posOffset>
                      </wp:positionH>
                      <wp:positionV relativeFrom="paragraph">
                        <wp:posOffset>2045758</wp:posOffset>
                      </wp:positionV>
                      <wp:extent cx="2777067" cy="287867"/>
                      <wp:effectExtent l="0" t="0" r="4445" b="0"/>
                      <wp:wrapNone/>
                      <wp:docPr id="34" name="Text Box 16"/>
                      <wp:cNvGraphicFramePr/>
                      <a:graphic xmlns:a="http://schemas.openxmlformats.org/drawingml/2006/main">
                        <a:graphicData uri="http://schemas.microsoft.com/office/word/2010/wordprocessingShape">
                          <wps:wsp>
                            <wps:cNvSpPr txBox="1"/>
                            <wps:spPr>
                              <a:xfrm>
                                <a:off x="0" y="0"/>
                                <a:ext cx="2777067" cy="287867"/>
                              </a:xfrm>
                              <a:prstGeom prst="rect">
                                <a:avLst/>
                              </a:prstGeom>
                              <a:solidFill>
                                <a:schemeClr val="lt1"/>
                              </a:solidFill>
                              <a:ln w="6350">
                                <a:noFill/>
                              </a:ln>
                            </wps:spPr>
                            <wps:txbx>
                              <w:txbxContent>
                                <w:p w14:paraId="619D844E" w14:textId="77777777" w:rsidR="00963B9C" w:rsidRPr="004D0048" w:rsidRDefault="00963B9C" w:rsidP="00246A61">
                                  <w:pPr>
                                    <w:rPr>
                                      <w:szCs w:val="15"/>
                                    </w:rPr>
                                  </w:pPr>
                                  <w:r w:rsidRPr="004D0048">
                                    <w:rPr>
                                      <w:szCs w:val="15"/>
                                    </w:rPr>
                                    <w:t>Fuente: Ministerio de Finanzas Públicas</w:t>
                                  </w:r>
                                </w:p>
                                <w:p w14:paraId="72E991F4" w14:textId="77777777" w:rsidR="00963B9C" w:rsidRPr="00F815C3" w:rsidRDefault="00963B9C" w:rsidP="00246A61">
                                  <w:pPr>
                                    <w:rPr>
                                      <w:sz w:val="15"/>
                                      <w:szCs w:val="15"/>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shape w14:anchorId="4FF805B6" id="_x0000_s1040" type="#_x0000_t202" style="position:absolute;left:0;text-align:left;margin-left:-4.6pt;margin-top:161.1pt;width:218.65pt;height:22.6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" fillcolor="white [3201]" stroked="f" strokeweight=".5pt">
                      <v:textbox>
                        <w:txbxContent>
                          <w:p w14:paraId="619D844E" w14:textId="77777777" w:rsidR="00963B9C" w:rsidRPr="004D0048" w:rsidRDefault="00963B9C" w:rsidP="00246A61">
                            <w:pPr>
                              <w:rPr>
                                <w:szCs w:val="15"/>
                              </w:rPr>
                            </w:pPr>
                            <w:r w:rsidRPr="004D0048">
                              <w:rPr>
                                <w:szCs w:val="15"/>
                              </w:rPr>
                              <w:t>Fuente: Ministerio de Finanzas Públicas</w:t>
                            </w:r>
                          </w:p>
                          <w:p w14:paraId="72E991F4" w14:textId="77777777" w:rsidR="00963B9C" w:rsidRPr="00F815C3" w:rsidRDefault="00963B9C" w:rsidP="00246A61">
                            <w:pPr>
                              <w:rPr>
                                <w:sz w:val="15"/>
                                <w:szCs w:val="15"/>
                              </w:rPr>
                            </w:pPr>
                          </w:p>
                        </w:txbxContent>
                      </v:textbox>
                    </v:shape>
                  </w:pict>
                </mc:Fallback>
              </mc:AlternateContent>
            </w:r>
            <w:r w:rsidRPr="00FE76BD">
              <w:rPr>
                <w:noProof/>
                <w:color w:val="auto"/>
                <w:sz w:val="24"/>
                <w:szCs w:val="24"/>
                <w:lang w:val="es-ES"/>
              </w:rPr>
              <w:drawing>
                <wp:inline distT="0" distB="0" distL="0" distR="0" wp14:anchorId="0F278908" wp14:editId="7AC0AB14">
                  <wp:extent cx="2504440" cy="2019300"/>
                  <wp:effectExtent l="0" t="0" r="0" b="0"/>
                  <wp:docPr id="1411" name="Gráfico 1411">
                    <a:extLst xmlns:a="http://schemas.openxmlformats.org/drawingml/2006/main">
                      <a:ext uri="{FF2B5EF4-FFF2-40B4-BE49-F238E27FC236}">
                        <a16:creationId xmlns:a16="http://schemas.microsoft.com/office/drawing/2014/main" xmlns:w16se="http://schemas.microsoft.com/office/word/2015/wordml/symex" xmlns:w15="http://schemas.microsoft.com/office/word/2012/wordml" xmlns:w="http://schemas.openxmlformats.org/wordprocessingml/2006/main" xmlns:w10="urn:schemas-microsoft-com:office:word" xmlns:v="urn:schemas-microsoft-com:vml" xmlns:o="urn:schemas-microsoft-com:office:office" xmlns:cx="http://schemas.microsoft.com/office/drawing/2014/chartex" xmlns="" id="{46C53341-1006-4EDB-9BC2-0446465A421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tc>
      </w:tr>
    </w:tbl>
    <w:p w14:paraId="234FCC97" w14:textId="77777777" w:rsidR="00246A61" w:rsidRDefault="00246A61" w:rsidP="00246A61">
      <w:pPr>
        <w:pStyle w:val="Sinespaciado"/>
        <w:ind w:left="567" w:right="49"/>
        <w:jc w:val="both"/>
        <w:rPr>
          <w:rFonts w:ascii="Times New Roman" w:hAnsi="Times New Roman"/>
          <w:sz w:val="24"/>
          <w:szCs w:val="24"/>
        </w:rPr>
      </w:pPr>
    </w:p>
    <w:p w14:paraId="47688E27" w14:textId="77777777" w:rsidR="00246A61" w:rsidRPr="00FE76BD" w:rsidRDefault="00246A61" w:rsidP="00246A61">
      <w:pPr>
        <w:pStyle w:val="Sinespaciado"/>
        <w:ind w:left="567" w:right="49"/>
        <w:jc w:val="both"/>
        <w:rPr>
          <w:rFonts w:ascii="Times New Roman" w:hAnsi="Times New Roman"/>
          <w:sz w:val="24"/>
          <w:szCs w:val="24"/>
        </w:rPr>
      </w:pPr>
      <w:r w:rsidRPr="00FE76BD">
        <w:rPr>
          <w:rFonts w:ascii="Times New Roman" w:hAnsi="Times New Roman"/>
          <w:sz w:val="24"/>
          <w:szCs w:val="24"/>
        </w:rPr>
        <w:t xml:space="preserve">El Proyecto de Presupuesto General de Ingresos y Egresos del Estado para el Ejercicio Fiscal 2020 no fue aprobado en el término que establece la Constitución Política de la República de Guatemala, por lo tanto, entró en vigor el presupuesto del ejercicio fiscal 2019, el presupuesto de gasto del 2020 representaba </w:t>
      </w:r>
      <w:r>
        <w:rPr>
          <w:rFonts w:ascii="Times New Roman" w:hAnsi="Times New Roman"/>
          <w:sz w:val="24"/>
          <w:szCs w:val="24"/>
        </w:rPr>
        <w:t xml:space="preserve">el </w:t>
      </w:r>
      <w:r w:rsidRPr="00FE76BD">
        <w:rPr>
          <w:rFonts w:ascii="Times New Roman" w:hAnsi="Times New Roman"/>
          <w:sz w:val="24"/>
          <w:szCs w:val="24"/>
        </w:rPr>
        <w:t>12.8</w:t>
      </w:r>
      <w:r>
        <w:rPr>
          <w:rFonts w:ascii="Times New Roman" w:hAnsi="Times New Roman"/>
          <w:sz w:val="24"/>
          <w:szCs w:val="24"/>
        </w:rPr>
        <w:t>%</w:t>
      </w:r>
      <w:r w:rsidRPr="00FE76BD">
        <w:rPr>
          <w:rFonts w:ascii="Times New Roman" w:hAnsi="Times New Roman"/>
          <w:sz w:val="24"/>
          <w:szCs w:val="24"/>
        </w:rPr>
        <w:t xml:space="preserve"> del PIB nominal proyectado en enero del 2020 (Q. 656,220.7 millones). De esa cuenta, el gasto fue moderado en los primeros meses del año. Sin embargo, a partir de marzo la dinámica de la ejecución de  gasto estuvo marcada por la declaratoria del Estado de Calamidad Pública en todo el territorio nacional como consecuencia de la emergencia sanitaria ocasionada por la enfermedad COVID-19, lo cual ha desencadenado también una emergencia económica por las restricciones de movilidad y de las actividades productivas no esenciales, de esa cuenta fue necesaria llevar al Congreso de la República una serie de ampliaciones presupuestarias que no se tenían contempladas en un principio, las cuales respondían a la coyuntura de la pandemia, este presupuesto de gasto representa 17.8% del PIB nominal proyectado en junio de 2020 (Q581,664.3 millones). En lo que respecta a la ejecución de gasto público, se estima que esta se ubique alrededor de 16.</w:t>
      </w:r>
      <w:r>
        <w:rPr>
          <w:rFonts w:ascii="Times New Roman" w:hAnsi="Times New Roman"/>
          <w:sz w:val="24"/>
          <w:szCs w:val="24"/>
        </w:rPr>
        <w:t>1%</w:t>
      </w:r>
      <w:r w:rsidRPr="00FE76BD">
        <w:rPr>
          <w:rFonts w:ascii="Times New Roman" w:hAnsi="Times New Roman"/>
          <w:sz w:val="24"/>
          <w:szCs w:val="24"/>
        </w:rPr>
        <w:t xml:space="preserve"> del PIB, esto debido a la moderación de los primeros meses del año. Asimismo, se espera que los ingresos fiscales se ubiquen en torno al 10.5</w:t>
      </w:r>
      <w:r>
        <w:rPr>
          <w:rFonts w:ascii="Times New Roman" w:hAnsi="Times New Roman"/>
          <w:sz w:val="24"/>
          <w:szCs w:val="24"/>
        </w:rPr>
        <w:t>%</w:t>
      </w:r>
      <w:r w:rsidRPr="00FE76BD">
        <w:rPr>
          <w:rFonts w:ascii="Times New Roman" w:hAnsi="Times New Roman"/>
          <w:sz w:val="24"/>
          <w:szCs w:val="24"/>
        </w:rPr>
        <w:t>del PIB, por lo que el déficit fiscal se ubicará alrededor de 5.7</w:t>
      </w:r>
      <w:r>
        <w:rPr>
          <w:rFonts w:ascii="Times New Roman" w:hAnsi="Times New Roman"/>
          <w:sz w:val="24"/>
          <w:szCs w:val="24"/>
        </w:rPr>
        <w:t>%</w:t>
      </w:r>
      <w:r w:rsidRPr="00FE76BD">
        <w:rPr>
          <w:rFonts w:ascii="Times New Roman" w:hAnsi="Times New Roman"/>
          <w:sz w:val="24"/>
          <w:szCs w:val="24"/>
        </w:rPr>
        <w:t xml:space="preserve"> del PIB.</w:t>
      </w:r>
    </w:p>
    <w:p w14:paraId="11224B15" w14:textId="77777777" w:rsidR="00246A61" w:rsidRPr="004A2797" w:rsidRDefault="00246A61" w:rsidP="00246A61">
      <w:pPr>
        <w:pStyle w:val="Ttulo1"/>
        <w:widowControl/>
        <w:numPr>
          <w:ilvl w:val="0"/>
          <w:numId w:val="5"/>
        </w:numPr>
        <w:spacing w:before="240" w:after="60"/>
        <w:ind w:left="567" w:right="49"/>
        <w:jc w:val="left"/>
        <w:rPr>
          <w:b w:val="0"/>
          <w:color w:val="auto"/>
          <w:sz w:val="24"/>
          <w:szCs w:val="24"/>
        </w:rPr>
      </w:pPr>
      <w:bookmarkStart w:id="12" w:name="_Toc16519886"/>
      <w:bookmarkStart w:id="13" w:name="_Toc49939720"/>
      <w:r w:rsidRPr="004A2797">
        <w:rPr>
          <w:color w:val="auto"/>
          <w:sz w:val="24"/>
          <w:szCs w:val="24"/>
        </w:rPr>
        <w:t>Riesgos Fiscales de la Deuda Pública</w:t>
      </w:r>
      <w:bookmarkEnd w:id="12"/>
      <w:bookmarkEnd w:id="13"/>
    </w:p>
    <w:p w14:paraId="6BA72118" w14:textId="77777777" w:rsidR="00246A61" w:rsidRPr="00FE76BD" w:rsidRDefault="00246A61" w:rsidP="00246A61">
      <w:pPr>
        <w:pStyle w:val="Sinespaciado"/>
        <w:ind w:left="567" w:right="49"/>
        <w:jc w:val="both"/>
        <w:rPr>
          <w:rFonts w:ascii="Times New Roman" w:hAnsi="Times New Roman"/>
          <w:sz w:val="24"/>
          <w:szCs w:val="24"/>
          <w:lang w:val="es-MX"/>
        </w:rPr>
      </w:pPr>
    </w:p>
    <w:p w14:paraId="05AD85F7" w14:textId="77777777" w:rsidR="00246A61" w:rsidRPr="00FE76BD" w:rsidRDefault="00246A61" w:rsidP="00246A61">
      <w:pPr>
        <w:pStyle w:val="Sinespaciado"/>
        <w:ind w:left="567" w:right="49"/>
        <w:jc w:val="both"/>
        <w:rPr>
          <w:rFonts w:ascii="Times New Roman" w:hAnsi="Times New Roman"/>
          <w:sz w:val="24"/>
          <w:szCs w:val="24"/>
          <w:lang w:val="es-MX"/>
        </w:rPr>
      </w:pPr>
      <w:r w:rsidRPr="00FE76BD">
        <w:rPr>
          <w:rFonts w:ascii="Times New Roman" w:hAnsi="Times New Roman"/>
          <w:sz w:val="24"/>
          <w:szCs w:val="24"/>
          <w:lang w:val="es-MX"/>
        </w:rPr>
        <w:t xml:space="preserve">Guatemala es un país que se ha caracterizado por tener un manejo prudente de su política fiscal en los últimos 25 años, lo que ha coadyuvado enormemente a la estabilidad macroeconómica del país, esto se refleja en los resultados fiscales obtenidos en la administración central, los cuales arrojan déficit moderados, con algunas excepciones de déficit más altos en época de crisis que inmediatamente se controlan debido a que el gasto que crea el impulso no es permanente sino más bien transitorio, como lo fue el caso de 2009 en la crisis económica internacional y más recientemente </w:t>
      </w:r>
      <w:r>
        <w:rPr>
          <w:rFonts w:ascii="Times New Roman" w:hAnsi="Times New Roman"/>
          <w:sz w:val="24"/>
          <w:szCs w:val="24"/>
          <w:lang w:val="es-MX"/>
        </w:rPr>
        <w:t>en el</w:t>
      </w:r>
      <w:r w:rsidRPr="00FE76BD">
        <w:rPr>
          <w:rFonts w:ascii="Times New Roman" w:hAnsi="Times New Roman"/>
          <w:sz w:val="24"/>
          <w:szCs w:val="24"/>
          <w:lang w:val="es-MX"/>
        </w:rPr>
        <w:t xml:space="preserve"> ejercicio fiscal</w:t>
      </w:r>
      <w:r>
        <w:rPr>
          <w:rFonts w:ascii="Times New Roman" w:hAnsi="Times New Roman"/>
          <w:sz w:val="24"/>
          <w:szCs w:val="24"/>
          <w:lang w:val="es-MX"/>
        </w:rPr>
        <w:t xml:space="preserve"> presente</w:t>
      </w:r>
      <w:r w:rsidRPr="00FE76BD">
        <w:rPr>
          <w:rFonts w:ascii="Times New Roman" w:hAnsi="Times New Roman"/>
          <w:sz w:val="24"/>
          <w:szCs w:val="24"/>
          <w:lang w:val="es-MX"/>
        </w:rPr>
        <w:t xml:space="preserve">.  Esto ha propiciado que la deuda pública del país sea baja y estable y haya sido sostenible. Además, el manejo adecuado del endeudamiento ha </w:t>
      </w:r>
      <w:r w:rsidRPr="00FE76BD">
        <w:rPr>
          <w:rFonts w:ascii="Times New Roman" w:hAnsi="Times New Roman"/>
          <w:sz w:val="24"/>
          <w:szCs w:val="24"/>
          <w:lang w:val="es-MX"/>
        </w:rPr>
        <w:lastRenderedPageBreak/>
        <w:t xml:space="preserve">permitido extender los plazos de colocación de deuda en el mercado interno y en años recientes también en el mercado externo, ya que se han hecho tres colocaciones con plazo de 30 años, reduciendo significativamente el costo financiero de la deuda (tasa de interés).  </w:t>
      </w:r>
    </w:p>
    <w:p w14:paraId="6CF90C1A" w14:textId="77777777" w:rsidR="00246A61" w:rsidRPr="00FE76BD" w:rsidRDefault="00246A61" w:rsidP="00246A61">
      <w:pPr>
        <w:pStyle w:val="Sinespaciado"/>
        <w:ind w:left="567" w:right="49"/>
        <w:jc w:val="both"/>
        <w:rPr>
          <w:rFonts w:ascii="Times New Roman" w:hAnsi="Times New Roman"/>
          <w:sz w:val="24"/>
          <w:szCs w:val="24"/>
          <w:lang w:val="es-MX"/>
        </w:rPr>
      </w:pPr>
    </w:p>
    <w:p w14:paraId="29522434" w14:textId="77777777" w:rsidR="00246A61" w:rsidRDefault="00246A61" w:rsidP="00246A61">
      <w:pPr>
        <w:ind w:left="567" w:right="49"/>
        <w:jc w:val="both"/>
        <w:rPr>
          <w:sz w:val="24"/>
          <w:szCs w:val="24"/>
          <w:lang w:val="es-MX"/>
        </w:rPr>
      </w:pPr>
      <w:r w:rsidRPr="00FE76BD">
        <w:rPr>
          <w:sz w:val="24"/>
          <w:szCs w:val="24"/>
          <w:lang w:val="es-MX"/>
        </w:rPr>
        <w:t>Además del manejo fiscal prudente, la política macroeconómica ha sido adecuada y ha permitido también un tipo de cambio bastante estable, con leves periodos de variaciones bruscas que inmediatamente recuperan su nivel de promedio histórico. Es por ello por lo que, las perturbaciones transitorias en la parte fiscal y las que se dan en otros sectores de la economía no han incidido negativamente en el nivel de la deuda pública ni de manera importante en su trayectoria de corto, mediano y largo plazos</w:t>
      </w:r>
      <w:r>
        <w:rPr>
          <w:sz w:val="24"/>
          <w:szCs w:val="24"/>
          <w:lang w:val="es-MX"/>
        </w:rPr>
        <w:t>.</w:t>
      </w:r>
    </w:p>
    <w:p w14:paraId="4F43A1F3" w14:textId="5BA2B140" w:rsidR="00246A61" w:rsidRDefault="00246A61" w:rsidP="00246A61">
      <w:pPr>
        <w:ind w:left="567" w:right="49"/>
        <w:jc w:val="both"/>
        <w:rPr>
          <w:sz w:val="24"/>
          <w:szCs w:val="24"/>
          <w:lang w:val="es-MX"/>
        </w:rPr>
      </w:pPr>
    </w:p>
    <w:p w14:paraId="0B76BAB9" w14:textId="3A6CFA3F" w:rsidR="00BA4D6D" w:rsidRPr="00BA4D6D" w:rsidRDefault="00BA4D6D" w:rsidP="00BA4D6D">
      <w:pPr>
        <w:pStyle w:val="Epgrafe"/>
        <w:keepNext/>
        <w:ind w:left="567" w:right="49"/>
        <w:rPr>
          <w:color w:val="auto"/>
          <w:sz w:val="24"/>
          <w:szCs w:val="24"/>
        </w:rPr>
      </w:pPr>
      <w:r w:rsidRPr="00BA4D6D">
        <w:rPr>
          <w:color w:val="auto"/>
          <w:sz w:val="24"/>
          <w:szCs w:val="24"/>
        </w:rPr>
        <w:t>Recuadro 1</w:t>
      </w:r>
    </w:p>
    <w:p w14:paraId="01C90727" w14:textId="04649E17" w:rsidR="00BA4D6D" w:rsidRPr="00BA4D6D" w:rsidRDefault="00BA4D6D" w:rsidP="00BA4D6D">
      <w:pPr>
        <w:pStyle w:val="Epgrafe"/>
        <w:keepNext/>
        <w:ind w:left="567" w:right="49"/>
        <w:rPr>
          <w:color w:val="auto"/>
          <w:sz w:val="24"/>
          <w:szCs w:val="24"/>
        </w:rPr>
      </w:pPr>
      <w:r w:rsidRPr="00BA4D6D">
        <w:rPr>
          <w:color w:val="auto"/>
          <w:sz w:val="24"/>
          <w:szCs w:val="24"/>
        </w:rPr>
        <w:t>Guatemala un país de ingreso medio alto</w:t>
      </w:r>
    </w:p>
    <w:p w14:paraId="59CCC779" w14:textId="77777777" w:rsidR="00BA4D6D" w:rsidRDefault="00BA4D6D" w:rsidP="00246A61">
      <w:pPr>
        <w:ind w:left="567" w:right="49"/>
        <w:jc w:val="both"/>
        <w:rPr>
          <w:sz w:val="24"/>
          <w:szCs w:val="24"/>
          <w:lang w:val="es-MX"/>
        </w:rPr>
      </w:pPr>
    </w:p>
    <w:tbl>
      <w:tblPr>
        <w:tblW w:w="9326" w:type="dxa"/>
        <w:tblInd w:w="582"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shd w:val="clear" w:color="auto" w:fill="B4C6E7" w:themeFill="accent1" w:themeFillTint="66"/>
        <w:tblLayout w:type="fixed"/>
        <w:tblLook w:val="04A0" w:firstRow="1" w:lastRow="0" w:firstColumn="1" w:lastColumn="0" w:noHBand="0" w:noVBand="1"/>
      </w:tblPr>
      <w:tblGrid>
        <w:gridCol w:w="9326"/>
      </w:tblGrid>
      <w:tr w:rsidR="00246A61" w:rsidRPr="00856BAE" w14:paraId="2F4D859E" w14:textId="77777777" w:rsidTr="00BA4D6D">
        <w:tc>
          <w:tcPr>
            <w:tcW w:w="9326" w:type="dxa"/>
            <w:shd w:val="clear" w:color="auto" w:fill="DEEAF6" w:themeFill="accent5" w:themeFillTint="33"/>
          </w:tcPr>
          <w:p w14:paraId="1849E7F0" w14:textId="77777777" w:rsidR="00246A61" w:rsidRPr="00856BAE" w:rsidRDefault="00246A61" w:rsidP="00BA4D6D">
            <w:pPr>
              <w:pStyle w:val="Sinespaciado"/>
              <w:shd w:val="clear" w:color="auto" w:fill="DEEAF6" w:themeFill="accent5" w:themeFillTint="33"/>
              <w:ind w:left="360"/>
              <w:jc w:val="center"/>
              <w:rPr>
                <w:rFonts w:ascii="Times New Roman" w:hAnsi="Times New Roman"/>
                <w:b/>
                <w:sz w:val="14"/>
                <w:szCs w:val="20"/>
              </w:rPr>
            </w:pPr>
          </w:p>
          <w:p w14:paraId="6653B1AF" w14:textId="69809868" w:rsidR="00246A61" w:rsidRDefault="00246A61" w:rsidP="00BA4D6D">
            <w:pPr>
              <w:jc w:val="both"/>
            </w:pPr>
            <w:r w:rsidRPr="00856BAE">
              <w:t>El Banco Mundial clasifica las economías de los países según el nivel de ingresos para cada año, esta clasificación la realiza en cuatro categorías que son: alto, mediano alto, mediano bajo y bajo. Estas categorías son actualizadas el 1 de julio de cada año y son con base al ingreso nacional bruto per cápita en</w:t>
            </w:r>
            <w:r>
              <w:t xml:space="preserve"> dólares estadounidenses</w:t>
            </w:r>
            <w:r w:rsidRPr="00856BAE">
              <w:t>, para lo cual usan los tipos de cambio del método del Atlas, metodología que suaviza las fluctuaciones del tipo de cambio mediante el uso de un factor de conversión ajustado al precio de media móvil de tres años.</w:t>
            </w:r>
          </w:p>
          <w:p w14:paraId="0563BC28" w14:textId="77777777" w:rsidR="0033794E" w:rsidRPr="00856BAE" w:rsidRDefault="0033794E" w:rsidP="00BA4D6D">
            <w:pPr>
              <w:jc w:val="both"/>
            </w:pPr>
          </w:p>
          <w:tbl>
            <w:tblPr>
              <w:tblStyle w:val="Tablaconcuadrcula"/>
              <w:tblW w:w="9079" w:type="dxa"/>
              <w:tblLayout w:type="fixed"/>
              <w:tblLook w:val="04A0" w:firstRow="1" w:lastRow="0" w:firstColumn="1" w:lastColumn="0" w:noHBand="0" w:noVBand="1"/>
            </w:tblPr>
            <w:tblGrid>
              <w:gridCol w:w="9079"/>
            </w:tblGrid>
            <w:tr w:rsidR="00246A61" w:rsidRPr="00856BAE" w14:paraId="36CFE562" w14:textId="77777777" w:rsidTr="00BA4D6D">
              <w:trPr>
                <w:trHeight w:val="1978"/>
              </w:trPr>
              <w:tc>
                <w:tcPr>
                  <w:tcW w:w="9079" w:type="dxa"/>
                  <w:tcBorders>
                    <w:top w:val="nil"/>
                    <w:left w:val="nil"/>
                    <w:bottom w:val="nil"/>
                    <w:right w:val="nil"/>
                  </w:tcBorders>
                </w:tcPr>
                <w:p w14:paraId="33D47C10" w14:textId="309320F7" w:rsidR="00246A61" w:rsidRPr="00856BAE" w:rsidRDefault="00246A61" w:rsidP="00BA4D6D">
                  <w:pPr>
                    <w:pStyle w:val="Epgrafe"/>
                    <w:keepNext/>
                    <w:ind w:left="567" w:right="49"/>
                    <w:rPr>
                      <w:color w:val="auto"/>
                    </w:rPr>
                  </w:pPr>
                  <w:r w:rsidRPr="00856BAE">
                    <w:rPr>
                      <w:color w:val="auto"/>
                    </w:rPr>
                    <w:t xml:space="preserve">Tabla </w:t>
                  </w:r>
                  <w:r w:rsidR="0033794E">
                    <w:rPr>
                      <w:color w:val="auto"/>
                    </w:rPr>
                    <w:t>2</w:t>
                  </w:r>
                  <w:r w:rsidRPr="00856BAE">
                    <w:rPr>
                      <w:color w:val="auto"/>
                    </w:rPr>
                    <w:t xml:space="preserve">. </w:t>
                  </w:r>
                  <w:r>
                    <w:rPr>
                      <w:color w:val="auto"/>
                    </w:rPr>
                    <w:t xml:space="preserve">Categorías </w:t>
                  </w:r>
                  <w:r w:rsidRPr="00856BAE">
                    <w:rPr>
                      <w:color w:val="auto"/>
                    </w:rPr>
                    <w:t>de ingresos</w:t>
                  </w:r>
                  <w:r>
                    <w:rPr>
                      <w:color w:val="auto"/>
                    </w:rPr>
                    <w:t xml:space="preserve"> para los países </w:t>
                  </w:r>
                  <w:r w:rsidRPr="00856BAE">
                    <w:rPr>
                      <w:color w:val="auto"/>
                    </w:rPr>
                    <w:t xml:space="preserve"> </w:t>
                  </w:r>
                </w:p>
                <w:tbl>
                  <w:tblPr>
                    <w:tblW w:w="7674" w:type="dxa"/>
                    <w:jc w:val="center"/>
                    <w:tblLayout w:type="fixed"/>
                    <w:tblCellMar>
                      <w:left w:w="70" w:type="dxa"/>
                      <w:right w:w="70" w:type="dxa"/>
                    </w:tblCellMar>
                    <w:tblLook w:val="04A0" w:firstRow="1" w:lastRow="0" w:firstColumn="1" w:lastColumn="0" w:noHBand="0" w:noVBand="1"/>
                  </w:tblPr>
                  <w:tblGrid>
                    <w:gridCol w:w="2746"/>
                    <w:gridCol w:w="2403"/>
                    <w:gridCol w:w="2525"/>
                  </w:tblGrid>
                  <w:tr w:rsidR="00246A61" w:rsidRPr="00856BAE" w14:paraId="239DDA24" w14:textId="77777777" w:rsidTr="00BA4D6D">
                    <w:trPr>
                      <w:trHeight w:val="263"/>
                      <w:jc w:val="center"/>
                    </w:trPr>
                    <w:tc>
                      <w:tcPr>
                        <w:tcW w:w="2746" w:type="dxa"/>
                        <w:tcBorders>
                          <w:top w:val="single" w:sz="4" w:space="0" w:color="auto"/>
                          <w:left w:val="single" w:sz="4" w:space="0" w:color="auto"/>
                          <w:bottom w:val="single" w:sz="4" w:space="0" w:color="auto"/>
                          <w:right w:val="nil"/>
                        </w:tcBorders>
                        <w:shd w:val="clear" w:color="000000" w:fill="D9E1F2"/>
                        <w:noWrap/>
                        <w:vAlign w:val="bottom"/>
                        <w:hideMark/>
                      </w:tcPr>
                      <w:p w14:paraId="79A84475" w14:textId="77777777" w:rsidR="00246A61" w:rsidRPr="00856BAE" w:rsidRDefault="00246A61" w:rsidP="00BA4D6D">
                        <w:pPr>
                          <w:jc w:val="center"/>
                          <w:rPr>
                            <w:rFonts w:ascii="Times" w:hAnsi="Times" w:cs="Times"/>
                            <w:b/>
                            <w:bCs/>
                            <w:color w:val="000000"/>
                            <w:sz w:val="18"/>
                            <w:szCs w:val="18"/>
                            <w:lang w:eastAsia="es-GT"/>
                          </w:rPr>
                        </w:pPr>
                        <w:r w:rsidRPr="00856BAE">
                          <w:rPr>
                            <w:rFonts w:ascii="Times" w:hAnsi="Times" w:cs="Times"/>
                            <w:b/>
                            <w:bCs/>
                            <w:color w:val="000000"/>
                            <w:sz w:val="18"/>
                            <w:szCs w:val="18"/>
                            <w:lang w:eastAsia="es-GT"/>
                          </w:rPr>
                          <w:t>Umbral</w:t>
                        </w:r>
                      </w:p>
                    </w:tc>
                    <w:tc>
                      <w:tcPr>
                        <w:tcW w:w="2403" w:type="dxa"/>
                        <w:tcBorders>
                          <w:top w:val="single" w:sz="4" w:space="0" w:color="auto"/>
                          <w:left w:val="single" w:sz="4" w:space="0" w:color="auto"/>
                          <w:bottom w:val="single" w:sz="4" w:space="0" w:color="auto"/>
                          <w:right w:val="single" w:sz="4" w:space="0" w:color="auto"/>
                        </w:tcBorders>
                        <w:shd w:val="clear" w:color="000000" w:fill="D9E1F2"/>
                        <w:noWrap/>
                        <w:vAlign w:val="bottom"/>
                        <w:hideMark/>
                      </w:tcPr>
                      <w:p w14:paraId="475723C1" w14:textId="77777777" w:rsidR="00246A61" w:rsidRPr="00856BAE" w:rsidRDefault="00246A61" w:rsidP="00BA4D6D">
                        <w:pPr>
                          <w:jc w:val="center"/>
                          <w:rPr>
                            <w:rFonts w:ascii="Times" w:hAnsi="Times" w:cs="Times"/>
                            <w:b/>
                            <w:bCs/>
                            <w:color w:val="000000"/>
                            <w:sz w:val="18"/>
                            <w:szCs w:val="18"/>
                            <w:lang w:eastAsia="es-GT"/>
                          </w:rPr>
                        </w:pPr>
                        <w:r w:rsidRPr="00856BAE">
                          <w:rPr>
                            <w:rFonts w:ascii="Times" w:hAnsi="Times" w:cs="Times"/>
                            <w:b/>
                            <w:bCs/>
                            <w:color w:val="000000"/>
                            <w:sz w:val="18"/>
                            <w:szCs w:val="18"/>
                            <w:lang w:eastAsia="es-GT"/>
                          </w:rPr>
                          <w:t>Julio 2020/USD (nuevo)</w:t>
                        </w:r>
                      </w:p>
                    </w:tc>
                    <w:tc>
                      <w:tcPr>
                        <w:tcW w:w="2525" w:type="dxa"/>
                        <w:tcBorders>
                          <w:top w:val="single" w:sz="4" w:space="0" w:color="auto"/>
                          <w:left w:val="nil"/>
                          <w:bottom w:val="single" w:sz="4" w:space="0" w:color="auto"/>
                          <w:right w:val="single" w:sz="4" w:space="0" w:color="auto"/>
                        </w:tcBorders>
                        <w:shd w:val="clear" w:color="000000" w:fill="D9E1F2"/>
                        <w:noWrap/>
                        <w:vAlign w:val="bottom"/>
                        <w:hideMark/>
                      </w:tcPr>
                      <w:p w14:paraId="750388A3" w14:textId="77777777" w:rsidR="00246A61" w:rsidRPr="00856BAE" w:rsidRDefault="00246A61" w:rsidP="00BA4D6D">
                        <w:pPr>
                          <w:jc w:val="center"/>
                          <w:rPr>
                            <w:rFonts w:ascii="Times" w:hAnsi="Times" w:cs="Times"/>
                            <w:b/>
                            <w:bCs/>
                            <w:color w:val="000000"/>
                            <w:sz w:val="18"/>
                            <w:szCs w:val="18"/>
                            <w:lang w:eastAsia="es-GT"/>
                          </w:rPr>
                        </w:pPr>
                        <w:r w:rsidRPr="00856BAE">
                          <w:rPr>
                            <w:rFonts w:ascii="Times" w:hAnsi="Times" w:cs="Times"/>
                            <w:b/>
                            <w:bCs/>
                            <w:color w:val="000000"/>
                            <w:sz w:val="18"/>
                            <w:szCs w:val="18"/>
                            <w:lang w:eastAsia="es-GT"/>
                          </w:rPr>
                          <w:t>Julio 2019/USD (antiguo)</w:t>
                        </w:r>
                      </w:p>
                    </w:tc>
                  </w:tr>
                  <w:tr w:rsidR="00246A61" w:rsidRPr="00856BAE" w14:paraId="4820F872" w14:textId="77777777" w:rsidTr="00BA4D6D">
                    <w:trPr>
                      <w:trHeight w:val="263"/>
                      <w:jc w:val="center"/>
                    </w:trPr>
                    <w:tc>
                      <w:tcPr>
                        <w:tcW w:w="2746" w:type="dxa"/>
                        <w:tcBorders>
                          <w:top w:val="nil"/>
                          <w:left w:val="single" w:sz="4" w:space="0" w:color="auto"/>
                          <w:bottom w:val="nil"/>
                          <w:right w:val="nil"/>
                        </w:tcBorders>
                        <w:shd w:val="clear" w:color="auto" w:fill="FFFFFF" w:themeFill="background1"/>
                        <w:noWrap/>
                        <w:vAlign w:val="bottom"/>
                        <w:hideMark/>
                      </w:tcPr>
                      <w:p w14:paraId="79C6538B" w14:textId="77777777" w:rsidR="00246A61" w:rsidRPr="00856BAE" w:rsidRDefault="00246A61" w:rsidP="00BA4D6D">
                        <w:pPr>
                          <w:rPr>
                            <w:rFonts w:ascii="Times" w:hAnsi="Times" w:cs="Times"/>
                            <w:color w:val="000000"/>
                            <w:sz w:val="18"/>
                            <w:szCs w:val="18"/>
                            <w:lang w:eastAsia="es-GT"/>
                          </w:rPr>
                        </w:pPr>
                        <w:r w:rsidRPr="00856BAE">
                          <w:rPr>
                            <w:rFonts w:ascii="Times" w:hAnsi="Times" w:cs="Times"/>
                            <w:color w:val="000000"/>
                            <w:sz w:val="18"/>
                            <w:szCs w:val="18"/>
                            <w:lang w:eastAsia="es-GT"/>
                          </w:rPr>
                          <w:t>País de ingreso bajo</w:t>
                        </w:r>
                      </w:p>
                    </w:tc>
                    <w:tc>
                      <w:tcPr>
                        <w:tcW w:w="2403" w:type="dxa"/>
                        <w:tcBorders>
                          <w:top w:val="nil"/>
                          <w:left w:val="single" w:sz="4" w:space="0" w:color="auto"/>
                          <w:bottom w:val="nil"/>
                          <w:right w:val="single" w:sz="4" w:space="0" w:color="auto"/>
                        </w:tcBorders>
                        <w:shd w:val="clear" w:color="auto" w:fill="FFFFFF" w:themeFill="background1"/>
                        <w:noWrap/>
                        <w:vAlign w:val="bottom"/>
                        <w:hideMark/>
                      </w:tcPr>
                      <w:p w14:paraId="487FEBBD" w14:textId="77777777" w:rsidR="00246A61" w:rsidRPr="00856BAE" w:rsidRDefault="00246A61" w:rsidP="00BA4D6D">
                        <w:pPr>
                          <w:jc w:val="center"/>
                          <w:rPr>
                            <w:rFonts w:ascii="Times" w:hAnsi="Times" w:cs="Times"/>
                            <w:color w:val="000000"/>
                            <w:sz w:val="18"/>
                            <w:szCs w:val="18"/>
                            <w:lang w:eastAsia="es-GT"/>
                          </w:rPr>
                        </w:pPr>
                        <w:r w:rsidRPr="00856BAE">
                          <w:rPr>
                            <w:rFonts w:ascii="Times" w:hAnsi="Times" w:cs="Times"/>
                            <w:color w:val="000000"/>
                            <w:sz w:val="18"/>
                            <w:szCs w:val="18"/>
                            <w:lang w:eastAsia="es-GT"/>
                          </w:rPr>
                          <w:t xml:space="preserve">menor que 1,036 </w:t>
                        </w:r>
                      </w:p>
                    </w:tc>
                    <w:tc>
                      <w:tcPr>
                        <w:tcW w:w="2525" w:type="dxa"/>
                        <w:tcBorders>
                          <w:top w:val="nil"/>
                          <w:left w:val="nil"/>
                          <w:bottom w:val="nil"/>
                          <w:right w:val="single" w:sz="4" w:space="0" w:color="auto"/>
                        </w:tcBorders>
                        <w:shd w:val="clear" w:color="auto" w:fill="FFFFFF" w:themeFill="background1"/>
                        <w:noWrap/>
                        <w:vAlign w:val="bottom"/>
                        <w:hideMark/>
                      </w:tcPr>
                      <w:p w14:paraId="6E838F65" w14:textId="77777777" w:rsidR="00246A61" w:rsidRPr="00856BAE" w:rsidRDefault="00246A61" w:rsidP="00BA4D6D">
                        <w:pPr>
                          <w:jc w:val="center"/>
                          <w:rPr>
                            <w:rFonts w:ascii="Times" w:hAnsi="Times" w:cs="Times"/>
                            <w:color w:val="000000"/>
                            <w:sz w:val="18"/>
                            <w:szCs w:val="18"/>
                            <w:lang w:eastAsia="es-GT"/>
                          </w:rPr>
                        </w:pPr>
                        <w:r w:rsidRPr="00856BAE">
                          <w:rPr>
                            <w:rFonts w:ascii="Times" w:hAnsi="Times" w:cs="Times"/>
                            <w:color w:val="000000"/>
                            <w:sz w:val="18"/>
                            <w:szCs w:val="18"/>
                            <w:lang w:eastAsia="es-GT"/>
                          </w:rPr>
                          <w:t>menor que 1,026</w:t>
                        </w:r>
                      </w:p>
                    </w:tc>
                  </w:tr>
                  <w:tr w:rsidR="00246A61" w:rsidRPr="00856BAE" w14:paraId="53F4520B" w14:textId="77777777" w:rsidTr="00BA4D6D">
                    <w:trPr>
                      <w:trHeight w:val="263"/>
                      <w:jc w:val="center"/>
                    </w:trPr>
                    <w:tc>
                      <w:tcPr>
                        <w:tcW w:w="2746" w:type="dxa"/>
                        <w:tcBorders>
                          <w:top w:val="nil"/>
                          <w:left w:val="single" w:sz="4" w:space="0" w:color="auto"/>
                          <w:bottom w:val="nil"/>
                          <w:right w:val="nil"/>
                        </w:tcBorders>
                        <w:shd w:val="clear" w:color="auto" w:fill="FFFFFF" w:themeFill="background1"/>
                        <w:noWrap/>
                        <w:vAlign w:val="bottom"/>
                        <w:hideMark/>
                      </w:tcPr>
                      <w:p w14:paraId="33E816D7" w14:textId="77777777" w:rsidR="00246A61" w:rsidRPr="00856BAE" w:rsidRDefault="00246A61" w:rsidP="00BA4D6D">
                        <w:pPr>
                          <w:rPr>
                            <w:rFonts w:ascii="Times" w:hAnsi="Times" w:cs="Times"/>
                            <w:color w:val="000000"/>
                            <w:sz w:val="18"/>
                            <w:szCs w:val="18"/>
                            <w:lang w:eastAsia="es-GT"/>
                          </w:rPr>
                        </w:pPr>
                        <w:r w:rsidRPr="00856BAE">
                          <w:rPr>
                            <w:rFonts w:ascii="Times" w:hAnsi="Times" w:cs="Times"/>
                            <w:color w:val="000000"/>
                            <w:sz w:val="18"/>
                            <w:szCs w:val="18"/>
                            <w:lang w:eastAsia="es-GT"/>
                          </w:rPr>
                          <w:t>País de ingreso mediano bajo</w:t>
                        </w:r>
                      </w:p>
                    </w:tc>
                    <w:tc>
                      <w:tcPr>
                        <w:tcW w:w="2403" w:type="dxa"/>
                        <w:tcBorders>
                          <w:top w:val="nil"/>
                          <w:left w:val="single" w:sz="4" w:space="0" w:color="auto"/>
                          <w:bottom w:val="nil"/>
                          <w:right w:val="single" w:sz="4" w:space="0" w:color="auto"/>
                        </w:tcBorders>
                        <w:shd w:val="clear" w:color="auto" w:fill="FFFFFF" w:themeFill="background1"/>
                        <w:noWrap/>
                        <w:vAlign w:val="bottom"/>
                        <w:hideMark/>
                      </w:tcPr>
                      <w:p w14:paraId="69C0FF62" w14:textId="77777777" w:rsidR="00246A61" w:rsidRPr="00856BAE" w:rsidRDefault="00246A61" w:rsidP="00BA4D6D">
                        <w:pPr>
                          <w:jc w:val="center"/>
                          <w:rPr>
                            <w:rFonts w:ascii="Times" w:hAnsi="Times" w:cs="Times"/>
                            <w:color w:val="000000"/>
                            <w:sz w:val="18"/>
                            <w:szCs w:val="18"/>
                            <w:lang w:eastAsia="es-GT"/>
                          </w:rPr>
                        </w:pPr>
                        <w:r w:rsidRPr="00856BAE">
                          <w:rPr>
                            <w:rFonts w:ascii="Times" w:hAnsi="Times" w:cs="Times"/>
                            <w:color w:val="000000"/>
                            <w:sz w:val="18"/>
                            <w:szCs w:val="18"/>
                            <w:lang w:eastAsia="es-GT"/>
                          </w:rPr>
                          <w:t>entre 1,036 y 4,045</w:t>
                        </w:r>
                      </w:p>
                    </w:tc>
                    <w:tc>
                      <w:tcPr>
                        <w:tcW w:w="2525" w:type="dxa"/>
                        <w:tcBorders>
                          <w:top w:val="nil"/>
                          <w:left w:val="nil"/>
                          <w:bottom w:val="nil"/>
                          <w:right w:val="single" w:sz="4" w:space="0" w:color="auto"/>
                        </w:tcBorders>
                        <w:shd w:val="clear" w:color="auto" w:fill="FFFFFF" w:themeFill="background1"/>
                        <w:noWrap/>
                        <w:vAlign w:val="bottom"/>
                        <w:hideMark/>
                      </w:tcPr>
                      <w:p w14:paraId="2C12452B" w14:textId="77777777" w:rsidR="00246A61" w:rsidRPr="00856BAE" w:rsidRDefault="00246A61" w:rsidP="00BA4D6D">
                        <w:pPr>
                          <w:jc w:val="center"/>
                          <w:rPr>
                            <w:rFonts w:ascii="Times" w:hAnsi="Times" w:cs="Times"/>
                            <w:color w:val="000000"/>
                            <w:sz w:val="18"/>
                            <w:szCs w:val="18"/>
                            <w:lang w:eastAsia="es-GT"/>
                          </w:rPr>
                        </w:pPr>
                        <w:r w:rsidRPr="00856BAE">
                          <w:rPr>
                            <w:rFonts w:ascii="Times" w:hAnsi="Times" w:cs="Times"/>
                            <w:color w:val="000000"/>
                            <w:sz w:val="18"/>
                            <w:szCs w:val="18"/>
                            <w:lang w:eastAsia="es-GT"/>
                          </w:rPr>
                          <w:t>entre 1,026 y 3,995</w:t>
                        </w:r>
                      </w:p>
                    </w:tc>
                  </w:tr>
                  <w:tr w:rsidR="00246A61" w:rsidRPr="00856BAE" w14:paraId="3C7254BE" w14:textId="77777777" w:rsidTr="00BA4D6D">
                    <w:trPr>
                      <w:trHeight w:val="263"/>
                      <w:jc w:val="center"/>
                    </w:trPr>
                    <w:tc>
                      <w:tcPr>
                        <w:tcW w:w="2746" w:type="dxa"/>
                        <w:tcBorders>
                          <w:top w:val="nil"/>
                          <w:left w:val="single" w:sz="4" w:space="0" w:color="auto"/>
                          <w:bottom w:val="nil"/>
                          <w:right w:val="nil"/>
                        </w:tcBorders>
                        <w:shd w:val="clear" w:color="auto" w:fill="FFFFFF" w:themeFill="background1"/>
                        <w:noWrap/>
                        <w:vAlign w:val="bottom"/>
                        <w:hideMark/>
                      </w:tcPr>
                      <w:p w14:paraId="5EFC5E84" w14:textId="77777777" w:rsidR="00246A61" w:rsidRPr="00856BAE" w:rsidRDefault="00246A61" w:rsidP="00BA4D6D">
                        <w:pPr>
                          <w:rPr>
                            <w:rFonts w:ascii="Times" w:hAnsi="Times" w:cs="Times"/>
                            <w:color w:val="000000"/>
                            <w:sz w:val="18"/>
                            <w:szCs w:val="18"/>
                            <w:lang w:eastAsia="es-GT"/>
                          </w:rPr>
                        </w:pPr>
                        <w:r w:rsidRPr="00856BAE">
                          <w:rPr>
                            <w:rFonts w:ascii="Times" w:hAnsi="Times" w:cs="Times"/>
                            <w:color w:val="000000"/>
                            <w:sz w:val="18"/>
                            <w:szCs w:val="18"/>
                            <w:lang w:eastAsia="es-GT"/>
                          </w:rPr>
                          <w:t>País de ingreso mediano alto</w:t>
                        </w:r>
                      </w:p>
                    </w:tc>
                    <w:tc>
                      <w:tcPr>
                        <w:tcW w:w="2403" w:type="dxa"/>
                        <w:tcBorders>
                          <w:top w:val="nil"/>
                          <w:left w:val="single" w:sz="4" w:space="0" w:color="auto"/>
                          <w:bottom w:val="nil"/>
                          <w:right w:val="single" w:sz="4" w:space="0" w:color="auto"/>
                        </w:tcBorders>
                        <w:shd w:val="clear" w:color="auto" w:fill="FFFFFF" w:themeFill="background1"/>
                        <w:noWrap/>
                        <w:vAlign w:val="bottom"/>
                        <w:hideMark/>
                      </w:tcPr>
                      <w:p w14:paraId="12C2C4B9" w14:textId="77777777" w:rsidR="00246A61" w:rsidRPr="00856BAE" w:rsidRDefault="00246A61" w:rsidP="00BA4D6D">
                        <w:pPr>
                          <w:jc w:val="center"/>
                          <w:rPr>
                            <w:rFonts w:ascii="Times" w:hAnsi="Times" w:cs="Times"/>
                            <w:color w:val="000000"/>
                            <w:sz w:val="18"/>
                            <w:szCs w:val="18"/>
                            <w:lang w:eastAsia="es-GT"/>
                          </w:rPr>
                        </w:pPr>
                        <w:r w:rsidRPr="00856BAE">
                          <w:rPr>
                            <w:rFonts w:ascii="Times" w:hAnsi="Times" w:cs="Times"/>
                            <w:color w:val="000000"/>
                            <w:sz w:val="18"/>
                            <w:szCs w:val="18"/>
                            <w:lang w:eastAsia="es-GT"/>
                          </w:rPr>
                          <w:t>entre 4,046 y 12,535</w:t>
                        </w:r>
                      </w:p>
                    </w:tc>
                    <w:tc>
                      <w:tcPr>
                        <w:tcW w:w="2525" w:type="dxa"/>
                        <w:tcBorders>
                          <w:top w:val="nil"/>
                          <w:left w:val="nil"/>
                          <w:bottom w:val="nil"/>
                          <w:right w:val="single" w:sz="4" w:space="0" w:color="auto"/>
                        </w:tcBorders>
                        <w:shd w:val="clear" w:color="auto" w:fill="FFFFFF" w:themeFill="background1"/>
                        <w:noWrap/>
                        <w:vAlign w:val="bottom"/>
                        <w:hideMark/>
                      </w:tcPr>
                      <w:p w14:paraId="5501ADB8" w14:textId="77777777" w:rsidR="00246A61" w:rsidRPr="00856BAE" w:rsidRDefault="00246A61" w:rsidP="00BA4D6D">
                        <w:pPr>
                          <w:jc w:val="center"/>
                          <w:rPr>
                            <w:rFonts w:ascii="Times" w:hAnsi="Times" w:cs="Times"/>
                            <w:color w:val="000000"/>
                            <w:sz w:val="18"/>
                            <w:szCs w:val="18"/>
                            <w:lang w:eastAsia="es-GT"/>
                          </w:rPr>
                        </w:pPr>
                        <w:r w:rsidRPr="00856BAE">
                          <w:rPr>
                            <w:rFonts w:ascii="Times" w:hAnsi="Times" w:cs="Times"/>
                            <w:color w:val="000000"/>
                            <w:sz w:val="18"/>
                            <w:szCs w:val="18"/>
                            <w:lang w:eastAsia="es-GT"/>
                          </w:rPr>
                          <w:t>entre 3,996 y 12,375</w:t>
                        </w:r>
                      </w:p>
                    </w:tc>
                  </w:tr>
                  <w:tr w:rsidR="00246A61" w:rsidRPr="00856BAE" w14:paraId="1D51B4BD" w14:textId="77777777" w:rsidTr="00BA4D6D">
                    <w:trPr>
                      <w:trHeight w:val="263"/>
                      <w:jc w:val="center"/>
                    </w:trPr>
                    <w:tc>
                      <w:tcPr>
                        <w:tcW w:w="2746" w:type="dxa"/>
                        <w:tcBorders>
                          <w:top w:val="nil"/>
                          <w:left w:val="single" w:sz="4" w:space="0" w:color="auto"/>
                          <w:bottom w:val="single" w:sz="4" w:space="0" w:color="auto"/>
                          <w:right w:val="nil"/>
                        </w:tcBorders>
                        <w:shd w:val="clear" w:color="auto" w:fill="FFFFFF" w:themeFill="background1"/>
                        <w:noWrap/>
                        <w:vAlign w:val="bottom"/>
                        <w:hideMark/>
                      </w:tcPr>
                      <w:p w14:paraId="0929E241" w14:textId="77777777" w:rsidR="00246A61" w:rsidRPr="00856BAE" w:rsidRDefault="00246A61" w:rsidP="00BA4D6D">
                        <w:pPr>
                          <w:rPr>
                            <w:rFonts w:ascii="Times" w:hAnsi="Times" w:cs="Times"/>
                            <w:color w:val="000000"/>
                            <w:sz w:val="18"/>
                            <w:szCs w:val="18"/>
                            <w:lang w:eastAsia="es-GT"/>
                          </w:rPr>
                        </w:pPr>
                        <w:r w:rsidRPr="00856BAE">
                          <w:rPr>
                            <w:rFonts w:ascii="Times" w:hAnsi="Times" w:cs="Times"/>
                            <w:color w:val="000000"/>
                            <w:sz w:val="18"/>
                            <w:szCs w:val="18"/>
                            <w:lang w:eastAsia="es-GT"/>
                          </w:rPr>
                          <w:t>País de ingreso alto</w:t>
                        </w:r>
                      </w:p>
                    </w:tc>
                    <w:tc>
                      <w:tcPr>
                        <w:tcW w:w="2403"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26D99A4D" w14:textId="77777777" w:rsidR="00246A61" w:rsidRPr="00856BAE" w:rsidRDefault="00246A61" w:rsidP="00BA4D6D">
                        <w:pPr>
                          <w:jc w:val="center"/>
                          <w:rPr>
                            <w:rFonts w:ascii="Times" w:hAnsi="Times" w:cs="Times"/>
                            <w:color w:val="000000"/>
                            <w:sz w:val="18"/>
                            <w:szCs w:val="18"/>
                            <w:lang w:eastAsia="es-GT"/>
                          </w:rPr>
                        </w:pPr>
                        <w:r w:rsidRPr="00856BAE">
                          <w:rPr>
                            <w:rFonts w:ascii="Times" w:hAnsi="Times" w:cs="Times"/>
                            <w:color w:val="000000"/>
                            <w:sz w:val="18"/>
                            <w:szCs w:val="18"/>
                            <w:lang w:eastAsia="es-GT"/>
                          </w:rPr>
                          <w:t>más de 12,535</w:t>
                        </w:r>
                      </w:p>
                    </w:tc>
                    <w:tc>
                      <w:tcPr>
                        <w:tcW w:w="2525" w:type="dxa"/>
                        <w:tcBorders>
                          <w:top w:val="nil"/>
                          <w:left w:val="nil"/>
                          <w:bottom w:val="single" w:sz="4" w:space="0" w:color="auto"/>
                          <w:right w:val="single" w:sz="4" w:space="0" w:color="auto"/>
                        </w:tcBorders>
                        <w:shd w:val="clear" w:color="auto" w:fill="FFFFFF" w:themeFill="background1"/>
                        <w:noWrap/>
                        <w:vAlign w:val="bottom"/>
                        <w:hideMark/>
                      </w:tcPr>
                      <w:p w14:paraId="050148C7" w14:textId="77777777" w:rsidR="00246A61" w:rsidRPr="00856BAE" w:rsidRDefault="00246A61" w:rsidP="00BA4D6D">
                        <w:pPr>
                          <w:jc w:val="center"/>
                          <w:rPr>
                            <w:rFonts w:ascii="Times" w:hAnsi="Times" w:cs="Times"/>
                            <w:color w:val="000000"/>
                            <w:sz w:val="18"/>
                            <w:szCs w:val="18"/>
                            <w:lang w:eastAsia="es-GT"/>
                          </w:rPr>
                        </w:pPr>
                        <w:r w:rsidRPr="00856BAE">
                          <w:rPr>
                            <w:rFonts w:ascii="Times" w:hAnsi="Times" w:cs="Times"/>
                            <w:color w:val="000000"/>
                            <w:sz w:val="18"/>
                            <w:szCs w:val="18"/>
                            <w:lang w:eastAsia="es-GT"/>
                          </w:rPr>
                          <w:t>más de 12,375</w:t>
                        </w:r>
                      </w:p>
                    </w:tc>
                  </w:tr>
                </w:tbl>
                <w:p w14:paraId="628F8436" w14:textId="77777777" w:rsidR="00246A61" w:rsidRPr="00856BAE" w:rsidRDefault="00246A61" w:rsidP="00BA4D6D">
                  <w:pPr>
                    <w:jc w:val="both"/>
                    <w:rPr>
                      <w:sz w:val="18"/>
                      <w:szCs w:val="18"/>
                    </w:rPr>
                  </w:pPr>
                  <w:r w:rsidRPr="00856BAE">
                    <w:rPr>
                      <w:sz w:val="18"/>
                      <w:szCs w:val="18"/>
                    </w:rPr>
                    <w:t xml:space="preserve">            </w:t>
                  </w:r>
                  <w:r w:rsidRPr="00856BAE">
                    <w:rPr>
                      <w:sz w:val="14"/>
                      <w:szCs w:val="14"/>
                    </w:rPr>
                    <w:t xml:space="preserve">Fuente: Elaboración </w:t>
                  </w:r>
                  <w:r>
                    <w:rPr>
                      <w:sz w:val="14"/>
                      <w:szCs w:val="14"/>
                    </w:rPr>
                    <w:t>DAPF</w:t>
                  </w:r>
                  <w:r w:rsidRPr="00856BAE">
                    <w:rPr>
                      <w:sz w:val="14"/>
                      <w:szCs w:val="14"/>
                    </w:rPr>
                    <w:t xml:space="preserve"> con información del Banco Mundial</w:t>
                  </w:r>
                </w:p>
              </w:tc>
            </w:tr>
          </w:tbl>
          <w:p w14:paraId="609FAB4E" w14:textId="77777777" w:rsidR="00246A61" w:rsidRPr="00856BAE" w:rsidRDefault="00246A61" w:rsidP="00BA4D6D">
            <w:pPr>
              <w:tabs>
                <w:tab w:val="left" w:pos="3165"/>
              </w:tabs>
              <w:jc w:val="both"/>
              <w:rPr>
                <w:sz w:val="6"/>
                <w:szCs w:val="6"/>
              </w:rPr>
            </w:pPr>
          </w:p>
          <w:p w14:paraId="687BACD8" w14:textId="77777777" w:rsidR="00246A61" w:rsidRPr="00856BAE" w:rsidRDefault="00246A61" w:rsidP="00BA4D6D">
            <w:pPr>
              <w:tabs>
                <w:tab w:val="left" w:pos="3165"/>
              </w:tabs>
              <w:jc w:val="both"/>
            </w:pPr>
            <w:r w:rsidRPr="00856BAE">
              <w:t xml:space="preserve">Los factores que influyen en el ingreso nacional bruto per cápita son el crecimiento demográfico, el crecimiento económico, la inflación y los tipos de cambio. Para que los </w:t>
            </w:r>
            <w:r w:rsidRPr="009A6504">
              <w:t>umbrales de ingreso se mantengan fijos en términos reales se ajustan a la inflación por medio de un deflactor que considera los deflactores del PIB de China, Japón, el Reino Unido y Estados Unidos. Para el caso de los lumbrales actualizados al 1 de julio de 2020, se aumentó US$10</w:t>
            </w:r>
            <w:r>
              <w:t xml:space="preserve"> </w:t>
            </w:r>
            <w:r w:rsidRPr="009A6504">
              <w:t xml:space="preserve">  el umbral de ingresos bajo con respecto los lumbrales del 2019, en el caso de los ingresos medianos bajos el límite del umbral superior aumentó en US$50 y el límite superior</w:t>
            </w:r>
            <w:r w:rsidRPr="00856BAE">
              <w:t xml:space="preserve"> del lumbral superior de los ingresos medianos altos aumentó en </w:t>
            </w:r>
            <w:r>
              <w:t>US$</w:t>
            </w:r>
            <w:r w:rsidRPr="00856BAE">
              <w:t>160.</w:t>
            </w:r>
          </w:p>
          <w:tbl>
            <w:tblPr>
              <w:tblStyle w:val="Tablaconcuadrcula"/>
              <w:tblW w:w="9060" w:type="dxa"/>
              <w:tblLayout w:type="fixed"/>
              <w:tblCellMar>
                <w:left w:w="70" w:type="dxa"/>
                <w:right w:w="70" w:type="dxa"/>
              </w:tblCellMar>
              <w:tblLook w:val="04A0" w:firstRow="1" w:lastRow="0" w:firstColumn="1" w:lastColumn="0" w:noHBand="0" w:noVBand="1"/>
            </w:tblPr>
            <w:tblGrid>
              <w:gridCol w:w="9060"/>
            </w:tblGrid>
            <w:tr w:rsidR="00246A61" w:rsidRPr="00856BAE" w14:paraId="67498042" w14:textId="77777777" w:rsidTr="00BA4D6D">
              <w:trPr>
                <w:trHeight w:val="4006"/>
              </w:trPr>
              <w:tc>
                <w:tcPr>
                  <w:tcW w:w="9060" w:type="dxa"/>
                  <w:tcBorders>
                    <w:top w:val="nil"/>
                    <w:left w:val="nil"/>
                    <w:bottom w:val="nil"/>
                    <w:right w:val="nil"/>
                  </w:tcBorders>
                </w:tcPr>
                <w:p w14:paraId="6BA2CEAE" w14:textId="4F110968" w:rsidR="00246A61" w:rsidRPr="00856BAE" w:rsidRDefault="00246A61" w:rsidP="00BA4D6D">
                  <w:pPr>
                    <w:pStyle w:val="Epgrafe"/>
                    <w:keepNext/>
                    <w:ind w:left="567" w:right="49"/>
                    <w:rPr>
                      <w:color w:val="auto"/>
                    </w:rPr>
                  </w:pPr>
                  <w:r w:rsidRPr="00856BAE">
                    <w:rPr>
                      <w:color w:val="auto"/>
                      <w:sz w:val="22"/>
                      <w:szCs w:val="22"/>
                    </w:rPr>
                    <w:lastRenderedPageBreak/>
                    <w:t xml:space="preserve">          </w:t>
                  </w:r>
                  <w:r w:rsidRPr="00856BAE">
                    <w:rPr>
                      <w:color w:val="auto"/>
                    </w:rPr>
                    <w:t>Gráfico 2</w:t>
                  </w:r>
                  <w:r w:rsidR="00BA4D6D">
                    <w:rPr>
                      <w:color w:val="auto"/>
                    </w:rPr>
                    <w:t>1</w:t>
                  </w:r>
                  <w:r w:rsidRPr="00856BAE">
                    <w:rPr>
                      <w:color w:val="auto"/>
                    </w:rPr>
                    <w:t>. INB bruto per cápita según metodología Atlas para 2019</w:t>
                  </w:r>
                </w:p>
                <w:p w14:paraId="5FDFDED9" w14:textId="77777777" w:rsidR="00246A61" w:rsidRPr="00856BAE" w:rsidRDefault="00246A61" w:rsidP="00BA4D6D">
                  <w:pPr>
                    <w:tabs>
                      <w:tab w:val="left" w:pos="1582"/>
                    </w:tabs>
                    <w:jc w:val="center"/>
                    <w:rPr>
                      <w:noProof/>
                    </w:rPr>
                  </w:pPr>
                  <w:r w:rsidRPr="00856BAE">
                    <w:rPr>
                      <w:noProof/>
                      <w:lang w:val="es-ES"/>
                    </w:rPr>
                    <w:drawing>
                      <wp:inline distT="0" distB="0" distL="0" distR="0" wp14:anchorId="4C7020CA" wp14:editId="04A6CF69">
                        <wp:extent cx="4886325" cy="2105025"/>
                        <wp:effectExtent l="0" t="0" r="9525" b="9525"/>
                        <wp:docPr id="1412" name="Gráfico 1">
                          <a:extLst xmlns:a="http://schemas.openxmlformats.org/drawingml/2006/main">
                            <a:ext uri="{FF2B5EF4-FFF2-40B4-BE49-F238E27FC236}">
                              <a16:creationId xmlns:a16="http://schemas.microsoft.com/office/drawing/2014/main" xmlns:w16se="http://schemas.microsoft.com/office/word/2015/wordml/symex" xmlns:w15="http://schemas.microsoft.com/office/word/2012/wordml" xmlns:w="http://schemas.openxmlformats.org/wordprocessingml/2006/main" xmlns:w10="urn:schemas-microsoft-com:office:word" xmlns:v="urn:schemas-microsoft-com:vml" xmlns:o="urn:schemas-microsoft-com:office:office" xmlns:cx="http://schemas.microsoft.com/office/drawing/2014/chartex" xmlns="" id="{E9AF8B81-CA51-4B7B-B0A3-3D8A3772E5D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14:paraId="2A750B91" w14:textId="77777777" w:rsidR="00246A61" w:rsidRPr="00856BAE" w:rsidRDefault="00246A61" w:rsidP="00BA4D6D">
                  <w:pPr>
                    <w:tabs>
                      <w:tab w:val="left" w:pos="2236"/>
                    </w:tabs>
                  </w:pPr>
                  <w:r w:rsidRPr="00856BAE">
                    <w:rPr>
                      <w:sz w:val="14"/>
                      <w:szCs w:val="14"/>
                    </w:rPr>
                    <w:t xml:space="preserve">                Fuente: Elaboración </w:t>
                  </w:r>
                  <w:r>
                    <w:rPr>
                      <w:sz w:val="14"/>
                      <w:szCs w:val="14"/>
                    </w:rPr>
                    <w:t xml:space="preserve">DAPF </w:t>
                  </w:r>
                  <w:r w:rsidRPr="00856BAE">
                    <w:rPr>
                      <w:sz w:val="14"/>
                      <w:szCs w:val="14"/>
                    </w:rPr>
                    <w:t>con información del Banco Mundial</w:t>
                  </w:r>
                </w:p>
              </w:tc>
            </w:tr>
          </w:tbl>
          <w:p w14:paraId="09CA41DE" w14:textId="77777777" w:rsidR="00246A61" w:rsidRPr="00856BAE" w:rsidRDefault="00246A61" w:rsidP="00BA4D6D">
            <w:pPr>
              <w:tabs>
                <w:tab w:val="left" w:pos="3165"/>
              </w:tabs>
              <w:jc w:val="both"/>
            </w:pPr>
            <w:r w:rsidRPr="00014D98">
              <w:t>Guatemala desde 2017 ha sido considerado un país de ingreso medio alto, previo a dicho año fue considerado un país de ingreso mediano bajo. Para el 2019, el ingreso nacional bruto per cápita medido por la metodología atlas se encontraba en USD$4,610, mayor en USD$210 que el ingreso del año 2018. En el caso de la región centroamericana, Panamá se considera un país de ingreso alto y Costa Rica está cerca del límite superior del ingreso mediano alto, esto se debe a que su población es menor a la población guatemalteca.  Por otro lado, Honduras, Nicaragua y El Salvador son países de ingreso mediano bajo, este último está cerca del límite superior de los países de ingreso medio alto, con USD$4,000 per cápita para 2019.</w:t>
            </w:r>
          </w:p>
        </w:tc>
      </w:tr>
    </w:tbl>
    <w:p w14:paraId="4C0BB911" w14:textId="77777777" w:rsidR="00246A61" w:rsidRDefault="00246A61" w:rsidP="00246A61">
      <w:pPr>
        <w:ind w:left="567" w:right="49"/>
        <w:jc w:val="both"/>
        <w:rPr>
          <w:sz w:val="24"/>
          <w:szCs w:val="24"/>
          <w:lang w:val="es-MX"/>
        </w:rPr>
      </w:pPr>
    </w:p>
    <w:p w14:paraId="78C7A3A1" w14:textId="77777777" w:rsidR="00246A61" w:rsidRPr="00FE76BD" w:rsidRDefault="00246A61" w:rsidP="00246A61">
      <w:pPr>
        <w:ind w:left="567" w:right="49"/>
        <w:jc w:val="both"/>
        <w:rPr>
          <w:sz w:val="24"/>
          <w:szCs w:val="24"/>
        </w:rPr>
      </w:pPr>
    </w:p>
    <w:p w14:paraId="1DDD4B41" w14:textId="77777777" w:rsidR="00246A61" w:rsidRPr="00FE76BD" w:rsidRDefault="00246A61" w:rsidP="00246A61">
      <w:pPr>
        <w:pStyle w:val="Sinespaciado"/>
        <w:ind w:left="567" w:right="49"/>
        <w:jc w:val="both"/>
        <w:rPr>
          <w:rFonts w:ascii="Times New Roman" w:hAnsi="Times New Roman"/>
          <w:sz w:val="24"/>
          <w:szCs w:val="24"/>
          <w:lang w:val="es-MX"/>
        </w:rPr>
      </w:pPr>
      <w:r w:rsidRPr="00FE76BD">
        <w:rPr>
          <w:rFonts w:ascii="Times New Roman" w:hAnsi="Times New Roman"/>
          <w:sz w:val="24"/>
          <w:szCs w:val="24"/>
        </w:rPr>
        <w:t>L</w:t>
      </w:r>
      <w:r w:rsidRPr="00FE76BD">
        <w:rPr>
          <w:rFonts w:ascii="Times New Roman" w:hAnsi="Times New Roman"/>
          <w:sz w:val="24"/>
          <w:szCs w:val="24"/>
          <w:lang w:val="es-MX"/>
        </w:rPr>
        <w:t>os indicadores de endeudamiento para Guatemala son inferiores a las observadas en los países de Centroamérica, Costa Rica, por ejemplo, muestra un comportamiento creciente desde 2016, en donde el nivel de deuda se ubica en niveles por encima de los máximos recomendados para nuestras economías.  Además, el FMI estimaba en abril del presente año, que la deuda en ese país estaría en torno al 67.2% del PIB para 2020 y de acuerdo con la tendencia observada podría continuar en crecimiento, si no adopta una política fiscal altamente restrictiva y con efecto de varios años. Asimismo, El Salvador muestra un endeudamiento que llegó a 70.2% del PIB en 2019 y una estimación de 82.2% en 2020.  En el caso de Honduras, que alcanzó en 2019 un nivel de deuda de 40.6% del PIB y se pronóstica que alcance los 43.1 puntos porcentuales para 2020, Nicaragua, por su parte, alcanzó un nivel de 41.4% del PIB para 2019 y se estima que aumente a 46.5%. Por último, también se espera para República Dominicana un crecimiento relevante en la deuda, que se espera que pase de 53.6% puntos porcentuales del PIB en 2019 a 60.9%. Por lo que, en términos generales se prevé un aumento significativo en este indicador para 2020 derivado que la mayoría de los países tuvieron que recurrir al endeudamiento como mecanismo para hacer frente a los gastos derivados de la pandemia COVID-19 y puso a la mayoría de los países en una posición fiscal bastante comprometida.</w:t>
      </w:r>
    </w:p>
    <w:p w14:paraId="4D9CC884" w14:textId="77777777" w:rsidR="00246A61" w:rsidRPr="00FE76BD" w:rsidRDefault="00246A61" w:rsidP="00246A61">
      <w:pPr>
        <w:ind w:left="567" w:right="49"/>
        <w:jc w:val="both"/>
        <w:rPr>
          <w:sz w:val="24"/>
          <w:szCs w:val="24"/>
          <w:lang w:val="es-MX"/>
        </w:rPr>
      </w:pPr>
    </w:p>
    <w:p w14:paraId="12C549DF" w14:textId="05269C3B" w:rsidR="00246A61" w:rsidRPr="00FE76BD" w:rsidRDefault="00246A61" w:rsidP="00246A61">
      <w:pPr>
        <w:pStyle w:val="Epgrafe"/>
        <w:keepNext/>
        <w:ind w:left="567" w:right="49"/>
        <w:rPr>
          <w:b w:val="0"/>
          <w:i/>
          <w:color w:val="auto"/>
          <w:sz w:val="24"/>
          <w:szCs w:val="24"/>
        </w:rPr>
      </w:pPr>
      <w:r w:rsidRPr="00FE76BD">
        <w:rPr>
          <w:noProof/>
          <w:color w:val="auto"/>
          <w:sz w:val="24"/>
          <w:szCs w:val="24"/>
          <w:lang w:val="es-ES"/>
        </w:rPr>
        <mc:AlternateContent>
          <mc:Choice Requires="wpg">
            <w:drawing>
              <wp:anchor distT="0" distB="0" distL="114300" distR="114300" simplePos="0" relativeHeight="251684864" behindDoc="0" locked="0" layoutInCell="1" allowOverlap="1" wp14:anchorId="0E6FA373" wp14:editId="6BDE1E02">
                <wp:simplePos x="0" y="0"/>
                <wp:positionH relativeFrom="column">
                  <wp:posOffset>492760</wp:posOffset>
                </wp:positionH>
                <wp:positionV relativeFrom="paragraph">
                  <wp:posOffset>304165</wp:posOffset>
                </wp:positionV>
                <wp:extent cx="5850890" cy="2159635"/>
                <wp:effectExtent l="0" t="0" r="0" b="0"/>
                <wp:wrapSquare wrapText="bothSides"/>
                <wp:docPr id="59" name="Group 59"/>
                <wp:cNvGraphicFramePr/>
                <a:graphic xmlns:a="http://schemas.openxmlformats.org/drawingml/2006/main">
                  <a:graphicData uri="http://schemas.microsoft.com/office/word/2010/wordprocessingGroup">
                    <wpg:wgp>
                      <wpg:cNvGrpSpPr/>
                      <wpg:grpSpPr>
                        <a:xfrm>
                          <a:off x="0" y="0"/>
                          <a:ext cx="5850890" cy="2159635"/>
                          <a:chOff x="0" y="0"/>
                          <a:chExt cx="6127115" cy="2159748"/>
                        </a:xfrm>
                      </wpg:grpSpPr>
                      <pic:pic xmlns:pic="http://schemas.openxmlformats.org/drawingml/2006/picture">
                        <pic:nvPicPr>
                          <pic:cNvPr id="56" name="Picture 56"/>
                          <pic:cNvPicPr>
                            <a:picLocks noChangeAspect="1"/>
                          </pic:cNvPicPr>
                        </pic:nvPicPr>
                        <pic:blipFill>
                          <a:blip r:embed="rId31" cstate="print">
                            <a:extLst>
                              <a:ext uri="{28A0092B-C50C-407E-A947-70E740481C1C}">
                                <a14:useLocalDpi xmlns:a14="http://schemas.microsoft.com/office/drawing/2010/main" val="0"/>
                              </a:ext>
                            </a:extLst>
                          </a:blip>
                          <a:stretch>
                            <a:fillRect/>
                          </a:stretch>
                        </pic:blipFill>
                        <pic:spPr>
                          <a:xfrm>
                            <a:off x="0" y="61708"/>
                            <a:ext cx="6127115" cy="2098040"/>
                          </a:xfrm>
                          <a:prstGeom prst="rect">
                            <a:avLst/>
                          </a:prstGeom>
                        </pic:spPr>
                      </pic:pic>
                      <wps:wsp>
                        <wps:cNvPr id="57" name="Text Box 2"/>
                        <wps:cNvSpPr txBox="1">
                          <a:spLocks noChangeArrowheads="1"/>
                        </wps:cNvSpPr>
                        <wps:spPr bwMode="auto">
                          <a:xfrm>
                            <a:off x="532933" y="0"/>
                            <a:ext cx="1637665" cy="215911"/>
                          </a:xfrm>
                          <a:prstGeom prst="rect">
                            <a:avLst/>
                          </a:prstGeom>
                          <a:noFill/>
                          <a:ln w="9525">
                            <a:noFill/>
                            <a:miter lim="800000"/>
                            <a:headEnd/>
                            <a:tailEnd/>
                          </a:ln>
                        </wps:spPr>
                        <wps:txbx>
                          <w:txbxContent>
                            <w:p w14:paraId="2E800A7E" w14:textId="77777777" w:rsidR="00963B9C" w:rsidRPr="001F6737" w:rsidRDefault="00963B9C" w:rsidP="00246A61">
                              <w:pPr>
                                <w:jc w:val="center"/>
                                <w:rPr>
                                  <w:b/>
                                  <w:sz w:val="16"/>
                                  <w:lang w:val="en-US"/>
                                </w:rPr>
                              </w:pPr>
                              <w:r w:rsidRPr="001F6737">
                                <w:rPr>
                                  <w:b/>
                                  <w:sz w:val="16"/>
                                </w:rPr>
                                <w:t>Relación deuda / PIB</w:t>
                              </w:r>
                            </w:p>
                          </w:txbxContent>
                        </wps:txbx>
                        <wps:bodyPr rot="0" vert="horz" wrap="square" lIns="91440" tIns="45720" rIns="91440" bIns="45720" anchor="t" anchorCtr="0">
                          <a:noAutofit/>
                        </wps:bodyPr>
                      </wps:wsp>
                      <wps:wsp>
                        <wps:cNvPr id="58" name="Text Box 2"/>
                        <wps:cNvSpPr txBox="1">
                          <a:spLocks noChangeArrowheads="1"/>
                        </wps:cNvSpPr>
                        <wps:spPr bwMode="auto">
                          <a:xfrm>
                            <a:off x="3562233" y="0"/>
                            <a:ext cx="1727200" cy="229870"/>
                          </a:xfrm>
                          <a:prstGeom prst="rect">
                            <a:avLst/>
                          </a:prstGeom>
                          <a:noFill/>
                          <a:ln w="9525">
                            <a:noFill/>
                            <a:miter lim="800000"/>
                            <a:headEnd/>
                            <a:tailEnd/>
                          </a:ln>
                        </wps:spPr>
                        <wps:txbx>
                          <w:txbxContent>
                            <w:p w14:paraId="294359A2" w14:textId="77777777" w:rsidR="00963B9C" w:rsidRPr="001F6737" w:rsidRDefault="00963B9C" w:rsidP="00246A61">
                              <w:pPr>
                                <w:jc w:val="center"/>
                                <w:rPr>
                                  <w:b/>
                                  <w:sz w:val="16"/>
                                  <w:lang w:val="en-US"/>
                                </w:rPr>
                              </w:pPr>
                              <w:r w:rsidRPr="001F6737">
                                <w:rPr>
                                  <w:b/>
                                  <w:sz w:val="16"/>
                                </w:rPr>
                                <w:t xml:space="preserve">Relación deuda / </w:t>
                              </w:r>
                              <w:r>
                                <w:rPr>
                                  <w:b/>
                                  <w:sz w:val="16"/>
                                </w:rPr>
                                <w:t>Ingresos Fiscales</w:t>
                              </w:r>
                            </w:p>
                          </w:txbxContent>
                        </wps:txbx>
                        <wps:bodyPr rot="0" vert="horz" wrap="square" lIns="91440" tIns="45720" rIns="91440" bIns="45720" anchor="t" anchorCtr="0">
                          <a:noAutofit/>
                        </wps:bodyPr>
                      </wps:wsp>
                    </wpg:wgp>
                  </a:graphicData>
                </a:graphic>
                <wp14:sizeRelH relativeFrom="margin">
                  <wp14:pctWidth>0</wp14:pctWidth>
                </wp14:sizeRelH>
              </wp:anchor>
            </w:drawing>
          </mc:Choice>
          <mc:Fallback xmlns:w16se="http://schemas.microsoft.com/office/word/2015/wordml/symex" xmlns:w15="http://schemas.microsoft.com/office/word/2012/wordml" xmlns:cx="http://schemas.microsoft.com/office/drawing/2014/chartex">
            <w:pict>
              <v:group w14:anchorId="0E6FA373" id="Group 59" o:spid="_x0000_s1041" style="position:absolute;left:0;text-align:left;margin-left:38.8pt;margin-top:23.95pt;width:460.7pt;height:170.05pt;z-index:251684864;mso-width-relative:margin" coordsize="61271,2159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&#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6" o:spid="_x0000_s1042" type="#_x0000_t75" style="position:absolute;top:617;width:61271;height:209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">
                  <v:imagedata r:id="rId32" o:title=""/>
                  <v:path arrowok="t"/>
                </v:shape>
                <v:shape id="_x0000_s1043" type="#_x0000_t202" style="position:absolute;left:5329;width:16376;height:21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" filled="f" stroked="f">
                  <v:textbox>
                    <w:txbxContent>
                      <w:p w14:paraId="2E800A7E" w14:textId="77777777" w:rsidR="00963B9C" w:rsidRPr="001F6737" w:rsidRDefault="00963B9C" w:rsidP="00246A61">
                        <w:pPr>
                          <w:jc w:val="center"/>
                          <w:rPr>
                            <w:b/>
                            <w:sz w:val="16"/>
                            <w:lang w:val="en-US"/>
                          </w:rPr>
                        </w:pPr>
                        <w:r w:rsidRPr="001F6737">
                          <w:rPr>
                            <w:b/>
                            <w:sz w:val="16"/>
                          </w:rPr>
                          <w:t>Relación deuda / PIB</w:t>
                        </w:r>
                      </w:p>
                    </w:txbxContent>
                  </v:textbox>
                </v:shape>
                <v:shape id="_x0000_s1044" type="#_x0000_t202" style="position:absolute;left:35622;width:17272;height:22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" filled="f" stroked="f">
                  <v:textbox>
                    <w:txbxContent>
                      <w:p w14:paraId="294359A2" w14:textId="77777777" w:rsidR="00963B9C" w:rsidRPr="001F6737" w:rsidRDefault="00963B9C" w:rsidP="00246A61">
                        <w:pPr>
                          <w:jc w:val="center"/>
                          <w:rPr>
                            <w:b/>
                            <w:sz w:val="16"/>
                            <w:lang w:val="en-US"/>
                          </w:rPr>
                        </w:pPr>
                        <w:r w:rsidRPr="001F6737">
                          <w:rPr>
                            <w:b/>
                            <w:sz w:val="16"/>
                          </w:rPr>
                          <w:t xml:space="preserve">Relación deuda / </w:t>
                        </w:r>
                        <w:r>
                          <w:rPr>
                            <w:b/>
                            <w:sz w:val="16"/>
                          </w:rPr>
                          <w:t>Ingresos Fiscales</w:t>
                        </w:r>
                      </w:p>
                    </w:txbxContent>
                  </v:textbox>
                </v:shape>
                <w10:wrap type="square"/>
              </v:group>
            </w:pict>
          </mc:Fallback>
        </mc:AlternateContent>
      </w:r>
      <w:r w:rsidRPr="00FE76BD">
        <w:rPr>
          <w:color w:val="auto"/>
          <w:sz w:val="24"/>
          <w:szCs w:val="24"/>
        </w:rPr>
        <w:t>Gráfica</w:t>
      </w:r>
      <w:r>
        <w:rPr>
          <w:color w:val="auto"/>
          <w:sz w:val="24"/>
          <w:szCs w:val="24"/>
        </w:rPr>
        <w:lastRenderedPageBreak/>
        <w:t xml:space="preserve"> 2</w:t>
      </w:r>
      <w:r w:rsidR="0033794E">
        <w:rPr>
          <w:color w:val="auto"/>
          <w:sz w:val="24"/>
          <w:szCs w:val="24"/>
        </w:rPr>
        <w:t>2</w:t>
      </w:r>
      <w:r>
        <w:rPr>
          <w:color w:val="auto"/>
          <w:sz w:val="24"/>
          <w:szCs w:val="24"/>
        </w:rPr>
        <w:t>.</w:t>
      </w:r>
      <w:r w:rsidRPr="00FE76BD">
        <w:rPr>
          <w:color w:val="auto"/>
          <w:sz w:val="24"/>
          <w:szCs w:val="24"/>
        </w:rPr>
        <w:t xml:space="preserve"> Indicadores de Solvencia en Centroamérica</w:t>
      </w:r>
    </w:p>
    <w:p w14:paraId="35AFA24A" w14:textId="77777777" w:rsidR="00246A61" w:rsidRPr="00F90186" w:rsidRDefault="00246A61" w:rsidP="00246A61">
      <w:pPr>
        <w:ind w:left="567" w:right="49"/>
        <w:jc w:val="both"/>
        <w:rPr>
          <w:szCs w:val="24"/>
        </w:rPr>
      </w:pPr>
      <w:r w:rsidRPr="00F7730F">
        <w:rPr>
          <w:szCs w:val="24"/>
        </w:rPr>
        <w:t xml:space="preserve">Fuente: </w:t>
      </w:r>
      <w:r>
        <w:rPr>
          <w:szCs w:val="24"/>
        </w:rPr>
        <w:t>Elaboración DAPF con información del FMI</w:t>
      </w:r>
    </w:p>
    <w:p w14:paraId="2DF1C627" w14:textId="77777777" w:rsidR="00246A61" w:rsidRDefault="00246A61" w:rsidP="00246A61">
      <w:pPr>
        <w:pStyle w:val="Sinespaciado"/>
        <w:ind w:left="567" w:right="49"/>
        <w:jc w:val="both"/>
        <w:rPr>
          <w:rFonts w:ascii="Times New Roman" w:hAnsi="Times New Roman"/>
          <w:sz w:val="24"/>
          <w:szCs w:val="24"/>
          <w:lang w:val="es-MX"/>
        </w:rPr>
      </w:pPr>
    </w:p>
    <w:p w14:paraId="724E6A90" w14:textId="77777777" w:rsidR="00963B9C" w:rsidRDefault="000173FB" w:rsidP="000173FB">
      <w:pPr>
        <w:pStyle w:val="Sinespaciado"/>
        <w:ind w:left="567" w:right="49"/>
        <w:jc w:val="both"/>
        <w:rPr>
          <w:rFonts w:ascii="Times New Roman" w:hAnsi="Times New Roman"/>
          <w:sz w:val="24"/>
          <w:szCs w:val="24"/>
          <w:lang w:val="es-MX"/>
        </w:rPr>
      </w:pPr>
      <w:r w:rsidRPr="00FE76BD">
        <w:rPr>
          <w:rFonts w:ascii="Times New Roman" w:hAnsi="Times New Roman"/>
          <w:sz w:val="24"/>
          <w:szCs w:val="24"/>
          <w:lang w:val="es-MX"/>
        </w:rPr>
        <w:t>Tomando en cuenta lo anterior, y considerando para el efecto, los indicadores de solvencia de la deuda pública, los cuales son también conocidos como indicadores de sostenibilidad, tratan de mostrar la capacidad de repago deuda que tiene un país considerando la producción nacional medida a través del PIB y los ingresos fiscales que tiene el gobierno, como la fuente principal para atender sus compromisos.  El principal indicador es la relación deuda / PIB, que muestra la capacidad potencial que tiene el país para atender sus obligaciones. Para el cierre de 2019, esta se ubicó en 26.</w:t>
      </w:r>
      <w:r>
        <w:rPr>
          <w:rFonts w:ascii="Times New Roman" w:hAnsi="Times New Roman"/>
          <w:sz w:val="24"/>
          <w:szCs w:val="24"/>
          <w:lang w:val="es-MX"/>
        </w:rPr>
        <w:t>6</w:t>
      </w:r>
      <w:r w:rsidRPr="00FE76BD">
        <w:rPr>
          <w:rFonts w:ascii="Times New Roman" w:hAnsi="Times New Roman"/>
          <w:sz w:val="24"/>
          <w:szCs w:val="24"/>
          <w:lang w:val="es-MX"/>
        </w:rPr>
        <w:t>%, en 2020 se estima en 32.4% y se prevé que entre 2021 y 2025 se situé entre el 3</w:t>
      </w:r>
      <w:r>
        <w:rPr>
          <w:rFonts w:ascii="Times New Roman" w:hAnsi="Times New Roman"/>
          <w:sz w:val="24"/>
          <w:szCs w:val="24"/>
          <w:lang w:val="es-MX"/>
        </w:rPr>
        <w:t>5</w:t>
      </w:r>
      <w:r w:rsidRPr="00FE76BD">
        <w:rPr>
          <w:rFonts w:ascii="Times New Roman" w:hAnsi="Times New Roman"/>
          <w:sz w:val="24"/>
          <w:szCs w:val="24"/>
          <w:lang w:val="es-MX"/>
        </w:rPr>
        <w:t>.</w:t>
      </w:r>
      <w:r>
        <w:rPr>
          <w:rFonts w:ascii="Times New Roman" w:hAnsi="Times New Roman"/>
          <w:sz w:val="24"/>
          <w:szCs w:val="24"/>
          <w:lang w:val="es-MX"/>
        </w:rPr>
        <w:t>5</w:t>
      </w:r>
      <w:r w:rsidRPr="00FE76BD">
        <w:rPr>
          <w:rFonts w:ascii="Times New Roman" w:hAnsi="Times New Roman"/>
          <w:sz w:val="24"/>
          <w:szCs w:val="24"/>
          <w:lang w:val="es-MX"/>
        </w:rPr>
        <w:t>% y el 3</w:t>
      </w:r>
      <w:r>
        <w:rPr>
          <w:rFonts w:ascii="Times New Roman" w:hAnsi="Times New Roman"/>
          <w:sz w:val="24"/>
          <w:szCs w:val="24"/>
          <w:lang w:val="es-MX"/>
        </w:rPr>
        <w:t>8</w:t>
      </w:r>
      <w:r w:rsidRPr="00FE76BD">
        <w:rPr>
          <w:rFonts w:ascii="Times New Roman" w:hAnsi="Times New Roman"/>
          <w:sz w:val="24"/>
          <w:szCs w:val="24"/>
          <w:lang w:val="es-MX"/>
        </w:rPr>
        <w:t>.</w:t>
      </w:r>
      <w:r>
        <w:rPr>
          <w:rFonts w:ascii="Times New Roman" w:hAnsi="Times New Roman"/>
          <w:sz w:val="24"/>
          <w:szCs w:val="24"/>
          <w:lang w:val="es-MX"/>
        </w:rPr>
        <w:t>5</w:t>
      </w:r>
      <w:r w:rsidRPr="00FE76BD">
        <w:rPr>
          <w:rFonts w:ascii="Times New Roman" w:hAnsi="Times New Roman"/>
          <w:sz w:val="24"/>
          <w:szCs w:val="24"/>
          <w:lang w:val="es-MX"/>
        </w:rPr>
        <w:t xml:space="preserve">% respectivamente.  </w:t>
      </w:r>
      <w:r w:rsidR="00963B9C">
        <w:rPr>
          <w:rFonts w:ascii="Times New Roman" w:hAnsi="Times New Roman"/>
          <w:sz w:val="24"/>
          <w:szCs w:val="24"/>
          <w:lang w:val="es-MX"/>
        </w:rPr>
        <w:t xml:space="preserve">Es importante indicar que para 2021 se incluye dentro del presupuesto (Q4,560.8 millones) equivalente a 0.7% del PIB, el cual será financiado con endeudamiento público debido a los bajos ingresos fiscales.  </w:t>
      </w:r>
    </w:p>
    <w:p w14:paraId="506AAF7F" w14:textId="77777777" w:rsidR="00963B9C" w:rsidRDefault="00963B9C" w:rsidP="000173FB">
      <w:pPr>
        <w:pStyle w:val="Sinespaciado"/>
        <w:ind w:left="567" w:right="49"/>
        <w:jc w:val="both"/>
        <w:rPr>
          <w:rFonts w:ascii="Times New Roman" w:hAnsi="Times New Roman"/>
          <w:sz w:val="24"/>
          <w:szCs w:val="24"/>
          <w:lang w:val="es-MX"/>
        </w:rPr>
      </w:pPr>
    </w:p>
    <w:p w14:paraId="3B13EB18" w14:textId="7413E35F" w:rsidR="000173FB" w:rsidRPr="00FE76BD" w:rsidRDefault="00963B9C" w:rsidP="000173FB">
      <w:pPr>
        <w:pStyle w:val="Sinespaciado"/>
        <w:ind w:left="567" w:right="49"/>
        <w:jc w:val="both"/>
        <w:rPr>
          <w:rFonts w:ascii="Times New Roman" w:hAnsi="Times New Roman"/>
          <w:sz w:val="24"/>
          <w:szCs w:val="24"/>
          <w:lang w:val="es-MX"/>
        </w:rPr>
      </w:pPr>
      <w:r>
        <w:rPr>
          <w:rFonts w:ascii="Times New Roman" w:hAnsi="Times New Roman"/>
          <w:sz w:val="24"/>
          <w:szCs w:val="24"/>
          <w:lang w:val="es-MX"/>
        </w:rPr>
        <w:t>De esa cuenta, el i</w:t>
      </w:r>
      <w:r w:rsidR="000173FB" w:rsidRPr="00FE76BD">
        <w:rPr>
          <w:rFonts w:ascii="Times New Roman" w:hAnsi="Times New Roman"/>
          <w:sz w:val="24"/>
          <w:szCs w:val="24"/>
          <w:lang w:val="es-MX"/>
        </w:rPr>
        <w:t xml:space="preserve">ndicador </w:t>
      </w:r>
      <w:r>
        <w:rPr>
          <w:rFonts w:ascii="Times New Roman" w:hAnsi="Times New Roman"/>
          <w:sz w:val="24"/>
          <w:szCs w:val="24"/>
          <w:lang w:val="es-MX"/>
        </w:rPr>
        <w:t xml:space="preserve">deuda/PIB, </w:t>
      </w:r>
      <w:r w:rsidR="000173FB" w:rsidRPr="00FE76BD">
        <w:rPr>
          <w:rFonts w:ascii="Times New Roman" w:hAnsi="Times New Roman"/>
          <w:sz w:val="24"/>
          <w:szCs w:val="24"/>
          <w:lang w:val="es-MX"/>
        </w:rPr>
        <w:t xml:space="preserve">muestra una tendencia creciente derivado del aumento significativo del déficit fiscal en el último año, pero que aún están por debajo del benchmark utilizado por Guatemala (40% del PIB), aunque dado que Guatemala es un país de ingreso medio, podría ser de hasta 50%, según establecen organismos financieros internacionales como el Fondo Monetario Internacional y el Banco Mundial. Esta proyección es consistente con una fuerte expansión de la política fiscal en 2020, dado que derivado de la crisis sanitaria y económica causada por el COVID-19 es necesario estimular la economía y atender las necesidades de la población mediante un incremento en el gasto de transferencias monetarias a personas, inversión financiera y el gasto social y para 2021 </w:t>
      </w:r>
      <w:r w:rsidR="000173FB">
        <w:rPr>
          <w:rFonts w:ascii="Times New Roman" w:hAnsi="Times New Roman"/>
          <w:sz w:val="24"/>
          <w:szCs w:val="24"/>
          <w:lang w:val="es-MX"/>
        </w:rPr>
        <w:t xml:space="preserve">en el gasto por reactivación económica principalmente </w:t>
      </w:r>
      <w:r w:rsidR="000173FB" w:rsidRPr="00FE76BD">
        <w:rPr>
          <w:rFonts w:ascii="Times New Roman" w:hAnsi="Times New Roman"/>
          <w:sz w:val="24"/>
          <w:szCs w:val="24"/>
          <w:lang w:val="es-MX"/>
        </w:rPr>
        <w:t>a través de la inversión</w:t>
      </w:r>
      <w:r w:rsidR="000173FB">
        <w:rPr>
          <w:rFonts w:ascii="Times New Roman" w:hAnsi="Times New Roman"/>
          <w:sz w:val="24"/>
          <w:szCs w:val="24"/>
          <w:lang w:val="es-MX"/>
        </w:rPr>
        <w:t xml:space="preserve"> pública que generará un efecto multiplicador en la economía</w:t>
      </w:r>
      <w:r w:rsidR="000173FB" w:rsidRPr="00FE76BD">
        <w:rPr>
          <w:rFonts w:ascii="Times New Roman" w:hAnsi="Times New Roman"/>
          <w:sz w:val="24"/>
          <w:szCs w:val="24"/>
          <w:lang w:val="es-MX"/>
        </w:rPr>
        <w:t xml:space="preserve">. </w:t>
      </w:r>
    </w:p>
    <w:p w14:paraId="019711CD" w14:textId="1849F0FC" w:rsidR="00246A61" w:rsidRDefault="00246A61" w:rsidP="00246A61">
      <w:pPr>
        <w:pStyle w:val="Sinespaciado"/>
        <w:ind w:left="567" w:right="49"/>
        <w:jc w:val="both"/>
        <w:rPr>
          <w:rFonts w:ascii="Times New Roman" w:hAnsi="Times New Roman"/>
          <w:sz w:val="24"/>
          <w:szCs w:val="24"/>
          <w:lang w:val="es-MX"/>
        </w:rPr>
      </w:pPr>
    </w:p>
    <w:p w14:paraId="61F41603" w14:textId="7446838C" w:rsidR="00802BD8" w:rsidRDefault="00C251CF" w:rsidP="00802BD8">
      <w:pPr>
        <w:pStyle w:val="Sinespaciado"/>
        <w:ind w:left="567" w:right="49"/>
        <w:jc w:val="both"/>
        <w:rPr>
          <w:rFonts w:ascii="Times New Roman" w:hAnsi="Times New Roman"/>
          <w:sz w:val="24"/>
          <w:szCs w:val="24"/>
          <w:lang w:val="es-GT"/>
        </w:rPr>
      </w:pPr>
      <w:r w:rsidRPr="00FE76BD">
        <w:rPr>
          <w:rFonts w:ascii="Times New Roman" w:hAnsi="Times New Roman"/>
          <w:sz w:val="24"/>
          <w:szCs w:val="24"/>
          <w:lang w:val="es-GT"/>
        </w:rPr>
        <w:t xml:space="preserve">A pesar de que se tiene previsto que el ratio deuda/PIB aumente 5.8 puntos porcentuales del 2019 al 2020, en este año este aumento es generalizado para la mayoría de los países del mundo, debido a que se tuvieron bajas en los ingresos fiscales y los países tomaron diversas medidas fiscales como incremento importante en el gasto público para atender la crisis. </w:t>
      </w:r>
      <w:r w:rsidR="00802BD8" w:rsidRPr="00FE76BD">
        <w:rPr>
          <w:rFonts w:ascii="Times New Roman" w:hAnsi="Times New Roman"/>
          <w:sz w:val="24"/>
          <w:szCs w:val="24"/>
          <w:lang w:val="es-GT"/>
        </w:rPr>
        <w:t>Asimismo, se adoptaron estímulos monetarios para mitigar los efectos negativos económicos del COVID-19, motivo por el cual las fuertes políticas expansivas tendrán un alto costo en dicho ratio.  Para Estados Unidos, por ejemplo, el aumento del ratio se sitúa 22.1 puntos porcentuales, para Perú un aumento de 9.8 y Brasil del 8.7 puntos porcentuales, en el caso de Chile tendrá un aumento menor de 4.4 porcentuales. Por lo tanto, el aumento del ratio Deuda PIB, para Guatemala, es moderado en comparación al resto del mundo.</w:t>
      </w:r>
    </w:p>
    <w:p w14:paraId="35E7F936" w14:textId="6BFD6CDE" w:rsidR="00C251CF" w:rsidRDefault="00C251CF" w:rsidP="00C251CF">
      <w:pPr>
        <w:pStyle w:val="Sinespaciado"/>
        <w:ind w:left="567" w:right="49"/>
        <w:jc w:val="both"/>
        <w:rPr>
          <w:rFonts w:ascii="Times New Roman" w:hAnsi="Times New Roman"/>
          <w:sz w:val="24"/>
          <w:szCs w:val="24"/>
          <w:lang w:val="es-GT"/>
        </w:rPr>
      </w:pPr>
    </w:p>
    <w:p w14:paraId="67AEBF26" w14:textId="77777777" w:rsidR="00C251CF" w:rsidRPr="00FE76BD" w:rsidRDefault="00C251CF" w:rsidP="00246A61">
      <w:pPr>
        <w:pStyle w:val="Sinespaciado"/>
        <w:ind w:left="567" w:right="49"/>
        <w:jc w:val="both"/>
        <w:rPr>
          <w:rFonts w:ascii="Times New Roman" w:hAnsi="Times New Roman"/>
          <w:sz w:val="24"/>
          <w:szCs w:val="24"/>
          <w:lang w:val="es-MX"/>
        </w:rPr>
      </w:pPr>
    </w:p>
    <w:tbl>
      <w:tblPr>
        <w:tblStyle w:val="Tablaconcuadrcula"/>
        <w:tblW w:w="9456"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Look w:val="04A0" w:firstRow="1" w:lastRow="0" w:firstColumn="1" w:lastColumn="0" w:noHBand="0" w:noVBand="1"/>
      </w:tblPr>
      <w:tblGrid>
        <w:gridCol w:w="9826"/>
      </w:tblGrid>
      <w:tr w:rsidR="00246A61" w:rsidRPr="00FE76BD" w14:paraId="76529F6C" w14:textId="77777777" w:rsidTr="00BA4D6D">
        <w:trPr>
          <w:trHeight w:val="4944"/>
          <w:jc w:val="center"/>
        </w:trPr>
        <w:tc>
          <w:tcPr>
            <w:tcW w:w="9456" w:type="dxa"/>
          </w:tcPr>
          <w:p w14:paraId="1B929CD9" w14:textId="77777777" w:rsidR="00246A61" w:rsidRPr="00FE76BD" w:rsidRDefault="00246A61" w:rsidP="00BA4D6D">
            <w:pPr>
              <w:ind w:left="567" w:right="49"/>
              <w:jc w:val="center"/>
              <w:rPr>
                <w:sz w:val="24"/>
                <w:szCs w:val="24"/>
              </w:rPr>
            </w:pPr>
          </w:p>
          <w:p w14:paraId="6297ED39" w14:textId="17627EA5" w:rsidR="00246A61" w:rsidRPr="00FE76BD" w:rsidRDefault="00246A61" w:rsidP="00BA4D6D">
            <w:pPr>
              <w:pStyle w:val="Epgrafe"/>
              <w:keepNext/>
              <w:ind w:left="567" w:right="49"/>
              <w:rPr>
                <w:color w:val="auto"/>
                <w:sz w:val="24"/>
                <w:szCs w:val="24"/>
              </w:rPr>
            </w:pPr>
            <w:r w:rsidRPr="00FE76BD">
              <w:rPr>
                <w:color w:val="auto"/>
                <w:sz w:val="24"/>
                <w:szCs w:val="24"/>
              </w:rPr>
              <w:t xml:space="preserve">Gráfico </w:t>
            </w:r>
            <w:r>
              <w:rPr>
                <w:color w:val="auto"/>
                <w:sz w:val="24"/>
                <w:szCs w:val="24"/>
              </w:rPr>
              <w:t>2</w:t>
            </w:r>
            <w:r w:rsidR="0033794E">
              <w:rPr>
                <w:color w:val="auto"/>
                <w:sz w:val="24"/>
                <w:szCs w:val="24"/>
              </w:rPr>
              <w:t>3</w:t>
            </w:r>
            <w:r w:rsidRPr="00FE76BD">
              <w:rPr>
                <w:color w:val="auto"/>
                <w:sz w:val="24"/>
                <w:szCs w:val="24"/>
              </w:rPr>
              <w:t>. Proyección de Deuda</w:t>
            </w:r>
            <w:r>
              <w:rPr>
                <w:color w:val="auto"/>
                <w:sz w:val="24"/>
                <w:szCs w:val="24"/>
              </w:rPr>
              <w:t xml:space="preserve"> /</w:t>
            </w:r>
            <w:r w:rsidRPr="00FE76BD">
              <w:rPr>
                <w:color w:val="auto"/>
                <w:sz w:val="24"/>
                <w:szCs w:val="24"/>
              </w:rPr>
              <w:t xml:space="preserve"> PIB para 2020 con COVID-19</w:t>
            </w:r>
          </w:p>
          <w:p w14:paraId="7974987B" w14:textId="77777777" w:rsidR="00246A61" w:rsidRPr="00FE76BD" w:rsidRDefault="00246A61" w:rsidP="00BA4D6D">
            <w:pPr>
              <w:ind w:left="567" w:right="49"/>
              <w:jc w:val="center"/>
              <w:rPr>
                <w:noProof/>
                <w:sz w:val="24"/>
                <w:szCs w:val="24"/>
              </w:rPr>
            </w:pPr>
            <w:r w:rsidRPr="00FE76BD">
              <w:rPr>
                <w:noProof/>
                <w:sz w:val="24"/>
                <w:szCs w:val="24"/>
                <w:lang w:val="es-ES"/>
              </w:rPr>
              <w:drawing>
                <wp:inline distT="0" distB="0" distL="0" distR="0" wp14:anchorId="43322B83" wp14:editId="3FB5A0AE">
                  <wp:extent cx="5759450" cy="2538046"/>
                  <wp:effectExtent l="0" t="0" r="0" b="0"/>
                  <wp:docPr id="46" name="Chart 46">
                    <a:extLst xmlns:a="http://schemas.openxmlformats.org/drawingml/2006/main">
                      <a:ext uri="{FF2B5EF4-FFF2-40B4-BE49-F238E27FC236}">
                        <a16:creationId xmlns:a16="http://schemas.microsoft.com/office/drawing/2014/main" xmlns:w16se="http://schemas.microsoft.com/office/word/2015/wordml/symex" xmlns:w15="http://schemas.microsoft.com/office/word/2012/wordml" xmlns:w="http://schemas.openxmlformats.org/wordprocessingml/2006/main" xmlns:w10="urn:schemas-microsoft-com:office:word" xmlns:v="urn:schemas-microsoft-com:vml" xmlns:o="urn:schemas-microsoft-com:office:office" xmlns:cx="http://schemas.microsoft.com/office/drawing/2014/chartex" xmlns="" id="{5A74D7C0-C86E-47CB-8B45-1EC6957A8FA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r w:rsidRPr="00FE76BD">
              <w:rPr>
                <w:noProof/>
                <w:sz w:val="24"/>
                <w:szCs w:val="24"/>
              </w:rPr>
              <w:t xml:space="preserve"> </w:t>
            </w:r>
          </w:p>
          <w:p w14:paraId="090A9714" w14:textId="77777777" w:rsidR="00246A61" w:rsidRPr="00FE76BD" w:rsidRDefault="00246A61" w:rsidP="00BA4D6D">
            <w:pPr>
              <w:ind w:left="567" w:right="49"/>
              <w:rPr>
                <w:sz w:val="24"/>
                <w:szCs w:val="24"/>
              </w:rPr>
            </w:pPr>
            <w:r w:rsidRPr="00F7730F">
              <w:rPr>
                <w:szCs w:val="24"/>
              </w:rPr>
              <w:t xml:space="preserve">Fuente: Elaboración </w:t>
            </w:r>
            <w:r>
              <w:rPr>
                <w:szCs w:val="24"/>
              </w:rPr>
              <w:t>DAPF</w:t>
            </w:r>
            <w:r w:rsidRPr="00F7730F">
              <w:rPr>
                <w:szCs w:val="24"/>
              </w:rPr>
              <w:t xml:space="preserve"> con información del Fiscal Monitor del FMI, julio de 2020</w:t>
            </w:r>
            <w:r>
              <w:rPr>
                <w:szCs w:val="24"/>
              </w:rPr>
              <w:t>.</w:t>
            </w:r>
          </w:p>
        </w:tc>
      </w:tr>
    </w:tbl>
    <w:p w14:paraId="5ABAE52C" w14:textId="77777777" w:rsidR="00246A61" w:rsidRPr="00FE76BD" w:rsidRDefault="00246A61" w:rsidP="00246A61">
      <w:pPr>
        <w:pStyle w:val="Sinespaciado"/>
        <w:ind w:left="567" w:right="49"/>
        <w:jc w:val="both"/>
        <w:rPr>
          <w:rFonts w:ascii="Times New Roman" w:hAnsi="Times New Roman"/>
          <w:sz w:val="24"/>
          <w:szCs w:val="24"/>
          <w:lang w:val="es-GT"/>
        </w:rPr>
      </w:pPr>
    </w:p>
    <w:p w14:paraId="61E3043A" w14:textId="77777777" w:rsidR="00246A61" w:rsidRDefault="00246A61" w:rsidP="00802BD8">
      <w:pPr>
        <w:pStyle w:val="Sinespaciado"/>
        <w:ind w:right="49"/>
        <w:jc w:val="both"/>
        <w:rPr>
          <w:rFonts w:ascii="Times New Roman" w:hAnsi="Times New Roman"/>
          <w:sz w:val="24"/>
          <w:szCs w:val="24"/>
          <w:lang w:val="es-GT"/>
        </w:rPr>
      </w:pPr>
    </w:p>
    <w:p w14:paraId="2AA59F68" w14:textId="77777777" w:rsidR="00864327" w:rsidRDefault="00864327" w:rsidP="00864327">
      <w:pPr>
        <w:pStyle w:val="Sinespaciado"/>
        <w:ind w:left="567" w:right="49"/>
        <w:jc w:val="both"/>
        <w:rPr>
          <w:rFonts w:ascii="Times New Roman" w:hAnsi="Times New Roman"/>
          <w:sz w:val="24"/>
          <w:szCs w:val="24"/>
          <w:lang w:val="es-MX"/>
        </w:rPr>
      </w:pPr>
      <w:r>
        <w:rPr>
          <w:rFonts w:ascii="Times New Roman" w:hAnsi="Times New Roman"/>
          <w:sz w:val="24"/>
          <w:szCs w:val="24"/>
          <w:lang w:val="es-GT"/>
        </w:rPr>
        <w:t>Otro</w:t>
      </w:r>
      <w:r>
        <w:rPr>
          <w:rFonts w:ascii="Times New Roman" w:hAnsi="Times New Roman"/>
          <w:sz w:val="24"/>
          <w:szCs w:val="24"/>
          <w:lang w:val="es-MX"/>
        </w:rPr>
        <w:t xml:space="preserve"> </w:t>
      </w:r>
      <w:r w:rsidRPr="00FE76BD">
        <w:rPr>
          <w:rFonts w:ascii="Times New Roman" w:hAnsi="Times New Roman"/>
          <w:sz w:val="24"/>
          <w:szCs w:val="24"/>
          <w:lang w:val="es-MX"/>
        </w:rPr>
        <w:t>indicador de solvencia que es importante es la relación deuda / ingresos fiscales, el cual muestra la capacidad efectiva que tiene el gobierno para atender sus compromisos de deuda</w:t>
      </w:r>
      <w:r>
        <w:rPr>
          <w:rFonts w:ascii="Times New Roman" w:hAnsi="Times New Roman"/>
          <w:sz w:val="24"/>
          <w:szCs w:val="24"/>
          <w:lang w:val="es-MX"/>
        </w:rPr>
        <w:t xml:space="preserve">. Según las proyecciones realizadas para el cierre del año de 2019, realizadas en octubre del mismo año por el Fondo Monetario Internacional para los países de Latinoamérica, el valor del indicador deuda/ingresos fiscales para el 2019 estaría alrededor de 278% para Argentina, 298% para Brasil, 119% para Chile, 367% para Republica Dominicana, 401% para Costa Rica, y 320% para El Salvador. </w:t>
      </w:r>
    </w:p>
    <w:p w14:paraId="18B35FA9" w14:textId="77777777" w:rsidR="00246A61" w:rsidRDefault="00246A61" w:rsidP="00246A61">
      <w:pPr>
        <w:pStyle w:val="Sinespaciado"/>
        <w:ind w:left="567" w:right="49"/>
        <w:jc w:val="both"/>
        <w:rPr>
          <w:rFonts w:ascii="Times New Roman" w:hAnsi="Times New Roman"/>
          <w:sz w:val="24"/>
          <w:szCs w:val="24"/>
          <w:lang w:val="es-MX"/>
        </w:rPr>
      </w:pPr>
    </w:p>
    <w:p w14:paraId="3FE1961A" w14:textId="77777777" w:rsidR="005104F1" w:rsidRDefault="005104F1" w:rsidP="005104F1">
      <w:pPr>
        <w:pStyle w:val="Sinespaciado"/>
        <w:ind w:left="567" w:right="49"/>
        <w:jc w:val="both"/>
        <w:rPr>
          <w:rFonts w:ascii="Times New Roman" w:hAnsi="Times New Roman"/>
          <w:sz w:val="24"/>
          <w:szCs w:val="24"/>
          <w:lang w:val="es-MX"/>
        </w:rPr>
      </w:pPr>
      <w:r>
        <w:rPr>
          <w:rFonts w:ascii="Times New Roman" w:hAnsi="Times New Roman"/>
          <w:sz w:val="24"/>
          <w:szCs w:val="24"/>
          <w:lang w:val="es-MX"/>
        </w:rPr>
        <w:t>P</w:t>
      </w:r>
      <w:r w:rsidRPr="00FE76BD">
        <w:rPr>
          <w:rFonts w:ascii="Times New Roman" w:hAnsi="Times New Roman"/>
          <w:sz w:val="24"/>
          <w:szCs w:val="24"/>
          <w:lang w:val="es-MX"/>
        </w:rPr>
        <w:t xml:space="preserve">ara el caso de Guatemala </w:t>
      </w:r>
      <w:r>
        <w:rPr>
          <w:rFonts w:ascii="Times New Roman" w:hAnsi="Times New Roman"/>
          <w:sz w:val="24"/>
          <w:szCs w:val="24"/>
          <w:lang w:val="es-MX"/>
        </w:rPr>
        <w:t>el indicador deuda/ingresos fiscales se ubicó en 236.0% para el año 2019 y para el</w:t>
      </w:r>
      <w:r w:rsidRPr="00FE76BD">
        <w:rPr>
          <w:rFonts w:ascii="Times New Roman" w:hAnsi="Times New Roman"/>
          <w:sz w:val="24"/>
          <w:szCs w:val="24"/>
          <w:lang w:val="es-MX"/>
        </w:rPr>
        <w:t xml:space="preserve"> 2020 se estima </w:t>
      </w:r>
      <w:r>
        <w:rPr>
          <w:rFonts w:ascii="Times New Roman" w:hAnsi="Times New Roman"/>
          <w:sz w:val="24"/>
          <w:szCs w:val="24"/>
          <w:lang w:val="es-MX"/>
        </w:rPr>
        <w:t xml:space="preserve">que </w:t>
      </w:r>
      <w:r w:rsidRPr="00FE76BD">
        <w:rPr>
          <w:rFonts w:ascii="Times New Roman" w:hAnsi="Times New Roman"/>
          <w:sz w:val="24"/>
          <w:szCs w:val="24"/>
          <w:lang w:val="es-MX"/>
        </w:rPr>
        <w:t>podría ubicarse en 308.</w:t>
      </w:r>
      <w:r>
        <w:rPr>
          <w:rFonts w:ascii="Times New Roman" w:hAnsi="Times New Roman"/>
          <w:sz w:val="24"/>
          <w:szCs w:val="24"/>
          <w:lang w:val="es-MX"/>
        </w:rPr>
        <w:t>6</w:t>
      </w:r>
      <w:r w:rsidRPr="00FE76BD">
        <w:rPr>
          <w:rFonts w:ascii="Times New Roman" w:hAnsi="Times New Roman"/>
          <w:sz w:val="24"/>
          <w:szCs w:val="24"/>
          <w:lang w:val="es-MX"/>
        </w:rPr>
        <w:t>%</w:t>
      </w:r>
      <w:r>
        <w:rPr>
          <w:rFonts w:ascii="Times New Roman" w:hAnsi="Times New Roman"/>
          <w:sz w:val="24"/>
          <w:szCs w:val="24"/>
          <w:lang w:val="es-MX"/>
        </w:rPr>
        <w:t xml:space="preserve">, </w:t>
      </w:r>
      <w:r w:rsidRPr="00FE76BD">
        <w:rPr>
          <w:rFonts w:ascii="Times New Roman" w:hAnsi="Times New Roman"/>
          <w:sz w:val="24"/>
          <w:szCs w:val="24"/>
          <w:lang w:val="es-MX"/>
        </w:rPr>
        <w:t xml:space="preserve">superando el máximo recomendado para países de ingreso bajo, el cual </w:t>
      </w:r>
      <w:r>
        <w:rPr>
          <w:rFonts w:ascii="Times New Roman" w:hAnsi="Times New Roman"/>
          <w:sz w:val="24"/>
          <w:szCs w:val="24"/>
          <w:lang w:val="es-MX"/>
        </w:rPr>
        <w:t>se ubica entre 250% y 300</w:t>
      </w:r>
      <w:r w:rsidRPr="00FE76BD">
        <w:rPr>
          <w:rFonts w:ascii="Times New Roman" w:hAnsi="Times New Roman"/>
          <w:sz w:val="24"/>
          <w:szCs w:val="24"/>
          <w:lang w:val="es-MX"/>
        </w:rPr>
        <w:t>%</w:t>
      </w:r>
      <w:r>
        <w:rPr>
          <w:rFonts w:ascii="Times New Roman" w:hAnsi="Times New Roman"/>
          <w:sz w:val="24"/>
          <w:szCs w:val="24"/>
          <w:lang w:val="es-MX"/>
        </w:rPr>
        <w:t>.</w:t>
      </w:r>
      <w:r w:rsidRPr="00FE76BD">
        <w:rPr>
          <w:rFonts w:ascii="Times New Roman" w:hAnsi="Times New Roman"/>
          <w:sz w:val="24"/>
          <w:szCs w:val="24"/>
          <w:lang w:val="es-MX"/>
        </w:rPr>
        <w:t xml:space="preserve"> </w:t>
      </w:r>
      <w:r>
        <w:rPr>
          <w:rFonts w:ascii="Times New Roman" w:hAnsi="Times New Roman"/>
          <w:sz w:val="24"/>
          <w:szCs w:val="24"/>
          <w:lang w:val="es-MX"/>
        </w:rPr>
        <w:t xml:space="preserve"> S</w:t>
      </w:r>
      <w:r w:rsidRPr="00FE76BD">
        <w:rPr>
          <w:rFonts w:ascii="Times New Roman" w:hAnsi="Times New Roman"/>
          <w:sz w:val="24"/>
          <w:szCs w:val="24"/>
          <w:lang w:val="es-MX"/>
        </w:rPr>
        <w:t xml:space="preserve">in embargo, este indicador </w:t>
      </w:r>
      <w:r>
        <w:rPr>
          <w:rFonts w:ascii="Times New Roman" w:hAnsi="Times New Roman"/>
          <w:sz w:val="24"/>
          <w:szCs w:val="24"/>
          <w:lang w:val="es-MX"/>
        </w:rPr>
        <w:t xml:space="preserve">no </w:t>
      </w:r>
      <w:r w:rsidRPr="00FE76BD">
        <w:rPr>
          <w:rFonts w:ascii="Times New Roman" w:hAnsi="Times New Roman"/>
          <w:sz w:val="24"/>
          <w:szCs w:val="24"/>
          <w:lang w:val="es-MX"/>
        </w:rPr>
        <w:t xml:space="preserve">es para economías de ingreso medio como Guatemala, </w:t>
      </w:r>
      <w:r>
        <w:rPr>
          <w:rFonts w:ascii="Times New Roman" w:hAnsi="Times New Roman"/>
          <w:sz w:val="24"/>
          <w:szCs w:val="24"/>
          <w:lang w:val="es-MX"/>
        </w:rPr>
        <w:t xml:space="preserve">y </w:t>
      </w:r>
      <w:r w:rsidRPr="00FE76BD">
        <w:rPr>
          <w:rFonts w:ascii="Times New Roman" w:hAnsi="Times New Roman"/>
          <w:sz w:val="24"/>
          <w:szCs w:val="24"/>
          <w:lang w:val="es-MX"/>
        </w:rPr>
        <w:t>no se precisa de un máximo</w:t>
      </w:r>
      <w:r>
        <w:rPr>
          <w:rFonts w:ascii="Times New Roman" w:hAnsi="Times New Roman"/>
          <w:sz w:val="24"/>
          <w:szCs w:val="24"/>
          <w:lang w:val="es-MX"/>
        </w:rPr>
        <w:t xml:space="preserve"> para estas economías.  Sin embargo, se le sigue dando seguimiento por el efecto que tiene en</w:t>
      </w:r>
      <w:r w:rsidRPr="00FE76BD">
        <w:rPr>
          <w:rFonts w:ascii="Times New Roman" w:hAnsi="Times New Roman"/>
          <w:sz w:val="24"/>
          <w:szCs w:val="24"/>
          <w:lang w:val="es-MX"/>
        </w:rPr>
        <w:t xml:space="preserve"> la capacidad efectiva para hacer frente a </w:t>
      </w:r>
      <w:r>
        <w:rPr>
          <w:rFonts w:ascii="Times New Roman" w:hAnsi="Times New Roman"/>
          <w:sz w:val="24"/>
          <w:szCs w:val="24"/>
          <w:lang w:val="es-MX"/>
        </w:rPr>
        <w:t>los compromisos de deuda</w:t>
      </w:r>
      <w:r w:rsidRPr="00FE76BD">
        <w:rPr>
          <w:rFonts w:ascii="Times New Roman" w:hAnsi="Times New Roman"/>
          <w:sz w:val="24"/>
          <w:szCs w:val="24"/>
          <w:lang w:val="es-MX"/>
        </w:rPr>
        <w:t>. La principal razón por la que este indicador muestra un nivel alto</w:t>
      </w:r>
      <w:r>
        <w:rPr>
          <w:rFonts w:ascii="Times New Roman" w:hAnsi="Times New Roman"/>
          <w:sz w:val="24"/>
          <w:szCs w:val="24"/>
          <w:lang w:val="es-MX"/>
        </w:rPr>
        <w:t>, en 2020,</w:t>
      </w:r>
      <w:r w:rsidRPr="00FE76BD">
        <w:rPr>
          <w:rFonts w:ascii="Times New Roman" w:hAnsi="Times New Roman"/>
          <w:sz w:val="24"/>
          <w:szCs w:val="24"/>
          <w:lang w:val="es-MX"/>
        </w:rPr>
        <w:t xml:space="preserve"> es como resultado </w:t>
      </w:r>
      <w:r>
        <w:rPr>
          <w:rFonts w:ascii="Times New Roman" w:hAnsi="Times New Roman"/>
          <w:sz w:val="24"/>
          <w:szCs w:val="24"/>
          <w:lang w:val="es-MX"/>
        </w:rPr>
        <w:t>de la caída en</w:t>
      </w:r>
      <w:r w:rsidRPr="00FE76BD">
        <w:rPr>
          <w:rFonts w:ascii="Times New Roman" w:hAnsi="Times New Roman"/>
          <w:sz w:val="24"/>
          <w:szCs w:val="24"/>
          <w:lang w:val="es-MX"/>
        </w:rPr>
        <w:t xml:space="preserve"> recaudación tributaria</w:t>
      </w:r>
      <w:r>
        <w:rPr>
          <w:rFonts w:ascii="Times New Roman" w:hAnsi="Times New Roman"/>
          <w:sz w:val="24"/>
          <w:szCs w:val="24"/>
          <w:lang w:val="es-MX"/>
        </w:rPr>
        <w:t xml:space="preserve"> en dicho año</w:t>
      </w:r>
      <w:r w:rsidRPr="00FE76BD">
        <w:rPr>
          <w:rFonts w:ascii="Times New Roman" w:hAnsi="Times New Roman"/>
          <w:sz w:val="24"/>
          <w:szCs w:val="24"/>
          <w:lang w:val="es-MX"/>
        </w:rPr>
        <w:t>, en la medida en que los ingresos fiscales aumenten considerablemente y la generación de endeudamiento sea moderada, la relación deuda / ingreso, bajaría gradualmente y la solvencia del país sería más holgada. Dado el nuevo escenario planteado por la crisis ocasionada por el COVID-19, no se vislumbra en el corto plazo llevar al Congreso de la República una reforma tributaria, que incremente de forma significativa los ingresos fiscales, por lo que, en el mediano plazo, se prevé que el indicador de la relación deuda / ingresos fiscales sea creciente, aunque de manera moderada.</w:t>
      </w:r>
    </w:p>
    <w:p w14:paraId="5100347E" w14:textId="77777777" w:rsidR="00246A61" w:rsidRDefault="00246A61" w:rsidP="00246A61">
      <w:pPr>
        <w:pStyle w:val="Sinespaciado"/>
        <w:ind w:left="567" w:right="49"/>
        <w:jc w:val="both"/>
        <w:rPr>
          <w:rFonts w:ascii="Times New Roman" w:hAnsi="Times New Roman"/>
          <w:sz w:val="24"/>
          <w:szCs w:val="24"/>
          <w:lang w:val="es-MX"/>
        </w:rPr>
      </w:pPr>
    </w:p>
    <w:p w14:paraId="0FEAA0D1" w14:textId="77777777" w:rsidR="00246A61" w:rsidRDefault="00246A61" w:rsidP="00246A61">
      <w:pPr>
        <w:pStyle w:val="Sinespaciado"/>
        <w:ind w:left="567" w:right="49"/>
        <w:jc w:val="both"/>
        <w:rPr>
          <w:rFonts w:ascii="Times New Roman" w:hAnsi="Times New Roman"/>
          <w:sz w:val="24"/>
          <w:szCs w:val="24"/>
          <w:lang w:val="es-MX"/>
        </w:rPr>
      </w:pPr>
    </w:p>
    <w:tbl>
      <w:tblPr>
        <w:tblStyle w:val="Tablaconcuadrcula"/>
        <w:tblW w:w="9956"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Look w:val="04A0" w:firstRow="1" w:lastRow="0" w:firstColumn="1" w:lastColumn="0" w:noHBand="0" w:noVBand="1"/>
      </w:tblPr>
      <w:tblGrid>
        <w:gridCol w:w="5204"/>
        <w:gridCol w:w="4752"/>
      </w:tblGrid>
      <w:tr w:rsidR="00246A61" w:rsidRPr="00FE76BD" w14:paraId="11A104EA" w14:textId="77777777" w:rsidTr="00BA4D6D">
        <w:trPr>
          <w:trHeight w:val="140"/>
          <w:jc w:val="center"/>
        </w:trPr>
        <w:tc>
          <w:tcPr>
            <w:tcW w:w="9956" w:type="dxa"/>
            <w:gridSpan w:val="2"/>
          </w:tcPr>
          <w:p w14:paraId="372819A3" w14:textId="77777777" w:rsidR="00246A61" w:rsidRDefault="00246A61" w:rsidP="00BA4D6D">
            <w:pPr>
              <w:pStyle w:val="Epgrafe"/>
              <w:keepNext/>
              <w:ind w:left="567" w:right="49"/>
              <w:rPr>
                <w:color w:val="auto"/>
                <w:sz w:val="24"/>
                <w:szCs w:val="24"/>
              </w:rPr>
            </w:pPr>
            <w:r w:rsidRPr="00FE76BD">
              <w:rPr>
                <w:color w:val="auto"/>
                <w:sz w:val="24"/>
                <w:szCs w:val="24"/>
              </w:rPr>
              <w:lastRenderedPageBreak/>
              <w:t xml:space="preserve">Gráfico </w:t>
            </w:r>
            <w:r>
              <w:rPr>
                <w:color w:val="auto"/>
                <w:sz w:val="24"/>
                <w:szCs w:val="24"/>
              </w:rPr>
              <w:t>24</w:t>
            </w:r>
            <w:r w:rsidRPr="00FE76BD">
              <w:rPr>
                <w:color w:val="auto"/>
                <w:sz w:val="24"/>
                <w:szCs w:val="24"/>
              </w:rPr>
              <w:t xml:space="preserve">. </w:t>
            </w:r>
            <w:r>
              <w:rPr>
                <w:color w:val="auto"/>
                <w:sz w:val="24"/>
                <w:szCs w:val="24"/>
              </w:rPr>
              <w:t>Indicadores de deuda para Latinoamérica en 2019</w:t>
            </w:r>
          </w:p>
          <w:p w14:paraId="186C6666" w14:textId="77777777" w:rsidR="00246A61" w:rsidRPr="00C14570" w:rsidRDefault="00246A61" w:rsidP="00BA4D6D">
            <w:pPr>
              <w:jc w:val="center"/>
              <w:rPr>
                <w:sz w:val="18"/>
                <w:szCs w:val="18"/>
              </w:rPr>
            </w:pPr>
            <w:r>
              <w:rPr>
                <w:sz w:val="18"/>
                <w:szCs w:val="18"/>
              </w:rPr>
              <w:t xml:space="preserve">        En la gráfica izquierda se</w:t>
            </w:r>
            <w:r w:rsidRPr="00605E5E">
              <w:rPr>
                <w:sz w:val="18"/>
                <w:szCs w:val="18"/>
              </w:rPr>
              <w:t xml:space="preserve"> encuentra el indicador ingresos fiscales/PIB en puntos porcentuales</w:t>
            </w:r>
            <w:r>
              <w:rPr>
                <w:sz w:val="18"/>
                <w:szCs w:val="18"/>
              </w:rPr>
              <w:t xml:space="preserve"> a la par del código de país </w:t>
            </w:r>
          </w:p>
        </w:tc>
      </w:tr>
      <w:tr w:rsidR="00246A61" w:rsidRPr="00FE76BD" w14:paraId="1549310D" w14:textId="77777777" w:rsidTr="00BA4D6D">
        <w:trPr>
          <w:trHeight w:val="4248"/>
          <w:jc w:val="center"/>
        </w:trPr>
        <w:tc>
          <w:tcPr>
            <w:tcW w:w="5204" w:type="dxa"/>
          </w:tcPr>
          <w:p w14:paraId="69463EC6" w14:textId="77777777" w:rsidR="00246A61" w:rsidRPr="00FE76BD" w:rsidRDefault="00246A61" w:rsidP="00BA4D6D">
            <w:pPr>
              <w:ind w:left="567" w:right="49"/>
              <w:jc w:val="both"/>
              <w:rPr>
                <w:sz w:val="24"/>
                <w:szCs w:val="24"/>
                <w:lang w:val="es-MX"/>
              </w:rPr>
            </w:pPr>
            <w:r>
              <w:rPr>
                <w:noProof/>
                <w:lang w:val="es-ES"/>
              </w:rPr>
              <w:drawing>
                <wp:anchor distT="0" distB="0" distL="114300" distR="114300" simplePos="0" relativeHeight="251676672" behindDoc="0" locked="0" layoutInCell="1" allowOverlap="1" wp14:anchorId="282F4C91" wp14:editId="39992653">
                  <wp:simplePos x="0" y="0"/>
                  <wp:positionH relativeFrom="column">
                    <wp:posOffset>40566</wp:posOffset>
                  </wp:positionH>
                  <wp:positionV relativeFrom="paragraph">
                    <wp:posOffset>103</wp:posOffset>
                  </wp:positionV>
                  <wp:extent cx="2880000" cy="2520000"/>
                  <wp:effectExtent l="0" t="0" r="0" b="0"/>
                  <wp:wrapSquare wrapText="bothSides"/>
                  <wp:docPr id="55" name="Chart 55">
                    <a:extLst xmlns:a="http://schemas.openxmlformats.org/drawingml/2006/main">
                      <a:ext uri="{FF2B5EF4-FFF2-40B4-BE49-F238E27FC236}">
                        <a16:creationId xmlns:a16="http://schemas.microsoft.com/office/drawing/2014/main" xmlns:w16se="http://schemas.microsoft.com/office/word/2015/wordml/symex" xmlns:w15="http://schemas.microsoft.com/office/word/2012/wordml" xmlns:w="http://schemas.openxmlformats.org/wordprocessingml/2006/main" xmlns:w10="urn:schemas-microsoft-com:office:word" xmlns:v="urn:schemas-microsoft-com:vml" xmlns:o="urn:schemas-microsoft-com:office:office" xmlns:cx="http://schemas.microsoft.com/office/drawing/2014/chartex" xmlns="" id="{BC6C8639-5ADA-4A7E-93AF-086C7971658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anchor>
              </w:drawing>
            </w:r>
          </w:p>
        </w:tc>
        <w:tc>
          <w:tcPr>
            <w:tcW w:w="4752" w:type="dxa"/>
          </w:tcPr>
          <w:p w14:paraId="46E333DB" w14:textId="77777777" w:rsidR="00246A61" w:rsidRPr="00FE76BD" w:rsidRDefault="00246A61" w:rsidP="00BA4D6D">
            <w:pPr>
              <w:pStyle w:val="Epgrafe"/>
              <w:keepNext/>
              <w:ind w:right="49"/>
              <w:jc w:val="both"/>
              <w:rPr>
                <w:color w:val="auto"/>
                <w:sz w:val="24"/>
                <w:szCs w:val="24"/>
              </w:rPr>
            </w:pPr>
            <w:r>
              <w:rPr>
                <w:noProof/>
                <w:lang w:val="es-ES"/>
              </w:rPr>
              <w:drawing>
                <wp:inline distT="0" distB="0" distL="0" distR="0" wp14:anchorId="43601B37" wp14:editId="5900D762">
                  <wp:extent cx="2880000" cy="2520000"/>
                  <wp:effectExtent l="0" t="0" r="0" b="0"/>
                  <wp:docPr id="62" name="Chart 62">
                    <a:extLst xmlns:a="http://schemas.openxmlformats.org/drawingml/2006/main">
                      <a:ext uri="{FF2B5EF4-FFF2-40B4-BE49-F238E27FC236}">
                        <a16:creationId xmlns:a16="http://schemas.microsoft.com/office/drawing/2014/main" xmlns:w16se="http://schemas.microsoft.com/office/word/2015/wordml/symex" xmlns:w15="http://schemas.microsoft.com/office/word/2012/wordml" xmlns:w="http://schemas.openxmlformats.org/wordprocessingml/2006/main" xmlns:w10="urn:schemas-microsoft-com:office:word" xmlns:v="urn:schemas-microsoft-com:vml" xmlns:o="urn:schemas-microsoft-com:office:office" xmlns:cx="http://schemas.microsoft.com/office/drawing/2014/chartex" xmlns="" id="{490EDF8C-7B92-4FF1-8E8A-14A3766B162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tc>
      </w:tr>
      <w:tr w:rsidR="00246A61" w:rsidRPr="00FE76BD" w14:paraId="6DA8FAED" w14:textId="77777777" w:rsidTr="00BA4D6D">
        <w:trPr>
          <w:trHeight w:val="194"/>
          <w:jc w:val="center"/>
        </w:trPr>
        <w:tc>
          <w:tcPr>
            <w:tcW w:w="9956" w:type="dxa"/>
            <w:gridSpan w:val="2"/>
          </w:tcPr>
          <w:p w14:paraId="33EB870E" w14:textId="77777777" w:rsidR="00246A61" w:rsidRPr="002631E7" w:rsidRDefault="00246A61" w:rsidP="00BA4D6D">
            <w:pPr>
              <w:pStyle w:val="Sinespaciado"/>
              <w:ind w:right="49"/>
              <w:jc w:val="both"/>
              <w:rPr>
                <w:rFonts w:ascii="Times New Roman" w:hAnsi="Times New Roman"/>
                <w:sz w:val="24"/>
                <w:szCs w:val="24"/>
              </w:rPr>
            </w:pPr>
            <w:r>
              <w:rPr>
                <w:rFonts w:ascii="Times New Roman" w:hAnsi="Times New Roman"/>
                <w:sz w:val="20"/>
                <w:szCs w:val="24"/>
              </w:rPr>
              <w:t xml:space="preserve">             </w:t>
            </w:r>
            <w:r w:rsidRPr="00F7730F">
              <w:rPr>
                <w:rFonts w:ascii="Times New Roman" w:hAnsi="Times New Roman"/>
                <w:sz w:val="20"/>
                <w:szCs w:val="24"/>
              </w:rPr>
              <w:t xml:space="preserve">Fuente: Elaboración </w:t>
            </w:r>
            <w:r>
              <w:rPr>
                <w:rFonts w:ascii="Times New Roman" w:hAnsi="Times New Roman"/>
                <w:sz w:val="20"/>
                <w:szCs w:val="24"/>
              </w:rPr>
              <w:t>DAPF</w:t>
            </w:r>
            <w:r w:rsidRPr="00F7730F">
              <w:rPr>
                <w:rFonts w:ascii="Times New Roman" w:hAnsi="Times New Roman"/>
                <w:sz w:val="20"/>
                <w:szCs w:val="24"/>
              </w:rPr>
              <w:t xml:space="preserve"> con </w:t>
            </w:r>
            <w:r>
              <w:rPr>
                <w:rFonts w:ascii="Times New Roman" w:hAnsi="Times New Roman"/>
                <w:sz w:val="20"/>
                <w:szCs w:val="24"/>
              </w:rPr>
              <w:t>proyecciones de cierre del FMI para 2019, a excepción de Guatemala.</w:t>
            </w:r>
          </w:p>
        </w:tc>
      </w:tr>
    </w:tbl>
    <w:p w14:paraId="06AF43F2" w14:textId="77777777" w:rsidR="00246A61" w:rsidRDefault="00246A61" w:rsidP="00246A61">
      <w:pPr>
        <w:pStyle w:val="Sinespaciado"/>
        <w:ind w:left="567" w:right="49"/>
        <w:jc w:val="both"/>
        <w:rPr>
          <w:rFonts w:ascii="Times New Roman" w:hAnsi="Times New Roman"/>
          <w:sz w:val="24"/>
          <w:szCs w:val="24"/>
          <w:lang w:val="es-MX"/>
        </w:rPr>
      </w:pPr>
    </w:p>
    <w:p w14:paraId="366FD74A" w14:textId="77777777" w:rsidR="00C36B14" w:rsidRDefault="00C36B14" w:rsidP="00C36B14">
      <w:pPr>
        <w:pStyle w:val="Sinespaciado"/>
        <w:ind w:left="567" w:right="49"/>
        <w:jc w:val="both"/>
        <w:rPr>
          <w:rFonts w:ascii="Times New Roman" w:hAnsi="Times New Roman"/>
          <w:sz w:val="24"/>
          <w:szCs w:val="24"/>
          <w:lang w:val="es-MX"/>
        </w:rPr>
      </w:pPr>
      <w:r w:rsidRPr="00FE76BD">
        <w:rPr>
          <w:rFonts w:ascii="Times New Roman" w:hAnsi="Times New Roman"/>
          <w:sz w:val="24"/>
          <w:szCs w:val="24"/>
          <w:lang w:val="es-MX"/>
        </w:rPr>
        <w:t xml:space="preserve">En cuanto la relación deuda externa/exportaciones, este indicador es importante para medir la vulnerabilidad externa del país, cuyo máximo recomendado debería ser no mayor de 180%, el gobierno muestra un nivel estimado en 2020 de </w:t>
      </w:r>
      <w:r>
        <w:rPr>
          <w:rFonts w:ascii="Times New Roman" w:hAnsi="Times New Roman"/>
          <w:sz w:val="24"/>
          <w:szCs w:val="24"/>
          <w:lang w:val="es-MX"/>
        </w:rPr>
        <w:t>86.9</w:t>
      </w:r>
      <w:r w:rsidRPr="00FE76BD">
        <w:rPr>
          <w:rFonts w:ascii="Times New Roman" w:hAnsi="Times New Roman"/>
          <w:sz w:val="24"/>
          <w:szCs w:val="24"/>
          <w:lang w:val="es-MX"/>
        </w:rPr>
        <w:t xml:space="preserve">%, para 2021 se prevé que descendería hasta ubicarse en </w:t>
      </w:r>
      <w:r>
        <w:rPr>
          <w:rFonts w:ascii="Times New Roman" w:hAnsi="Times New Roman"/>
          <w:sz w:val="24"/>
          <w:szCs w:val="24"/>
          <w:lang w:val="es-MX"/>
        </w:rPr>
        <w:t>80.5</w:t>
      </w:r>
      <w:r w:rsidRPr="00FE76BD">
        <w:rPr>
          <w:rFonts w:ascii="Times New Roman" w:hAnsi="Times New Roman"/>
          <w:sz w:val="24"/>
          <w:szCs w:val="24"/>
          <w:lang w:val="es-MX"/>
        </w:rPr>
        <w:t xml:space="preserve">% y podría posicionarse en </w:t>
      </w:r>
      <w:r>
        <w:rPr>
          <w:rFonts w:ascii="Times New Roman" w:hAnsi="Times New Roman"/>
          <w:sz w:val="24"/>
          <w:szCs w:val="24"/>
          <w:lang w:val="es-MX"/>
        </w:rPr>
        <w:t>81.9</w:t>
      </w:r>
      <w:r w:rsidRPr="00FE76BD">
        <w:rPr>
          <w:rFonts w:ascii="Times New Roman" w:hAnsi="Times New Roman"/>
          <w:sz w:val="24"/>
          <w:szCs w:val="24"/>
          <w:lang w:val="es-MX"/>
        </w:rPr>
        <w:t>% en 2025, debido al crecimiento esperado en las exportaciones</w:t>
      </w:r>
      <w:r>
        <w:rPr>
          <w:rFonts w:ascii="Times New Roman" w:hAnsi="Times New Roman"/>
          <w:sz w:val="24"/>
          <w:szCs w:val="24"/>
          <w:lang w:val="es-MX"/>
        </w:rPr>
        <w:t>,</w:t>
      </w:r>
      <w:r w:rsidRPr="00FE76BD">
        <w:rPr>
          <w:rFonts w:ascii="Times New Roman" w:hAnsi="Times New Roman"/>
          <w:sz w:val="24"/>
          <w:szCs w:val="24"/>
          <w:lang w:val="es-MX"/>
        </w:rPr>
        <w:t xml:space="preserve"> </w:t>
      </w:r>
      <w:r>
        <w:rPr>
          <w:rFonts w:ascii="Times New Roman" w:hAnsi="Times New Roman"/>
          <w:sz w:val="24"/>
          <w:szCs w:val="24"/>
          <w:lang w:val="es-MX"/>
        </w:rPr>
        <w:t xml:space="preserve">a </w:t>
      </w:r>
      <w:r w:rsidRPr="00FE76BD">
        <w:rPr>
          <w:rFonts w:ascii="Times New Roman" w:hAnsi="Times New Roman"/>
          <w:sz w:val="24"/>
          <w:szCs w:val="24"/>
          <w:lang w:val="es-MX"/>
        </w:rPr>
        <w:t>la reducción gradual del déficit fiscal</w:t>
      </w:r>
      <w:r>
        <w:rPr>
          <w:rFonts w:ascii="Times New Roman" w:hAnsi="Times New Roman"/>
          <w:sz w:val="24"/>
          <w:szCs w:val="24"/>
          <w:lang w:val="es-MX"/>
        </w:rPr>
        <w:t xml:space="preserve"> y la preferencia por la contratar más deuda interna que externa</w:t>
      </w:r>
      <w:r w:rsidRPr="00FE76BD">
        <w:rPr>
          <w:rFonts w:ascii="Times New Roman" w:hAnsi="Times New Roman"/>
          <w:sz w:val="24"/>
          <w:szCs w:val="24"/>
          <w:lang w:val="es-MX"/>
        </w:rPr>
        <w:t>.</w:t>
      </w:r>
    </w:p>
    <w:p w14:paraId="1C65093C" w14:textId="77777777" w:rsidR="00246A61" w:rsidRDefault="00246A61" w:rsidP="00FF5FCA">
      <w:pPr>
        <w:ind w:right="49"/>
        <w:rPr>
          <w:b/>
          <w:sz w:val="24"/>
          <w:szCs w:val="24"/>
          <w:lang w:val="es-MX"/>
        </w:rPr>
      </w:pPr>
    </w:p>
    <w:p w14:paraId="6B2015AA" w14:textId="77777777" w:rsidR="00246A61" w:rsidRPr="00605E5E" w:rsidRDefault="00246A61" w:rsidP="00246A61">
      <w:pPr>
        <w:ind w:left="567" w:right="49"/>
        <w:rPr>
          <w:b/>
          <w:sz w:val="24"/>
          <w:szCs w:val="24"/>
          <w:lang w:val="es-MX"/>
        </w:rPr>
      </w:pPr>
    </w:p>
    <w:p w14:paraId="48EC16EA" w14:textId="77777777" w:rsidR="00246A61" w:rsidRDefault="00246A61" w:rsidP="00246A61">
      <w:pPr>
        <w:pStyle w:val="Epgrafe"/>
        <w:keepNext/>
        <w:ind w:left="567" w:right="49"/>
        <w:rPr>
          <w:color w:val="auto"/>
          <w:sz w:val="24"/>
          <w:szCs w:val="24"/>
        </w:rPr>
      </w:pPr>
      <w:bookmarkStart w:id="14" w:name="_Toc16158431"/>
      <w:r w:rsidRPr="00FE76BD">
        <w:rPr>
          <w:color w:val="auto"/>
          <w:sz w:val="24"/>
          <w:szCs w:val="24"/>
        </w:rPr>
        <w:t xml:space="preserve">Gráfica </w:t>
      </w:r>
      <w:r w:rsidRPr="00067407">
        <w:rPr>
          <w:color w:val="auto"/>
          <w:sz w:val="24"/>
          <w:szCs w:val="24"/>
        </w:rPr>
        <w:t>2</w:t>
      </w:r>
      <w:r>
        <w:rPr>
          <w:color w:val="auto"/>
          <w:sz w:val="24"/>
          <w:szCs w:val="24"/>
        </w:rPr>
        <w:t>5</w:t>
      </w:r>
      <w:r w:rsidRPr="00067407">
        <w:rPr>
          <w:color w:val="auto"/>
          <w:sz w:val="24"/>
          <w:szCs w:val="24"/>
        </w:rPr>
        <w:t>.</w:t>
      </w:r>
      <w:r w:rsidRPr="00FE76BD">
        <w:rPr>
          <w:color w:val="auto"/>
          <w:sz w:val="24"/>
          <w:szCs w:val="24"/>
        </w:rPr>
        <w:t xml:space="preserve"> Indicadores de Solvencia de la Deuda Pública</w:t>
      </w:r>
      <w:bookmarkEnd w:id="14"/>
    </w:p>
    <w:p w14:paraId="2437E819" w14:textId="3E881A30" w:rsidR="00246A61" w:rsidRPr="00406A62" w:rsidRDefault="00335572" w:rsidP="00246A61">
      <w:pPr>
        <w:jc w:val="center"/>
      </w:pPr>
      <w:r>
        <w:rPr>
          <w:noProof/>
          <w:lang w:val="es-ES"/>
        </w:rPr>
        <w:drawing>
          <wp:inline distT="0" distB="0" distL="0" distR="0" wp14:anchorId="066180E0" wp14:editId="6599D841">
            <wp:extent cx="5804519" cy="2162673"/>
            <wp:effectExtent l="0" t="0" r="6350" b="9525"/>
            <wp:docPr id="4"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818750" cy="2167975"/>
                    </a:xfrm>
                    <a:prstGeom prst="rect">
                      <a:avLst/>
                    </a:prstGeom>
                  </pic:spPr>
                </pic:pic>
              </a:graphicData>
            </a:graphic>
          </wp:inline>
        </w:drawing>
      </w:r>
    </w:p>
    <w:p w14:paraId="0FCFDFCD" w14:textId="77777777" w:rsidR="00246A61" w:rsidRDefault="00246A61" w:rsidP="00246A61">
      <w:pPr>
        <w:ind w:right="49" w:firstLine="567"/>
        <w:rPr>
          <w:szCs w:val="24"/>
        </w:rPr>
      </w:pPr>
      <w:r w:rsidRPr="00F7730F">
        <w:rPr>
          <w:szCs w:val="24"/>
        </w:rPr>
        <w:t>Fuente: Ministerio de Finanzas Públicas</w:t>
      </w:r>
    </w:p>
    <w:p w14:paraId="34C97159" w14:textId="77777777" w:rsidR="00246A61" w:rsidRPr="00F7730F" w:rsidRDefault="00246A61" w:rsidP="00246A61">
      <w:pPr>
        <w:ind w:right="49" w:firstLine="567"/>
        <w:rPr>
          <w:sz w:val="24"/>
          <w:szCs w:val="24"/>
        </w:rPr>
      </w:pPr>
    </w:p>
    <w:p w14:paraId="2F0E2DD0" w14:textId="77777777" w:rsidR="00246A61" w:rsidRPr="00FE76BD" w:rsidRDefault="00246A61" w:rsidP="00246A61">
      <w:pPr>
        <w:ind w:left="567" w:right="49"/>
        <w:jc w:val="both"/>
        <w:rPr>
          <w:sz w:val="24"/>
          <w:szCs w:val="24"/>
        </w:rPr>
      </w:pPr>
      <w:r w:rsidRPr="00FE76BD">
        <w:rPr>
          <w:sz w:val="24"/>
          <w:szCs w:val="24"/>
        </w:rPr>
        <w:t>Otro indicador importante del índice de liquidez externa está relacionado con las reservas internacionales netas con el saldo de la deuda pública denominada en moneda extranjera.  Cuanto más alto es el indicador, menor es la propensión de un país a presentar problemas e</w:t>
      </w:r>
      <w:r>
        <w:rPr>
          <w:sz w:val="24"/>
          <w:szCs w:val="24"/>
        </w:rPr>
        <w:t>n</w:t>
      </w:r>
      <w:r w:rsidRPr="00FE76BD">
        <w:rPr>
          <w:sz w:val="24"/>
          <w:szCs w:val="24"/>
        </w:rPr>
        <w:t xml:space="preserve"> su balanza de pagos. Guatemala, ha mostrado un fortalecimiento en la liquidez externa debido </w:t>
      </w:r>
      <w:r w:rsidRPr="00FE76BD">
        <w:rPr>
          <w:sz w:val="24"/>
          <w:szCs w:val="24"/>
        </w:rPr>
        <w:lastRenderedPageBreak/>
        <w:t>principalmente al aumento importante que han tenido las reservas monetarias internacionales y a un crecimiento bastante modesto de la deuda en moneda extranjera. Este indicador muestra que para 2019 las reservas representan 162.3% el nivel de la deuda externa, para los próximos años no se tiene este indicador debido a que no se cuenta con la estimación de reservas internacionales, pero se espera que este indicador siga siendo positivo en el mediano plazo.</w:t>
      </w:r>
    </w:p>
    <w:p w14:paraId="4E004D2B" w14:textId="77777777" w:rsidR="00246A61" w:rsidRDefault="00246A61" w:rsidP="00246A61">
      <w:pPr>
        <w:pStyle w:val="Epgrafe"/>
        <w:keepNext/>
        <w:ind w:left="567" w:right="49"/>
        <w:rPr>
          <w:color w:val="auto"/>
          <w:sz w:val="24"/>
          <w:szCs w:val="24"/>
        </w:rPr>
      </w:pPr>
      <w:bookmarkStart w:id="15" w:name="_Toc16158433"/>
    </w:p>
    <w:p w14:paraId="7C9D44D5" w14:textId="77777777" w:rsidR="00246A61" w:rsidRPr="00FE76BD" w:rsidRDefault="00246A61" w:rsidP="00246A61">
      <w:pPr>
        <w:pStyle w:val="Epgrafe"/>
        <w:keepNext/>
        <w:ind w:left="567" w:right="49"/>
        <w:rPr>
          <w:b w:val="0"/>
          <w:i/>
          <w:color w:val="auto"/>
          <w:sz w:val="24"/>
          <w:szCs w:val="24"/>
        </w:rPr>
      </w:pPr>
      <w:r w:rsidRPr="00FE76BD">
        <w:rPr>
          <w:color w:val="auto"/>
          <w:sz w:val="24"/>
          <w:szCs w:val="24"/>
        </w:rPr>
        <w:t>Gráfica</w:t>
      </w:r>
      <w:r>
        <w:rPr>
          <w:color w:val="auto"/>
          <w:sz w:val="24"/>
          <w:szCs w:val="24"/>
        </w:rPr>
        <w:t xml:space="preserve"> 26.</w:t>
      </w:r>
      <w:r w:rsidRPr="00FE76BD">
        <w:rPr>
          <w:color w:val="auto"/>
          <w:sz w:val="24"/>
          <w:szCs w:val="24"/>
        </w:rPr>
        <w:t xml:space="preserve">  Reservas Monetarias Internacionales / Deuda Externa</w:t>
      </w:r>
      <w:bookmarkEnd w:id="15"/>
    </w:p>
    <w:p w14:paraId="386693E5" w14:textId="77777777" w:rsidR="00246A61" w:rsidRPr="00FE76BD" w:rsidRDefault="00246A61" w:rsidP="00246A61">
      <w:pPr>
        <w:ind w:left="567" w:right="49"/>
        <w:jc w:val="center"/>
        <w:rPr>
          <w:sz w:val="24"/>
          <w:szCs w:val="24"/>
        </w:rPr>
      </w:pPr>
      <w:r w:rsidRPr="00FE76BD">
        <w:rPr>
          <w:sz w:val="24"/>
          <w:szCs w:val="24"/>
        </w:rPr>
        <w:t>Porcentajes</w:t>
      </w:r>
    </w:p>
    <w:p w14:paraId="52447D0D" w14:textId="77777777" w:rsidR="00246A61" w:rsidRDefault="00246A61" w:rsidP="00246A61">
      <w:pPr>
        <w:ind w:left="567" w:right="49"/>
        <w:jc w:val="center"/>
        <w:rPr>
          <w:sz w:val="24"/>
          <w:szCs w:val="24"/>
        </w:rPr>
      </w:pPr>
      <w:r w:rsidRPr="00FE76BD">
        <w:rPr>
          <w:noProof/>
          <w:sz w:val="24"/>
          <w:szCs w:val="24"/>
          <w:lang w:val="es-ES"/>
        </w:rPr>
        <w:drawing>
          <wp:inline distT="0" distB="0" distL="0" distR="0" wp14:anchorId="373343EF" wp14:editId="44C1F048">
            <wp:extent cx="4914900" cy="2647950"/>
            <wp:effectExtent l="0" t="0" r="0" b="0"/>
            <wp:docPr id="1413" name="Chart 49"/>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14:paraId="287E32CB" w14:textId="77777777" w:rsidR="00246A61" w:rsidRPr="00067407" w:rsidRDefault="00246A61" w:rsidP="00246A61">
      <w:pPr>
        <w:ind w:left="567" w:right="49"/>
        <w:rPr>
          <w:sz w:val="24"/>
          <w:szCs w:val="24"/>
        </w:rPr>
      </w:pPr>
      <w:r>
        <w:rPr>
          <w:szCs w:val="24"/>
        </w:rPr>
        <w:t xml:space="preserve">                     </w:t>
      </w:r>
      <w:r w:rsidRPr="00F7730F">
        <w:rPr>
          <w:szCs w:val="24"/>
        </w:rPr>
        <w:t xml:space="preserve">Fuente: </w:t>
      </w:r>
      <w:r>
        <w:rPr>
          <w:szCs w:val="24"/>
        </w:rPr>
        <w:t>Elaboración DAPF</w:t>
      </w:r>
      <w:r w:rsidRPr="00F7730F">
        <w:rPr>
          <w:szCs w:val="24"/>
        </w:rPr>
        <w:t xml:space="preserve"> con </w:t>
      </w:r>
      <w:r>
        <w:rPr>
          <w:szCs w:val="24"/>
        </w:rPr>
        <w:t>información</w:t>
      </w:r>
      <w:r w:rsidRPr="00F7730F">
        <w:rPr>
          <w:szCs w:val="24"/>
        </w:rPr>
        <w:t xml:space="preserve"> del Banguat y MINFIN</w:t>
      </w:r>
    </w:p>
    <w:p w14:paraId="0C6F4BC6" w14:textId="77777777" w:rsidR="00246A61" w:rsidRDefault="00246A61" w:rsidP="00246A61">
      <w:pPr>
        <w:ind w:left="567" w:right="49"/>
        <w:jc w:val="both"/>
        <w:rPr>
          <w:sz w:val="24"/>
          <w:szCs w:val="24"/>
        </w:rPr>
      </w:pPr>
    </w:p>
    <w:p w14:paraId="57A1A1B0" w14:textId="77777777" w:rsidR="003736B8" w:rsidRDefault="003736B8" w:rsidP="003736B8">
      <w:pPr>
        <w:ind w:left="567" w:right="49"/>
        <w:jc w:val="both"/>
        <w:rPr>
          <w:sz w:val="24"/>
          <w:szCs w:val="24"/>
        </w:rPr>
      </w:pPr>
      <w:r w:rsidRPr="00FE76BD">
        <w:rPr>
          <w:sz w:val="24"/>
          <w:szCs w:val="24"/>
        </w:rPr>
        <w:t xml:space="preserve">Por otro lado, en el análisis de deuda pública, es importante evaluar también otros indicadores denominados de liquidez, los cuales están más relacionados con los pagos anuales que el gobierno realiza con relación al servicio de la deuda. En ese sentido, uno de los más importantes es la relación servicio de deuda / ingresos fiscales, en el cual el país tiene un comportamiento que muestra ciertas fluctuaciones que están en función del vencimiento de algunas operaciones y del comportamiento de la carga tributaria, este indicador para 2020 se estima en 22.5% y se prevé aumente gradualmente y se ubique en 2025 en </w:t>
      </w:r>
      <w:r>
        <w:rPr>
          <w:sz w:val="24"/>
          <w:szCs w:val="24"/>
        </w:rPr>
        <w:t>23.7</w:t>
      </w:r>
      <w:r w:rsidRPr="00FE76BD">
        <w:rPr>
          <w:sz w:val="24"/>
          <w:szCs w:val="24"/>
        </w:rPr>
        <w:t xml:space="preserve">%, en este caso ambos niveles se encuentran levemente arriba del máximo recomendado para países de bajo ingreso el cual es de 20%, </w:t>
      </w:r>
      <w:r>
        <w:rPr>
          <w:sz w:val="24"/>
          <w:szCs w:val="24"/>
        </w:rPr>
        <w:t>s</w:t>
      </w:r>
      <w:r w:rsidRPr="00FE76BD">
        <w:rPr>
          <w:sz w:val="24"/>
          <w:szCs w:val="24"/>
        </w:rPr>
        <w:t xml:space="preserve">in embargo  para países de ingreso medio, no se tiene un benchmark para este indicador. Por su parte, también se tiene el servicio de la deuda externa contra exportaciones, este indicador que en los últimos años ha mostrado un comportamiento creciente, debido más a que el crecimiento de las exportaciones ha sido bajo y en algunos años negativo, lo cual ha afectado el resultado, se prevé que para 2020 este indicador se ubique en </w:t>
      </w:r>
      <w:r>
        <w:rPr>
          <w:sz w:val="24"/>
          <w:szCs w:val="24"/>
        </w:rPr>
        <w:t>7.3</w:t>
      </w:r>
      <w:r w:rsidRPr="00FE76BD">
        <w:rPr>
          <w:sz w:val="24"/>
          <w:szCs w:val="24"/>
        </w:rPr>
        <w:t xml:space="preserve">% y en </w:t>
      </w:r>
      <w:r>
        <w:rPr>
          <w:sz w:val="24"/>
          <w:szCs w:val="24"/>
        </w:rPr>
        <w:t>8.8</w:t>
      </w:r>
      <w:r w:rsidRPr="00FE76BD">
        <w:rPr>
          <w:sz w:val="24"/>
          <w:szCs w:val="24"/>
        </w:rPr>
        <w:t>% en 2025, asociado a un mejor dinamismo en las exportaciones y a que el nivel de deuda tendrá un comportamiento de crecimiento gradual. Se considera que el máximo recomendable en este indicador no sea superior al 15%.</w:t>
      </w:r>
    </w:p>
    <w:p w14:paraId="26252FEA" w14:textId="77777777" w:rsidR="00246A61" w:rsidRDefault="00246A61" w:rsidP="00246A61">
      <w:pPr>
        <w:ind w:left="567" w:right="49"/>
        <w:jc w:val="both"/>
        <w:rPr>
          <w:sz w:val="24"/>
          <w:szCs w:val="24"/>
        </w:rPr>
      </w:pPr>
    </w:p>
    <w:p w14:paraId="7BABD89B" w14:textId="77777777" w:rsidR="00246A61" w:rsidRDefault="00246A61" w:rsidP="00246A61">
      <w:pPr>
        <w:pStyle w:val="Epgrafe"/>
        <w:keepNext/>
        <w:ind w:left="567" w:right="49"/>
        <w:rPr>
          <w:color w:val="auto"/>
          <w:sz w:val="24"/>
          <w:szCs w:val="24"/>
        </w:rPr>
      </w:pPr>
      <w:r w:rsidRPr="00FE76BD">
        <w:rPr>
          <w:color w:val="auto"/>
          <w:sz w:val="24"/>
          <w:szCs w:val="24"/>
        </w:rPr>
        <w:lastRenderedPageBreak/>
        <w:t xml:space="preserve">Gráfica </w:t>
      </w:r>
      <w:r>
        <w:rPr>
          <w:color w:val="auto"/>
          <w:sz w:val="24"/>
          <w:szCs w:val="24"/>
        </w:rPr>
        <w:t>27.</w:t>
      </w:r>
      <w:r w:rsidRPr="00FE76BD">
        <w:rPr>
          <w:color w:val="auto"/>
          <w:sz w:val="24"/>
          <w:szCs w:val="24"/>
        </w:rPr>
        <w:t xml:space="preserve"> Indicadores de Liquidez de la Deuda Pública</w:t>
      </w:r>
    </w:p>
    <w:p w14:paraId="0AA19FC8" w14:textId="2FA4AD1D" w:rsidR="00246A61" w:rsidRPr="00406A62" w:rsidRDefault="002C36B8" w:rsidP="00246A61">
      <w:pPr>
        <w:jc w:val="center"/>
      </w:pPr>
      <w:r>
        <w:rPr>
          <w:noProof/>
          <w:lang w:val="es-ES"/>
        </w:rPr>
        <w:drawing>
          <wp:inline distT="0" distB="0" distL="0" distR="0" wp14:anchorId="5B920A8C" wp14:editId="0CAB94F9">
            <wp:extent cx="5746066" cy="2087880"/>
            <wp:effectExtent l="0" t="0" r="7620" b="7620"/>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5752530" cy="2090229"/>
                    </a:xfrm>
                    <a:prstGeom prst="rect">
                      <a:avLst/>
                    </a:prstGeom>
                  </pic:spPr>
                </pic:pic>
              </a:graphicData>
            </a:graphic>
          </wp:inline>
        </w:drawing>
      </w:r>
    </w:p>
    <w:p w14:paraId="757B7DAA" w14:textId="77777777" w:rsidR="00246A61" w:rsidRPr="00F7730F" w:rsidRDefault="00246A61" w:rsidP="00246A61">
      <w:pPr>
        <w:ind w:right="49" w:firstLine="708"/>
        <w:rPr>
          <w:szCs w:val="24"/>
        </w:rPr>
      </w:pPr>
      <w:r w:rsidRPr="00F7730F">
        <w:rPr>
          <w:szCs w:val="24"/>
        </w:rPr>
        <w:t>Fuente: Ministerio de Finanzas Públicas</w:t>
      </w:r>
    </w:p>
    <w:p w14:paraId="1D90E3F0" w14:textId="77777777" w:rsidR="00246A61" w:rsidRPr="00FE76BD" w:rsidRDefault="00246A61" w:rsidP="00246A61">
      <w:pPr>
        <w:ind w:left="567" w:right="49"/>
        <w:jc w:val="both"/>
        <w:rPr>
          <w:sz w:val="24"/>
          <w:szCs w:val="24"/>
        </w:rPr>
      </w:pPr>
    </w:p>
    <w:p w14:paraId="5A85275B" w14:textId="77777777" w:rsidR="00246A61" w:rsidRPr="00FE76BD" w:rsidRDefault="00246A61" w:rsidP="00246A61">
      <w:pPr>
        <w:ind w:left="567" w:right="49"/>
        <w:jc w:val="both"/>
        <w:rPr>
          <w:sz w:val="24"/>
          <w:szCs w:val="24"/>
        </w:rPr>
      </w:pPr>
      <w:r w:rsidRPr="00FE76BD">
        <w:rPr>
          <w:sz w:val="24"/>
          <w:szCs w:val="24"/>
        </w:rPr>
        <w:t xml:space="preserve">Adicionalmente y conforme a los indicadores que muestran los estándares que mide el Fondo Monetario Internacional para países de ingreso medio, para evaluar los riesgos en el perfil de la deuda, se puede indicar que el país tiene una baja vulnerabilidad considerando que en la mayor parte de los indicadores se encuentra dentro de los niveles razonables, situación similar acontece con los índices de solvencia de la deuda pública en donde el país está por debajo de dichos umbrales.  Es importante indicar que esta evaluación se realiza con datos del 2019.   </w:t>
      </w:r>
    </w:p>
    <w:p w14:paraId="4143BE9A" w14:textId="77777777" w:rsidR="00246A61" w:rsidRPr="00FE76BD" w:rsidRDefault="00246A61" w:rsidP="00246A61">
      <w:pPr>
        <w:ind w:left="567" w:right="49"/>
        <w:jc w:val="both"/>
        <w:rPr>
          <w:sz w:val="24"/>
          <w:szCs w:val="24"/>
          <w:highlight w:val="cyan"/>
        </w:rPr>
      </w:pPr>
    </w:p>
    <w:p w14:paraId="5EF3ED0A" w14:textId="77777777" w:rsidR="00246A61" w:rsidRDefault="00246A61" w:rsidP="00246A61">
      <w:pPr>
        <w:ind w:left="567" w:right="49"/>
        <w:jc w:val="both"/>
        <w:rPr>
          <w:sz w:val="24"/>
          <w:szCs w:val="24"/>
        </w:rPr>
      </w:pPr>
      <w:r w:rsidRPr="00FE76BD">
        <w:rPr>
          <w:sz w:val="24"/>
          <w:szCs w:val="24"/>
        </w:rPr>
        <w:t>Sin embargo, el único indicador que se encuentra cerca del límite superior de la banda de vulnerabilidad es el que corresponde a la deuda pública con no residentes (44.6%), lo que ha coadyuvado a que este resultado no haya afectado los indicadores de deuda es el hecho de contar con una estabilidad en el tipo de cambio durante muchos años. Además, es importante señalar, que un componente importante de la deuda es con organismos financieros multilaterales (50.32%), lo que minimiza el efecto de un posible riesgo de refinanciamiento con acreedores privados. Asimismo, se prevé que en el mediano plazo este indicador se mantenga por debajo de ese umbral (45%), considerando que se prevé una mayor preferencia por el endeudamiento doméstico en moneda nacional, este argumento es consistente, con el comportamiento histórico de este indicador que ha ido reduciéndose gradualmente. Con el financiamiento del presupuesto de mediano plazo, quizá podría variar un poco en el futuro, pero la trayectoria del comportamiento de la deuda externa será decreciente en dicho horizonte.</w:t>
      </w:r>
    </w:p>
    <w:p w14:paraId="4ED98355" w14:textId="77777777" w:rsidR="00246A61" w:rsidRPr="00FE76BD" w:rsidRDefault="00246A61" w:rsidP="00246A61">
      <w:pPr>
        <w:ind w:left="567" w:right="49"/>
        <w:jc w:val="both"/>
        <w:rPr>
          <w:sz w:val="24"/>
          <w:szCs w:val="24"/>
        </w:rPr>
      </w:pPr>
    </w:p>
    <w:p w14:paraId="09902089" w14:textId="6B3B5787" w:rsidR="00246A61" w:rsidRPr="0033794E" w:rsidRDefault="0033794E" w:rsidP="0033794E">
      <w:pPr>
        <w:tabs>
          <w:tab w:val="left" w:pos="1582"/>
        </w:tabs>
        <w:jc w:val="center"/>
        <w:rPr>
          <w:b/>
          <w:sz w:val="24"/>
          <w:szCs w:val="24"/>
        </w:rPr>
      </w:pPr>
      <w:r w:rsidRPr="0033794E">
        <w:rPr>
          <w:b/>
          <w:sz w:val="24"/>
          <w:szCs w:val="24"/>
        </w:rPr>
        <w:t>Recuadro 2</w:t>
      </w:r>
    </w:p>
    <w:p w14:paraId="129A9FF3" w14:textId="77777777" w:rsidR="0033794E" w:rsidRPr="00FF5FCA" w:rsidRDefault="0033794E" w:rsidP="00FF5FCA">
      <w:pPr>
        <w:ind w:left="567" w:right="49"/>
        <w:jc w:val="center"/>
        <w:rPr>
          <w:b/>
          <w:bCs/>
          <w:sz w:val="24"/>
          <w:szCs w:val="24"/>
        </w:rPr>
      </w:pPr>
      <w:r w:rsidRPr="00FF5FCA">
        <w:rPr>
          <w:b/>
          <w:bCs/>
          <w:sz w:val="24"/>
          <w:szCs w:val="24"/>
        </w:rPr>
        <w:t>Indicadores de riesgo para la deuda pública para los países con acceso al mercado de capitales</w:t>
      </w:r>
    </w:p>
    <w:p w14:paraId="5E99B3A0" w14:textId="40BB0DB9" w:rsidR="0033794E" w:rsidRDefault="0033794E" w:rsidP="00246A61">
      <w:pPr>
        <w:ind w:left="567" w:right="49"/>
        <w:jc w:val="both"/>
        <w:rPr>
          <w:sz w:val="24"/>
          <w:szCs w:val="24"/>
        </w:rPr>
      </w:pPr>
    </w:p>
    <w:tbl>
      <w:tblPr>
        <w:tblW w:w="9482" w:type="dxa"/>
        <w:tblInd w:w="467"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shd w:val="clear" w:color="auto" w:fill="B4C6E7" w:themeFill="accent1" w:themeFillTint="66"/>
        <w:tblLook w:val="04A0" w:firstRow="1" w:lastRow="0" w:firstColumn="1" w:lastColumn="0" w:noHBand="0" w:noVBand="1"/>
      </w:tblPr>
      <w:tblGrid>
        <w:gridCol w:w="9482"/>
      </w:tblGrid>
      <w:tr w:rsidR="00246A61" w:rsidRPr="002B72F6" w14:paraId="1D916375" w14:textId="77777777" w:rsidTr="00BA4D6D">
        <w:tc>
          <w:tcPr>
            <w:tcW w:w="9482" w:type="dxa"/>
            <w:shd w:val="clear" w:color="auto" w:fill="DEEAF6" w:themeFill="accent5" w:themeFillTint="33"/>
          </w:tcPr>
          <w:p w14:paraId="793CD446" w14:textId="03183B9A" w:rsidR="00246A61" w:rsidRPr="00E506E6" w:rsidRDefault="00246A61" w:rsidP="00BA4D6D">
            <w:pPr>
              <w:tabs>
                <w:tab w:val="left" w:pos="1582"/>
              </w:tabs>
              <w:jc w:val="center"/>
              <w:rPr>
                <w:b/>
                <w:bCs/>
              </w:rPr>
            </w:pPr>
          </w:p>
          <w:p w14:paraId="2DA87D96" w14:textId="77777777" w:rsidR="00246A61" w:rsidRPr="00014D98" w:rsidRDefault="00246A61" w:rsidP="00BA4D6D">
            <w:pPr>
              <w:tabs>
                <w:tab w:val="left" w:pos="1582"/>
              </w:tabs>
              <w:jc w:val="both"/>
            </w:pPr>
            <w:r w:rsidRPr="00014D98">
              <w:t>Los indicadores propuestos por el Fondo Monetario Internacional para identificar diversos riesgos para la sostenibilidad de la deuda son, para la carga de deuda pública: la deuda pública con respecto al PIB y los requerimientos de financiación pública bruta también con respecto al PIB. Para analizar los riesgos del perfil de la deuda los indicadores son el spread con los bonos del tesoro de Estados Unidos o Alemania (EMBI), el requerimiento de financiamiento externo, la deuda en moneda extranjera, el cambio anual de la participación de la deuda a corto plazo y la deuda pública externa.</w:t>
            </w:r>
          </w:p>
          <w:p w14:paraId="33E6BC95" w14:textId="3997EF21" w:rsidR="00246A61" w:rsidRDefault="00246A61" w:rsidP="00BA4D6D">
            <w:pPr>
              <w:tabs>
                <w:tab w:val="left" w:pos="1582"/>
              </w:tabs>
              <w:jc w:val="both"/>
            </w:pPr>
            <w:r w:rsidRPr="00014D98">
              <w:t xml:space="preserve">Los puntos de referencia que se toman para los distintos indicadores fueron sugeridos para proporcionar una advertencia temprana de las vulnerabilidades que puedan surgir y que, dados probables eventos de riesgo, la deuda </w:t>
            </w:r>
            <w:r w:rsidRPr="00014D98">
              <w:lastRenderedPageBreak/>
              <w:t>siga siendo sostenible y no se vea afectada la capacidad de cumplir con las obligaciones adquiridas.</w:t>
            </w:r>
          </w:p>
          <w:p w14:paraId="14BD8F3F" w14:textId="77777777" w:rsidR="00E420AA" w:rsidRPr="00014D98" w:rsidRDefault="00E420AA" w:rsidP="00BA4D6D">
            <w:pPr>
              <w:tabs>
                <w:tab w:val="left" w:pos="1582"/>
              </w:tabs>
              <w:jc w:val="both"/>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266"/>
            </w:tblGrid>
            <w:tr w:rsidR="00246A61" w:rsidRPr="00902CD5" w14:paraId="4778A863" w14:textId="77777777" w:rsidTr="00BA4D6D">
              <w:trPr>
                <w:trHeight w:val="2157"/>
              </w:trPr>
              <w:tc>
                <w:tcPr>
                  <w:tcW w:w="9350" w:type="dxa"/>
                </w:tcPr>
                <w:p w14:paraId="35DD78D8" w14:textId="20A4404E" w:rsidR="00246A61" w:rsidRPr="00E506E6" w:rsidRDefault="00246A61" w:rsidP="00BA4D6D">
                  <w:pPr>
                    <w:pStyle w:val="Epgrafe"/>
                    <w:keepNext/>
                    <w:ind w:left="567" w:right="49"/>
                    <w:rPr>
                      <w:color w:val="auto"/>
                      <w:sz w:val="22"/>
                      <w:szCs w:val="22"/>
                    </w:rPr>
                  </w:pPr>
                  <w:r w:rsidRPr="00E506E6">
                    <w:rPr>
                      <w:color w:val="auto"/>
                      <w:sz w:val="22"/>
                      <w:szCs w:val="22"/>
                    </w:rPr>
                    <w:t xml:space="preserve">Tabla </w:t>
                  </w:r>
                  <w:r w:rsidR="0033794E">
                    <w:rPr>
                      <w:color w:val="auto"/>
                      <w:sz w:val="22"/>
                      <w:szCs w:val="22"/>
                    </w:rPr>
                    <w:t>3</w:t>
                  </w:r>
                  <w:r w:rsidRPr="00E506E6">
                    <w:rPr>
                      <w:color w:val="auto"/>
                      <w:sz w:val="22"/>
                      <w:szCs w:val="22"/>
                    </w:rPr>
                    <w:t>. Puntos de referencia para los indicadores de Deuda</w:t>
                  </w:r>
                </w:p>
                <w:tbl>
                  <w:tblPr>
                    <w:tblW w:w="7791" w:type="dxa"/>
                    <w:jc w:val="center"/>
                    <w:tblCellMar>
                      <w:left w:w="70" w:type="dxa"/>
                      <w:right w:w="70" w:type="dxa"/>
                    </w:tblCellMar>
                    <w:tblLook w:val="04A0" w:firstRow="1" w:lastRow="0" w:firstColumn="1" w:lastColumn="0" w:noHBand="0" w:noVBand="1"/>
                  </w:tblPr>
                  <w:tblGrid>
                    <w:gridCol w:w="4924"/>
                    <w:gridCol w:w="1444"/>
                    <w:gridCol w:w="1423"/>
                  </w:tblGrid>
                  <w:tr w:rsidR="00246A61" w:rsidRPr="00902CD5" w14:paraId="4DCB0BA2" w14:textId="77777777" w:rsidTr="00BA4D6D">
                    <w:trPr>
                      <w:trHeight w:val="506"/>
                      <w:jc w:val="center"/>
                    </w:trPr>
                    <w:tc>
                      <w:tcPr>
                        <w:tcW w:w="4924" w:type="dxa"/>
                        <w:tcBorders>
                          <w:top w:val="single" w:sz="4" w:space="0" w:color="auto"/>
                          <w:left w:val="single" w:sz="4" w:space="0" w:color="auto"/>
                          <w:bottom w:val="single" w:sz="4" w:space="0" w:color="auto"/>
                          <w:right w:val="nil"/>
                        </w:tcBorders>
                        <w:shd w:val="clear" w:color="000000" w:fill="D9E1F2"/>
                        <w:vAlign w:val="center"/>
                        <w:hideMark/>
                      </w:tcPr>
                      <w:p w14:paraId="0C71D2B5" w14:textId="77777777" w:rsidR="00246A61" w:rsidRPr="00E506E6" w:rsidRDefault="00246A61" w:rsidP="00BA4D6D">
                        <w:pPr>
                          <w:jc w:val="center"/>
                          <w:rPr>
                            <w:rFonts w:ascii="Times" w:hAnsi="Times" w:cs="Times"/>
                            <w:b/>
                            <w:bCs/>
                            <w:color w:val="000000"/>
                            <w:lang w:eastAsia="es-GT"/>
                          </w:rPr>
                        </w:pPr>
                        <w:r w:rsidRPr="00E506E6">
                          <w:rPr>
                            <w:rFonts w:ascii="Times" w:hAnsi="Times" w:cs="Times"/>
                            <w:b/>
                            <w:bCs/>
                            <w:color w:val="000000"/>
                            <w:lang w:eastAsia="es-GT"/>
                          </w:rPr>
                          <w:t>Benchmarks para países con acceso al mercado</w:t>
                        </w:r>
                        <w:r w:rsidRPr="00E506E6">
                          <w:rPr>
                            <w:rFonts w:ascii="Times" w:hAnsi="Times" w:cs="Times"/>
                            <w:b/>
                            <w:bCs/>
                            <w:color w:val="000000"/>
                            <w:lang w:eastAsia="es-GT"/>
                          </w:rPr>
                          <w:br/>
                          <w:t>(en puntos porcentuales)</w:t>
                        </w:r>
                      </w:p>
                    </w:tc>
                    <w:tc>
                      <w:tcPr>
                        <w:tcW w:w="1444" w:type="dxa"/>
                        <w:tcBorders>
                          <w:top w:val="single" w:sz="4" w:space="0" w:color="auto"/>
                          <w:left w:val="single" w:sz="4" w:space="0" w:color="auto"/>
                          <w:bottom w:val="single" w:sz="4" w:space="0" w:color="auto"/>
                          <w:right w:val="single" w:sz="4" w:space="0" w:color="auto"/>
                        </w:tcBorders>
                        <w:shd w:val="clear" w:color="000000" w:fill="D9E1F2"/>
                        <w:vAlign w:val="center"/>
                        <w:hideMark/>
                      </w:tcPr>
                      <w:p w14:paraId="05AD343D" w14:textId="77777777" w:rsidR="00246A61" w:rsidRPr="00E506E6" w:rsidRDefault="00246A61" w:rsidP="00BA4D6D">
                        <w:pPr>
                          <w:jc w:val="center"/>
                          <w:rPr>
                            <w:rFonts w:ascii="Times" w:hAnsi="Times" w:cs="Times"/>
                            <w:b/>
                            <w:bCs/>
                            <w:color w:val="000000"/>
                            <w:lang w:eastAsia="es-GT"/>
                          </w:rPr>
                        </w:pPr>
                        <w:r w:rsidRPr="00E506E6">
                          <w:rPr>
                            <w:rFonts w:ascii="Times" w:hAnsi="Times" w:cs="Times"/>
                            <w:b/>
                            <w:bCs/>
                            <w:color w:val="000000"/>
                            <w:lang w:eastAsia="es-GT"/>
                          </w:rPr>
                          <w:t>Mercados emergentes</w:t>
                        </w:r>
                      </w:p>
                    </w:tc>
                    <w:tc>
                      <w:tcPr>
                        <w:tcW w:w="1423" w:type="dxa"/>
                        <w:tcBorders>
                          <w:top w:val="single" w:sz="4" w:space="0" w:color="auto"/>
                          <w:left w:val="nil"/>
                          <w:bottom w:val="single" w:sz="4" w:space="0" w:color="auto"/>
                          <w:right w:val="single" w:sz="4" w:space="0" w:color="auto"/>
                        </w:tcBorders>
                        <w:shd w:val="clear" w:color="000000" w:fill="D9E1F2"/>
                        <w:vAlign w:val="center"/>
                        <w:hideMark/>
                      </w:tcPr>
                      <w:p w14:paraId="60B9AA67" w14:textId="77777777" w:rsidR="00246A61" w:rsidRPr="00E506E6" w:rsidRDefault="00246A61" w:rsidP="00BA4D6D">
                        <w:pPr>
                          <w:jc w:val="center"/>
                          <w:rPr>
                            <w:rFonts w:ascii="Times" w:hAnsi="Times" w:cs="Times"/>
                            <w:b/>
                            <w:bCs/>
                            <w:color w:val="000000"/>
                            <w:lang w:eastAsia="es-GT"/>
                          </w:rPr>
                        </w:pPr>
                        <w:r w:rsidRPr="00E506E6">
                          <w:rPr>
                            <w:rFonts w:ascii="Times" w:hAnsi="Times" w:cs="Times"/>
                            <w:b/>
                            <w:bCs/>
                            <w:color w:val="000000"/>
                            <w:lang w:eastAsia="es-GT"/>
                          </w:rPr>
                          <w:t>Economías Avanzadas</w:t>
                        </w:r>
                      </w:p>
                    </w:tc>
                  </w:tr>
                  <w:tr w:rsidR="00246A61" w:rsidRPr="00902CD5" w14:paraId="2F044DEE" w14:textId="77777777" w:rsidTr="00BA4D6D">
                    <w:trPr>
                      <w:trHeight w:val="264"/>
                      <w:jc w:val="center"/>
                    </w:trPr>
                    <w:tc>
                      <w:tcPr>
                        <w:tcW w:w="4924" w:type="dxa"/>
                        <w:tcBorders>
                          <w:top w:val="nil"/>
                          <w:left w:val="single" w:sz="4" w:space="0" w:color="auto"/>
                          <w:bottom w:val="nil"/>
                          <w:right w:val="nil"/>
                        </w:tcBorders>
                        <w:shd w:val="clear" w:color="auto" w:fill="FFFFFF" w:themeFill="background1"/>
                        <w:noWrap/>
                        <w:vAlign w:val="bottom"/>
                        <w:hideMark/>
                      </w:tcPr>
                      <w:p w14:paraId="018A1402" w14:textId="77777777" w:rsidR="00246A61" w:rsidRPr="00E506E6" w:rsidRDefault="00246A61" w:rsidP="00BA4D6D">
                        <w:pPr>
                          <w:rPr>
                            <w:rFonts w:ascii="Times" w:hAnsi="Times" w:cs="Times"/>
                            <w:b/>
                            <w:bCs/>
                            <w:color w:val="000000"/>
                            <w:lang w:eastAsia="es-GT"/>
                          </w:rPr>
                        </w:pPr>
                        <w:r w:rsidRPr="00E506E6">
                          <w:rPr>
                            <w:rFonts w:ascii="Times" w:hAnsi="Times" w:cs="Times"/>
                            <w:b/>
                            <w:bCs/>
                            <w:color w:val="000000"/>
                            <w:lang w:eastAsia="es-GT"/>
                          </w:rPr>
                          <w:t>Indicadores de la carga de la deuda pública</w:t>
                        </w:r>
                      </w:p>
                    </w:tc>
                    <w:tc>
                      <w:tcPr>
                        <w:tcW w:w="1444" w:type="dxa"/>
                        <w:tcBorders>
                          <w:top w:val="nil"/>
                          <w:left w:val="single" w:sz="4" w:space="0" w:color="auto"/>
                          <w:bottom w:val="nil"/>
                          <w:right w:val="single" w:sz="4" w:space="0" w:color="auto"/>
                        </w:tcBorders>
                        <w:shd w:val="clear" w:color="auto" w:fill="FFFFFF" w:themeFill="background1"/>
                        <w:noWrap/>
                        <w:vAlign w:val="bottom"/>
                        <w:hideMark/>
                      </w:tcPr>
                      <w:p w14:paraId="292E2F26" w14:textId="77777777" w:rsidR="00246A61" w:rsidRPr="00E506E6" w:rsidRDefault="00246A61" w:rsidP="00BA4D6D">
                        <w:pPr>
                          <w:rPr>
                            <w:rFonts w:ascii="Times" w:hAnsi="Times" w:cs="Times"/>
                            <w:color w:val="000000"/>
                            <w:lang w:eastAsia="es-GT"/>
                          </w:rPr>
                        </w:pPr>
                        <w:r w:rsidRPr="00E506E6">
                          <w:rPr>
                            <w:rFonts w:ascii="Times" w:hAnsi="Times" w:cs="Times"/>
                            <w:color w:val="000000"/>
                            <w:lang w:eastAsia="es-GT"/>
                          </w:rPr>
                          <w:t> </w:t>
                        </w:r>
                      </w:p>
                    </w:tc>
                    <w:tc>
                      <w:tcPr>
                        <w:tcW w:w="1423" w:type="dxa"/>
                        <w:tcBorders>
                          <w:top w:val="nil"/>
                          <w:left w:val="nil"/>
                          <w:bottom w:val="nil"/>
                          <w:right w:val="single" w:sz="4" w:space="0" w:color="auto"/>
                        </w:tcBorders>
                        <w:shd w:val="clear" w:color="auto" w:fill="FFFFFF" w:themeFill="background1"/>
                        <w:noWrap/>
                        <w:vAlign w:val="bottom"/>
                        <w:hideMark/>
                      </w:tcPr>
                      <w:p w14:paraId="6BD394E7" w14:textId="77777777" w:rsidR="00246A61" w:rsidRPr="00E506E6" w:rsidRDefault="00246A61" w:rsidP="00BA4D6D">
                        <w:pPr>
                          <w:rPr>
                            <w:rFonts w:ascii="Times" w:hAnsi="Times" w:cs="Times"/>
                            <w:color w:val="000000"/>
                            <w:lang w:eastAsia="es-GT"/>
                          </w:rPr>
                        </w:pPr>
                        <w:r w:rsidRPr="00E506E6">
                          <w:rPr>
                            <w:rFonts w:ascii="Times" w:hAnsi="Times" w:cs="Times"/>
                            <w:color w:val="000000"/>
                            <w:lang w:eastAsia="es-GT"/>
                          </w:rPr>
                          <w:t> </w:t>
                        </w:r>
                      </w:p>
                    </w:tc>
                  </w:tr>
                  <w:tr w:rsidR="00246A61" w:rsidRPr="00902CD5" w14:paraId="4916512A" w14:textId="77777777" w:rsidTr="00BA4D6D">
                    <w:trPr>
                      <w:trHeight w:val="264"/>
                      <w:jc w:val="center"/>
                    </w:trPr>
                    <w:tc>
                      <w:tcPr>
                        <w:tcW w:w="4924" w:type="dxa"/>
                        <w:tcBorders>
                          <w:top w:val="nil"/>
                          <w:left w:val="single" w:sz="4" w:space="0" w:color="auto"/>
                          <w:bottom w:val="nil"/>
                          <w:right w:val="nil"/>
                        </w:tcBorders>
                        <w:shd w:val="clear" w:color="auto" w:fill="FFFFFF" w:themeFill="background1"/>
                        <w:noWrap/>
                        <w:vAlign w:val="bottom"/>
                        <w:hideMark/>
                      </w:tcPr>
                      <w:p w14:paraId="532E63D3" w14:textId="77777777" w:rsidR="00246A61" w:rsidRPr="00E506E6" w:rsidRDefault="00246A61" w:rsidP="00BA4D6D">
                        <w:pPr>
                          <w:ind w:firstLineChars="100" w:firstLine="200"/>
                          <w:rPr>
                            <w:rFonts w:ascii="Times" w:hAnsi="Times" w:cs="Times"/>
                            <w:color w:val="000000"/>
                            <w:lang w:eastAsia="es-GT"/>
                          </w:rPr>
                        </w:pPr>
                        <w:r w:rsidRPr="00E506E6">
                          <w:rPr>
                            <w:rFonts w:ascii="Times" w:hAnsi="Times" w:cs="Times"/>
                            <w:color w:val="000000"/>
                            <w:lang w:eastAsia="es-GT"/>
                          </w:rPr>
                          <w:t>Deuda/PIB</w:t>
                        </w:r>
                      </w:p>
                    </w:tc>
                    <w:tc>
                      <w:tcPr>
                        <w:tcW w:w="1444" w:type="dxa"/>
                        <w:tcBorders>
                          <w:top w:val="nil"/>
                          <w:left w:val="single" w:sz="4" w:space="0" w:color="auto"/>
                          <w:bottom w:val="nil"/>
                          <w:right w:val="single" w:sz="4" w:space="0" w:color="auto"/>
                        </w:tcBorders>
                        <w:shd w:val="clear" w:color="auto" w:fill="FFFFFF" w:themeFill="background1"/>
                        <w:noWrap/>
                        <w:vAlign w:val="center"/>
                        <w:hideMark/>
                      </w:tcPr>
                      <w:p w14:paraId="35B8709E" w14:textId="77777777" w:rsidR="00246A61" w:rsidRPr="00E506E6" w:rsidRDefault="00246A61" w:rsidP="00BA4D6D">
                        <w:pPr>
                          <w:jc w:val="center"/>
                          <w:rPr>
                            <w:rFonts w:ascii="Times" w:hAnsi="Times" w:cs="Times"/>
                            <w:color w:val="000000"/>
                            <w:lang w:eastAsia="es-GT"/>
                          </w:rPr>
                        </w:pPr>
                        <w:r w:rsidRPr="00E506E6">
                          <w:rPr>
                            <w:rFonts w:ascii="Times" w:hAnsi="Times" w:cs="Times"/>
                            <w:color w:val="000000"/>
                            <w:lang w:eastAsia="es-GT"/>
                          </w:rPr>
                          <w:t>60</w:t>
                        </w:r>
                      </w:p>
                    </w:tc>
                    <w:tc>
                      <w:tcPr>
                        <w:tcW w:w="1423" w:type="dxa"/>
                        <w:tcBorders>
                          <w:top w:val="nil"/>
                          <w:left w:val="nil"/>
                          <w:bottom w:val="nil"/>
                          <w:right w:val="single" w:sz="4" w:space="0" w:color="auto"/>
                        </w:tcBorders>
                        <w:shd w:val="clear" w:color="auto" w:fill="FFFFFF" w:themeFill="background1"/>
                        <w:noWrap/>
                        <w:vAlign w:val="center"/>
                        <w:hideMark/>
                      </w:tcPr>
                      <w:p w14:paraId="7FC52480" w14:textId="77777777" w:rsidR="00246A61" w:rsidRPr="00E506E6" w:rsidRDefault="00246A61" w:rsidP="00BA4D6D">
                        <w:pPr>
                          <w:jc w:val="center"/>
                          <w:rPr>
                            <w:rFonts w:ascii="Times" w:hAnsi="Times" w:cs="Times"/>
                            <w:color w:val="000000"/>
                            <w:lang w:eastAsia="es-GT"/>
                          </w:rPr>
                        </w:pPr>
                        <w:r w:rsidRPr="00E506E6">
                          <w:rPr>
                            <w:rFonts w:ascii="Times" w:hAnsi="Times" w:cs="Times"/>
                            <w:color w:val="000000"/>
                            <w:lang w:eastAsia="es-GT"/>
                          </w:rPr>
                          <w:t>70</w:t>
                        </w:r>
                      </w:p>
                    </w:tc>
                  </w:tr>
                  <w:tr w:rsidR="00246A61" w:rsidRPr="00902CD5" w14:paraId="5BF12A5E" w14:textId="77777777" w:rsidTr="00BA4D6D">
                    <w:trPr>
                      <w:trHeight w:val="632"/>
                      <w:jc w:val="center"/>
                    </w:trPr>
                    <w:tc>
                      <w:tcPr>
                        <w:tcW w:w="4924" w:type="dxa"/>
                        <w:tcBorders>
                          <w:top w:val="nil"/>
                          <w:left w:val="single" w:sz="4" w:space="0" w:color="auto"/>
                          <w:bottom w:val="nil"/>
                          <w:right w:val="nil"/>
                        </w:tcBorders>
                        <w:shd w:val="clear" w:color="auto" w:fill="FFFFFF" w:themeFill="background1"/>
                        <w:vAlign w:val="bottom"/>
                        <w:hideMark/>
                      </w:tcPr>
                      <w:p w14:paraId="78348C19" w14:textId="77777777" w:rsidR="00246A61" w:rsidRPr="00E506E6" w:rsidRDefault="00246A61" w:rsidP="00BA4D6D">
                        <w:pPr>
                          <w:rPr>
                            <w:rFonts w:ascii="Times" w:hAnsi="Times" w:cs="Times"/>
                            <w:color w:val="000000"/>
                            <w:lang w:eastAsia="es-GT"/>
                          </w:rPr>
                        </w:pPr>
                        <w:r w:rsidRPr="00E506E6">
                          <w:rPr>
                            <w:rFonts w:ascii="Times" w:hAnsi="Times" w:cs="Times"/>
                            <w:color w:val="000000"/>
                            <w:lang w:eastAsia="es-GT"/>
                          </w:rPr>
                          <w:t xml:space="preserve">    Requerimiento de financiamiento del sector</w:t>
                        </w:r>
                      </w:p>
                      <w:p w14:paraId="12EFA51A" w14:textId="77777777" w:rsidR="00246A61" w:rsidRPr="00E506E6" w:rsidRDefault="00246A61" w:rsidP="00BA4D6D">
                        <w:pPr>
                          <w:rPr>
                            <w:rFonts w:ascii="Times" w:hAnsi="Times" w:cs="Times"/>
                            <w:color w:val="000000"/>
                            <w:lang w:eastAsia="es-GT"/>
                          </w:rPr>
                        </w:pPr>
                        <w:r w:rsidRPr="00E506E6">
                          <w:rPr>
                            <w:rFonts w:ascii="Times" w:hAnsi="Times" w:cs="Times"/>
                            <w:color w:val="000000"/>
                            <w:lang w:eastAsia="es-GT"/>
                          </w:rPr>
                          <w:t xml:space="preserve">    público como porcentaje del PIB</w:t>
                        </w:r>
                      </w:p>
                    </w:tc>
                    <w:tc>
                      <w:tcPr>
                        <w:tcW w:w="1444" w:type="dxa"/>
                        <w:tcBorders>
                          <w:top w:val="nil"/>
                          <w:left w:val="single" w:sz="4" w:space="0" w:color="auto"/>
                          <w:bottom w:val="nil"/>
                          <w:right w:val="single" w:sz="4" w:space="0" w:color="auto"/>
                        </w:tcBorders>
                        <w:shd w:val="clear" w:color="auto" w:fill="FFFFFF" w:themeFill="background1"/>
                        <w:noWrap/>
                        <w:vAlign w:val="center"/>
                        <w:hideMark/>
                      </w:tcPr>
                      <w:p w14:paraId="0E9DA067" w14:textId="77777777" w:rsidR="00246A61" w:rsidRPr="00E506E6" w:rsidRDefault="00246A61" w:rsidP="00BA4D6D">
                        <w:pPr>
                          <w:jc w:val="center"/>
                          <w:rPr>
                            <w:rFonts w:ascii="Times" w:hAnsi="Times" w:cs="Times"/>
                            <w:color w:val="000000"/>
                            <w:lang w:eastAsia="es-GT"/>
                          </w:rPr>
                        </w:pPr>
                        <w:r w:rsidRPr="00E506E6">
                          <w:rPr>
                            <w:rFonts w:ascii="Times" w:hAnsi="Times" w:cs="Times"/>
                            <w:color w:val="000000"/>
                            <w:lang w:eastAsia="es-GT"/>
                          </w:rPr>
                          <w:t>15</w:t>
                        </w:r>
                      </w:p>
                    </w:tc>
                    <w:tc>
                      <w:tcPr>
                        <w:tcW w:w="1423" w:type="dxa"/>
                        <w:tcBorders>
                          <w:top w:val="nil"/>
                          <w:left w:val="nil"/>
                          <w:bottom w:val="nil"/>
                          <w:right w:val="single" w:sz="4" w:space="0" w:color="auto"/>
                        </w:tcBorders>
                        <w:shd w:val="clear" w:color="auto" w:fill="FFFFFF" w:themeFill="background1"/>
                        <w:noWrap/>
                        <w:vAlign w:val="center"/>
                        <w:hideMark/>
                      </w:tcPr>
                      <w:p w14:paraId="501F4D9C" w14:textId="77777777" w:rsidR="00246A61" w:rsidRPr="00E506E6" w:rsidRDefault="00246A61" w:rsidP="00BA4D6D">
                        <w:pPr>
                          <w:jc w:val="center"/>
                          <w:rPr>
                            <w:rFonts w:ascii="Times" w:hAnsi="Times" w:cs="Times"/>
                            <w:color w:val="000000"/>
                            <w:lang w:eastAsia="es-GT"/>
                          </w:rPr>
                        </w:pPr>
                        <w:r w:rsidRPr="00E506E6">
                          <w:rPr>
                            <w:rFonts w:ascii="Times" w:hAnsi="Times" w:cs="Times"/>
                            <w:color w:val="000000"/>
                            <w:lang w:eastAsia="es-GT"/>
                          </w:rPr>
                          <w:t>20</w:t>
                        </w:r>
                      </w:p>
                    </w:tc>
                  </w:tr>
                  <w:tr w:rsidR="00246A61" w:rsidRPr="00902CD5" w14:paraId="0D326EA2" w14:textId="77777777" w:rsidTr="00BA4D6D">
                    <w:trPr>
                      <w:trHeight w:val="264"/>
                      <w:jc w:val="center"/>
                    </w:trPr>
                    <w:tc>
                      <w:tcPr>
                        <w:tcW w:w="4924" w:type="dxa"/>
                        <w:tcBorders>
                          <w:top w:val="nil"/>
                          <w:left w:val="single" w:sz="4" w:space="0" w:color="auto"/>
                          <w:bottom w:val="nil"/>
                          <w:right w:val="nil"/>
                        </w:tcBorders>
                        <w:shd w:val="clear" w:color="auto" w:fill="FFFFFF" w:themeFill="background1"/>
                        <w:noWrap/>
                        <w:vAlign w:val="bottom"/>
                        <w:hideMark/>
                      </w:tcPr>
                      <w:p w14:paraId="4DF34A0A" w14:textId="77777777" w:rsidR="00246A61" w:rsidRPr="00E506E6" w:rsidRDefault="00246A61" w:rsidP="00BA4D6D">
                        <w:pPr>
                          <w:rPr>
                            <w:rFonts w:ascii="Times" w:hAnsi="Times" w:cs="Times"/>
                            <w:b/>
                            <w:bCs/>
                            <w:color w:val="000000"/>
                            <w:lang w:eastAsia="es-GT"/>
                          </w:rPr>
                        </w:pPr>
                        <w:r w:rsidRPr="00E506E6">
                          <w:rPr>
                            <w:rFonts w:ascii="Times" w:hAnsi="Times" w:cs="Times"/>
                            <w:b/>
                            <w:bCs/>
                            <w:color w:val="000000"/>
                            <w:lang w:eastAsia="es-GT"/>
                          </w:rPr>
                          <w:t>Indicadores del perfil de deuda</w:t>
                        </w:r>
                      </w:p>
                    </w:tc>
                    <w:tc>
                      <w:tcPr>
                        <w:tcW w:w="1444" w:type="dxa"/>
                        <w:tcBorders>
                          <w:top w:val="nil"/>
                          <w:left w:val="single" w:sz="4" w:space="0" w:color="auto"/>
                          <w:bottom w:val="nil"/>
                          <w:right w:val="single" w:sz="4" w:space="0" w:color="auto"/>
                        </w:tcBorders>
                        <w:shd w:val="clear" w:color="auto" w:fill="FFFFFF" w:themeFill="background1"/>
                        <w:noWrap/>
                        <w:vAlign w:val="center"/>
                        <w:hideMark/>
                      </w:tcPr>
                      <w:p w14:paraId="096C3F12" w14:textId="77777777" w:rsidR="00246A61" w:rsidRPr="00E506E6" w:rsidRDefault="00246A61" w:rsidP="00BA4D6D">
                        <w:pPr>
                          <w:jc w:val="center"/>
                          <w:rPr>
                            <w:rFonts w:ascii="Times" w:hAnsi="Times" w:cs="Times"/>
                            <w:color w:val="000000"/>
                            <w:lang w:eastAsia="es-GT"/>
                          </w:rPr>
                        </w:pPr>
                        <w:r w:rsidRPr="00E506E6">
                          <w:rPr>
                            <w:rFonts w:ascii="Times" w:hAnsi="Times" w:cs="Times"/>
                            <w:color w:val="000000"/>
                            <w:lang w:eastAsia="es-GT"/>
                          </w:rPr>
                          <w:t> </w:t>
                        </w:r>
                      </w:p>
                    </w:tc>
                    <w:tc>
                      <w:tcPr>
                        <w:tcW w:w="1423" w:type="dxa"/>
                        <w:tcBorders>
                          <w:top w:val="nil"/>
                          <w:left w:val="nil"/>
                          <w:bottom w:val="nil"/>
                          <w:right w:val="single" w:sz="4" w:space="0" w:color="auto"/>
                        </w:tcBorders>
                        <w:shd w:val="clear" w:color="auto" w:fill="FFFFFF" w:themeFill="background1"/>
                        <w:noWrap/>
                        <w:vAlign w:val="center"/>
                        <w:hideMark/>
                      </w:tcPr>
                      <w:p w14:paraId="18BC5C6D" w14:textId="77777777" w:rsidR="00246A61" w:rsidRPr="00E506E6" w:rsidRDefault="00246A61" w:rsidP="00BA4D6D">
                        <w:pPr>
                          <w:jc w:val="center"/>
                          <w:rPr>
                            <w:rFonts w:ascii="Times" w:hAnsi="Times" w:cs="Times"/>
                            <w:color w:val="000000"/>
                            <w:lang w:eastAsia="es-GT"/>
                          </w:rPr>
                        </w:pPr>
                        <w:r w:rsidRPr="00E506E6">
                          <w:rPr>
                            <w:rFonts w:ascii="Times" w:hAnsi="Times" w:cs="Times"/>
                            <w:color w:val="000000"/>
                            <w:lang w:eastAsia="es-GT"/>
                          </w:rPr>
                          <w:t> </w:t>
                        </w:r>
                      </w:p>
                    </w:tc>
                  </w:tr>
                  <w:tr w:rsidR="00246A61" w:rsidRPr="00902CD5" w14:paraId="6D782E79" w14:textId="77777777" w:rsidTr="00BA4D6D">
                    <w:trPr>
                      <w:trHeight w:val="264"/>
                      <w:jc w:val="center"/>
                    </w:trPr>
                    <w:tc>
                      <w:tcPr>
                        <w:tcW w:w="4924" w:type="dxa"/>
                        <w:tcBorders>
                          <w:top w:val="nil"/>
                          <w:left w:val="single" w:sz="4" w:space="0" w:color="auto"/>
                          <w:bottom w:val="nil"/>
                          <w:right w:val="nil"/>
                        </w:tcBorders>
                        <w:shd w:val="clear" w:color="auto" w:fill="FFFFFF" w:themeFill="background1"/>
                        <w:noWrap/>
                        <w:vAlign w:val="bottom"/>
                        <w:hideMark/>
                      </w:tcPr>
                      <w:p w14:paraId="62CAF6B2" w14:textId="77777777" w:rsidR="00246A61" w:rsidRPr="00E506E6" w:rsidRDefault="00246A61" w:rsidP="00BA4D6D">
                        <w:pPr>
                          <w:ind w:firstLineChars="100" w:firstLine="200"/>
                          <w:rPr>
                            <w:rFonts w:ascii="Times" w:hAnsi="Times" w:cs="Times"/>
                            <w:color w:val="000000"/>
                            <w:lang w:eastAsia="es-GT"/>
                          </w:rPr>
                        </w:pPr>
                        <w:r w:rsidRPr="00E506E6">
                          <w:rPr>
                            <w:rFonts w:ascii="Times" w:hAnsi="Times" w:cs="Times"/>
                            <w:color w:val="000000"/>
                            <w:lang w:eastAsia="es-GT"/>
                          </w:rPr>
                          <w:t xml:space="preserve">Spread de los bonos </w:t>
                        </w:r>
                        <w:r>
                          <w:rPr>
                            <w:rFonts w:ascii="Times" w:hAnsi="Times" w:cs="Times"/>
                            <w:color w:val="000000"/>
                            <w:lang w:eastAsia="es-GT"/>
                          </w:rPr>
                          <w:t>(con E.E.U.U o Alemania)</w:t>
                        </w:r>
                      </w:p>
                    </w:tc>
                    <w:tc>
                      <w:tcPr>
                        <w:tcW w:w="1444" w:type="dxa"/>
                        <w:tcBorders>
                          <w:top w:val="nil"/>
                          <w:left w:val="single" w:sz="4" w:space="0" w:color="auto"/>
                          <w:bottom w:val="nil"/>
                          <w:right w:val="single" w:sz="4" w:space="0" w:color="auto"/>
                        </w:tcBorders>
                        <w:shd w:val="clear" w:color="auto" w:fill="FFFFFF" w:themeFill="background1"/>
                        <w:noWrap/>
                        <w:vAlign w:val="center"/>
                        <w:hideMark/>
                      </w:tcPr>
                      <w:p w14:paraId="1F66ED32" w14:textId="77777777" w:rsidR="00246A61" w:rsidRPr="00E506E6" w:rsidRDefault="00246A61" w:rsidP="00BA4D6D">
                        <w:pPr>
                          <w:jc w:val="center"/>
                          <w:rPr>
                            <w:rFonts w:ascii="Times" w:hAnsi="Times" w:cs="Times"/>
                            <w:color w:val="000000"/>
                            <w:lang w:eastAsia="es-GT"/>
                          </w:rPr>
                        </w:pPr>
                        <w:r w:rsidRPr="00E506E6">
                          <w:rPr>
                            <w:rFonts w:ascii="Times" w:hAnsi="Times" w:cs="Times"/>
                            <w:color w:val="000000"/>
                            <w:lang w:eastAsia="es-GT"/>
                          </w:rPr>
                          <w:t>800</w:t>
                        </w:r>
                      </w:p>
                    </w:tc>
                    <w:tc>
                      <w:tcPr>
                        <w:tcW w:w="1423" w:type="dxa"/>
                        <w:tcBorders>
                          <w:top w:val="nil"/>
                          <w:left w:val="nil"/>
                          <w:bottom w:val="nil"/>
                          <w:right w:val="single" w:sz="4" w:space="0" w:color="auto"/>
                        </w:tcBorders>
                        <w:shd w:val="clear" w:color="auto" w:fill="FFFFFF" w:themeFill="background1"/>
                        <w:noWrap/>
                        <w:vAlign w:val="center"/>
                        <w:hideMark/>
                      </w:tcPr>
                      <w:p w14:paraId="4AA66B88" w14:textId="77777777" w:rsidR="00246A61" w:rsidRPr="00E506E6" w:rsidRDefault="00246A61" w:rsidP="00BA4D6D">
                        <w:pPr>
                          <w:jc w:val="center"/>
                          <w:rPr>
                            <w:rFonts w:ascii="Times" w:hAnsi="Times" w:cs="Times"/>
                            <w:color w:val="000000"/>
                            <w:lang w:eastAsia="es-GT"/>
                          </w:rPr>
                        </w:pPr>
                        <w:r w:rsidRPr="00E506E6">
                          <w:rPr>
                            <w:rFonts w:ascii="Times" w:hAnsi="Times" w:cs="Times"/>
                            <w:color w:val="000000"/>
                            <w:lang w:eastAsia="es-GT"/>
                          </w:rPr>
                          <w:t>800</w:t>
                        </w:r>
                      </w:p>
                    </w:tc>
                  </w:tr>
                  <w:tr w:rsidR="00246A61" w:rsidRPr="00902CD5" w14:paraId="1EF43AC3" w14:textId="77777777" w:rsidTr="00BA4D6D">
                    <w:trPr>
                      <w:trHeight w:val="264"/>
                      <w:jc w:val="center"/>
                    </w:trPr>
                    <w:tc>
                      <w:tcPr>
                        <w:tcW w:w="4924" w:type="dxa"/>
                        <w:tcBorders>
                          <w:top w:val="nil"/>
                          <w:left w:val="single" w:sz="4" w:space="0" w:color="auto"/>
                          <w:bottom w:val="nil"/>
                          <w:right w:val="nil"/>
                        </w:tcBorders>
                        <w:shd w:val="clear" w:color="auto" w:fill="FFFFFF" w:themeFill="background1"/>
                        <w:noWrap/>
                        <w:vAlign w:val="bottom"/>
                        <w:hideMark/>
                      </w:tcPr>
                      <w:p w14:paraId="369BD1A4" w14:textId="77777777" w:rsidR="00246A61" w:rsidRPr="00E506E6" w:rsidRDefault="00246A61" w:rsidP="00BA4D6D">
                        <w:pPr>
                          <w:ind w:firstLineChars="100" w:firstLine="200"/>
                          <w:rPr>
                            <w:rFonts w:ascii="Times" w:hAnsi="Times" w:cs="Times"/>
                            <w:color w:val="000000"/>
                            <w:lang w:eastAsia="es-GT"/>
                          </w:rPr>
                        </w:pPr>
                        <w:r w:rsidRPr="00E506E6">
                          <w:rPr>
                            <w:rFonts w:ascii="Times" w:hAnsi="Times" w:cs="Times"/>
                            <w:color w:val="000000"/>
                            <w:lang w:eastAsia="es-GT"/>
                          </w:rPr>
                          <w:t>Requerimiento de financiamiento externo</w:t>
                        </w:r>
                      </w:p>
                    </w:tc>
                    <w:tc>
                      <w:tcPr>
                        <w:tcW w:w="1444" w:type="dxa"/>
                        <w:tcBorders>
                          <w:top w:val="nil"/>
                          <w:left w:val="single" w:sz="4" w:space="0" w:color="auto"/>
                          <w:bottom w:val="nil"/>
                          <w:right w:val="single" w:sz="4" w:space="0" w:color="auto"/>
                        </w:tcBorders>
                        <w:shd w:val="clear" w:color="auto" w:fill="FFFFFF" w:themeFill="background1"/>
                        <w:noWrap/>
                        <w:vAlign w:val="center"/>
                        <w:hideMark/>
                      </w:tcPr>
                      <w:p w14:paraId="12C659D2" w14:textId="77777777" w:rsidR="00246A61" w:rsidRPr="00E506E6" w:rsidRDefault="00246A61" w:rsidP="00BA4D6D">
                        <w:pPr>
                          <w:jc w:val="center"/>
                          <w:rPr>
                            <w:rFonts w:ascii="Times" w:hAnsi="Times" w:cs="Times"/>
                            <w:color w:val="000000"/>
                            <w:lang w:eastAsia="es-GT"/>
                          </w:rPr>
                        </w:pPr>
                        <w:r w:rsidRPr="00E506E6">
                          <w:rPr>
                            <w:rFonts w:ascii="Times" w:hAnsi="Times" w:cs="Times"/>
                            <w:color w:val="000000"/>
                            <w:lang w:eastAsia="es-GT"/>
                          </w:rPr>
                          <w:t>20</w:t>
                        </w:r>
                      </w:p>
                    </w:tc>
                    <w:tc>
                      <w:tcPr>
                        <w:tcW w:w="1423" w:type="dxa"/>
                        <w:tcBorders>
                          <w:top w:val="nil"/>
                          <w:left w:val="nil"/>
                          <w:bottom w:val="nil"/>
                          <w:right w:val="single" w:sz="4" w:space="0" w:color="auto"/>
                        </w:tcBorders>
                        <w:shd w:val="clear" w:color="auto" w:fill="FFFFFF" w:themeFill="background1"/>
                        <w:noWrap/>
                        <w:vAlign w:val="center"/>
                        <w:hideMark/>
                      </w:tcPr>
                      <w:p w14:paraId="5E708D93" w14:textId="77777777" w:rsidR="00246A61" w:rsidRPr="00E506E6" w:rsidRDefault="00246A61" w:rsidP="00BA4D6D">
                        <w:pPr>
                          <w:jc w:val="center"/>
                          <w:rPr>
                            <w:rFonts w:ascii="Times" w:hAnsi="Times" w:cs="Times"/>
                            <w:color w:val="000000"/>
                            <w:lang w:eastAsia="es-GT"/>
                          </w:rPr>
                        </w:pPr>
                        <w:r w:rsidRPr="00E506E6">
                          <w:rPr>
                            <w:rFonts w:ascii="Times" w:hAnsi="Times" w:cs="Times"/>
                            <w:color w:val="000000"/>
                            <w:lang w:eastAsia="es-GT"/>
                          </w:rPr>
                          <w:t>35</w:t>
                        </w:r>
                      </w:p>
                    </w:tc>
                  </w:tr>
                  <w:tr w:rsidR="00246A61" w:rsidRPr="00902CD5" w14:paraId="0F99CB76" w14:textId="77777777" w:rsidTr="00BA4D6D">
                    <w:trPr>
                      <w:trHeight w:val="264"/>
                      <w:jc w:val="center"/>
                    </w:trPr>
                    <w:tc>
                      <w:tcPr>
                        <w:tcW w:w="4924" w:type="dxa"/>
                        <w:tcBorders>
                          <w:top w:val="nil"/>
                          <w:left w:val="single" w:sz="4" w:space="0" w:color="auto"/>
                          <w:bottom w:val="nil"/>
                          <w:right w:val="nil"/>
                        </w:tcBorders>
                        <w:shd w:val="clear" w:color="auto" w:fill="FFFFFF" w:themeFill="background1"/>
                        <w:noWrap/>
                        <w:vAlign w:val="bottom"/>
                        <w:hideMark/>
                      </w:tcPr>
                      <w:p w14:paraId="1A7F1612" w14:textId="77777777" w:rsidR="00246A61" w:rsidRPr="00E506E6" w:rsidRDefault="00246A61" w:rsidP="00BA4D6D">
                        <w:pPr>
                          <w:ind w:firstLineChars="100" w:firstLine="200"/>
                          <w:rPr>
                            <w:rFonts w:ascii="Times" w:hAnsi="Times" w:cs="Times"/>
                            <w:color w:val="000000"/>
                            <w:lang w:eastAsia="es-GT"/>
                          </w:rPr>
                        </w:pPr>
                        <w:r w:rsidRPr="00E506E6">
                          <w:rPr>
                            <w:rFonts w:ascii="Times" w:hAnsi="Times" w:cs="Times"/>
                            <w:color w:val="000000"/>
                            <w:lang w:eastAsia="es-GT"/>
                          </w:rPr>
                          <w:t>Deuda en moneda extranjera</w:t>
                        </w:r>
                      </w:p>
                    </w:tc>
                    <w:tc>
                      <w:tcPr>
                        <w:tcW w:w="1444" w:type="dxa"/>
                        <w:tcBorders>
                          <w:top w:val="nil"/>
                          <w:left w:val="single" w:sz="4" w:space="0" w:color="auto"/>
                          <w:bottom w:val="nil"/>
                          <w:right w:val="single" w:sz="4" w:space="0" w:color="auto"/>
                        </w:tcBorders>
                        <w:shd w:val="clear" w:color="auto" w:fill="FFFFFF" w:themeFill="background1"/>
                        <w:noWrap/>
                        <w:vAlign w:val="center"/>
                        <w:hideMark/>
                      </w:tcPr>
                      <w:p w14:paraId="187E721B" w14:textId="77777777" w:rsidR="00246A61" w:rsidRPr="00E506E6" w:rsidRDefault="00246A61" w:rsidP="00BA4D6D">
                        <w:pPr>
                          <w:jc w:val="center"/>
                          <w:rPr>
                            <w:rFonts w:ascii="Times" w:hAnsi="Times" w:cs="Times"/>
                            <w:color w:val="000000"/>
                            <w:lang w:eastAsia="es-GT"/>
                          </w:rPr>
                        </w:pPr>
                        <w:r w:rsidRPr="00E506E6">
                          <w:rPr>
                            <w:rFonts w:ascii="Times" w:hAnsi="Times" w:cs="Times"/>
                            <w:color w:val="000000"/>
                            <w:lang w:eastAsia="es-GT"/>
                          </w:rPr>
                          <w:t>80</w:t>
                        </w:r>
                      </w:p>
                    </w:tc>
                    <w:tc>
                      <w:tcPr>
                        <w:tcW w:w="1423" w:type="dxa"/>
                        <w:tcBorders>
                          <w:top w:val="nil"/>
                          <w:left w:val="nil"/>
                          <w:bottom w:val="nil"/>
                          <w:right w:val="single" w:sz="4" w:space="0" w:color="auto"/>
                        </w:tcBorders>
                        <w:shd w:val="clear" w:color="auto" w:fill="FFFFFF" w:themeFill="background1"/>
                        <w:noWrap/>
                        <w:vAlign w:val="center"/>
                        <w:hideMark/>
                      </w:tcPr>
                      <w:p w14:paraId="45EC26D0" w14:textId="77777777" w:rsidR="00246A61" w:rsidRPr="00E506E6" w:rsidRDefault="00246A61" w:rsidP="00BA4D6D">
                        <w:pPr>
                          <w:jc w:val="center"/>
                          <w:rPr>
                            <w:rFonts w:ascii="Times" w:hAnsi="Times" w:cs="Times"/>
                            <w:color w:val="000000"/>
                            <w:lang w:eastAsia="es-GT"/>
                          </w:rPr>
                        </w:pPr>
                        <w:r w:rsidRPr="00E506E6">
                          <w:rPr>
                            <w:rFonts w:ascii="Times" w:hAnsi="Times" w:cs="Times"/>
                            <w:color w:val="000000"/>
                            <w:lang w:eastAsia="es-GT"/>
                          </w:rPr>
                          <w:t> ne*</w:t>
                        </w:r>
                      </w:p>
                    </w:tc>
                  </w:tr>
                  <w:tr w:rsidR="00246A61" w:rsidRPr="00902CD5" w14:paraId="22AE9B48" w14:textId="77777777" w:rsidTr="00BA4D6D">
                    <w:trPr>
                      <w:trHeight w:val="516"/>
                      <w:jc w:val="center"/>
                    </w:trPr>
                    <w:tc>
                      <w:tcPr>
                        <w:tcW w:w="4924" w:type="dxa"/>
                        <w:tcBorders>
                          <w:top w:val="nil"/>
                          <w:left w:val="single" w:sz="4" w:space="0" w:color="auto"/>
                          <w:bottom w:val="nil"/>
                          <w:right w:val="nil"/>
                        </w:tcBorders>
                        <w:shd w:val="clear" w:color="auto" w:fill="FFFFFF" w:themeFill="background1"/>
                        <w:vAlign w:val="bottom"/>
                        <w:hideMark/>
                      </w:tcPr>
                      <w:p w14:paraId="1A1F35CD" w14:textId="77777777" w:rsidR="00246A61" w:rsidRPr="00E506E6" w:rsidRDefault="00246A61" w:rsidP="00BA4D6D">
                        <w:pPr>
                          <w:ind w:firstLineChars="100" w:firstLine="200"/>
                          <w:rPr>
                            <w:rFonts w:ascii="Times" w:hAnsi="Times" w:cs="Times"/>
                            <w:color w:val="000000"/>
                            <w:lang w:eastAsia="es-GT"/>
                          </w:rPr>
                        </w:pPr>
                        <w:r w:rsidRPr="00E506E6">
                          <w:rPr>
                            <w:rFonts w:ascii="Times" w:hAnsi="Times" w:cs="Times"/>
                            <w:color w:val="000000"/>
                            <w:lang w:eastAsia="es-GT"/>
                          </w:rPr>
                          <w:t>Cambio anual de la participación de la deuda a</w:t>
                        </w:r>
                      </w:p>
                      <w:p w14:paraId="3A5FBB56" w14:textId="77777777" w:rsidR="00246A61" w:rsidRPr="00E506E6" w:rsidRDefault="00246A61" w:rsidP="00BA4D6D">
                        <w:pPr>
                          <w:ind w:firstLineChars="100" w:firstLine="200"/>
                          <w:rPr>
                            <w:rFonts w:ascii="Times" w:hAnsi="Times" w:cs="Times"/>
                            <w:color w:val="000000"/>
                            <w:lang w:eastAsia="es-GT"/>
                          </w:rPr>
                        </w:pPr>
                        <w:r w:rsidRPr="00E506E6">
                          <w:rPr>
                            <w:rFonts w:ascii="Times" w:hAnsi="Times" w:cs="Times"/>
                            <w:color w:val="000000"/>
                            <w:lang w:eastAsia="es-GT"/>
                          </w:rPr>
                          <w:t>corto plazo</w:t>
                        </w:r>
                      </w:p>
                    </w:tc>
                    <w:tc>
                      <w:tcPr>
                        <w:tcW w:w="1444" w:type="dxa"/>
                        <w:tcBorders>
                          <w:top w:val="nil"/>
                          <w:left w:val="single" w:sz="4" w:space="0" w:color="auto"/>
                          <w:bottom w:val="nil"/>
                          <w:right w:val="single" w:sz="4" w:space="0" w:color="auto"/>
                        </w:tcBorders>
                        <w:shd w:val="clear" w:color="auto" w:fill="FFFFFF" w:themeFill="background1"/>
                        <w:noWrap/>
                        <w:vAlign w:val="center"/>
                        <w:hideMark/>
                      </w:tcPr>
                      <w:p w14:paraId="05A29F1F" w14:textId="77777777" w:rsidR="00246A61" w:rsidRPr="00E506E6" w:rsidRDefault="00246A61" w:rsidP="00BA4D6D">
                        <w:pPr>
                          <w:jc w:val="center"/>
                          <w:rPr>
                            <w:rFonts w:ascii="Times" w:hAnsi="Times" w:cs="Times"/>
                            <w:color w:val="000000"/>
                            <w:lang w:eastAsia="es-GT"/>
                          </w:rPr>
                        </w:pPr>
                        <w:r w:rsidRPr="00E506E6">
                          <w:rPr>
                            <w:rFonts w:ascii="Times" w:hAnsi="Times" w:cs="Times"/>
                            <w:color w:val="000000"/>
                            <w:lang w:eastAsia="es-GT"/>
                          </w:rPr>
                          <w:t>1.5</w:t>
                        </w:r>
                      </w:p>
                    </w:tc>
                    <w:tc>
                      <w:tcPr>
                        <w:tcW w:w="1423" w:type="dxa"/>
                        <w:tcBorders>
                          <w:top w:val="nil"/>
                          <w:left w:val="nil"/>
                          <w:bottom w:val="nil"/>
                          <w:right w:val="single" w:sz="4" w:space="0" w:color="auto"/>
                        </w:tcBorders>
                        <w:shd w:val="clear" w:color="auto" w:fill="FFFFFF" w:themeFill="background1"/>
                        <w:noWrap/>
                        <w:vAlign w:val="center"/>
                        <w:hideMark/>
                      </w:tcPr>
                      <w:p w14:paraId="4ABF29AC" w14:textId="77777777" w:rsidR="00246A61" w:rsidRPr="00E506E6" w:rsidRDefault="00246A61" w:rsidP="00BA4D6D">
                        <w:pPr>
                          <w:jc w:val="center"/>
                          <w:rPr>
                            <w:rFonts w:ascii="Times" w:hAnsi="Times" w:cs="Times"/>
                            <w:color w:val="000000"/>
                            <w:lang w:eastAsia="es-GT"/>
                          </w:rPr>
                        </w:pPr>
                        <w:r w:rsidRPr="00E506E6">
                          <w:rPr>
                            <w:rFonts w:ascii="Times" w:hAnsi="Times" w:cs="Times"/>
                            <w:color w:val="000000"/>
                            <w:lang w:eastAsia="es-GT"/>
                          </w:rPr>
                          <w:t>2</w:t>
                        </w:r>
                      </w:p>
                    </w:tc>
                  </w:tr>
                  <w:tr w:rsidR="00246A61" w:rsidRPr="00902CD5" w14:paraId="5A6A0B93" w14:textId="77777777" w:rsidTr="00BA4D6D">
                    <w:trPr>
                      <w:trHeight w:val="264"/>
                      <w:jc w:val="center"/>
                    </w:trPr>
                    <w:tc>
                      <w:tcPr>
                        <w:tcW w:w="4924" w:type="dxa"/>
                        <w:tcBorders>
                          <w:top w:val="nil"/>
                          <w:left w:val="single" w:sz="4" w:space="0" w:color="auto"/>
                          <w:bottom w:val="single" w:sz="4" w:space="0" w:color="auto"/>
                          <w:right w:val="nil"/>
                        </w:tcBorders>
                        <w:shd w:val="clear" w:color="auto" w:fill="FFFFFF" w:themeFill="background1"/>
                        <w:noWrap/>
                        <w:vAlign w:val="bottom"/>
                        <w:hideMark/>
                      </w:tcPr>
                      <w:p w14:paraId="1F87CCEF" w14:textId="77777777" w:rsidR="00246A61" w:rsidRPr="00E506E6" w:rsidRDefault="00246A61" w:rsidP="00BA4D6D">
                        <w:pPr>
                          <w:ind w:firstLineChars="100" w:firstLine="200"/>
                          <w:rPr>
                            <w:rFonts w:ascii="Times" w:hAnsi="Times" w:cs="Times"/>
                            <w:color w:val="000000"/>
                            <w:lang w:eastAsia="es-GT"/>
                          </w:rPr>
                        </w:pPr>
                        <w:r w:rsidRPr="00E506E6">
                          <w:rPr>
                            <w:rFonts w:ascii="Times" w:hAnsi="Times" w:cs="Times"/>
                            <w:color w:val="000000"/>
                            <w:lang w:eastAsia="es-GT"/>
                          </w:rPr>
                          <w:t>Deuda externa</w:t>
                        </w:r>
                      </w:p>
                    </w:tc>
                    <w:tc>
                      <w:tcPr>
                        <w:tcW w:w="1444" w:type="dxa"/>
                        <w:tcBorders>
                          <w:top w:val="nil"/>
                          <w:left w:val="single" w:sz="4" w:space="0" w:color="auto"/>
                          <w:bottom w:val="single" w:sz="4" w:space="0" w:color="auto"/>
                          <w:right w:val="single" w:sz="4" w:space="0" w:color="auto"/>
                        </w:tcBorders>
                        <w:shd w:val="clear" w:color="auto" w:fill="FFFFFF" w:themeFill="background1"/>
                        <w:noWrap/>
                        <w:vAlign w:val="center"/>
                        <w:hideMark/>
                      </w:tcPr>
                      <w:p w14:paraId="37CDB402" w14:textId="77777777" w:rsidR="00246A61" w:rsidRPr="00E506E6" w:rsidRDefault="00246A61" w:rsidP="00BA4D6D">
                        <w:pPr>
                          <w:jc w:val="center"/>
                          <w:rPr>
                            <w:rFonts w:ascii="Times" w:hAnsi="Times" w:cs="Times"/>
                            <w:color w:val="000000"/>
                            <w:lang w:eastAsia="es-GT"/>
                          </w:rPr>
                        </w:pPr>
                        <w:r w:rsidRPr="00E506E6">
                          <w:rPr>
                            <w:rFonts w:ascii="Times" w:hAnsi="Times" w:cs="Times"/>
                            <w:color w:val="000000"/>
                            <w:lang w:eastAsia="es-GT"/>
                          </w:rPr>
                          <w:t>60</w:t>
                        </w:r>
                      </w:p>
                    </w:tc>
                    <w:tc>
                      <w:tcPr>
                        <w:tcW w:w="1423" w:type="dxa"/>
                        <w:tcBorders>
                          <w:top w:val="nil"/>
                          <w:left w:val="nil"/>
                          <w:bottom w:val="single" w:sz="4" w:space="0" w:color="auto"/>
                          <w:right w:val="single" w:sz="4" w:space="0" w:color="auto"/>
                        </w:tcBorders>
                        <w:shd w:val="clear" w:color="auto" w:fill="FFFFFF" w:themeFill="background1"/>
                        <w:noWrap/>
                        <w:vAlign w:val="center"/>
                        <w:hideMark/>
                      </w:tcPr>
                      <w:p w14:paraId="697F79A1" w14:textId="77777777" w:rsidR="00246A61" w:rsidRPr="00E506E6" w:rsidRDefault="00246A61" w:rsidP="00BA4D6D">
                        <w:pPr>
                          <w:jc w:val="center"/>
                          <w:rPr>
                            <w:rFonts w:ascii="Times" w:hAnsi="Times" w:cs="Times"/>
                            <w:color w:val="000000"/>
                            <w:lang w:eastAsia="es-GT"/>
                          </w:rPr>
                        </w:pPr>
                        <w:r w:rsidRPr="00E506E6">
                          <w:rPr>
                            <w:rFonts w:ascii="Times" w:hAnsi="Times" w:cs="Times"/>
                            <w:color w:val="000000"/>
                            <w:lang w:eastAsia="es-GT"/>
                          </w:rPr>
                          <w:t>60</w:t>
                        </w:r>
                      </w:p>
                    </w:tc>
                  </w:tr>
                </w:tbl>
                <w:p w14:paraId="314AEA6F" w14:textId="77777777" w:rsidR="00246A61" w:rsidRPr="00E506E6" w:rsidRDefault="00246A61" w:rsidP="00BA4D6D">
                  <w:pPr>
                    <w:jc w:val="both"/>
                    <w:rPr>
                      <w:sz w:val="18"/>
                      <w:szCs w:val="18"/>
                    </w:rPr>
                  </w:pPr>
                </w:p>
                <w:p w14:paraId="22106A9C" w14:textId="77777777" w:rsidR="00246A61" w:rsidRPr="00014D98" w:rsidRDefault="00246A61" w:rsidP="00BA4D6D">
                  <w:pPr>
                    <w:jc w:val="both"/>
                    <w:rPr>
                      <w:sz w:val="16"/>
                      <w:szCs w:val="16"/>
                    </w:rPr>
                  </w:pPr>
                  <w:r w:rsidRPr="00014D98">
                    <w:rPr>
                      <w:sz w:val="16"/>
                      <w:szCs w:val="16"/>
                    </w:rPr>
                    <w:t xml:space="preserve">            Fuente: Elaboración </w:t>
                  </w:r>
                  <w:r>
                    <w:rPr>
                      <w:sz w:val="16"/>
                      <w:szCs w:val="16"/>
                    </w:rPr>
                    <w:t>DAPF</w:t>
                  </w:r>
                  <w:r w:rsidRPr="00014D98">
                    <w:rPr>
                      <w:sz w:val="16"/>
                      <w:szCs w:val="16"/>
                    </w:rPr>
                    <w:t xml:space="preserve"> con información del FMI</w:t>
                  </w:r>
                </w:p>
                <w:p w14:paraId="6AD6A4AE" w14:textId="77777777" w:rsidR="00246A61" w:rsidRPr="00E506E6" w:rsidRDefault="00246A61" w:rsidP="00BA4D6D">
                  <w:pPr>
                    <w:jc w:val="both"/>
                    <w:rPr>
                      <w:sz w:val="18"/>
                      <w:szCs w:val="18"/>
                    </w:rPr>
                  </w:pPr>
                  <w:r w:rsidRPr="00014D98">
                    <w:rPr>
                      <w:sz w:val="16"/>
                      <w:szCs w:val="16"/>
                    </w:rPr>
                    <w:t xml:space="preserve">            ne*: No existe punto de referencia para este indicador</w:t>
                  </w:r>
                </w:p>
              </w:tc>
            </w:tr>
          </w:tbl>
          <w:p w14:paraId="7AE0BD7F" w14:textId="77777777" w:rsidR="00246A61" w:rsidRPr="00014D98" w:rsidRDefault="00246A61" w:rsidP="00BA4D6D">
            <w:pPr>
              <w:tabs>
                <w:tab w:val="left" w:pos="1582"/>
              </w:tabs>
              <w:jc w:val="both"/>
              <w:rPr>
                <w:sz w:val="8"/>
                <w:szCs w:val="8"/>
              </w:rPr>
            </w:pPr>
          </w:p>
          <w:p w14:paraId="1AD2A1AE" w14:textId="77777777" w:rsidR="00246A61" w:rsidRPr="00E30429" w:rsidRDefault="00246A61" w:rsidP="00BA4D6D">
            <w:pPr>
              <w:tabs>
                <w:tab w:val="left" w:pos="1582"/>
              </w:tabs>
              <w:jc w:val="both"/>
              <w:rPr>
                <w:sz w:val="24"/>
                <w:szCs w:val="24"/>
              </w:rPr>
            </w:pPr>
            <w:r w:rsidRPr="00014D98">
              <w:t xml:space="preserve">Sin embargo, en el capítulo tres de las “Perspectivas Económicas Mundiales” de octubre de 2012 del Fondo Monetario Internacional, se realizan distintos análisis para determinar la sostenibilidad de la deuda de varios países, mencionan que no existe un simple límite para los indicadores de deuda que puedan delinear una deuda “buena” de una “mala”, sino que es necesario explorar la dinámica de la deuda pública, su entorno macroeconómico y las políticas de cada país. Por otro lado, los autores del FMI de la publicación de “Espacio Fiscal” de 2010, quienes también investigaron límites para mantener </w:t>
            </w:r>
            <w:r w:rsidRPr="00014D98">
              <w:rPr>
                <w:sz w:val="18"/>
                <w:szCs w:val="18"/>
              </w:rPr>
              <w:t xml:space="preserve">la </w:t>
            </w:r>
            <w:r w:rsidRPr="00014D98">
              <w:t>sostenibilidad de deuda para diversos países indican que su límite recomendado no debe interpretarse como una barrera absoluta ni como el nivel óptimo de deuda pública.</w:t>
            </w:r>
          </w:p>
        </w:tc>
      </w:tr>
    </w:tbl>
    <w:p w14:paraId="6DA151C6" w14:textId="77777777" w:rsidR="00246A61" w:rsidRPr="00FE76BD" w:rsidRDefault="00246A61" w:rsidP="00246A61">
      <w:pPr>
        <w:ind w:left="567" w:right="49"/>
        <w:jc w:val="both"/>
        <w:rPr>
          <w:sz w:val="24"/>
          <w:szCs w:val="24"/>
        </w:rPr>
      </w:pPr>
    </w:p>
    <w:p w14:paraId="60CB03B3" w14:textId="77777777" w:rsidR="00246A61" w:rsidRPr="00FE76BD" w:rsidRDefault="00246A61" w:rsidP="00246A61">
      <w:pPr>
        <w:ind w:right="49"/>
        <w:jc w:val="both"/>
        <w:rPr>
          <w:sz w:val="24"/>
          <w:szCs w:val="24"/>
        </w:rPr>
      </w:pPr>
    </w:p>
    <w:tbl>
      <w:tblPr>
        <w:tblStyle w:val="Tablaconcuadrcula"/>
        <w:tblW w:w="8859"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Look w:val="04A0" w:firstRow="1" w:lastRow="0" w:firstColumn="1" w:lastColumn="0" w:noHBand="0" w:noVBand="1"/>
      </w:tblPr>
      <w:tblGrid>
        <w:gridCol w:w="10112"/>
      </w:tblGrid>
      <w:tr w:rsidR="00246A61" w:rsidRPr="00FE76BD" w14:paraId="003EFD10" w14:textId="77777777" w:rsidTr="00BA4D6D">
        <w:trPr>
          <w:trHeight w:val="4265"/>
          <w:jc w:val="center"/>
        </w:trPr>
        <w:tc>
          <w:tcPr>
            <w:tcW w:w="8859" w:type="dxa"/>
          </w:tcPr>
          <w:p w14:paraId="6759E415" w14:textId="77777777" w:rsidR="00246A61" w:rsidRPr="00FE76BD" w:rsidRDefault="00246A61" w:rsidP="00BA4D6D">
            <w:pPr>
              <w:pStyle w:val="Epgrafe"/>
              <w:keepNext/>
              <w:ind w:right="49"/>
              <w:rPr>
                <w:color w:val="auto"/>
                <w:sz w:val="24"/>
                <w:szCs w:val="24"/>
              </w:rPr>
            </w:pPr>
            <w:r>
              <w:rPr>
                <w:color w:val="auto"/>
                <w:sz w:val="24"/>
                <w:szCs w:val="24"/>
              </w:rPr>
              <w:t>Gráfico 28</w:t>
            </w:r>
            <w:r w:rsidRPr="00FE76BD">
              <w:rPr>
                <w:color w:val="auto"/>
                <w:sz w:val="24"/>
                <w:szCs w:val="24"/>
              </w:rPr>
              <w:t>. Vulnerabilidad del Perfil de la Deuda Pública</w:t>
            </w:r>
            <w:r>
              <w:rPr>
                <w:color w:val="auto"/>
                <w:sz w:val="24"/>
                <w:szCs w:val="24"/>
              </w:rPr>
              <w:t xml:space="preserve"> de Guatemala 2019</w:t>
            </w:r>
          </w:p>
          <w:p w14:paraId="7E8FF5B5" w14:textId="77777777" w:rsidR="00246A61" w:rsidRPr="00FE76BD" w:rsidRDefault="00246A61" w:rsidP="00BA4D6D">
            <w:pPr>
              <w:ind w:left="567" w:right="49"/>
              <w:jc w:val="center"/>
              <w:rPr>
                <w:sz w:val="24"/>
                <w:szCs w:val="24"/>
              </w:rPr>
            </w:pPr>
            <w:r w:rsidRPr="00FE76BD">
              <w:rPr>
                <w:sz w:val="24"/>
                <w:szCs w:val="24"/>
              </w:rPr>
              <w:t>Los límites son las alertas tempranas alta y baja de la estimación de riesgos</w:t>
            </w:r>
          </w:p>
          <w:p w14:paraId="73D21929" w14:textId="77777777" w:rsidR="00246A61" w:rsidRPr="00FE76BD" w:rsidRDefault="00246A61" w:rsidP="00BA4D6D">
            <w:pPr>
              <w:ind w:left="567" w:right="49"/>
              <w:jc w:val="center"/>
              <w:rPr>
                <w:noProof/>
                <w:sz w:val="24"/>
                <w:szCs w:val="24"/>
              </w:rPr>
            </w:pPr>
            <w:r>
              <w:rPr>
                <w:noProof/>
                <w:lang w:val="es-ES"/>
              </w:rPr>
              <w:drawing>
                <wp:inline distT="0" distB="0" distL="0" distR="0" wp14:anchorId="193964E2" wp14:editId="49DFE2E1">
                  <wp:extent cx="5999018" cy="2110365"/>
                  <wp:effectExtent l="0" t="0" r="1905" b="4445"/>
                  <wp:docPr id="1417" name="Imagen 1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6018626" cy="2117263"/>
                          </a:xfrm>
                          <a:prstGeom prst="rect">
                            <a:avLst/>
                          </a:prstGeom>
                        </pic:spPr>
                      </pic:pic>
                    </a:graphicData>
                  </a:graphic>
                </wp:inline>
              </w:drawing>
            </w:r>
          </w:p>
          <w:p w14:paraId="5E1C3633" w14:textId="77777777" w:rsidR="00246A61" w:rsidRPr="00FE76BD" w:rsidRDefault="00246A61" w:rsidP="00BA4D6D">
            <w:pPr>
              <w:ind w:left="567" w:right="49"/>
              <w:rPr>
                <w:sz w:val="24"/>
                <w:szCs w:val="24"/>
              </w:rPr>
            </w:pPr>
            <w:r w:rsidRPr="00FE76BD">
              <w:rPr>
                <w:sz w:val="24"/>
                <w:szCs w:val="24"/>
              </w:rPr>
              <w:t xml:space="preserve">      </w:t>
            </w:r>
            <w:r w:rsidRPr="00F7730F">
              <w:rPr>
                <w:szCs w:val="24"/>
              </w:rPr>
              <w:t xml:space="preserve">Fuente: Elaboración </w:t>
            </w:r>
            <w:r>
              <w:rPr>
                <w:szCs w:val="24"/>
              </w:rPr>
              <w:t>DAPF</w:t>
            </w:r>
            <w:r w:rsidRPr="00F7730F">
              <w:rPr>
                <w:szCs w:val="24"/>
              </w:rPr>
              <w:t xml:space="preserve"> con metodología del FMI</w:t>
            </w:r>
          </w:p>
          <w:p w14:paraId="7B58298D" w14:textId="77777777" w:rsidR="00246A61" w:rsidRPr="00FE76BD" w:rsidRDefault="00246A61" w:rsidP="00BA4D6D">
            <w:pPr>
              <w:ind w:left="567" w:right="49"/>
              <w:rPr>
                <w:sz w:val="24"/>
                <w:szCs w:val="24"/>
              </w:rPr>
            </w:pPr>
          </w:p>
        </w:tc>
      </w:tr>
    </w:tbl>
    <w:p w14:paraId="0B7F0597" w14:textId="509C35F3" w:rsidR="00246A61" w:rsidRDefault="00246A61" w:rsidP="00246A61">
      <w:pPr>
        <w:ind w:left="567" w:right="49"/>
        <w:jc w:val="both"/>
        <w:rPr>
          <w:sz w:val="24"/>
          <w:szCs w:val="24"/>
        </w:rPr>
      </w:pPr>
      <w:r w:rsidRPr="00FE76BD">
        <w:rPr>
          <w:sz w:val="24"/>
          <w:szCs w:val="24"/>
        </w:rPr>
        <w:t xml:space="preserve">Merece especial atención, para efectos de medir la vulnerabilidad y el riesgo país el indicador del EMBI (Emerging Markets Bonds Index o Indicador de Bonos de Mercados Emergentes) calculado por JP Morgan Chase y trata de medir la diferencia de tasa de interés que pagan los bonos denominados en dólares, emitidos por países subdesarrollados, y los Bonos del Tesoro de </w:t>
      </w:r>
      <w:r w:rsidRPr="00FE76BD">
        <w:rPr>
          <w:sz w:val="24"/>
          <w:szCs w:val="24"/>
        </w:rPr>
        <w:lastRenderedPageBreak/>
        <w:t xml:space="preserve">EE. UU., que se consideran "libres" de riesgo.  </w:t>
      </w:r>
      <w:r>
        <w:rPr>
          <w:sz w:val="24"/>
          <w:szCs w:val="24"/>
        </w:rPr>
        <w:t xml:space="preserve">Al cierre de 2019 el EMBI para Guatemala se ubicó en 215 puntos básicos, mostrando con ello la baja percepción de riesgo que los inversionistas tienen del país.  Sin embargo, </w:t>
      </w:r>
      <w:r w:rsidRPr="00FE76BD">
        <w:rPr>
          <w:sz w:val="24"/>
          <w:szCs w:val="24"/>
        </w:rPr>
        <w:t xml:space="preserve">al 30 de junio de 2020 </w:t>
      </w:r>
      <w:r>
        <w:rPr>
          <w:sz w:val="24"/>
          <w:szCs w:val="24"/>
        </w:rPr>
        <w:t>el</w:t>
      </w:r>
      <w:r w:rsidRPr="00FE76BD">
        <w:rPr>
          <w:sz w:val="24"/>
          <w:szCs w:val="24"/>
        </w:rPr>
        <w:t xml:space="preserve"> EMBI</w:t>
      </w:r>
      <w:r>
        <w:rPr>
          <w:sz w:val="24"/>
          <w:szCs w:val="24"/>
        </w:rPr>
        <w:t xml:space="preserve"> para Guatemala se ubicó en</w:t>
      </w:r>
      <w:r w:rsidRPr="00FE76BD">
        <w:rPr>
          <w:sz w:val="24"/>
          <w:szCs w:val="24"/>
        </w:rPr>
        <w:t xml:space="preserve"> </w:t>
      </w:r>
      <w:r w:rsidR="00BE3AE5">
        <w:rPr>
          <w:sz w:val="24"/>
          <w:szCs w:val="24"/>
        </w:rPr>
        <w:t>355</w:t>
      </w:r>
      <w:r w:rsidRPr="00FE76BD">
        <w:rPr>
          <w:sz w:val="24"/>
          <w:szCs w:val="24"/>
        </w:rPr>
        <w:t xml:space="preserve">, muestra que el riesgo país </w:t>
      </w:r>
      <w:r>
        <w:rPr>
          <w:sz w:val="24"/>
          <w:szCs w:val="24"/>
        </w:rPr>
        <w:t xml:space="preserve">aumentó como resultado del efecto de la Pandemia del COVID-19 en la economía guatemaltecas, a pesar de ello este nivel </w:t>
      </w:r>
      <w:r w:rsidRPr="00FE76BD">
        <w:rPr>
          <w:sz w:val="24"/>
          <w:szCs w:val="24"/>
        </w:rPr>
        <w:t>es relativamente bajo y es uno de los más bajos de América Latina y a nivel Global según muestra el índice del EMBI.</w:t>
      </w:r>
      <w:r>
        <w:rPr>
          <w:sz w:val="24"/>
          <w:szCs w:val="24"/>
        </w:rPr>
        <w:t xml:space="preserve"> </w:t>
      </w:r>
    </w:p>
    <w:p w14:paraId="23061CDE" w14:textId="77777777" w:rsidR="00246A61" w:rsidRDefault="00246A61" w:rsidP="00246A61">
      <w:pPr>
        <w:ind w:left="567" w:right="49"/>
        <w:jc w:val="both"/>
        <w:rPr>
          <w:sz w:val="24"/>
          <w:szCs w:val="24"/>
        </w:rPr>
      </w:pPr>
    </w:p>
    <w:p w14:paraId="6AE97CA1" w14:textId="0498C0B0" w:rsidR="00246A61" w:rsidRDefault="00246A61" w:rsidP="002C36B8">
      <w:pPr>
        <w:ind w:left="567" w:right="49"/>
        <w:jc w:val="both"/>
        <w:rPr>
          <w:sz w:val="24"/>
          <w:szCs w:val="24"/>
        </w:rPr>
      </w:pPr>
      <w:r w:rsidRPr="00FE76BD">
        <w:rPr>
          <w:sz w:val="24"/>
          <w:szCs w:val="24"/>
        </w:rPr>
        <w:t>Por último, al observar la evolución y perspectivas de los principales indicadores de deuda pública para Guatemala, así como el comparativo con otros países de la región y al principal índice de riesgo país que tiene incidencia directa sobre el costo financiero de la deuda de mercado (EMBI),  se evidencia el manejo prudente y responsable de las finanzas públicas por parte del gobierno y que garantiza la preservación de la sostenibilidad fiscal en el mediano plazo, permitiendo con ello seguir contribuyendo a la estabilidad macroeconómica del país.</w:t>
      </w:r>
    </w:p>
    <w:p w14:paraId="1A5F22CD" w14:textId="77777777" w:rsidR="00246A61" w:rsidRDefault="00246A61" w:rsidP="00246A61">
      <w:pPr>
        <w:ind w:left="567" w:right="49"/>
        <w:jc w:val="both"/>
        <w:rPr>
          <w:sz w:val="24"/>
          <w:szCs w:val="24"/>
        </w:rPr>
      </w:pPr>
    </w:p>
    <w:tbl>
      <w:tblPr>
        <w:tblStyle w:val="Tablaconcuadrcula"/>
        <w:tblpPr w:leftFromText="141" w:rightFromText="141" w:vertAnchor="text" w:horzAnchor="margin" w:tblpXSpec="center" w:tblpY="135"/>
        <w:tblW w:w="906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Look w:val="04A0" w:firstRow="1" w:lastRow="0" w:firstColumn="1" w:lastColumn="0" w:noHBand="0" w:noVBand="1"/>
      </w:tblPr>
      <w:tblGrid>
        <w:gridCol w:w="9064"/>
      </w:tblGrid>
      <w:tr w:rsidR="00246A61" w:rsidRPr="00FE76BD" w14:paraId="2916640D" w14:textId="77777777" w:rsidTr="00BA4D6D">
        <w:trPr>
          <w:trHeight w:val="3855"/>
        </w:trPr>
        <w:tc>
          <w:tcPr>
            <w:tcW w:w="9064" w:type="dxa"/>
          </w:tcPr>
          <w:p w14:paraId="4EC6E51E" w14:textId="77777777" w:rsidR="00246A61" w:rsidRPr="00FE76BD" w:rsidRDefault="00246A61" w:rsidP="00BA4D6D">
            <w:pPr>
              <w:pStyle w:val="Epgrafe"/>
              <w:keepNext/>
              <w:ind w:left="567" w:right="49"/>
              <w:rPr>
                <w:color w:val="auto"/>
                <w:sz w:val="24"/>
                <w:szCs w:val="24"/>
              </w:rPr>
            </w:pPr>
            <w:r>
              <w:rPr>
                <w:color w:val="auto"/>
                <w:sz w:val="24"/>
                <w:szCs w:val="24"/>
              </w:rPr>
              <w:t>Gráfico 29</w:t>
            </w:r>
            <w:r w:rsidRPr="00FE76BD">
              <w:rPr>
                <w:color w:val="auto"/>
                <w:sz w:val="24"/>
                <w:szCs w:val="24"/>
              </w:rPr>
              <w:t>. EMBI Calculado para Países de América Latina</w:t>
            </w:r>
          </w:p>
          <w:p w14:paraId="3F509726" w14:textId="77777777" w:rsidR="00246A61" w:rsidRPr="00FE76BD" w:rsidRDefault="00246A61" w:rsidP="00BA4D6D">
            <w:pPr>
              <w:ind w:left="567" w:right="49"/>
              <w:jc w:val="center"/>
              <w:rPr>
                <w:sz w:val="24"/>
                <w:szCs w:val="24"/>
              </w:rPr>
            </w:pPr>
            <w:r w:rsidRPr="00FE76BD">
              <w:rPr>
                <w:sz w:val="24"/>
                <w:szCs w:val="24"/>
              </w:rPr>
              <w:t>Al 30 de junio de 2020</w:t>
            </w:r>
          </w:p>
          <w:p w14:paraId="11C37230" w14:textId="77777777" w:rsidR="00246A61" w:rsidRPr="00FE76BD" w:rsidRDefault="00246A61" w:rsidP="00BA4D6D">
            <w:pPr>
              <w:ind w:left="567" w:right="49"/>
              <w:jc w:val="center"/>
              <w:rPr>
                <w:sz w:val="24"/>
                <w:szCs w:val="24"/>
              </w:rPr>
            </w:pPr>
            <w:r w:rsidRPr="00FE76BD">
              <w:rPr>
                <w:sz w:val="24"/>
                <w:szCs w:val="24"/>
              </w:rPr>
              <w:t>En porcentaje</w:t>
            </w:r>
          </w:p>
          <w:p w14:paraId="120045B3" w14:textId="77777777" w:rsidR="00246A61" w:rsidRPr="00FE76BD" w:rsidRDefault="00246A61" w:rsidP="00BA4D6D">
            <w:pPr>
              <w:ind w:left="567" w:right="49"/>
              <w:jc w:val="center"/>
              <w:rPr>
                <w:noProof/>
                <w:sz w:val="24"/>
                <w:szCs w:val="24"/>
              </w:rPr>
            </w:pPr>
            <w:r w:rsidRPr="00FE76BD">
              <w:rPr>
                <w:noProof/>
                <w:sz w:val="24"/>
                <w:szCs w:val="24"/>
                <w:lang w:val="es-ES"/>
              </w:rPr>
              <w:drawing>
                <wp:inline distT="0" distB="0" distL="0" distR="0" wp14:anchorId="2D0FB518" wp14:editId="4EA32E03">
                  <wp:extent cx="4476750" cy="2085975"/>
                  <wp:effectExtent l="0" t="0" r="0" b="0"/>
                  <wp:docPr id="61" name="Gráfico 61">
                    <a:extLst xmlns:a="http://schemas.openxmlformats.org/drawingml/2006/main">
                      <a:ext uri="{FF2B5EF4-FFF2-40B4-BE49-F238E27FC236}">
                        <a16:creationId xmlns:a16="http://schemas.microsoft.com/office/drawing/2014/main" xmlns:w16se="http://schemas.microsoft.com/office/word/2015/wordml/symex" xmlns:w15="http://schemas.microsoft.com/office/word/2012/wordml" xmlns:w="http://schemas.openxmlformats.org/wordprocessingml/2006/main" xmlns:w10="urn:schemas-microsoft-com:office:word" xmlns:v="urn:schemas-microsoft-com:vml" xmlns:o="urn:schemas-microsoft-com:office:office" xmlns:cx="http://schemas.microsoft.com/office/drawing/2014/chartex" xmlns="" id="{AC1796DC-849E-4057-91DB-D70D2459DB5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r w:rsidRPr="00FE76BD">
              <w:rPr>
                <w:noProof/>
                <w:sz w:val="24"/>
                <w:szCs w:val="24"/>
              </w:rPr>
              <w:t xml:space="preserve"> </w:t>
            </w:r>
          </w:p>
          <w:p w14:paraId="2F7EA897" w14:textId="77777777" w:rsidR="00246A61" w:rsidRPr="00067407" w:rsidRDefault="00246A61" w:rsidP="00BA4D6D">
            <w:pPr>
              <w:ind w:left="567" w:right="49"/>
              <w:rPr>
                <w:sz w:val="24"/>
                <w:szCs w:val="24"/>
              </w:rPr>
            </w:pPr>
            <w:r>
              <w:rPr>
                <w:sz w:val="24"/>
                <w:szCs w:val="24"/>
              </w:rPr>
              <w:t xml:space="preserve">      </w:t>
            </w:r>
            <w:r w:rsidRPr="00F7730F">
              <w:rPr>
                <w:szCs w:val="24"/>
              </w:rPr>
              <w:t xml:space="preserve">Fuente: Elaboración </w:t>
            </w:r>
            <w:r>
              <w:rPr>
                <w:szCs w:val="24"/>
              </w:rPr>
              <w:t>DAPF</w:t>
            </w:r>
            <w:r w:rsidRPr="00F7730F">
              <w:rPr>
                <w:szCs w:val="24"/>
              </w:rPr>
              <w:t xml:space="preserve"> con información de Banco Central de la República Dominicana</w:t>
            </w:r>
          </w:p>
        </w:tc>
      </w:tr>
    </w:tbl>
    <w:p w14:paraId="5B090D3B" w14:textId="77777777" w:rsidR="00246A61" w:rsidRDefault="00246A61" w:rsidP="00246A61">
      <w:pPr>
        <w:tabs>
          <w:tab w:val="left" w:pos="4005"/>
        </w:tabs>
        <w:rPr>
          <w:sz w:val="12"/>
          <w:szCs w:val="24"/>
        </w:rPr>
      </w:pPr>
    </w:p>
    <w:p w14:paraId="054D675B" w14:textId="77777777" w:rsidR="00246A61" w:rsidRDefault="00246A61" w:rsidP="00246A61">
      <w:pPr>
        <w:tabs>
          <w:tab w:val="left" w:pos="4005"/>
        </w:tabs>
        <w:rPr>
          <w:sz w:val="12"/>
          <w:szCs w:val="24"/>
        </w:rPr>
      </w:pPr>
    </w:p>
    <w:p w14:paraId="0582B626" w14:textId="0FDE95EF" w:rsidR="00246A61" w:rsidRDefault="00246A61" w:rsidP="00246A61">
      <w:pPr>
        <w:pStyle w:val="Sinespaciado"/>
        <w:ind w:left="567" w:right="49"/>
        <w:jc w:val="both"/>
        <w:rPr>
          <w:rFonts w:ascii="Times New Roman" w:hAnsi="Times New Roman"/>
          <w:sz w:val="24"/>
          <w:szCs w:val="24"/>
        </w:rPr>
      </w:pPr>
      <w:r>
        <w:rPr>
          <w:rFonts w:ascii="Times New Roman" w:hAnsi="Times New Roman"/>
          <w:sz w:val="24"/>
          <w:szCs w:val="24"/>
        </w:rPr>
        <w:t>De los puntos de referencia máximo para los indicadores de países con acceso al mercado del Fondo Monetario Internacional, en los cuales al sobrepasarse se considera un riesgo alto de la vulnerabilidad de la deuda pública, Guatemala aún se encuentra muy por debajo de dichos indicadores. En el caso de la deuda pública el punto de referencia se encuentra en 60% del PIB, los requerimientos de financiamiento en 15% del PIB, el EMBI en 800 puntos básicos, la deuda pública en moneda extranjera en 80% del total y el cambio de la deuda a corto plazo en 1.5 puntos porcentuales. De los cuales, se proyecta que Guatemala a finales del 2020 se encuentre con una deuda/PIB de 32.4%, necesidades de financiamiento de 7.2%, la deuda pública en moneda extranjera en 46.3% y el cambio de deuda a corto plazo es cercana al 0%.</w:t>
      </w:r>
    </w:p>
    <w:p w14:paraId="692AA453" w14:textId="23EEEE54" w:rsidR="00FF5FCA" w:rsidRDefault="00FF5FCA" w:rsidP="00246A61">
      <w:pPr>
        <w:pStyle w:val="Sinespaciado"/>
        <w:ind w:left="567" w:right="49"/>
        <w:jc w:val="both"/>
        <w:rPr>
          <w:rFonts w:ascii="Times New Roman" w:hAnsi="Times New Roman"/>
          <w:sz w:val="24"/>
          <w:szCs w:val="24"/>
        </w:rPr>
      </w:pPr>
    </w:p>
    <w:p w14:paraId="569C4DC3" w14:textId="77777777" w:rsidR="00FF5FCA" w:rsidRPr="00401B68" w:rsidRDefault="00FF5FCA" w:rsidP="00246A61">
      <w:pPr>
        <w:pStyle w:val="Sinespaciado"/>
        <w:ind w:left="567" w:right="49"/>
        <w:jc w:val="both"/>
        <w:rPr>
          <w:rFonts w:ascii="Times New Roman" w:hAnsi="Times New Roman"/>
          <w:sz w:val="24"/>
          <w:szCs w:val="24"/>
        </w:rPr>
      </w:pPr>
    </w:p>
    <w:p w14:paraId="02928A1A" w14:textId="77777777" w:rsidR="00246A61" w:rsidRDefault="00246A61" w:rsidP="00246A61">
      <w:pPr>
        <w:tabs>
          <w:tab w:val="left" w:pos="4005"/>
        </w:tabs>
        <w:rPr>
          <w:sz w:val="12"/>
          <w:szCs w:val="24"/>
        </w:rPr>
      </w:pPr>
    </w:p>
    <w:p w14:paraId="4AC8C70F" w14:textId="77777777" w:rsidR="00246A61" w:rsidRPr="00067407" w:rsidRDefault="00246A61" w:rsidP="00246A61">
      <w:pPr>
        <w:tabs>
          <w:tab w:val="left" w:pos="4005"/>
        </w:tabs>
        <w:rPr>
          <w:sz w:val="12"/>
          <w:szCs w:val="24"/>
        </w:rPr>
      </w:pPr>
    </w:p>
    <w:p w14:paraId="13896C76" w14:textId="77777777" w:rsidR="00246A61" w:rsidRPr="00BE3AE5" w:rsidRDefault="00246A61" w:rsidP="00246A61">
      <w:pPr>
        <w:pStyle w:val="Ttulo1"/>
        <w:widowControl/>
        <w:numPr>
          <w:ilvl w:val="0"/>
          <w:numId w:val="5"/>
        </w:numPr>
        <w:ind w:left="567" w:right="49"/>
        <w:jc w:val="left"/>
        <w:rPr>
          <w:b w:val="0"/>
          <w:color w:val="auto"/>
          <w:sz w:val="28"/>
          <w:szCs w:val="28"/>
        </w:rPr>
      </w:pPr>
      <w:bookmarkStart w:id="16" w:name="_Toc509214748"/>
      <w:bookmarkStart w:id="17" w:name="_Toc523294544"/>
      <w:bookmarkStart w:id="18" w:name="_Toc16519888"/>
      <w:bookmarkStart w:id="19" w:name="_Toc49939721"/>
      <w:r w:rsidRPr="00BE3AE5">
        <w:rPr>
          <w:color w:val="auto"/>
          <w:sz w:val="28"/>
          <w:szCs w:val="28"/>
        </w:rPr>
        <w:lastRenderedPageBreak/>
        <w:t>Análisis de Sostenibilidad de la Deuda</w:t>
      </w:r>
      <w:bookmarkStart w:id="20" w:name="_Toc508979675"/>
      <w:bookmarkStart w:id="21" w:name="_Toc508980033"/>
      <w:bookmarkStart w:id="22" w:name="_Toc508980185"/>
      <w:bookmarkStart w:id="23" w:name="_Toc508981226"/>
      <w:bookmarkStart w:id="24" w:name="_Toc508982478"/>
      <w:bookmarkStart w:id="25" w:name="_Toc509213491"/>
      <w:bookmarkStart w:id="26" w:name="_Toc509213554"/>
      <w:bookmarkStart w:id="27" w:name="_Toc509213620"/>
      <w:bookmarkStart w:id="28" w:name="_Toc509213785"/>
      <w:bookmarkStart w:id="29" w:name="_Toc509214749"/>
      <w:bookmarkStart w:id="30" w:name="_Toc523208427"/>
      <w:bookmarkStart w:id="31" w:name="_Toc523208487"/>
      <w:bookmarkStart w:id="32" w:name="_Toc523209882"/>
      <w:bookmarkStart w:id="33" w:name="_Toc523210065"/>
      <w:bookmarkStart w:id="34" w:name="_Toc523225743"/>
      <w:bookmarkStart w:id="35" w:name="_Toc523229610"/>
      <w:bookmarkStart w:id="36" w:name="_Toc523247078"/>
      <w:bookmarkStart w:id="37" w:name="_Toc523294545"/>
      <w:bookmarkStart w:id="38" w:name="_Toc523208431"/>
      <w:bookmarkStart w:id="39" w:name="_Toc523208491"/>
      <w:bookmarkStart w:id="40" w:name="_Toc523209886"/>
      <w:bookmarkStart w:id="41" w:name="_Toc523210069"/>
      <w:bookmarkStart w:id="42" w:name="_Toc523225747"/>
      <w:bookmarkStart w:id="43" w:name="_Toc523229614"/>
      <w:bookmarkStart w:id="44" w:name="_Toc523247082"/>
      <w:bookmarkStart w:id="45" w:name="_Toc523294549"/>
      <w:bookmarkStart w:id="46" w:name="_Toc509214751"/>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p>
    <w:p w14:paraId="1A12A577" w14:textId="77777777" w:rsidR="00246A61" w:rsidRPr="00F7730F" w:rsidRDefault="00246A61" w:rsidP="00246A61">
      <w:pPr>
        <w:keepNext/>
        <w:ind w:left="567" w:right="49"/>
        <w:jc w:val="both"/>
        <w:outlineLvl w:val="2"/>
        <w:rPr>
          <w:b/>
          <w:sz w:val="24"/>
          <w:szCs w:val="24"/>
        </w:rPr>
      </w:pPr>
    </w:p>
    <w:p w14:paraId="58627B5A" w14:textId="77777777" w:rsidR="00246A61" w:rsidRPr="004A2797" w:rsidRDefault="00246A61" w:rsidP="00246A61">
      <w:pPr>
        <w:pStyle w:val="Ttulo1"/>
        <w:widowControl/>
        <w:numPr>
          <w:ilvl w:val="1"/>
          <w:numId w:val="5"/>
        </w:numPr>
        <w:ind w:left="993" w:right="49"/>
        <w:jc w:val="left"/>
        <w:rPr>
          <w:b w:val="0"/>
          <w:color w:val="auto"/>
          <w:sz w:val="24"/>
          <w:szCs w:val="24"/>
        </w:rPr>
      </w:pPr>
      <w:bookmarkStart w:id="47" w:name="_Toc523294550"/>
      <w:bookmarkStart w:id="48" w:name="_Toc16519889"/>
      <w:bookmarkStart w:id="49" w:name="_Toc49939722"/>
      <w:r w:rsidRPr="004A2797">
        <w:rPr>
          <w:color w:val="auto"/>
          <w:sz w:val="24"/>
          <w:szCs w:val="24"/>
        </w:rPr>
        <w:t>Análisis de Mediano Plazo</w:t>
      </w:r>
      <w:bookmarkEnd w:id="46"/>
      <w:bookmarkEnd w:id="47"/>
      <w:bookmarkEnd w:id="48"/>
      <w:bookmarkEnd w:id="49"/>
    </w:p>
    <w:p w14:paraId="55232394" w14:textId="77777777" w:rsidR="00246A61" w:rsidRPr="00FE76BD" w:rsidRDefault="00246A61" w:rsidP="00246A61">
      <w:pPr>
        <w:pStyle w:val="Sinespaciado"/>
        <w:ind w:left="567" w:right="49"/>
        <w:jc w:val="both"/>
        <w:rPr>
          <w:rFonts w:ascii="Times New Roman" w:hAnsi="Times New Roman"/>
          <w:sz w:val="24"/>
          <w:szCs w:val="24"/>
          <w:lang w:val="es-MX"/>
        </w:rPr>
      </w:pPr>
    </w:p>
    <w:p w14:paraId="4018D695" w14:textId="77777777" w:rsidR="00246A61" w:rsidRPr="00FE76BD" w:rsidRDefault="00246A61" w:rsidP="00246A61">
      <w:pPr>
        <w:pStyle w:val="Sinespaciado"/>
        <w:ind w:left="567" w:right="49"/>
        <w:jc w:val="both"/>
        <w:rPr>
          <w:rFonts w:ascii="Times New Roman" w:hAnsi="Times New Roman"/>
          <w:sz w:val="24"/>
          <w:szCs w:val="24"/>
          <w:lang w:val="es-MX"/>
        </w:rPr>
      </w:pPr>
      <w:r w:rsidRPr="00FE76BD">
        <w:rPr>
          <w:rFonts w:ascii="Times New Roman" w:hAnsi="Times New Roman"/>
          <w:sz w:val="24"/>
          <w:szCs w:val="24"/>
          <w:lang w:val="es-MX"/>
        </w:rPr>
        <w:t xml:space="preserve">De acuerdo con el enfoque tradicional de acumulación de deuda, los cambios en la proporción deuda/PIB, son determinados por el diferencial entre el tipo de interés real implícito y la tasa de crecimiento del PIB, la variación del tipo de cambio, el saldo fiscal primario y los ajustes de flujos a stock, tales como el uso de recursos del gobierno en el Banco de Guatemala y el Pago de las Deficiencias Netas. Las simulaciones determinísticas sobre la trayectoria de las variables que integran una ecuación dan como resultado la proporción de deuda/PIB de referencia o acorde a los niveles de las variables consideradas en el análisis. </w:t>
      </w:r>
    </w:p>
    <w:p w14:paraId="13ECE899" w14:textId="77777777" w:rsidR="00246A61" w:rsidRPr="00FE76BD" w:rsidRDefault="00246A61" w:rsidP="00246A61">
      <w:pPr>
        <w:pStyle w:val="Sinespaciado"/>
        <w:ind w:left="567" w:right="49"/>
        <w:jc w:val="both"/>
        <w:rPr>
          <w:rFonts w:ascii="Times New Roman" w:hAnsi="Times New Roman"/>
          <w:sz w:val="24"/>
          <w:szCs w:val="24"/>
          <w:lang w:val="es-MX"/>
        </w:rPr>
      </w:pPr>
    </w:p>
    <w:p w14:paraId="02A40097" w14:textId="77777777" w:rsidR="00246A61" w:rsidRPr="00FE76BD" w:rsidRDefault="00246A61" w:rsidP="00246A61">
      <w:pPr>
        <w:pStyle w:val="Sinespaciado"/>
        <w:ind w:left="567" w:right="49"/>
        <w:jc w:val="both"/>
        <w:rPr>
          <w:rFonts w:ascii="Times New Roman" w:hAnsi="Times New Roman"/>
          <w:sz w:val="24"/>
          <w:szCs w:val="24"/>
          <w:lang w:val="es-MX"/>
        </w:rPr>
      </w:pPr>
      <w:r w:rsidRPr="00FE76BD">
        <w:rPr>
          <w:rFonts w:ascii="Times New Roman" w:hAnsi="Times New Roman"/>
          <w:sz w:val="24"/>
          <w:szCs w:val="24"/>
          <w:lang w:val="es-MX"/>
        </w:rPr>
        <w:t>Las previsiones macroeconómicas, financieras y fiscales que dan como resultado la trayectoria base para 2020-2025, se utiliza para el efecto las previsiones macroeconómicas y fiscales hasta 2025, tomadas de la última actualización de las proyecciones macroeconómicas elaboradas por el Banco de Guatemala (junio 2020).  Los supuestos que se utilizaron son los siguientes:</w:t>
      </w:r>
    </w:p>
    <w:p w14:paraId="68B74D83" w14:textId="77777777" w:rsidR="00246A61" w:rsidRPr="00FE76BD" w:rsidRDefault="00246A61" w:rsidP="00246A61">
      <w:pPr>
        <w:pStyle w:val="Sinespaciado"/>
        <w:ind w:left="567" w:right="49"/>
        <w:jc w:val="both"/>
        <w:rPr>
          <w:rFonts w:ascii="Times New Roman" w:hAnsi="Times New Roman"/>
          <w:sz w:val="24"/>
          <w:szCs w:val="24"/>
          <w:lang w:val="es-MX"/>
        </w:rPr>
      </w:pPr>
    </w:p>
    <w:p w14:paraId="5B257E52" w14:textId="77777777" w:rsidR="00246A61" w:rsidRPr="00FE76BD" w:rsidRDefault="00246A61" w:rsidP="00246A61">
      <w:pPr>
        <w:pStyle w:val="Sinespaciado"/>
        <w:numPr>
          <w:ilvl w:val="0"/>
          <w:numId w:val="10"/>
        </w:numPr>
        <w:ind w:left="1276" w:right="49"/>
        <w:jc w:val="both"/>
        <w:rPr>
          <w:rFonts w:ascii="Times New Roman" w:hAnsi="Times New Roman"/>
          <w:sz w:val="24"/>
          <w:szCs w:val="24"/>
          <w:lang w:val="es-MX"/>
        </w:rPr>
      </w:pPr>
      <w:r w:rsidRPr="00FE76BD">
        <w:rPr>
          <w:rFonts w:ascii="Times New Roman" w:hAnsi="Times New Roman"/>
          <w:sz w:val="24"/>
          <w:szCs w:val="24"/>
          <w:lang w:val="es-MX"/>
        </w:rPr>
        <w:t>El crecimiento real del PIB está basado en el crecimiento estimado por el Banco de Guatemala, donde se asume que este se ubicará en el escenario bajo de las proyecciones de esta entidad.</w:t>
      </w:r>
    </w:p>
    <w:p w14:paraId="486BF791" w14:textId="77777777" w:rsidR="00246A61" w:rsidRPr="00FE76BD" w:rsidRDefault="00246A61" w:rsidP="00246A61">
      <w:pPr>
        <w:pStyle w:val="Sinespaciado"/>
        <w:numPr>
          <w:ilvl w:val="0"/>
          <w:numId w:val="10"/>
        </w:numPr>
        <w:ind w:left="1276" w:right="49"/>
        <w:jc w:val="both"/>
        <w:rPr>
          <w:rFonts w:ascii="Times New Roman" w:hAnsi="Times New Roman"/>
          <w:sz w:val="24"/>
          <w:szCs w:val="24"/>
          <w:lang w:val="es-MX"/>
        </w:rPr>
      </w:pPr>
      <w:r w:rsidRPr="00FE76BD">
        <w:rPr>
          <w:rFonts w:ascii="Times New Roman" w:hAnsi="Times New Roman"/>
          <w:sz w:val="24"/>
          <w:szCs w:val="24"/>
          <w:lang w:val="es-MX"/>
        </w:rPr>
        <w:t xml:space="preserve">La tasa de inflación (y el deflactor del PIB) convergen a un 3.0 </w:t>
      </w:r>
      <w:r>
        <w:rPr>
          <w:rFonts w:ascii="Times New Roman" w:hAnsi="Times New Roman"/>
          <w:sz w:val="24"/>
          <w:szCs w:val="24"/>
          <w:lang w:val="es-MX"/>
        </w:rPr>
        <w:t>%</w:t>
      </w:r>
      <w:r w:rsidRPr="00FE76BD">
        <w:rPr>
          <w:rFonts w:ascii="Times New Roman" w:hAnsi="Times New Roman"/>
          <w:sz w:val="24"/>
          <w:szCs w:val="24"/>
          <w:lang w:val="es-MX"/>
        </w:rPr>
        <w:t xml:space="preserve"> en el período indicado, en el límite inferior de la meta del Banco Central, generando una brecha constante entre crecimiento real y nominal.</w:t>
      </w:r>
    </w:p>
    <w:p w14:paraId="71053F1A" w14:textId="77777777" w:rsidR="00246A61" w:rsidRPr="00FE76BD" w:rsidRDefault="00246A61" w:rsidP="00246A61">
      <w:pPr>
        <w:pStyle w:val="Sinespaciado"/>
        <w:numPr>
          <w:ilvl w:val="0"/>
          <w:numId w:val="10"/>
        </w:numPr>
        <w:ind w:left="1276" w:right="49"/>
        <w:jc w:val="both"/>
        <w:rPr>
          <w:rFonts w:ascii="Times New Roman" w:hAnsi="Times New Roman"/>
          <w:sz w:val="24"/>
          <w:szCs w:val="24"/>
          <w:lang w:val="es-MX"/>
        </w:rPr>
      </w:pPr>
      <w:r w:rsidRPr="00FE76BD">
        <w:rPr>
          <w:rFonts w:ascii="Times New Roman" w:hAnsi="Times New Roman"/>
          <w:sz w:val="24"/>
          <w:szCs w:val="24"/>
          <w:lang w:val="es-MX"/>
        </w:rPr>
        <w:t>El gasto en pago de intereses de deuda (r) está calculado como la suma ponderada de los distintos instrumentos de deuda con diferente madurez.</w:t>
      </w:r>
    </w:p>
    <w:p w14:paraId="7152C8F2" w14:textId="77777777" w:rsidR="00246A61" w:rsidRPr="00FE76BD" w:rsidRDefault="00246A61" w:rsidP="00246A61">
      <w:pPr>
        <w:pStyle w:val="Sinespaciado"/>
        <w:numPr>
          <w:ilvl w:val="0"/>
          <w:numId w:val="10"/>
        </w:numPr>
        <w:ind w:left="1276" w:right="49"/>
        <w:jc w:val="both"/>
        <w:rPr>
          <w:rFonts w:ascii="Times New Roman" w:hAnsi="Times New Roman"/>
          <w:sz w:val="24"/>
          <w:szCs w:val="24"/>
          <w:lang w:val="es-MX"/>
        </w:rPr>
      </w:pPr>
      <w:r w:rsidRPr="00FE76BD">
        <w:rPr>
          <w:rFonts w:ascii="Times New Roman" w:hAnsi="Times New Roman"/>
          <w:sz w:val="24"/>
          <w:szCs w:val="24"/>
          <w:lang w:val="es-MX"/>
        </w:rPr>
        <w:t>El saldo fiscal primario (Sp) se obtiene de las operaciones de ingresos y gastos que se proyectan en el presupuesto de mediano plazo</w:t>
      </w:r>
    </w:p>
    <w:p w14:paraId="0FF3D98A" w14:textId="77777777" w:rsidR="00246A61" w:rsidRPr="00FE76BD" w:rsidRDefault="00246A61" w:rsidP="00246A61">
      <w:pPr>
        <w:pStyle w:val="Sinespaciado"/>
        <w:ind w:left="567" w:right="49"/>
        <w:jc w:val="both"/>
        <w:rPr>
          <w:rFonts w:ascii="Times New Roman" w:hAnsi="Times New Roman"/>
          <w:sz w:val="24"/>
          <w:szCs w:val="24"/>
          <w:lang w:val="es-MX"/>
        </w:rPr>
      </w:pPr>
    </w:p>
    <w:p w14:paraId="161B4551" w14:textId="77777777" w:rsidR="00CB637A" w:rsidRDefault="00CB637A" w:rsidP="00CB637A">
      <w:pPr>
        <w:pStyle w:val="Sinespaciado"/>
        <w:ind w:left="567" w:right="49"/>
        <w:jc w:val="both"/>
        <w:rPr>
          <w:rFonts w:ascii="Times New Roman" w:hAnsi="Times New Roman"/>
          <w:sz w:val="24"/>
          <w:szCs w:val="24"/>
          <w:lang w:val="es-MX"/>
        </w:rPr>
      </w:pPr>
      <w:r w:rsidRPr="00FE76BD">
        <w:rPr>
          <w:rFonts w:ascii="Times New Roman" w:hAnsi="Times New Roman"/>
          <w:sz w:val="24"/>
          <w:szCs w:val="24"/>
          <w:lang w:val="es-MX"/>
        </w:rPr>
        <w:t xml:space="preserve">Con base </w:t>
      </w:r>
      <w:r>
        <w:rPr>
          <w:rFonts w:ascii="Times New Roman" w:hAnsi="Times New Roman"/>
          <w:sz w:val="24"/>
          <w:szCs w:val="24"/>
          <w:lang w:val="es-MX"/>
        </w:rPr>
        <w:t>a esa información</w:t>
      </w:r>
      <w:r w:rsidRPr="00FE76BD">
        <w:rPr>
          <w:rFonts w:ascii="Times New Roman" w:hAnsi="Times New Roman"/>
          <w:sz w:val="24"/>
          <w:szCs w:val="24"/>
          <w:lang w:val="es-MX"/>
        </w:rPr>
        <w:t>, se realizó un análisis para observar las contribuciones de los determinantes macro fiscales en el cambio de la deuda pública.  Se observa que para 2020, el incremento relativo de la deuda es positivo (5.7 puntos porcentuales del PIB), resultado de una política fiscal expansiva para mitigar los efectos económicos negativos del COVID-19.</w:t>
      </w:r>
      <w:r>
        <w:rPr>
          <w:rFonts w:ascii="Times New Roman" w:hAnsi="Times New Roman"/>
          <w:sz w:val="24"/>
          <w:szCs w:val="24"/>
          <w:lang w:val="es-MX"/>
        </w:rPr>
        <w:t xml:space="preserve"> </w:t>
      </w:r>
    </w:p>
    <w:p w14:paraId="5DD9616A" w14:textId="77777777" w:rsidR="00246A61" w:rsidRPr="00FE76BD" w:rsidRDefault="00246A61" w:rsidP="00246A61">
      <w:pPr>
        <w:pStyle w:val="Sinespaciado"/>
        <w:ind w:left="567" w:right="49"/>
        <w:jc w:val="both"/>
        <w:rPr>
          <w:rFonts w:ascii="Times New Roman" w:hAnsi="Times New Roman"/>
          <w:sz w:val="24"/>
          <w:szCs w:val="24"/>
          <w:lang w:val="es-MX"/>
        </w:rPr>
      </w:pPr>
    </w:p>
    <w:p w14:paraId="31E64DC1" w14:textId="4D2F86ED" w:rsidR="00E045DA" w:rsidRDefault="00E045DA" w:rsidP="00E045DA">
      <w:pPr>
        <w:pStyle w:val="Sinespaciado"/>
        <w:ind w:left="567" w:right="49"/>
        <w:jc w:val="both"/>
        <w:rPr>
          <w:rFonts w:ascii="Times New Roman" w:hAnsi="Times New Roman"/>
          <w:sz w:val="24"/>
          <w:szCs w:val="24"/>
          <w:lang w:val="es-MX"/>
        </w:rPr>
      </w:pPr>
      <w:r>
        <w:rPr>
          <w:rFonts w:ascii="Times New Roman" w:hAnsi="Times New Roman"/>
          <w:sz w:val="24"/>
          <w:szCs w:val="24"/>
          <w:lang w:val="es-MX"/>
        </w:rPr>
        <w:t>Por su parte, p</w:t>
      </w:r>
      <w:r w:rsidRPr="00FE76BD">
        <w:rPr>
          <w:rFonts w:ascii="Times New Roman" w:hAnsi="Times New Roman"/>
          <w:sz w:val="24"/>
          <w:szCs w:val="24"/>
          <w:lang w:val="es-MX"/>
        </w:rPr>
        <w:t>ara 2021, también se prevé un incremento relativo de la deuda (</w:t>
      </w:r>
      <w:r>
        <w:rPr>
          <w:rFonts w:ascii="Times New Roman" w:hAnsi="Times New Roman"/>
          <w:sz w:val="24"/>
          <w:szCs w:val="24"/>
          <w:lang w:val="es-MX"/>
        </w:rPr>
        <w:t>3</w:t>
      </w:r>
      <w:r w:rsidRPr="00FE76BD">
        <w:rPr>
          <w:rFonts w:ascii="Times New Roman" w:hAnsi="Times New Roman"/>
          <w:sz w:val="24"/>
          <w:szCs w:val="24"/>
          <w:lang w:val="es-MX"/>
        </w:rPr>
        <w:t>.</w:t>
      </w:r>
      <w:r>
        <w:rPr>
          <w:rFonts w:ascii="Times New Roman" w:hAnsi="Times New Roman"/>
          <w:sz w:val="24"/>
          <w:szCs w:val="24"/>
          <w:lang w:val="es-MX"/>
        </w:rPr>
        <w:t>1</w:t>
      </w:r>
      <w:r w:rsidRPr="00FE76BD">
        <w:rPr>
          <w:rFonts w:ascii="Times New Roman" w:hAnsi="Times New Roman"/>
          <w:sz w:val="24"/>
          <w:szCs w:val="24"/>
          <w:lang w:val="es-MX"/>
        </w:rPr>
        <w:t xml:space="preserve"> punto</w:t>
      </w:r>
      <w:r>
        <w:rPr>
          <w:rFonts w:ascii="Times New Roman" w:hAnsi="Times New Roman"/>
          <w:sz w:val="24"/>
          <w:szCs w:val="24"/>
          <w:lang w:val="es-MX"/>
        </w:rPr>
        <w:t>s</w:t>
      </w:r>
      <w:r w:rsidRPr="00FE76BD">
        <w:rPr>
          <w:rFonts w:ascii="Times New Roman" w:hAnsi="Times New Roman"/>
          <w:sz w:val="24"/>
          <w:szCs w:val="24"/>
          <w:lang w:val="es-MX"/>
        </w:rPr>
        <w:t xml:space="preserve"> porcentual</w:t>
      </w:r>
      <w:r>
        <w:rPr>
          <w:rFonts w:ascii="Times New Roman" w:hAnsi="Times New Roman"/>
          <w:sz w:val="24"/>
          <w:szCs w:val="24"/>
          <w:lang w:val="es-MX"/>
        </w:rPr>
        <w:t>es</w:t>
      </w:r>
      <w:r w:rsidRPr="00FE76BD">
        <w:rPr>
          <w:rFonts w:ascii="Times New Roman" w:hAnsi="Times New Roman"/>
          <w:sz w:val="24"/>
          <w:szCs w:val="24"/>
          <w:lang w:val="es-MX"/>
        </w:rPr>
        <w:t xml:space="preserve"> del PIB), </w:t>
      </w:r>
      <w:r>
        <w:rPr>
          <w:rFonts w:ascii="Times New Roman" w:hAnsi="Times New Roman"/>
          <w:sz w:val="24"/>
          <w:szCs w:val="24"/>
          <w:lang w:val="es-MX"/>
        </w:rPr>
        <w:t xml:space="preserve">el cual </w:t>
      </w:r>
      <w:r w:rsidRPr="00FE76BD">
        <w:rPr>
          <w:rFonts w:ascii="Times New Roman" w:hAnsi="Times New Roman"/>
          <w:sz w:val="24"/>
          <w:szCs w:val="24"/>
          <w:lang w:val="es-MX"/>
        </w:rPr>
        <w:t>se debe principalmente a un mayor déficit primario, derivad</w:t>
      </w:r>
      <w:r>
        <w:rPr>
          <w:rFonts w:ascii="Times New Roman" w:hAnsi="Times New Roman"/>
          <w:sz w:val="24"/>
          <w:szCs w:val="24"/>
          <w:lang w:val="es-MX"/>
        </w:rPr>
        <w:t xml:space="preserve">o de los programas de reactivación económica post COVID-19 que realizará el Organismo Ejecutivo en dicho año, que aunque tiene un efecto en el aumento de la deuda, se espera también que se dé un efecto positivo en el crecimiento económico de 2021 y para los años siguientes, derivado del efecto multiplicador del gasto, principalmente el de inversión pública, en donde la mayor parte de este gasto en reactivación económica se orienta.  De esa cuenta, se prevé que, de materializarse la ejecución de los programas de reactivación económica se podría generar un impacto positivo de entre 0.5 y 0.8 puntos porcentuales en la tasa de crecimiento del PIB, que a su vez tendrán un efecto indirecto en la reducción de la relación deuda/PIB y de una posible mejora en la recaudación fiscal.  Aunque es importante indicar que este efecto en el PIB no se consideró para el análisis de deuda y de sostenibilidad que se presenta en este documento. </w:t>
      </w:r>
    </w:p>
    <w:p w14:paraId="33580AD0" w14:textId="53A3A9CC" w:rsidR="001D7C1C" w:rsidRDefault="001D7C1C" w:rsidP="00E045DA">
      <w:pPr>
        <w:pStyle w:val="Sinespaciado"/>
        <w:ind w:left="567" w:right="49"/>
        <w:jc w:val="both"/>
        <w:rPr>
          <w:rFonts w:ascii="Times New Roman" w:hAnsi="Times New Roman"/>
          <w:sz w:val="24"/>
          <w:szCs w:val="24"/>
          <w:lang w:val="es-MX"/>
        </w:rPr>
      </w:pPr>
    </w:p>
    <w:p w14:paraId="05904440" w14:textId="77777777" w:rsidR="001D7C1C" w:rsidRDefault="001D7C1C" w:rsidP="001D7C1C">
      <w:pPr>
        <w:pStyle w:val="Sinespaciado"/>
        <w:ind w:left="567" w:right="49"/>
        <w:jc w:val="both"/>
        <w:rPr>
          <w:rFonts w:ascii="Times New Roman" w:hAnsi="Times New Roman"/>
          <w:sz w:val="24"/>
          <w:szCs w:val="24"/>
          <w:lang w:val="es-MX"/>
        </w:rPr>
      </w:pPr>
      <w:r>
        <w:rPr>
          <w:rFonts w:ascii="Times New Roman" w:hAnsi="Times New Roman"/>
          <w:sz w:val="24"/>
          <w:szCs w:val="24"/>
          <w:lang w:val="es-MX"/>
        </w:rPr>
        <w:lastRenderedPageBreak/>
        <w:t>Asimismo,</w:t>
      </w:r>
      <w:r w:rsidRPr="00FE76BD">
        <w:rPr>
          <w:rFonts w:ascii="Times New Roman" w:hAnsi="Times New Roman"/>
          <w:sz w:val="24"/>
          <w:szCs w:val="24"/>
          <w:lang w:val="es-MX"/>
        </w:rPr>
        <w:t xml:space="preserve"> </w:t>
      </w:r>
      <w:r>
        <w:rPr>
          <w:rFonts w:ascii="Times New Roman" w:hAnsi="Times New Roman"/>
          <w:sz w:val="24"/>
          <w:szCs w:val="24"/>
          <w:lang w:val="es-MX"/>
        </w:rPr>
        <w:t xml:space="preserve">en los años </w:t>
      </w:r>
      <w:r w:rsidRPr="00FE76BD">
        <w:rPr>
          <w:rFonts w:ascii="Times New Roman" w:hAnsi="Times New Roman"/>
          <w:sz w:val="24"/>
          <w:szCs w:val="24"/>
          <w:lang w:val="es-MX"/>
        </w:rPr>
        <w:t xml:space="preserve">2022-2025 se pronóstica que el crecimiento de la deuda con respecto al PIB </w:t>
      </w:r>
      <w:r>
        <w:rPr>
          <w:rFonts w:ascii="Times New Roman" w:hAnsi="Times New Roman"/>
          <w:sz w:val="24"/>
          <w:szCs w:val="24"/>
          <w:lang w:val="es-MX"/>
        </w:rPr>
        <w:t>se desacelere gradualmente en la medida en que el ajuste de gasto se vaya realizando debido a la eliminación del gasto del programa COVID-19 y la disminución del gasto orientado a la reactivación económica, al punto que en 2025 se estima que la relación deuda/PIB será la misma que la prevista en 2024.</w:t>
      </w:r>
      <w:r w:rsidRPr="00FE76BD">
        <w:rPr>
          <w:rFonts w:ascii="Times New Roman" w:hAnsi="Times New Roman"/>
          <w:sz w:val="24"/>
          <w:szCs w:val="24"/>
          <w:lang w:val="es-MX"/>
        </w:rPr>
        <w:t xml:space="preserve"> </w:t>
      </w:r>
    </w:p>
    <w:p w14:paraId="48B5E7F4" w14:textId="77777777" w:rsidR="001D7C1C" w:rsidRDefault="001D7C1C" w:rsidP="00E045DA">
      <w:pPr>
        <w:pStyle w:val="Sinespaciado"/>
        <w:ind w:left="567" w:right="49"/>
        <w:jc w:val="both"/>
        <w:rPr>
          <w:rFonts w:ascii="Times New Roman" w:hAnsi="Times New Roman"/>
          <w:sz w:val="24"/>
          <w:szCs w:val="24"/>
          <w:lang w:val="es-MX"/>
        </w:rPr>
      </w:pPr>
    </w:p>
    <w:p w14:paraId="44B3D1E2" w14:textId="77777777" w:rsidR="00246A61" w:rsidRPr="00FE76BD" w:rsidRDefault="00246A61" w:rsidP="00246A61">
      <w:pPr>
        <w:pStyle w:val="Sinespaciado"/>
        <w:ind w:left="567" w:right="49"/>
        <w:jc w:val="both"/>
        <w:rPr>
          <w:rFonts w:ascii="Times New Roman" w:hAnsi="Times New Roman"/>
          <w:sz w:val="24"/>
          <w:szCs w:val="24"/>
          <w:lang w:val="es-MX"/>
        </w:rPr>
      </w:pPr>
    </w:p>
    <w:p w14:paraId="41879B5A" w14:textId="7697F05D" w:rsidR="00246A61" w:rsidRDefault="00246A61" w:rsidP="00246A61">
      <w:pPr>
        <w:pStyle w:val="Sinespaciado"/>
        <w:ind w:left="567" w:right="49"/>
        <w:jc w:val="both"/>
        <w:rPr>
          <w:rFonts w:ascii="Times New Roman" w:hAnsi="Times New Roman"/>
          <w:sz w:val="24"/>
          <w:szCs w:val="24"/>
          <w:lang w:val="es-MX"/>
        </w:rPr>
      </w:pPr>
      <w:r w:rsidRPr="00FE76BD">
        <w:rPr>
          <w:rFonts w:ascii="Times New Roman" w:hAnsi="Times New Roman"/>
          <w:sz w:val="24"/>
          <w:szCs w:val="24"/>
          <w:lang w:val="es-MX"/>
        </w:rPr>
        <w:t>Para el período 2020-2025, la dinámica de la deuda será levemente creciente, causado primero por un aumento del déficit primario en 2020-2021 y, segundo, por una reducción gradual en los años siguientes. El aumento acumulado es de 5.7 puntos porcentuales del PIB. Asimismo, el tipo de cambio se prevé se mantenga estable en torno a un límite superior de Q8.00 x US$1.00 en el referido periodo. Es importante indicar que, es necesario que el crecimiento económico se ubique por encima de la tasa de interés real favoreciendo con ello la estabilidad en la dinámica de la deuda.</w:t>
      </w:r>
    </w:p>
    <w:p w14:paraId="3DED163F" w14:textId="77777777" w:rsidR="001D7C1C" w:rsidRPr="00FE76BD" w:rsidRDefault="001D7C1C" w:rsidP="00246A61">
      <w:pPr>
        <w:pStyle w:val="Sinespaciado"/>
        <w:ind w:left="567" w:right="49"/>
        <w:jc w:val="both"/>
        <w:rPr>
          <w:rFonts w:ascii="Times New Roman" w:hAnsi="Times New Roman"/>
          <w:sz w:val="24"/>
          <w:szCs w:val="24"/>
          <w:lang w:val="es-MX"/>
        </w:rPr>
      </w:pPr>
    </w:p>
    <w:tbl>
      <w:tblPr>
        <w:tblStyle w:val="Tablaconcuadrcula"/>
        <w:tblW w:w="9972"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Look w:val="04A0" w:firstRow="1" w:lastRow="0" w:firstColumn="1" w:lastColumn="0" w:noHBand="0" w:noVBand="1"/>
      </w:tblPr>
      <w:tblGrid>
        <w:gridCol w:w="9972"/>
      </w:tblGrid>
      <w:tr w:rsidR="00246A61" w:rsidRPr="00FE76BD" w14:paraId="7AEAE002" w14:textId="77777777" w:rsidTr="0046235C">
        <w:trPr>
          <w:trHeight w:val="4558"/>
          <w:jc w:val="center"/>
        </w:trPr>
        <w:tc>
          <w:tcPr>
            <w:tcW w:w="9972" w:type="dxa"/>
          </w:tcPr>
          <w:p w14:paraId="0A5F93C8" w14:textId="77777777" w:rsidR="00246A61" w:rsidRPr="00FE76BD" w:rsidRDefault="00246A61" w:rsidP="00BA4D6D">
            <w:pPr>
              <w:pStyle w:val="Epgrafe"/>
              <w:keepNext/>
              <w:ind w:left="567" w:right="49"/>
              <w:rPr>
                <w:color w:val="auto"/>
                <w:sz w:val="24"/>
                <w:szCs w:val="24"/>
              </w:rPr>
            </w:pPr>
            <w:r>
              <w:rPr>
                <w:color w:val="auto"/>
                <w:sz w:val="24"/>
                <w:szCs w:val="24"/>
              </w:rPr>
              <w:t>Gráfico 30</w:t>
            </w:r>
            <w:r w:rsidRPr="00FE76BD">
              <w:rPr>
                <w:color w:val="auto"/>
                <w:sz w:val="24"/>
                <w:szCs w:val="24"/>
              </w:rPr>
              <w:t>. Flujos creados de Deuda Pública</w:t>
            </w:r>
          </w:p>
          <w:p w14:paraId="0FB50918" w14:textId="77777777" w:rsidR="00246A61" w:rsidRPr="00FE76BD" w:rsidRDefault="00246A61" w:rsidP="00BA4D6D">
            <w:pPr>
              <w:ind w:left="567" w:right="49"/>
              <w:jc w:val="center"/>
              <w:rPr>
                <w:sz w:val="24"/>
                <w:szCs w:val="24"/>
              </w:rPr>
            </w:pPr>
            <w:r w:rsidRPr="00FE76BD">
              <w:rPr>
                <w:sz w:val="24"/>
                <w:szCs w:val="24"/>
              </w:rPr>
              <w:t>En porcentaje del PIB</w:t>
            </w:r>
          </w:p>
          <w:p w14:paraId="2F2AA25B" w14:textId="71D21900" w:rsidR="00246A61" w:rsidRPr="00FE76BD" w:rsidRDefault="00983F0F" w:rsidP="00BA4D6D">
            <w:pPr>
              <w:ind w:left="567" w:right="49"/>
              <w:jc w:val="center"/>
              <w:rPr>
                <w:noProof/>
                <w:sz w:val="24"/>
                <w:szCs w:val="24"/>
              </w:rPr>
            </w:pPr>
            <w:r>
              <w:rPr>
                <w:noProof/>
                <w:lang w:val="es-ES"/>
              </w:rPr>
              <w:drawing>
                <wp:inline distT="0" distB="0" distL="0" distR="0" wp14:anchorId="2415F68F" wp14:editId="79A0929A">
                  <wp:extent cx="5636525" cy="2320008"/>
                  <wp:effectExtent l="0" t="0" r="2540" b="4445"/>
                  <wp:docPr id="6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5645258" cy="2323603"/>
                          </a:xfrm>
                          <a:prstGeom prst="rect">
                            <a:avLst/>
                          </a:prstGeom>
                        </pic:spPr>
                      </pic:pic>
                    </a:graphicData>
                  </a:graphic>
                </wp:inline>
              </w:drawing>
            </w:r>
            <w:r w:rsidR="00246A61" w:rsidRPr="00FE76BD">
              <w:rPr>
                <w:noProof/>
                <w:sz w:val="24"/>
                <w:szCs w:val="24"/>
              </w:rPr>
              <w:t xml:space="preserve"> </w:t>
            </w:r>
          </w:p>
          <w:p w14:paraId="11A33F39" w14:textId="77777777" w:rsidR="00246A61" w:rsidRPr="00FE76BD" w:rsidRDefault="00246A61" w:rsidP="00BA4D6D">
            <w:pPr>
              <w:ind w:left="567" w:right="49"/>
              <w:rPr>
                <w:sz w:val="24"/>
                <w:szCs w:val="24"/>
              </w:rPr>
            </w:pPr>
            <w:r w:rsidRPr="00FE76BD">
              <w:rPr>
                <w:sz w:val="24"/>
                <w:szCs w:val="24"/>
              </w:rPr>
              <w:t xml:space="preserve">      </w:t>
            </w:r>
            <w:r w:rsidRPr="00F7730F">
              <w:rPr>
                <w:szCs w:val="24"/>
              </w:rPr>
              <w:t xml:space="preserve">Fuente: Elaboración </w:t>
            </w:r>
            <w:r>
              <w:rPr>
                <w:szCs w:val="24"/>
              </w:rPr>
              <w:t>DAPF</w:t>
            </w:r>
            <w:r w:rsidRPr="00F7730F">
              <w:rPr>
                <w:szCs w:val="24"/>
              </w:rPr>
              <w:t xml:space="preserve"> con metodología del FMI</w:t>
            </w:r>
          </w:p>
          <w:p w14:paraId="3EBD3018" w14:textId="77777777" w:rsidR="00246A61" w:rsidRPr="00FE76BD" w:rsidRDefault="00246A61" w:rsidP="00BA4D6D">
            <w:pPr>
              <w:ind w:left="567" w:right="49"/>
              <w:rPr>
                <w:sz w:val="24"/>
                <w:szCs w:val="24"/>
              </w:rPr>
            </w:pPr>
          </w:p>
        </w:tc>
      </w:tr>
    </w:tbl>
    <w:p w14:paraId="147EA5D5" w14:textId="77777777" w:rsidR="0046235C" w:rsidRPr="00FE76BD" w:rsidRDefault="0046235C" w:rsidP="0046235C">
      <w:pPr>
        <w:pStyle w:val="Sinespaciado"/>
        <w:ind w:left="567" w:right="49"/>
        <w:jc w:val="both"/>
        <w:rPr>
          <w:rFonts w:ascii="Times New Roman" w:hAnsi="Times New Roman"/>
          <w:sz w:val="24"/>
          <w:szCs w:val="24"/>
          <w:lang w:val="es-MX"/>
        </w:rPr>
      </w:pPr>
      <w:r w:rsidRPr="00FE76BD">
        <w:rPr>
          <w:rFonts w:ascii="Times New Roman" w:hAnsi="Times New Roman"/>
          <w:sz w:val="24"/>
          <w:szCs w:val="24"/>
          <w:lang w:val="es-MX"/>
        </w:rPr>
        <w:t>Lo anterior da como resultado que, en términos acumulados, en el período 2020-2025, la deuda pública aumente ligeramente, por lo que se esperaría que el nivel de la deuda pública para el cierre de 2020 se ubique en 32.4</w:t>
      </w:r>
      <w:r>
        <w:rPr>
          <w:rFonts w:ascii="Times New Roman" w:hAnsi="Times New Roman"/>
          <w:sz w:val="24"/>
          <w:szCs w:val="24"/>
          <w:lang w:val="es-MX"/>
        </w:rPr>
        <w:t xml:space="preserve">% </w:t>
      </w:r>
      <w:r w:rsidRPr="00FE76BD">
        <w:rPr>
          <w:rFonts w:ascii="Times New Roman" w:hAnsi="Times New Roman"/>
          <w:sz w:val="24"/>
          <w:szCs w:val="24"/>
          <w:lang w:val="es-MX"/>
        </w:rPr>
        <w:t>del PIB, en 2021 aumentará nuevamente a 3</w:t>
      </w:r>
      <w:r>
        <w:rPr>
          <w:rFonts w:ascii="Times New Roman" w:hAnsi="Times New Roman"/>
          <w:sz w:val="24"/>
          <w:szCs w:val="24"/>
          <w:lang w:val="es-MX"/>
        </w:rPr>
        <w:t>5</w:t>
      </w:r>
      <w:r w:rsidRPr="00FE76BD">
        <w:rPr>
          <w:rFonts w:ascii="Times New Roman" w:hAnsi="Times New Roman"/>
          <w:sz w:val="24"/>
          <w:szCs w:val="24"/>
          <w:lang w:val="es-MX"/>
        </w:rPr>
        <w:t>.</w:t>
      </w:r>
      <w:r>
        <w:rPr>
          <w:rFonts w:ascii="Times New Roman" w:hAnsi="Times New Roman"/>
          <w:sz w:val="24"/>
          <w:szCs w:val="24"/>
          <w:lang w:val="es-MX"/>
        </w:rPr>
        <w:t xml:space="preserve">5% </w:t>
      </w:r>
      <w:r w:rsidRPr="00FE76BD">
        <w:rPr>
          <w:rFonts w:ascii="Times New Roman" w:hAnsi="Times New Roman"/>
          <w:sz w:val="24"/>
          <w:szCs w:val="24"/>
          <w:lang w:val="es-MX"/>
        </w:rPr>
        <w:t>y se espera que para 2025 se encuentre alrededor de 3</w:t>
      </w:r>
      <w:r>
        <w:rPr>
          <w:rFonts w:ascii="Times New Roman" w:hAnsi="Times New Roman"/>
          <w:sz w:val="24"/>
          <w:szCs w:val="24"/>
          <w:lang w:val="es-MX"/>
        </w:rPr>
        <w:t>8</w:t>
      </w:r>
      <w:r w:rsidRPr="00FE76BD">
        <w:rPr>
          <w:rFonts w:ascii="Times New Roman" w:hAnsi="Times New Roman"/>
          <w:sz w:val="24"/>
          <w:szCs w:val="24"/>
          <w:lang w:val="es-MX"/>
        </w:rPr>
        <w:t>.</w:t>
      </w:r>
      <w:r>
        <w:rPr>
          <w:rFonts w:ascii="Times New Roman" w:hAnsi="Times New Roman"/>
          <w:sz w:val="24"/>
          <w:szCs w:val="24"/>
          <w:lang w:val="es-MX"/>
        </w:rPr>
        <w:t>5%</w:t>
      </w:r>
      <w:r w:rsidRPr="00FE76BD">
        <w:rPr>
          <w:rFonts w:ascii="Times New Roman" w:hAnsi="Times New Roman"/>
          <w:sz w:val="24"/>
          <w:szCs w:val="24"/>
          <w:lang w:val="es-MX"/>
        </w:rPr>
        <w:t xml:space="preserve"> del PIB.</w:t>
      </w:r>
    </w:p>
    <w:p w14:paraId="6FDAF1DE" w14:textId="77777777" w:rsidR="00246A61" w:rsidRPr="00FE76BD" w:rsidRDefault="00246A61" w:rsidP="00246A61">
      <w:pPr>
        <w:ind w:left="567" w:right="49"/>
        <w:jc w:val="both"/>
        <w:rPr>
          <w:sz w:val="24"/>
          <w:szCs w:val="24"/>
        </w:rPr>
      </w:pPr>
    </w:p>
    <w:p w14:paraId="3D7DB980" w14:textId="77777777" w:rsidR="00246A61" w:rsidRPr="00FE76BD" w:rsidRDefault="00246A61" w:rsidP="00246A61">
      <w:pPr>
        <w:pStyle w:val="Sinespaciado"/>
        <w:ind w:left="567" w:right="49"/>
        <w:jc w:val="both"/>
        <w:rPr>
          <w:rFonts w:ascii="Times New Roman" w:hAnsi="Times New Roman"/>
          <w:sz w:val="24"/>
          <w:szCs w:val="24"/>
          <w:lang w:val="es-MX"/>
        </w:rPr>
      </w:pPr>
      <w:r w:rsidRPr="00FE76BD">
        <w:rPr>
          <w:rFonts w:ascii="Times New Roman" w:hAnsi="Times New Roman"/>
          <w:sz w:val="24"/>
          <w:szCs w:val="24"/>
          <w:lang w:val="es-MX"/>
        </w:rPr>
        <w:t xml:space="preserve">Considerando que persiste cierta incertidumbre en los mercados externos, aunque de manera relativamente moderada, dicha incertidumbre puede tener efectos sobre la actividad económica nacional, principalmente en las variables macroeconómicas que tienen incidencia en las cuentas fiscales, especialmente en la dinámica de la deuda pública.  Se consideró para el efecto la construcción de algunas pruebas de tensión para determinar cómo evolucionaría la deuda en el mediano plazo ante choques que podrían producirse en el mercado externo o dentro de la economía nacional.   </w:t>
      </w:r>
    </w:p>
    <w:p w14:paraId="1B42340D" w14:textId="77777777" w:rsidR="00246A61" w:rsidRPr="00FE76BD" w:rsidRDefault="00246A61" w:rsidP="00246A61">
      <w:pPr>
        <w:pStyle w:val="Sinespaciado"/>
        <w:ind w:left="567" w:right="49"/>
        <w:jc w:val="both"/>
        <w:rPr>
          <w:rFonts w:ascii="Times New Roman" w:hAnsi="Times New Roman"/>
          <w:sz w:val="24"/>
          <w:szCs w:val="24"/>
          <w:lang w:val="es-MX"/>
        </w:rPr>
      </w:pPr>
    </w:p>
    <w:p w14:paraId="55D39450" w14:textId="77777777" w:rsidR="00246A61" w:rsidRPr="00FE76BD" w:rsidRDefault="00246A61" w:rsidP="00246A61">
      <w:pPr>
        <w:pStyle w:val="Sinespaciado"/>
        <w:ind w:left="567" w:right="49"/>
        <w:jc w:val="both"/>
        <w:rPr>
          <w:rFonts w:ascii="Times New Roman" w:hAnsi="Times New Roman"/>
          <w:sz w:val="24"/>
          <w:szCs w:val="24"/>
          <w:lang w:val="es-MX"/>
        </w:rPr>
      </w:pPr>
      <w:r w:rsidRPr="00FE76BD">
        <w:rPr>
          <w:rFonts w:ascii="Times New Roman" w:hAnsi="Times New Roman"/>
          <w:sz w:val="24"/>
          <w:szCs w:val="24"/>
          <w:lang w:val="es-MX"/>
        </w:rPr>
        <w:lastRenderedPageBreak/>
        <w:t xml:space="preserve">De esa cuenta, tomando como referencia la metodología utilizada en el Framework </w:t>
      </w:r>
      <w:r w:rsidRPr="00FE76BD">
        <w:rPr>
          <w:rFonts w:ascii="Times New Roman" w:hAnsi="Times New Roman"/>
          <w:i/>
          <w:sz w:val="24"/>
          <w:szCs w:val="24"/>
          <w:lang w:val="es-MX"/>
        </w:rPr>
        <w:t>Public</w:t>
      </w:r>
      <w:r w:rsidRPr="00FE76BD">
        <w:rPr>
          <w:rFonts w:ascii="Times New Roman" w:hAnsi="Times New Roman"/>
          <w:sz w:val="24"/>
          <w:szCs w:val="24"/>
          <w:lang w:val="es-MX"/>
        </w:rPr>
        <w:t xml:space="preserve"> </w:t>
      </w:r>
      <w:r w:rsidRPr="00FE76BD">
        <w:rPr>
          <w:rFonts w:ascii="Times New Roman" w:hAnsi="Times New Roman"/>
          <w:i/>
          <w:sz w:val="24"/>
          <w:szCs w:val="24"/>
          <w:lang w:val="es-MX"/>
        </w:rPr>
        <w:t>Debt Sustainability Analysis</w:t>
      </w:r>
      <w:r w:rsidRPr="00FE76BD">
        <w:rPr>
          <w:rFonts w:ascii="Times New Roman" w:hAnsi="Times New Roman"/>
          <w:sz w:val="24"/>
          <w:szCs w:val="24"/>
          <w:lang w:val="es-MX"/>
        </w:rPr>
        <w:t xml:space="preserve"> (DSA) del Fondo Monetario Internacional -FMI-, se elaboraron una serie de escenarios con los diferentes choques posibles que podrían experimentarse, estos choques se midieron con respecto al escenario base que es consiste con las estimaciones del presupuesto multianual 2020-2025.</w:t>
      </w:r>
    </w:p>
    <w:p w14:paraId="30EDA6BE" w14:textId="77777777" w:rsidR="00246A61" w:rsidRPr="00FE76BD" w:rsidRDefault="00246A61" w:rsidP="00246A61">
      <w:pPr>
        <w:pStyle w:val="Sinespaciado"/>
        <w:ind w:left="567" w:right="49"/>
        <w:jc w:val="both"/>
        <w:rPr>
          <w:rFonts w:ascii="Times New Roman" w:hAnsi="Times New Roman"/>
          <w:sz w:val="24"/>
          <w:szCs w:val="24"/>
          <w:lang w:val="es-MX"/>
        </w:rPr>
      </w:pPr>
    </w:p>
    <w:p w14:paraId="59D491AC" w14:textId="77777777" w:rsidR="00FC21EA" w:rsidRPr="00FE76BD" w:rsidRDefault="00246A61" w:rsidP="00FC21EA">
      <w:pPr>
        <w:pStyle w:val="Sinespaciado"/>
        <w:ind w:left="567" w:right="49"/>
        <w:jc w:val="both"/>
        <w:rPr>
          <w:rFonts w:ascii="Times New Roman" w:hAnsi="Times New Roman"/>
          <w:sz w:val="24"/>
          <w:szCs w:val="24"/>
          <w:lang w:val="es-MX"/>
        </w:rPr>
      </w:pPr>
      <w:r w:rsidRPr="00FE76BD">
        <w:rPr>
          <w:rFonts w:ascii="Times New Roman" w:hAnsi="Times New Roman"/>
          <w:sz w:val="24"/>
          <w:szCs w:val="24"/>
          <w:lang w:val="es-MX"/>
        </w:rPr>
        <w:t xml:space="preserve">De acuerdo con los resultados obtenidos al realizar los diferentes choques, se pudo observar que una de las variables que tiene mayor incidencia en la evolución de la dinámica de la deuda es el crecimiento económico real.  </w:t>
      </w:r>
      <w:r w:rsidR="00FC21EA" w:rsidRPr="00FE76BD">
        <w:rPr>
          <w:rFonts w:ascii="Times New Roman" w:hAnsi="Times New Roman"/>
          <w:sz w:val="24"/>
          <w:szCs w:val="24"/>
          <w:lang w:val="es-MX"/>
        </w:rPr>
        <w:t>Se consideró que una reducción en el PIB real para 2020 (-3.5%) y con secuelas en 2021 por el equivalente de una desviación estándar, manteniendo los demás factores constantes, la razón deuda/PIB podría aumentar a 35.</w:t>
      </w:r>
      <w:r w:rsidR="00FC21EA">
        <w:rPr>
          <w:rFonts w:ascii="Times New Roman" w:hAnsi="Times New Roman"/>
          <w:sz w:val="24"/>
          <w:szCs w:val="24"/>
          <w:lang w:val="es-MX"/>
        </w:rPr>
        <w:t xml:space="preserve">8% </w:t>
      </w:r>
      <w:r w:rsidR="00FC21EA" w:rsidRPr="00FE76BD">
        <w:rPr>
          <w:rFonts w:ascii="Times New Roman" w:hAnsi="Times New Roman"/>
          <w:sz w:val="24"/>
          <w:szCs w:val="24"/>
          <w:lang w:val="es-MX"/>
        </w:rPr>
        <w:t xml:space="preserve">en 2021 y podría llegar a </w:t>
      </w:r>
      <w:r w:rsidR="00FC21EA">
        <w:rPr>
          <w:rFonts w:ascii="Times New Roman" w:hAnsi="Times New Roman"/>
          <w:sz w:val="24"/>
          <w:szCs w:val="24"/>
          <w:lang w:val="es-MX"/>
        </w:rPr>
        <w:t>41.1%</w:t>
      </w:r>
      <w:r w:rsidR="00FC21EA" w:rsidRPr="00FE76BD">
        <w:rPr>
          <w:rFonts w:ascii="Times New Roman" w:hAnsi="Times New Roman"/>
          <w:sz w:val="24"/>
          <w:szCs w:val="24"/>
          <w:lang w:val="es-MX"/>
        </w:rPr>
        <w:t xml:space="preserve"> al cierre de 2025.</w:t>
      </w:r>
    </w:p>
    <w:p w14:paraId="508E11F8" w14:textId="4AE54FB9" w:rsidR="00246A61" w:rsidRPr="00FE76BD" w:rsidRDefault="00246A61" w:rsidP="00246A61">
      <w:pPr>
        <w:pStyle w:val="Sinespaciado"/>
        <w:ind w:left="567" w:right="49"/>
        <w:jc w:val="both"/>
        <w:rPr>
          <w:rFonts w:ascii="Times New Roman" w:hAnsi="Times New Roman"/>
          <w:sz w:val="24"/>
          <w:szCs w:val="24"/>
          <w:lang w:val="es-MX"/>
        </w:rPr>
      </w:pPr>
    </w:p>
    <w:p w14:paraId="6F31227C" w14:textId="77777777" w:rsidR="00E153B6" w:rsidRDefault="00E153B6" w:rsidP="00E153B6">
      <w:pPr>
        <w:pStyle w:val="Sinespaciado"/>
        <w:ind w:left="567" w:right="49"/>
        <w:jc w:val="both"/>
        <w:rPr>
          <w:rFonts w:ascii="Times New Roman" w:hAnsi="Times New Roman"/>
          <w:sz w:val="24"/>
          <w:szCs w:val="24"/>
          <w:lang w:val="es-MX"/>
        </w:rPr>
      </w:pPr>
      <w:r w:rsidRPr="00FE76BD">
        <w:rPr>
          <w:rFonts w:ascii="Times New Roman" w:hAnsi="Times New Roman"/>
          <w:sz w:val="24"/>
          <w:szCs w:val="24"/>
          <w:lang w:val="es-MX"/>
        </w:rPr>
        <w:t>Asimismo, un choque en el balance primario (Sp), según la evidencia presentada, podría elevar de manera importante la deuda pública.  Se simuló que estos choques ocurrirían en los años 2021-2022, los cuales podrían ser causados por la continuidad del aumento del gasto para la reactivación económica post COVID-19 o de gasto extraordinario como un desastre natural o una súbita caída en la recaudación tributaria.  La dimensión del choque realizado es por el equivalente a 0.5</w:t>
      </w:r>
      <w:r>
        <w:rPr>
          <w:rFonts w:ascii="Times New Roman" w:hAnsi="Times New Roman"/>
          <w:sz w:val="24"/>
          <w:szCs w:val="24"/>
          <w:lang w:val="es-MX"/>
        </w:rPr>
        <w:t>%</w:t>
      </w:r>
      <w:r w:rsidRPr="00FE76BD">
        <w:rPr>
          <w:rFonts w:ascii="Times New Roman" w:hAnsi="Times New Roman"/>
          <w:sz w:val="24"/>
          <w:szCs w:val="24"/>
          <w:lang w:val="es-MX"/>
        </w:rPr>
        <w:t xml:space="preserve"> y 0.4</w:t>
      </w:r>
      <w:r>
        <w:rPr>
          <w:rFonts w:ascii="Times New Roman" w:hAnsi="Times New Roman"/>
          <w:sz w:val="24"/>
          <w:szCs w:val="24"/>
          <w:lang w:val="es-MX"/>
        </w:rPr>
        <w:t>%</w:t>
      </w:r>
      <w:r w:rsidRPr="00FE76BD">
        <w:rPr>
          <w:rFonts w:ascii="Times New Roman" w:hAnsi="Times New Roman"/>
          <w:sz w:val="24"/>
          <w:szCs w:val="24"/>
          <w:lang w:val="es-MX"/>
        </w:rPr>
        <w:t xml:space="preserve"> </w:t>
      </w:r>
      <w:r>
        <w:rPr>
          <w:rFonts w:ascii="Times New Roman" w:hAnsi="Times New Roman"/>
          <w:sz w:val="24"/>
          <w:szCs w:val="24"/>
          <w:lang w:val="es-MX"/>
        </w:rPr>
        <w:t>d</w:t>
      </w:r>
      <w:r w:rsidRPr="00FE76BD">
        <w:rPr>
          <w:rFonts w:ascii="Times New Roman" w:hAnsi="Times New Roman"/>
          <w:sz w:val="24"/>
          <w:szCs w:val="24"/>
          <w:lang w:val="es-MX"/>
        </w:rPr>
        <w:t>el PIB en los años indicados.   Esto elevaría la razón deuda/PIB en 2021 a 35.</w:t>
      </w:r>
      <w:r>
        <w:rPr>
          <w:rFonts w:ascii="Times New Roman" w:hAnsi="Times New Roman"/>
          <w:sz w:val="24"/>
          <w:szCs w:val="24"/>
          <w:lang w:val="es-MX"/>
        </w:rPr>
        <w:t xml:space="preserve">6% </w:t>
      </w:r>
      <w:r w:rsidRPr="00FE76BD">
        <w:rPr>
          <w:rFonts w:ascii="Times New Roman" w:hAnsi="Times New Roman"/>
          <w:sz w:val="24"/>
          <w:szCs w:val="24"/>
          <w:lang w:val="es-MX"/>
        </w:rPr>
        <w:t xml:space="preserve">y para 2025 podría alcanzar </w:t>
      </w:r>
      <w:r>
        <w:rPr>
          <w:rFonts w:ascii="Times New Roman" w:hAnsi="Times New Roman"/>
          <w:sz w:val="24"/>
          <w:szCs w:val="24"/>
          <w:lang w:val="es-MX"/>
        </w:rPr>
        <w:t>40</w:t>
      </w:r>
      <w:r w:rsidRPr="00FE76BD">
        <w:rPr>
          <w:rFonts w:ascii="Times New Roman" w:hAnsi="Times New Roman"/>
          <w:sz w:val="24"/>
          <w:szCs w:val="24"/>
          <w:lang w:val="es-MX"/>
        </w:rPr>
        <w:t>.</w:t>
      </w:r>
      <w:r>
        <w:rPr>
          <w:rFonts w:ascii="Times New Roman" w:hAnsi="Times New Roman"/>
          <w:sz w:val="24"/>
          <w:szCs w:val="24"/>
          <w:lang w:val="es-MX"/>
        </w:rPr>
        <w:t>7%</w:t>
      </w:r>
      <w:r w:rsidRPr="00FE76BD">
        <w:rPr>
          <w:rFonts w:ascii="Times New Roman" w:hAnsi="Times New Roman"/>
          <w:sz w:val="24"/>
          <w:szCs w:val="24"/>
          <w:lang w:val="es-MX"/>
        </w:rPr>
        <w:t>.</w:t>
      </w:r>
      <w:r>
        <w:rPr>
          <w:rFonts w:ascii="Times New Roman" w:hAnsi="Times New Roman"/>
          <w:sz w:val="24"/>
          <w:szCs w:val="24"/>
          <w:lang w:val="es-MX"/>
        </w:rPr>
        <w:t xml:space="preserve"> </w:t>
      </w:r>
    </w:p>
    <w:p w14:paraId="13CEE4DE" w14:textId="77777777" w:rsidR="00E153B6" w:rsidRDefault="00E153B6" w:rsidP="00E153B6">
      <w:pPr>
        <w:pStyle w:val="Sinespaciado"/>
        <w:ind w:left="567" w:right="49"/>
        <w:jc w:val="both"/>
        <w:rPr>
          <w:rFonts w:ascii="Times New Roman" w:hAnsi="Times New Roman"/>
          <w:sz w:val="24"/>
          <w:szCs w:val="24"/>
          <w:lang w:val="es-MX"/>
        </w:rPr>
      </w:pPr>
    </w:p>
    <w:p w14:paraId="4A6298BB" w14:textId="4B04D792" w:rsidR="00E153B6" w:rsidRDefault="00E153B6" w:rsidP="00E153B6">
      <w:pPr>
        <w:pStyle w:val="Sinespaciado"/>
        <w:ind w:left="567" w:right="49"/>
        <w:jc w:val="both"/>
        <w:rPr>
          <w:rFonts w:ascii="Times New Roman" w:hAnsi="Times New Roman"/>
          <w:sz w:val="24"/>
          <w:szCs w:val="24"/>
          <w:lang w:val="es-MX"/>
        </w:rPr>
      </w:pPr>
      <w:r w:rsidRPr="00FE76BD">
        <w:rPr>
          <w:rFonts w:ascii="Times New Roman" w:hAnsi="Times New Roman"/>
          <w:sz w:val="24"/>
          <w:szCs w:val="24"/>
          <w:lang w:val="es-MX"/>
        </w:rPr>
        <w:t>Otro factor que incide sensiblemente en el comportamiento</w:t>
      </w:r>
      <w:r>
        <w:rPr>
          <w:rFonts w:ascii="Times New Roman" w:hAnsi="Times New Roman"/>
          <w:sz w:val="24"/>
          <w:szCs w:val="24"/>
          <w:lang w:val="es-MX"/>
        </w:rPr>
        <w:t xml:space="preserve"> de la</w:t>
      </w:r>
      <w:r w:rsidRPr="00FE76BD">
        <w:rPr>
          <w:rFonts w:ascii="Times New Roman" w:hAnsi="Times New Roman"/>
          <w:sz w:val="24"/>
          <w:szCs w:val="24"/>
          <w:lang w:val="es-MX"/>
        </w:rPr>
        <w:t xml:space="preserve"> deuda pública es la variación en el tipo de cambio, una depreciación importante podría elevar los niveles de la deuda pública, derivado que cerca del 49</w:t>
      </w:r>
      <w:r>
        <w:rPr>
          <w:rFonts w:ascii="Times New Roman" w:hAnsi="Times New Roman"/>
          <w:sz w:val="24"/>
          <w:szCs w:val="24"/>
          <w:lang w:val="es-MX"/>
        </w:rPr>
        <w:t>%</w:t>
      </w:r>
      <w:r w:rsidRPr="00FE76BD">
        <w:rPr>
          <w:rFonts w:ascii="Times New Roman" w:hAnsi="Times New Roman"/>
          <w:sz w:val="24"/>
          <w:szCs w:val="24"/>
          <w:lang w:val="es-MX"/>
        </w:rPr>
        <w:t xml:space="preserve"> del saldo de </w:t>
      </w:r>
      <w:r>
        <w:rPr>
          <w:rFonts w:ascii="Times New Roman" w:hAnsi="Times New Roman"/>
          <w:sz w:val="24"/>
          <w:szCs w:val="24"/>
          <w:lang w:val="es-MX"/>
        </w:rPr>
        <w:t>esta,</w:t>
      </w:r>
      <w:r w:rsidRPr="00FE76BD">
        <w:rPr>
          <w:rFonts w:ascii="Times New Roman" w:hAnsi="Times New Roman"/>
          <w:sz w:val="24"/>
          <w:szCs w:val="24"/>
          <w:lang w:val="es-MX"/>
        </w:rPr>
        <w:t xml:space="preserve"> se tiene en moneda extranjera.  De esa cuenta, se consideró una depreciación del 5% en 2021, esto elevaría la razón deuda/PIB a 3</w:t>
      </w:r>
      <w:r>
        <w:rPr>
          <w:rFonts w:ascii="Times New Roman" w:hAnsi="Times New Roman"/>
          <w:sz w:val="24"/>
          <w:szCs w:val="24"/>
          <w:lang w:val="es-MX"/>
        </w:rPr>
        <w:t>5</w:t>
      </w:r>
      <w:r w:rsidRPr="00FE76BD">
        <w:rPr>
          <w:rFonts w:ascii="Times New Roman" w:hAnsi="Times New Roman"/>
          <w:sz w:val="24"/>
          <w:szCs w:val="24"/>
          <w:lang w:val="es-MX"/>
        </w:rPr>
        <w:t>.</w:t>
      </w:r>
      <w:r>
        <w:rPr>
          <w:rFonts w:ascii="Times New Roman" w:hAnsi="Times New Roman"/>
          <w:sz w:val="24"/>
          <w:szCs w:val="24"/>
          <w:lang w:val="es-MX"/>
        </w:rPr>
        <w:t>8%</w:t>
      </w:r>
      <w:r w:rsidRPr="00FE76BD">
        <w:rPr>
          <w:rFonts w:ascii="Times New Roman" w:hAnsi="Times New Roman"/>
          <w:sz w:val="24"/>
          <w:szCs w:val="24"/>
          <w:lang w:val="es-MX"/>
        </w:rPr>
        <w:t xml:space="preserve"> del PIB en dicho año y se estimó que las variaciones para los años 2021-2025 se mantendrían como en el escenario base, por lo que para 2025 la razón deuda/PIB sería de </w:t>
      </w:r>
      <w:r>
        <w:rPr>
          <w:rFonts w:ascii="Times New Roman" w:hAnsi="Times New Roman"/>
          <w:sz w:val="24"/>
          <w:szCs w:val="24"/>
          <w:lang w:val="es-MX"/>
        </w:rPr>
        <w:t>40.6%</w:t>
      </w:r>
      <w:r w:rsidRPr="00FE76BD">
        <w:rPr>
          <w:rFonts w:ascii="Times New Roman" w:hAnsi="Times New Roman"/>
          <w:sz w:val="24"/>
          <w:szCs w:val="24"/>
          <w:lang w:val="es-MX"/>
        </w:rPr>
        <w:t>.</w:t>
      </w:r>
    </w:p>
    <w:p w14:paraId="05B75115" w14:textId="77777777" w:rsidR="00246A61" w:rsidRPr="00FE76BD" w:rsidRDefault="00246A61" w:rsidP="00246A61">
      <w:pPr>
        <w:pStyle w:val="Sinespaciado"/>
        <w:ind w:left="567" w:right="49"/>
        <w:jc w:val="both"/>
        <w:rPr>
          <w:rFonts w:ascii="Times New Roman" w:hAnsi="Times New Roman"/>
          <w:sz w:val="24"/>
          <w:szCs w:val="24"/>
          <w:lang w:val="es-MX"/>
        </w:rPr>
      </w:pPr>
    </w:p>
    <w:p w14:paraId="28FD3891" w14:textId="77777777" w:rsidR="009E6C88" w:rsidRDefault="009E6C88" w:rsidP="009E6C88">
      <w:pPr>
        <w:pStyle w:val="Sinespaciado"/>
        <w:ind w:left="567" w:right="49"/>
        <w:jc w:val="both"/>
        <w:rPr>
          <w:rFonts w:ascii="Times New Roman" w:hAnsi="Times New Roman"/>
          <w:sz w:val="24"/>
          <w:szCs w:val="24"/>
          <w:lang w:val="es-MX"/>
        </w:rPr>
      </w:pPr>
      <w:r w:rsidRPr="00FE76BD">
        <w:rPr>
          <w:rFonts w:ascii="Times New Roman" w:hAnsi="Times New Roman"/>
          <w:sz w:val="24"/>
          <w:szCs w:val="24"/>
          <w:lang w:val="es-MX"/>
        </w:rPr>
        <w:t>Igualmente, se realizó un choque a la tasa de interés real, el cual es sensible a la volatilidad de los mercados financieros y a las decisiones en materia de política monetaria.  Para el efecto, se consideró un aumento de 200 puntos básicos en la tasa de interés real promedio que paga el gobierno en sus obligaciones en 2021 y se mantiene constante de 2021-2025</w:t>
      </w:r>
      <w:r>
        <w:rPr>
          <w:rFonts w:ascii="Times New Roman" w:hAnsi="Times New Roman"/>
          <w:sz w:val="24"/>
          <w:szCs w:val="24"/>
          <w:lang w:val="es-MX"/>
        </w:rPr>
        <w:t>. E</w:t>
      </w:r>
      <w:r w:rsidRPr="00FE76BD">
        <w:rPr>
          <w:rFonts w:ascii="Times New Roman" w:hAnsi="Times New Roman"/>
          <w:sz w:val="24"/>
          <w:szCs w:val="24"/>
          <w:lang w:val="es-MX"/>
        </w:rPr>
        <w:t xml:space="preserve">l efecto para 2021, se estima que será mínimo debido a que la mayor parte de la deuda se tiene contratada a tasa fija, por lo que el principal ajuste se obtendrá en los años siguientes con la contratación de nueva deuda o el repago de la misma.   De esa cuenta, para </w:t>
      </w:r>
      <w:r>
        <w:rPr>
          <w:rFonts w:ascii="Times New Roman" w:hAnsi="Times New Roman"/>
          <w:sz w:val="24"/>
          <w:szCs w:val="24"/>
          <w:lang w:val="es-MX"/>
        </w:rPr>
        <w:t>2021</w:t>
      </w:r>
      <w:r w:rsidRPr="00FE76BD">
        <w:rPr>
          <w:rFonts w:ascii="Times New Roman" w:hAnsi="Times New Roman"/>
          <w:sz w:val="24"/>
          <w:szCs w:val="24"/>
          <w:lang w:val="es-MX"/>
        </w:rPr>
        <w:t xml:space="preserve"> estará alrededor de </w:t>
      </w:r>
      <w:r>
        <w:rPr>
          <w:rFonts w:ascii="Times New Roman" w:hAnsi="Times New Roman"/>
          <w:sz w:val="24"/>
          <w:szCs w:val="24"/>
          <w:lang w:val="es-MX"/>
        </w:rPr>
        <w:t>35.4</w:t>
      </w:r>
      <w:r w:rsidRPr="00FE76BD">
        <w:rPr>
          <w:rFonts w:ascii="Times New Roman" w:hAnsi="Times New Roman"/>
          <w:sz w:val="24"/>
          <w:szCs w:val="24"/>
          <w:lang w:val="es-MX"/>
        </w:rPr>
        <w:t xml:space="preserve">%, valor similar al escenario base y para el cierre 2025 podría ubicarse en </w:t>
      </w:r>
      <w:r>
        <w:rPr>
          <w:rFonts w:ascii="Times New Roman" w:hAnsi="Times New Roman"/>
          <w:sz w:val="24"/>
          <w:szCs w:val="24"/>
          <w:lang w:val="es-MX"/>
        </w:rPr>
        <w:t>41.3%</w:t>
      </w:r>
      <w:r w:rsidRPr="00FE76BD">
        <w:rPr>
          <w:rFonts w:ascii="Times New Roman" w:hAnsi="Times New Roman"/>
          <w:sz w:val="24"/>
          <w:szCs w:val="24"/>
          <w:lang w:val="es-MX"/>
        </w:rPr>
        <w:t xml:space="preserve"> del PIB. </w:t>
      </w:r>
      <w:r>
        <w:rPr>
          <w:rFonts w:ascii="Times New Roman" w:hAnsi="Times New Roman"/>
          <w:sz w:val="24"/>
          <w:szCs w:val="24"/>
          <w:lang w:val="es-MX"/>
        </w:rPr>
        <w:t xml:space="preserve"> </w:t>
      </w:r>
    </w:p>
    <w:p w14:paraId="7FD48C83" w14:textId="77777777" w:rsidR="009E6C88" w:rsidRDefault="009E6C88" w:rsidP="009E6C88">
      <w:pPr>
        <w:pStyle w:val="Sinespaciado"/>
        <w:ind w:left="567" w:right="49"/>
        <w:jc w:val="both"/>
        <w:rPr>
          <w:rFonts w:ascii="Times New Roman" w:hAnsi="Times New Roman"/>
          <w:sz w:val="24"/>
          <w:szCs w:val="24"/>
          <w:lang w:val="es-MX"/>
        </w:rPr>
      </w:pPr>
    </w:p>
    <w:p w14:paraId="4FF44E3A" w14:textId="156FDF41" w:rsidR="009E6C88" w:rsidRPr="00FE76BD" w:rsidRDefault="009E6C88" w:rsidP="009E6C88">
      <w:pPr>
        <w:pStyle w:val="Sinespaciado"/>
        <w:ind w:left="567" w:right="49"/>
        <w:jc w:val="both"/>
        <w:rPr>
          <w:rFonts w:ascii="Times New Roman" w:hAnsi="Times New Roman"/>
          <w:sz w:val="24"/>
          <w:szCs w:val="24"/>
          <w:lang w:val="es-MX"/>
        </w:rPr>
      </w:pPr>
      <w:r w:rsidRPr="00FE76BD">
        <w:rPr>
          <w:rFonts w:ascii="Times New Roman" w:hAnsi="Times New Roman"/>
          <w:sz w:val="24"/>
          <w:szCs w:val="24"/>
          <w:lang w:val="es-MX"/>
        </w:rPr>
        <w:t>Por último, se considera un efecto combinado de los diferentes choques y se estima que para 2021 la razón deuda/PIB podría ascender a 36.</w:t>
      </w:r>
      <w:r>
        <w:rPr>
          <w:rFonts w:ascii="Times New Roman" w:hAnsi="Times New Roman"/>
          <w:sz w:val="24"/>
          <w:szCs w:val="24"/>
          <w:lang w:val="es-MX"/>
        </w:rPr>
        <w:t>6%</w:t>
      </w:r>
      <w:r w:rsidRPr="00FE76BD">
        <w:rPr>
          <w:rFonts w:ascii="Times New Roman" w:hAnsi="Times New Roman"/>
          <w:sz w:val="24"/>
          <w:szCs w:val="24"/>
          <w:lang w:val="es-MX"/>
        </w:rPr>
        <w:t xml:space="preserve"> y para el año 2025 podría ubicarse, si todos los choques se dan al unísono, en </w:t>
      </w:r>
      <w:r>
        <w:rPr>
          <w:rFonts w:ascii="Times New Roman" w:hAnsi="Times New Roman"/>
          <w:sz w:val="24"/>
          <w:szCs w:val="24"/>
          <w:lang w:val="es-MX"/>
        </w:rPr>
        <w:t>43.1%</w:t>
      </w:r>
      <w:r w:rsidRPr="00FE76BD">
        <w:rPr>
          <w:rFonts w:ascii="Times New Roman" w:hAnsi="Times New Roman"/>
          <w:sz w:val="24"/>
          <w:szCs w:val="24"/>
          <w:lang w:val="es-MX"/>
        </w:rPr>
        <w:t>.</w:t>
      </w:r>
    </w:p>
    <w:p w14:paraId="0E1D3BF7" w14:textId="77777777" w:rsidR="00246A61" w:rsidRPr="00FE76BD" w:rsidRDefault="00246A61" w:rsidP="00246A61">
      <w:pPr>
        <w:pStyle w:val="Sinespaciado"/>
        <w:ind w:left="567" w:right="49"/>
        <w:jc w:val="both"/>
        <w:rPr>
          <w:rFonts w:ascii="Times New Roman" w:hAnsi="Times New Roman"/>
          <w:sz w:val="24"/>
          <w:szCs w:val="24"/>
          <w:lang w:val="es-MX"/>
        </w:rPr>
      </w:pPr>
    </w:p>
    <w:p w14:paraId="7F780CC5" w14:textId="204C5A77" w:rsidR="00246A61" w:rsidRDefault="00E85976" w:rsidP="00E85976">
      <w:pPr>
        <w:pStyle w:val="Sinespaciado"/>
        <w:ind w:left="567" w:right="49"/>
        <w:jc w:val="both"/>
        <w:rPr>
          <w:rFonts w:ascii="Times New Roman" w:hAnsi="Times New Roman"/>
          <w:sz w:val="24"/>
          <w:szCs w:val="24"/>
          <w:lang w:val="es-MX"/>
        </w:rPr>
      </w:pPr>
      <w:r>
        <w:rPr>
          <w:rFonts w:ascii="Times New Roman" w:hAnsi="Times New Roman"/>
          <w:sz w:val="24"/>
          <w:szCs w:val="24"/>
          <w:lang w:val="es-MX"/>
        </w:rPr>
        <w:t>De la misma forma</w:t>
      </w:r>
      <w:r w:rsidRPr="00FE76BD">
        <w:rPr>
          <w:rFonts w:ascii="Times New Roman" w:hAnsi="Times New Roman"/>
          <w:sz w:val="24"/>
          <w:szCs w:val="24"/>
          <w:lang w:val="es-MX"/>
        </w:rPr>
        <w:t xml:space="preserve">, se analizó la relación deuda/ ingresos fiscales.  Con dicho indicador en el escenario base que es el de presupuesto multianual, es creciente </w:t>
      </w:r>
      <w:r>
        <w:rPr>
          <w:rFonts w:ascii="Times New Roman" w:hAnsi="Times New Roman"/>
          <w:sz w:val="24"/>
          <w:szCs w:val="24"/>
          <w:lang w:val="es-MX"/>
        </w:rPr>
        <w:t xml:space="preserve">en los primeros años </w:t>
      </w:r>
      <w:r w:rsidRPr="00FE76BD">
        <w:rPr>
          <w:rFonts w:ascii="Times New Roman" w:hAnsi="Times New Roman"/>
          <w:sz w:val="24"/>
          <w:szCs w:val="24"/>
          <w:lang w:val="es-MX"/>
        </w:rPr>
        <w:t>debido al choque</w:t>
      </w:r>
      <w:r>
        <w:rPr>
          <w:rFonts w:ascii="Times New Roman" w:hAnsi="Times New Roman"/>
          <w:sz w:val="24"/>
          <w:szCs w:val="24"/>
          <w:lang w:val="es-MX"/>
        </w:rPr>
        <w:t xml:space="preserve"> por el COVID-19</w:t>
      </w:r>
      <w:r w:rsidRPr="00FE76BD">
        <w:rPr>
          <w:rFonts w:ascii="Times New Roman" w:hAnsi="Times New Roman"/>
          <w:sz w:val="24"/>
          <w:szCs w:val="24"/>
          <w:lang w:val="es-MX"/>
        </w:rPr>
        <w:t xml:space="preserve"> en los ingresos fiscales y </w:t>
      </w:r>
      <w:r>
        <w:rPr>
          <w:rFonts w:ascii="Times New Roman" w:hAnsi="Times New Roman"/>
          <w:sz w:val="24"/>
          <w:szCs w:val="24"/>
          <w:lang w:val="es-MX"/>
        </w:rPr>
        <w:t>en el</w:t>
      </w:r>
      <w:r w:rsidRPr="00FE76BD">
        <w:rPr>
          <w:rFonts w:ascii="Times New Roman" w:hAnsi="Times New Roman"/>
          <w:sz w:val="24"/>
          <w:szCs w:val="24"/>
          <w:lang w:val="es-MX"/>
        </w:rPr>
        <w:t xml:space="preserve"> aumento de la deuda en 2020, sin embargo, se espera que su tasa de crecimiento disminuya a medida de una mejora gradual en la recaudación tributaria. Para 2020-2021 este indicador aumentaría de 30</w:t>
      </w:r>
      <w:r>
        <w:rPr>
          <w:rFonts w:ascii="Times New Roman" w:hAnsi="Times New Roman"/>
          <w:sz w:val="24"/>
          <w:szCs w:val="24"/>
          <w:lang w:val="es-MX"/>
        </w:rPr>
        <w:t>8</w:t>
      </w:r>
      <w:r w:rsidRPr="00FE76BD">
        <w:rPr>
          <w:rFonts w:ascii="Times New Roman" w:hAnsi="Times New Roman"/>
          <w:sz w:val="24"/>
          <w:szCs w:val="24"/>
          <w:lang w:val="es-MX"/>
        </w:rPr>
        <w:t>.</w:t>
      </w:r>
      <w:r>
        <w:rPr>
          <w:rFonts w:ascii="Times New Roman" w:hAnsi="Times New Roman"/>
          <w:sz w:val="24"/>
          <w:szCs w:val="24"/>
          <w:lang w:val="es-MX"/>
        </w:rPr>
        <w:t>8%</w:t>
      </w:r>
      <w:r w:rsidRPr="00FE76BD">
        <w:rPr>
          <w:rFonts w:ascii="Times New Roman" w:hAnsi="Times New Roman"/>
          <w:sz w:val="24"/>
          <w:szCs w:val="24"/>
          <w:lang w:val="es-MX"/>
        </w:rPr>
        <w:t xml:space="preserve"> a 3</w:t>
      </w:r>
      <w:r>
        <w:rPr>
          <w:rFonts w:ascii="Times New Roman" w:hAnsi="Times New Roman"/>
          <w:sz w:val="24"/>
          <w:szCs w:val="24"/>
          <w:lang w:val="es-MX"/>
        </w:rPr>
        <w:t>32</w:t>
      </w:r>
      <w:r w:rsidRPr="00FE76BD">
        <w:rPr>
          <w:rFonts w:ascii="Times New Roman" w:hAnsi="Times New Roman"/>
          <w:sz w:val="24"/>
          <w:szCs w:val="24"/>
          <w:lang w:val="es-MX"/>
        </w:rPr>
        <w:t>.</w:t>
      </w:r>
      <w:r>
        <w:rPr>
          <w:rFonts w:ascii="Times New Roman" w:hAnsi="Times New Roman"/>
          <w:sz w:val="24"/>
          <w:szCs w:val="24"/>
          <w:lang w:val="es-MX"/>
        </w:rPr>
        <w:t xml:space="preserve">7% </w:t>
      </w:r>
      <w:r>
        <w:rPr>
          <w:rFonts w:ascii="Times New Roman" w:hAnsi="Times New Roman"/>
          <w:sz w:val="24"/>
          <w:szCs w:val="24"/>
          <w:lang w:val="es-MX"/>
        </w:rPr>
        <w:lastRenderedPageBreak/>
        <w:t xml:space="preserve">respectivamente. </w:t>
      </w:r>
      <w:r w:rsidRPr="00FE76BD">
        <w:rPr>
          <w:rFonts w:ascii="Times New Roman" w:hAnsi="Times New Roman"/>
          <w:sz w:val="24"/>
          <w:szCs w:val="24"/>
          <w:lang w:val="es-MX"/>
        </w:rPr>
        <w:t xml:space="preserve"> </w:t>
      </w:r>
      <w:r>
        <w:rPr>
          <w:rFonts w:ascii="Times New Roman" w:hAnsi="Times New Roman"/>
          <w:sz w:val="24"/>
          <w:szCs w:val="24"/>
          <w:lang w:val="es-MX"/>
        </w:rPr>
        <w:t>P</w:t>
      </w:r>
      <w:r w:rsidRPr="00FE76BD">
        <w:rPr>
          <w:rFonts w:ascii="Times New Roman" w:hAnsi="Times New Roman"/>
          <w:sz w:val="24"/>
          <w:szCs w:val="24"/>
          <w:lang w:val="es-MX"/>
        </w:rPr>
        <w:t xml:space="preserve">osteriormente en 2025 se ubicaría en </w:t>
      </w:r>
      <w:r>
        <w:rPr>
          <w:rFonts w:ascii="Times New Roman" w:hAnsi="Times New Roman"/>
          <w:sz w:val="24"/>
          <w:szCs w:val="24"/>
          <w:lang w:val="es-MX"/>
        </w:rPr>
        <w:t>340</w:t>
      </w:r>
      <w:r w:rsidRPr="00FE76BD">
        <w:rPr>
          <w:rFonts w:ascii="Times New Roman" w:hAnsi="Times New Roman"/>
          <w:sz w:val="24"/>
          <w:szCs w:val="24"/>
          <w:lang w:val="es-MX"/>
        </w:rPr>
        <w:t>.</w:t>
      </w:r>
      <w:r>
        <w:rPr>
          <w:rFonts w:ascii="Times New Roman" w:hAnsi="Times New Roman"/>
          <w:sz w:val="24"/>
          <w:szCs w:val="24"/>
          <w:lang w:val="es-MX"/>
        </w:rPr>
        <w:t>9</w:t>
      </w:r>
      <w:r w:rsidRPr="00FE76BD">
        <w:rPr>
          <w:rFonts w:ascii="Times New Roman" w:hAnsi="Times New Roman"/>
          <w:sz w:val="24"/>
          <w:szCs w:val="24"/>
          <w:lang w:val="es-MX"/>
        </w:rPr>
        <w:t>%.  Aplicando las pruebas de tensión para el escenario de un shock combinado, debido al aumento del déficit fiscal y el deterioro de los otros determinantes de la deuda, el indicador podría alcanzar un máximo de 3</w:t>
      </w:r>
      <w:r>
        <w:rPr>
          <w:rFonts w:ascii="Times New Roman" w:hAnsi="Times New Roman"/>
          <w:sz w:val="24"/>
          <w:szCs w:val="24"/>
          <w:lang w:val="es-MX"/>
        </w:rPr>
        <w:t xml:space="preserve">81.8% </w:t>
      </w:r>
      <w:r w:rsidRPr="00FE76BD">
        <w:rPr>
          <w:rFonts w:ascii="Times New Roman" w:hAnsi="Times New Roman"/>
          <w:sz w:val="24"/>
          <w:szCs w:val="24"/>
          <w:lang w:val="es-MX"/>
        </w:rPr>
        <w:t>en 2025</w:t>
      </w:r>
    </w:p>
    <w:p w14:paraId="32421A08" w14:textId="77777777" w:rsidR="00246A61" w:rsidRDefault="00246A61" w:rsidP="00246A61">
      <w:pPr>
        <w:pStyle w:val="Sinespaciado"/>
        <w:ind w:right="49"/>
        <w:jc w:val="both"/>
        <w:rPr>
          <w:rFonts w:ascii="Times New Roman" w:hAnsi="Times New Roman"/>
          <w:sz w:val="24"/>
          <w:szCs w:val="24"/>
          <w:lang w:val="es-MX"/>
        </w:rPr>
      </w:pPr>
    </w:p>
    <w:p w14:paraId="2CED65CC" w14:textId="77777777" w:rsidR="00246A61" w:rsidRPr="00FE76BD" w:rsidRDefault="00246A61" w:rsidP="00246A61">
      <w:pPr>
        <w:pStyle w:val="Sinespaciado"/>
        <w:ind w:right="49"/>
        <w:jc w:val="both"/>
        <w:rPr>
          <w:rFonts w:ascii="Times New Roman" w:hAnsi="Times New Roman"/>
          <w:sz w:val="24"/>
          <w:szCs w:val="24"/>
          <w:lang w:val="es-MX"/>
        </w:rPr>
      </w:pPr>
    </w:p>
    <w:p w14:paraId="2A670220" w14:textId="77777777" w:rsidR="00246A61" w:rsidRPr="00FE76BD" w:rsidRDefault="00246A61" w:rsidP="00246A61">
      <w:pPr>
        <w:pStyle w:val="Epgrafe"/>
        <w:keepNext/>
        <w:ind w:left="567" w:right="49"/>
        <w:rPr>
          <w:color w:val="auto"/>
          <w:sz w:val="24"/>
          <w:szCs w:val="24"/>
        </w:rPr>
      </w:pPr>
      <w:r>
        <w:rPr>
          <w:color w:val="auto"/>
          <w:sz w:val="24"/>
          <w:szCs w:val="24"/>
        </w:rPr>
        <w:t>Gráfico 31</w:t>
      </w:r>
      <w:r w:rsidRPr="00FE76BD">
        <w:rPr>
          <w:color w:val="auto"/>
          <w:sz w:val="24"/>
          <w:szCs w:val="24"/>
        </w:rPr>
        <w:t>. Pruebas de tensión para el Análisis de Sostenibilidad de la Deuda</w:t>
      </w:r>
    </w:p>
    <w:p w14:paraId="4CC9563F" w14:textId="61C946D1" w:rsidR="00246A61" w:rsidRDefault="00246A61" w:rsidP="00246A61">
      <w:pPr>
        <w:ind w:left="567" w:right="49"/>
        <w:jc w:val="center"/>
        <w:rPr>
          <w:sz w:val="24"/>
          <w:szCs w:val="24"/>
        </w:rPr>
      </w:pPr>
      <w:r w:rsidRPr="00FE76BD">
        <w:rPr>
          <w:sz w:val="24"/>
          <w:szCs w:val="24"/>
        </w:rPr>
        <w:t>En porcentaje del PIB</w:t>
      </w:r>
    </w:p>
    <w:p w14:paraId="01AEA921" w14:textId="575FACFF" w:rsidR="008E5392" w:rsidRPr="00FE76BD" w:rsidRDefault="008E5392" w:rsidP="00246A61">
      <w:pPr>
        <w:ind w:left="567" w:right="49"/>
        <w:jc w:val="center"/>
        <w:rPr>
          <w:sz w:val="24"/>
          <w:szCs w:val="24"/>
        </w:rPr>
      </w:pPr>
      <w:r>
        <w:rPr>
          <w:noProof/>
          <w:lang w:val="es-ES"/>
        </w:rPr>
        <w:drawing>
          <wp:inline distT="0" distB="0" distL="0" distR="0" wp14:anchorId="0C7CA2A8" wp14:editId="7C18917D">
            <wp:extent cx="5509820" cy="4838700"/>
            <wp:effectExtent l="0" t="0" r="0" b="0"/>
            <wp:docPr id="68"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srcRect t="5224"/>
                    <a:stretch/>
                  </pic:blipFill>
                  <pic:spPr bwMode="auto">
                    <a:xfrm>
                      <a:off x="0" y="0"/>
                      <a:ext cx="5512647" cy="4841182"/>
                    </a:xfrm>
                    <a:prstGeom prst="rect">
                      <a:avLst/>
                    </a:prstGeom>
                    <a:ln>
                      <a:noFill/>
                    </a:ln>
                    <a:extLst>
                      <a:ext uri="{53640926-AAD7-44D8-BBD7-CCE9431645EC}">
                        <a14:shadowObscured xmlns:a14="http://schemas.microsoft.com/office/drawing/2010/main"/>
                      </a:ext>
                    </a:extLst>
                  </pic:spPr>
                </pic:pic>
              </a:graphicData>
            </a:graphic>
          </wp:inline>
        </w:drawing>
      </w:r>
    </w:p>
    <w:p w14:paraId="62FE99CF" w14:textId="145BF4C0" w:rsidR="00246A61" w:rsidRPr="00F7730F" w:rsidRDefault="00246A61" w:rsidP="00246A61">
      <w:pPr>
        <w:ind w:left="567" w:right="49"/>
        <w:jc w:val="both"/>
        <w:rPr>
          <w:noProof/>
          <w:sz w:val="24"/>
          <w:szCs w:val="24"/>
        </w:rPr>
      </w:pPr>
      <w:r>
        <w:rPr>
          <w:szCs w:val="24"/>
        </w:rPr>
        <w:t xml:space="preserve">   </w:t>
      </w:r>
      <w:r w:rsidRPr="00F7730F">
        <w:rPr>
          <w:szCs w:val="24"/>
        </w:rPr>
        <w:t xml:space="preserve">Fuente: Elaboración </w:t>
      </w:r>
      <w:r>
        <w:rPr>
          <w:szCs w:val="24"/>
        </w:rPr>
        <w:t>DAPF</w:t>
      </w:r>
      <w:r w:rsidRPr="00F7730F">
        <w:rPr>
          <w:szCs w:val="24"/>
        </w:rPr>
        <w:t xml:space="preserve"> con metodología del FMI</w:t>
      </w:r>
    </w:p>
    <w:p w14:paraId="5C5F7BC1" w14:textId="77777777" w:rsidR="00246A61" w:rsidRPr="00FE76BD" w:rsidRDefault="00246A61" w:rsidP="00246A61">
      <w:pPr>
        <w:ind w:left="567" w:right="49"/>
        <w:jc w:val="both"/>
        <w:rPr>
          <w:sz w:val="24"/>
          <w:szCs w:val="24"/>
        </w:rPr>
      </w:pPr>
    </w:p>
    <w:p w14:paraId="561B87FC" w14:textId="77777777" w:rsidR="00246A61" w:rsidRPr="00FE76BD" w:rsidRDefault="00246A61" w:rsidP="00246A61">
      <w:pPr>
        <w:pStyle w:val="Sinespaciado"/>
        <w:ind w:left="567" w:right="49"/>
        <w:jc w:val="both"/>
        <w:rPr>
          <w:rFonts w:ascii="Times New Roman" w:hAnsi="Times New Roman"/>
          <w:sz w:val="24"/>
          <w:szCs w:val="24"/>
          <w:lang w:val="es-MX"/>
        </w:rPr>
      </w:pPr>
      <w:r w:rsidRPr="00FE76BD">
        <w:rPr>
          <w:rFonts w:ascii="Times New Roman" w:hAnsi="Times New Roman"/>
          <w:sz w:val="24"/>
          <w:szCs w:val="24"/>
          <w:lang w:val="es-MX"/>
        </w:rPr>
        <w:t xml:space="preserve">Por otro lado, se realizó el análisis de sostenibilidad de deuda pública bajo un enfoque estocástico sobre los determinantes macro fiscales de la proporción de deuda pública sobre PIB.  Con esta metodología se busca determinar la distribución de probabilidades de las sendas de trayectoria de la deuda pública en un determinado horizonte de proyección. El desarrollo de este enfoque reconoce explícitamente la existencia de un grado de incertidumbre acerca de las futuras condiciones macroeconómicas y de la política fiscal. Este instrumento mejora la comprensión y transparencia acerca de los riesgos en torno a la dinámica de la deuda pública. </w:t>
      </w:r>
    </w:p>
    <w:p w14:paraId="793CA576" w14:textId="77777777" w:rsidR="00246A61" w:rsidRPr="00FE76BD" w:rsidRDefault="00246A61" w:rsidP="00246A61">
      <w:pPr>
        <w:pStyle w:val="Sinespaciado"/>
        <w:ind w:left="567" w:right="49"/>
        <w:jc w:val="both"/>
        <w:rPr>
          <w:rFonts w:ascii="Times New Roman" w:hAnsi="Times New Roman"/>
          <w:sz w:val="24"/>
          <w:szCs w:val="24"/>
          <w:lang w:val="es-MX"/>
        </w:rPr>
      </w:pPr>
    </w:p>
    <w:p w14:paraId="26A494AF" w14:textId="77777777" w:rsidR="00246A61" w:rsidRPr="00FE76BD" w:rsidRDefault="00246A61" w:rsidP="00246A61">
      <w:pPr>
        <w:pStyle w:val="Sinespaciado"/>
        <w:ind w:left="567" w:right="49"/>
        <w:jc w:val="both"/>
        <w:rPr>
          <w:rFonts w:ascii="Times New Roman" w:hAnsi="Times New Roman"/>
          <w:sz w:val="24"/>
          <w:szCs w:val="24"/>
          <w:lang w:val="es-MX"/>
        </w:rPr>
      </w:pPr>
      <w:r w:rsidRPr="00FE76BD">
        <w:rPr>
          <w:rFonts w:ascii="Times New Roman" w:hAnsi="Times New Roman"/>
          <w:sz w:val="24"/>
          <w:szCs w:val="24"/>
          <w:lang w:val="es-MX"/>
        </w:rPr>
        <w:lastRenderedPageBreak/>
        <w:t xml:space="preserve">Para el efecto, se utilizó un </w:t>
      </w:r>
      <w:r w:rsidRPr="00FE76BD">
        <w:rPr>
          <w:rFonts w:ascii="Times New Roman" w:hAnsi="Times New Roman"/>
          <w:i/>
          <w:sz w:val="24"/>
          <w:szCs w:val="24"/>
          <w:lang w:val="es-MX"/>
        </w:rPr>
        <w:t>Fan Chart</w:t>
      </w:r>
      <w:r w:rsidRPr="00FE76BD">
        <w:rPr>
          <w:rFonts w:ascii="Times New Roman" w:hAnsi="Times New Roman"/>
          <w:sz w:val="24"/>
          <w:szCs w:val="24"/>
          <w:lang w:val="es-MX"/>
        </w:rPr>
        <w:t xml:space="preserve"> (gráfica de abanico) el cual proporciona una vista probabilística de la incertidumbre en torno a la línea de base. Si bien las pruebas de resistencia presentadas anteriormente evalúan la sensibilidad de la dinámica de la deuda a variables clave exógenas y de política, los Fan Chart muestran un espectro de posibles resultados basados en las propiedades estocásticas del comportamiento de las variables determinantes en un país. En particular, los gráficos incorporan retroalimentación entre las variables macroeconómicas que impulsan la dinámica de la deuda y se basa en datos históricos para calibrar la persistencia de los shocks.</w:t>
      </w:r>
    </w:p>
    <w:p w14:paraId="12E8B7F2" w14:textId="77777777" w:rsidR="00246A61" w:rsidRPr="00FE76BD" w:rsidRDefault="00246A61" w:rsidP="00246A61">
      <w:pPr>
        <w:pStyle w:val="Sinespaciado"/>
        <w:ind w:left="567" w:right="49"/>
        <w:jc w:val="both"/>
        <w:rPr>
          <w:rFonts w:ascii="Times New Roman" w:hAnsi="Times New Roman"/>
          <w:sz w:val="24"/>
          <w:szCs w:val="24"/>
          <w:lang w:val="es-MX"/>
        </w:rPr>
      </w:pPr>
    </w:p>
    <w:p w14:paraId="1F5D13C6" w14:textId="77777777" w:rsidR="00396D2F" w:rsidRDefault="00396D2F" w:rsidP="00396D2F">
      <w:pPr>
        <w:pStyle w:val="Sinespaciado"/>
        <w:ind w:left="567" w:right="49"/>
        <w:jc w:val="both"/>
        <w:rPr>
          <w:rFonts w:ascii="Times New Roman" w:hAnsi="Times New Roman"/>
          <w:sz w:val="24"/>
          <w:szCs w:val="24"/>
          <w:lang w:val="es-MX"/>
        </w:rPr>
      </w:pPr>
      <w:r w:rsidRPr="00FE76BD">
        <w:rPr>
          <w:rFonts w:ascii="Times New Roman" w:hAnsi="Times New Roman"/>
          <w:sz w:val="24"/>
          <w:szCs w:val="24"/>
          <w:lang w:val="es-MX"/>
        </w:rPr>
        <w:t xml:space="preserve">En el escenario central, el análisis estocástico de la deuda pública permite evidenciar un incremento gradual en la proporción de deuda sobre PIB y una posterior estabilización en torno al </w:t>
      </w:r>
      <w:r>
        <w:rPr>
          <w:rFonts w:ascii="Times New Roman" w:hAnsi="Times New Roman"/>
          <w:sz w:val="24"/>
          <w:szCs w:val="24"/>
          <w:lang w:val="es-MX"/>
        </w:rPr>
        <w:t xml:space="preserve">38.4% </w:t>
      </w:r>
      <w:r w:rsidRPr="00FE76BD">
        <w:rPr>
          <w:rFonts w:ascii="Times New Roman" w:hAnsi="Times New Roman"/>
          <w:sz w:val="24"/>
          <w:szCs w:val="24"/>
          <w:lang w:val="es-MX"/>
        </w:rPr>
        <w:t>del PIB</w:t>
      </w:r>
      <w:r>
        <w:rPr>
          <w:rFonts w:ascii="Times New Roman" w:hAnsi="Times New Roman"/>
          <w:sz w:val="24"/>
          <w:szCs w:val="24"/>
          <w:lang w:val="es-MX"/>
        </w:rPr>
        <w:t xml:space="preserve"> en 2025</w:t>
      </w:r>
      <w:r w:rsidRPr="00FE76BD">
        <w:rPr>
          <w:rFonts w:ascii="Times New Roman" w:hAnsi="Times New Roman"/>
          <w:sz w:val="24"/>
          <w:szCs w:val="24"/>
          <w:lang w:val="es-MX"/>
        </w:rPr>
        <w:t>. Considerando el comportamiento de la deuda y los diferentes choques internos y externos que podrían experimentarse, se estima que hay una probabilidad del 50</w:t>
      </w:r>
      <w:r>
        <w:rPr>
          <w:rFonts w:ascii="Times New Roman" w:hAnsi="Times New Roman"/>
          <w:sz w:val="24"/>
          <w:szCs w:val="24"/>
          <w:lang w:val="es-MX"/>
        </w:rPr>
        <w:t>%</w:t>
      </w:r>
      <w:r w:rsidRPr="00FE76BD">
        <w:rPr>
          <w:rFonts w:ascii="Times New Roman" w:hAnsi="Times New Roman"/>
          <w:sz w:val="24"/>
          <w:szCs w:val="24"/>
          <w:lang w:val="es-MX"/>
        </w:rPr>
        <w:t xml:space="preserve"> que la deuda pública podría situarse entre </w:t>
      </w:r>
      <w:r>
        <w:rPr>
          <w:rFonts w:ascii="Times New Roman" w:hAnsi="Times New Roman"/>
          <w:sz w:val="24"/>
          <w:szCs w:val="24"/>
          <w:lang w:val="es-MX"/>
        </w:rPr>
        <w:t>36.0%</w:t>
      </w:r>
      <w:r w:rsidRPr="00FE76BD">
        <w:rPr>
          <w:rFonts w:ascii="Times New Roman" w:hAnsi="Times New Roman"/>
          <w:sz w:val="24"/>
          <w:szCs w:val="24"/>
          <w:lang w:val="es-MX"/>
        </w:rPr>
        <w:t xml:space="preserve"> y </w:t>
      </w:r>
      <w:r>
        <w:rPr>
          <w:rFonts w:ascii="Times New Roman" w:hAnsi="Times New Roman"/>
          <w:sz w:val="24"/>
          <w:szCs w:val="24"/>
          <w:lang w:val="es-MX"/>
        </w:rPr>
        <w:t>41.1%</w:t>
      </w:r>
      <w:r w:rsidRPr="00FE76BD">
        <w:rPr>
          <w:rFonts w:ascii="Times New Roman" w:hAnsi="Times New Roman"/>
          <w:sz w:val="24"/>
          <w:szCs w:val="24"/>
          <w:lang w:val="es-MX"/>
        </w:rPr>
        <w:t xml:space="preserve"> </w:t>
      </w:r>
      <w:r>
        <w:rPr>
          <w:rFonts w:ascii="Times New Roman" w:hAnsi="Times New Roman"/>
          <w:sz w:val="24"/>
          <w:szCs w:val="24"/>
          <w:lang w:val="es-MX"/>
        </w:rPr>
        <w:t>al final</w:t>
      </w:r>
      <w:r w:rsidRPr="00FE76BD">
        <w:rPr>
          <w:rFonts w:ascii="Times New Roman" w:hAnsi="Times New Roman"/>
          <w:sz w:val="24"/>
          <w:szCs w:val="24"/>
          <w:lang w:val="es-MX"/>
        </w:rPr>
        <w:t xml:space="preserve"> </w:t>
      </w:r>
      <w:r>
        <w:rPr>
          <w:rFonts w:ascii="Times New Roman" w:hAnsi="Times New Roman"/>
          <w:sz w:val="24"/>
          <w:szCs w:val="24"/>
          <w:lang w:val="es-MX"/>
        </w:rPr>
        <w:t>d</w:t>
      </w:r>
      <w:r w:rsidRPr="00FE76BD">
        <w:rPr>
          <w:rFonts w:ascii="Times New Roman" w:hAnsi="Times New Roman"/>
          <w:sz w:val="24"/>
          <w:szCs w:val="24"/>
          <w:lang w:val="es-MX"/>
        </w:rPr>
        <w:t>el período de análisis. Asimismo, hay una probabilidad del 90</w:t>
      </w:r>
      <w:r>
        <w:rPr>
          <w:rFonts w:ascii="Times New Roman" w:hAnsi="Times New Roman"/>
          <w:sz w:val="24"/>
          <w:szCs w:val="24"/>
          <w:lang w:val="es-MX"/>
        </w:rPr>
        <w:t>%</w:t>
      </w:r>
      <w:r w:rsidRPr="00FE76BD">
        <w:rPr>
          <w:rFonts w:ascii="Times New Roman" w:hAnsi="Times New Roman"/>
          <w:sz w:val="24"/>
          <w:szCs w:val="24"/>
          <w:lang w:val="es-MX"/>
        </w:rPr>
        <w:t xml:space="preserve"> que la deuda pública se ubique para 2021 entre </w:t>
      </w:r>
      <w:r>
        <w:rPr>
          <w:rFonts w:ascii="Times New Roman" w:hAnsi="Times New Roman"/>
          <w:sz w:val="24"/>
          <w:szCs w:val="24"/>
          <w:lang w:val="es-MX"/>
        </w:rPr>
        <w:t xml:space="preserve">32.4% </w:t>
      </w:r>
      <w:r w:rsidRPr="00FE76BD">
        <w:rPr>
          <w:rFonts w:ascii="Times New Roman" w:hAnsi="Times New Roman"/>
          <w:sz w:val="24"/>
          <w:szCs w:val="24"/>
          <w:lang w:val="es-MX"/>
        </w:rPr>
        <w:t>y 3</w:t>
      </w:r>
      <w:r>
        <w:rPr>
          <w:rFonts w:ascii="Times New Roman" w:hAnsi="Times New Roman"/>
          <w:sz w:val="24"/>
          <w:szCs w:val="24"/>
          <w:lang w:val="es-MX"/>
        </w:rPr>
        <w:t>8</w:t>
      </w:r>
      <w:r w:rsidRPr="00FE76BD">
        <w:rPr>
          <w:rFonts w:ascii="Times New Roman" w:hAnsi="Times New Roman"/>
          <w:sz w:val="24"/>
          <w:szCs w:val="24"/>
          <w:lang w:val="es-MX"/>
        </w:rPr>
        <w:t>.</w:t>
      </w:r>
      <w:r>
        <w:rPr>
          <w:rFonts w:ascii="Times New Roman" w:hAnsi="Times New Roman"/>
          <w:sz w:val="24"/>
          <w:szCs w:val="24"/>
          <w:lang w:val="es-MX"/>
        </w:rPr>
        <w:t>8%</w:t>
      </w:r>
      <w:r w:rsidRPr="00FE76BD">
        <w:rPr>
          <w:rFonts w:ascii="Times New Roman" w:hAnsi="Times New Roman"/>
          <w:sz w:val="24"/>
          <w:szCs w:val="24"/>
          <w:lang w:val="es-MX"/>
        </w:rPr>
        <w:t>.  Para finales de 2025, igualmente se esperaría que con una probabilidad del 90.0</w:t>
      </w:r>
      <w:r>
        <w:rPr>
          <w:rFonts w:ascii="Times New Roman" w:hAnsi="Times New Roman"/>
          <w:sz w:val="24"/>
          <w:szCs w:val="24"/>
          <w:lang w:val="es-MX"/>
        </w:rPr>
        <w:t>%</w:t>
      </w:r>
      <w:r w:rsidRPr="00FE76BD">
        <w:rPr>
          <w:rFonts w:ascii="Times New Roman" w:hAnsi="Times New Roman"/>
          <w:sz w:val="24"/>
          <w:szCs w:val="24"/>
          <w:lang w:val="es-MX"/>
        </w:rPr>
        <w:t>, la relación deuda / PIB se encuentre entre 3</w:t>
      </w:r>
      <w:r>
        <w:rPr>
          <w:rFonts w:ascii="Times New Roman" w:hAnsi="Times New Roman"/>
          <w:sz w:val="24"/>
          <w:szCs w:val="24"/>
          <w:lang w:val="es-MX"/>
        </w:rPr>
        <w:t>2.5%</w:t>
      </w:r>
      <w:r w:rsidRPr="00FE76BD">
        <w:rPr>
          <w:rFonts w:ascii="Times New Roman" w:hAnsi="Times New Roman"/>
          <w:sz w:val="24"/>
          <w:szCs w:val="24"/>
          <w:lang w:val="es-MX"/>
        </w:rPr>
        <w:t xml:space="preserve"> y </w:t>
      </w:r>
      <w:r>
        <w:rPr>
          <w:rFonts w:ascii="Times New Roman" w:hAnsi="Times New Roman"/>
          <w:sz w:val="24"/>
          <w:szCs w:val="24"/>
          <w:lang w:val="es-MX"/>
        </w:rPr>
        <w:t>44.7%</w:t>
      </w:r>
      <w:r w:rsidRPr="00FE76BD">
        <w:rPr>
          <w:rFonts w:ascii="Times New Roman" w:hAnsi="Times New Roman"/>
          <w:sz w:val="24"/>
          <w:szCs w:val="24"/>
          <w:lang w:val="es-MX"/>
        </w:rPr>
        <w:t>.</w:t>
      </w:r>
    </w:p>
    <w:p w14:paraId="743F3705" w14:textId="77777777" w:rsidR="00246A61" w:rsidRPr="00FE76BD" w:rsidRDefault="00246A61" w:rsidP="00246A61">
      <w:pPr>
        <w:pStyle w:val="Sinespaciado"/>
        <w:ind w:right="49"/>
        <w:jc w:val="both"/>
        <w:rPr>
          <w:rFonts w:ascii="Times New Roman" w:hAnsi="Times New Roman"/>
          <w:sz w:val="24"/>
          <w:szCs w:val="24"/>
          <w:lang w:val="es-MX"/>
        </w:rPr>
      </w:pPr>
    </w:p>
    <w:tbl>
      <w:tblPr>
        <w:tblStyle w:val="Tablaconcuadrcula"/>
        <w:tblW w:w="9260"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Look w:val="04A0" w:firstRow="1" w:lastRow="0" w:firstColumn="1" w:lastColumn="0" w:noHBand="0" w:noVBand="1"/>
      </w:tblPr>
      <w:tblGrid>
        <w:gridCol w:w="9260"/>
      </w:tblGrid>
      <w:tr w:rsidR="00246A61" w:rsidRPr="00FE76BD" w14:paraId="4AD19B24" w14:textId="77777777" w:rsidTr="00BA4D6D">
        <w:trPr>
          <w:trHeight w:val="4653"/>
          <w:jc w:val="center"/>
        </w:trPr>
        <w:tc>
          <w:tcPr>
            <w:tcW w:w="9260" w:type="dxa"/>
          </w:tcPr>
          <w:p w14:paraId="382EAB82" w14:textId="77777777" w:rsidR="00246A61" w:rsidRPr="00FE76BD" w:rsidRDefault="00246A61" w:rsidP="00BA4D6D">
            <w:pPr>
              <w:pStyle w:val="Epgrafe"/>
              <w:keepNext/>
              <w:ind w:left="567" w:right="49"/>
              <w:rPr>
                <w:color w:val="auto"/>
                <w:sz w:val="24"/>
                <w:szCs w:val="24"/>
              </w:rPr>
            </w:pPr>
            <w:r>
              <w:rPr>
                <w:color w:val="auto"/>
                <w:sz w:val="24"/>
                <w:szCs w:val="24"/>
              </w:rPr>
              <w:t>Gráfico 32</w:t>
            </w:r>
            <w:r w:rsidRPr="00FE76BD">
              <w:rPr>
                <w:color w:val="auto"/>
                <w:sz w:val="24"/>
                <w:szCs w:val="24"/>
              </w:rPr>
              <w:t>. Trayectoria de la Deuda Pública (Fan chart)</w:t>
            </w:r>
          </w:p>
          <w:p w14:paraId="71767B42" w14:textId="77777777" w:rsidR="00246A61" w:rsidRPr="00FE76BD" w:rsidRDefault="00246A61" w:rsidP="00BA4D6D">
            <w:pPr>
              <w:ind w:left="567" w:right="49"/>
              <w:jc w:val="center"/>
              <w:rPr>
                <w:sz w:val="24"/>
                <w:szCs w:val="24"/>
              </w:rPr>
            </w:pPr>
            <w:r w:rsidRPr="00FE76BD">
              <w:rPr>
                <w:sz w:val="24"/>
                <w:szCs w:val="24"/>
              </w:rPr>
              <w:t>En porcentaje del PIB</w:t>
            </w:r>
          </w:p>
          <w:p w14:paraId="6963756E" w14:textId="25260D17" w:rsidR="00246A61" w:rsidRPr="00FE76BD" w:rsidRDefault="00667336" w:rsidP="00BA4D6D">
            <w:pPr>
              <w:ind w:left="567" w:right="49"/>
              <w:jc w:val="center"/>
              <w:rPr>
                <w:sz w:val="24"/>
                <w:szCs w:val="24"/>
              </w:rPr>
            </w:pPr>
            <w:r>
              <w:rPr>
                <w:noProof/>
                <w:lang w:val="es-ES"/>
              </w:rPr>
              <w:drawing>
                <wp:inline distT="0" distB="0" distL="0" distR="0" wp14:anchorId="3FD0EBA5" wp14:editId="2B32675F">
                  <wp:extent cx="4648371" cy="2449830"/>
                  <wp:effectExtent l="0" t="0" r="0" b="7620"/>
                  <wp:docPr id="69"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srcRect t="13054"/>
                          <a:stretch/>
                        </pic:blipFill>
                        <pic:spPr bwMode="auto">
                          <a:xfrm>
                            <a:off x="0" y="0"/>
                            <a:ext cx="4665987" cy="2459114"/>
                          </a:xfrm>
                          <a:prstGeom prst="rect">
                            <a:avLst/>
                          </a:prstGeom>
                          <a:ln>
                            <a:noFill/>
                          </a:ln>
                          <a:extLst>
                            <a:ext uri="{53640926-AAD7-44D8-BBD7-CCE9431645EC}">
                              <a14:shadowObscured xmlns:a14="http://schemas.microsoft.com/office/drawing/2010/main"/>
                            </a:ext>
                          </a:extLst>
                        </pic:spPr>
                      </pic:pic>
                    </a:graphicData>
                  </a:graphic>
                </wp:inline>
              </w:drawing>
            </w:r>
          </w:p>
          <w:p w14:paraId="279CF0E0" w14:textId="77777777" w:rsidR="00246A61" w:rsidRPr="00FE76BD" w:rsidRDefault="00246A61" w:rsidP="00BA4D6D">
            <w:pPr>
              <w:ind w:right="49"/>
              <w:rPr>
                <w:sz w:val="24"/>
                <w:szCs w:val="24"/>
              </w:rPr>
            </w:pPr>
            <w:r>
              <w:rPr>
                <w:szCs w:val="24"/>
              </w:rPr>
              <w:t xml:space="preserve">                               </w:t>
            </w:r>
            <w:r w:rsidRPr="00F7730F">
              <w:rPr>
                <w:szCs w:val="24"/>
              </w:rPr>
              <w:t xml:space="preserve">Fuente: Elaboración </w:t>
            </w:r>
            <w:r>
              <w:rPr>
                <w:szCs w:val="24"/>
              </w:rPr>
              <w:t>DAPF</w:t>
            </w:r>
            <w:r w:rsidRPr="00F7730F">
              <w:rPr>
                <w:szCs w:val="24"/>
              </w:rPr>
              <w:t xml:space="preserve"> con metodología del F</w:t>
            </w:r>
            <w:r>
              <w:rPr>
                <w:szCs w:val="24"/>
              </w:rPr>
              <w:t>MI</w:t>
            </w:r>
          </w:p>
        </w:tc>
      </w:tr>
    </w:tbl>
    <w:p w14:paraId="66397EC8" w14:textId="77777777" w:rsidR="00246A61" w:rsidRPr="00FE76BD" w:rsidRDefault="00246A61" w:rsidP="00246A61">
      <w:pPr>
        <w:pStyle w:val="Sinespaciado"/>
        <w:ind w:left="567" w:right="49"/>
        <w:jc w:val="both"/>
        <w:rPr>
          <w:rFonts w:ascii="Times New Roman" w:hAnsi="Times New Roman"/>
          <w:sz w:val="24"/>
          <w:szCs w:val="24"/>
          <w:lang w:val="es-MX"/>
        </w:rPr>
      </w:pPr>
    </w:p>
    <w:p w14:paraId="46C19C2B" w14:textId="77777777" w:rsidR="00246A61" w:rsidRPr="004A2797" w:rsidRDefault="00246A61" w:rsidP="00246A61">
      <w:pPr>
        <w:pStyle w:val="Ttulo1"/>
        <w:widowControl/>
        <w:numPr>
          <w:ilvl w:val="1"/>
          <w:numId w:val="5"/>
        </w:numPr>
        <w:ind w:left="993" w:right="49"/>
        <w:jc w:val="left"/>
        <w:rPr>
          <w:b w:val="0"/>
          <w:color w:val="auto"/>
          <w:sz w:val="24"/>
          <w:szCs w:val="24"/>
        </w:rPr>
      </w:pPr>
      <w:bookmarkStart w:id="50" w:name="_Toc509214755"/>
      <w:bookmarkStart w:id="51" w:name="_Toc523294554"/>
      <w:bookmarkStart w:id="52" w:name="_Toc16519890"/>
      <w:bookmarkStart w:id="53" w:name="_Toc49939723"/>
      <w:r w:rsidRPr="004A2797">
        <w:rPr>
          <w:color w:val="auto"/>
          <w:sz w:val="24"/>
          <w:szCs w:val="24"/>
        </w:rPr>
        <w:t>Análisis de Largo Plazo</w:t>
      </w:r>
      <w:bookmarkEnd w:id="50"/>
      <w:bookmarkEnd w:id="51"/>
      <w:bookmarkEnd w:id="52"/>
      <w:bookmarkEnd w:id="53"/>
      <w:r w:rsidRPr="004A2797">
        <w:rPr>
          <w:color w:val="auto"/>
          <w:sz w:val="24"/>
          <w:szCs w:val="24"/>
        </w:rPr>
        <w:t xml:space="preserve">   </w:t>
      </w:r>
    </w:p>
    <w:p w14:paraId="0C90EB7A" w14:textId="77777777" w:rsidR="00246A61" w:rsidRPr="00FE76BD" w:rsidRDefault="00246A61" w:rsidP="00246A61">
      <w:pPr>
        <w:pStyle w:val="Sinespaciado"/>
        <w:ind w:left="567" w:right="49"/>
        <w:jc w:val="both"/>
        <w:rPr>
          <w:rFonts w:ascii="Times New Roman" w:hAnsi="Times New Roman"/>
          <w:sz w:val="24"/>
          <w:szCs w:val="24"/>
          <w:lang w:val="es-MX"/>
        </w:rPr>
      </w:pPr>
    </w:p>
    <w:p w14:paraId="1ACA7233" w14:textId="77777777" w:rsidR="003F1984" w:rsidRDefault="003F1984" w:rsidP="003F1984">
      <w:pPr>
        <w:pStyle w:val="Sinespaciado"/>
        <w:ind w:left="567" w:right="49"/>
        <w:jc w:val="both"/>
        <w:rPr>
          <w:rFonts w:ascii="Times New Roman" w:hAnsi="Times New Roman"/>
          <w:sz w:val="24"/>
          <w:szCs w:val="24"/>
          <w:lang w:val="es-MX"/>
        </w:rPr>
      </w:pPr>
      <w:r w:rsidRPr="00FE76BD">
        <w:rPr>
          <w:rFonts w:ascii="Times New Roman" w:hAnsi="Times New Roman"/>
          <w:sz w:val="24"/>
          <w:szCs w:val="24"/>
          <w:lang w:val="es-MX"/>
        </w:rPr>
        <w:t xml:space="preserve">Para evaluar el comportamiento y posible trayectoria de la deuda pública en el largo plazo, es decir en un horizonte de 20 años, se realizó un análisis simplificado de choques a los principales determinantes de la deuda pública que podría generarse a partir de 2026 tomando como referencia el escenario base de mediano plazo (2020-2025) de la sección anterior. </w:t>
      </w:r>
    </w:p>
    <w:p w14:paraId="033E265F" w14:textId="77777777" w:rsidR="003F1984" w:rsidRDefault="003F1984" w:rsidP="003F1984">
      <w:pPr>
        <w:pStyle w:val="Sinespaciado"/>
        <w:ind w:left="567" w:right="49"/>
        <w:jc w:val="both"/>
        <w:rPr>
          <w:rFonts w:ascii="Times New Roman" w:hAnsi="Times New Roman"/>
          <w:sz w:val="24"/>
          <w:szCs w:val="24"/>
          <w:lang w:val="es-MX"/>
        </w:rPr>
      </w:pPr>
    </w:p>
    <w:p w14:paraId="2D505B13" w14:textId="638BBF7E" w:rsidR="003F1984" w:rsidRPr="00FE76BD" w:rsidRDefault="003F1984" w:rsidP="003F1984">
      <w:pPr>
        <w:pStyle w:val="Sinespaciado"/>
        <w:ind w:left="567" w:right="49"/>
        <w:jc w:val="both"/>
        <w:rPr>
          <w:rFonts w:ascii="Times New Roman" w:hAnsi="Times New Roman"/>
          <w:sz w:val="24"/>
          <w:szCs w:val="24"/>
          <w:lang w:val="es-MX"/>
        </w:rPr>
      </w:pPr>
      <w:r w:rsidRPr="00FE76BD">
        <w:rPr>
          <w:rFonts w:ascii="Times New Roman" w:hAnsi="Times New Roman"/>
          <w:sz w:val="24"/>
          <w:szCs w:val="24"/>
          <w:lang w:val="es-MX"/>
        </w:rPr>
        <w:t>En ese sentido, de mantenerse las condiciones previstas en 2025 y que estas se extiendan en el largo plazo (2040), es decir un resultado primario deficitario que se ubique en torno al 0.2</w:t>
      </w:r>
      <w:r>
        <w:rPr>
          <w:rFonts w:ascii="Times New Roman" w:hAnsi="Times New Roman"/>
          <w:sz w:val="24"/>
          <w:szCs w:val="24"/>
          <w:lang w:val="es-MX"/>
        </w:rPr>
        <w:t>%</w:t>
      </w:r>
      <w:r w:rsidRPr="00FE76BD">
        <w:rPr>
          <w:rFonts w:ascii="Times New Roman" w:hAnsi="Times New Roman"/>
          <w:sz w:val="24"/>
          <w:szCs w:val="24"/>
          <w:lang w:val="es-MX"/>
        </w:rPr>
        <w:t xml:space="preserve">PIB;  el crecimiento económico promedio se ubique en 3.3% , 0.2 puntos porcentuales debajo del  PIB </w:t>
      </w:r>
      <w:r w:rsidRPr="00FE76BD">
        <w:rPr>
          <w:rFonts w:ascii="Times New Roman" w:hAnsi="Times New Roman"/>
          <w:sz w:val="24"/>
          <w:szCs w:val="24"/>
          <w:lang w:val="es-MX"/>
        </w:rPr>
        <w:lastRenderedPageBreak/>
        <w:t xml:space="preserve">potencial, la tasa de interés real se estima por abajo del crecimiento económico  y el tipo de cambio nominal se prevé que en promedio se mantenga relativamente constante como se ha observado en los últimos quince años. Con dichos supuestos la proporción Deuda / PIB, si bien muestra un comportamiento creciente, será moderado y se prevé que dicho indicador alcance al final del período indicado un </w:t>
      </w:r>
      <w:r>
        <w:rPr>
          <w:rFonts w:ascii="Times New Roman" w:hAnsi="Times New Roman"/>
          <w:sz w:val="24"/>
          <w:szCs w:val="24"/>
          <w:lang w:val="es-MX"/>
        </w:rPr>
        <w:t>38.7%</w:t>
      </w:r>
      <w:r w:rsidRPr="00FE76BD">
        <w:rPr>
          <w:rFonts w:ascii="Times New Roman" w:hAnsi="Times New Roman"/>
          <w:sz w:val="24"/>
          <w:szCs w:val="24"/>
          <w:lang w:val="es-MX"/>
        </w:rPr>
        <w:t>.</w:t>
      </w:r>
    </w:p>
    <w:p w14:paraId="7EC2BB72" w14:textId="77777777" w:rsidR="003F1984" w:rsidRPr="00FE76BD" w:rsidRDefault="003F1984" w:rsidP="003F1984">
      <w:pPr>
        <w:pStyle w:val="Sinespaciado"/>
        <w:ind w:left="567" w:right="49"/>
        <w:jc w:val="both"/>
        <w:rPr>
          <w:rFonts w:ascii="Times New Roman" w:hAnsi="Times New Roman"/>
          <w:sz w:val="24"/>
          <w:szCs w:val="24"/>
          <w:lang w:val="es-MX"/>
        </w:rPr>
      </w:pPr>
    </w:p>
    <w:p w14:paraId="0F9DF290" w14:textId="77777777" w:rsidR="003F1984" w:rsidRPr="00FE76BD" w:rsidRDefault="003F1984" w:rsidP="003F1984">
      <w:pPr>
        <w:pStyle w:val="Sinespaciado"/>
        <w:ind w:left="567" w:right="49"/>
        <w:jc w:val="both"/>
        <w:rPr>
          <w:rFonts w:ascii="Times New Roman" w:hAnsi="Times New Roman"/>
          <w:sz w:val="24"/>
          <w:szCs w:val="24"/>
          <w:lang w:val="es-MX"/>
        </w:rPr>
      </w:pPr>
    </w:p>
    <w:tbl>
      <w:tblPr>
        <w:tblStyle w:val="Tablaconcuadrcula"/>
        <w:tblW w:w="9079"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Look w:val="04A0" w:firstRow="1" w:lastRow="0" w:firstColumn="1" w:lastColumn="0" w:noHBand="0" w:noVBand="1"/>
      </w:tblPr>
      <w:tblGrid>
        <w:gridCol w:w="9079"/>
      </w:tblGrid>
      <w:tr w:rsidR="003F1984" w:rsidRPr="00FE76BD" w14:paraId="046DD570" w14:textId="77777777" w:rsidTr="00963B9C">
        <w:trPr>
          <w:trHeight w:val="4191"/>
          <w:jc w:val="center"/>
        </w:trPr>
        <w:tc>
          <w:tcPr>
            <w:tcW w:w="9079" w:type="dxa"/>
          </w:tcPr>
          <w:p w14:paraId="396F3263" w14:textId="5F903909" w:rsidR="003F1984" w:rsidRPr="00FE76BD" w:rsidRDefault="003F1984" w:rsidP="00963B9C">
            <w:pPr>
              <w:pStyle w:val="Epgrafe"/>
              <w:keepNext/>
              <w:ind w:left="567" w:right="49"/>
              <w:rPr>
                <w:color w:val="auto"/>
                <w:sz w:val="24"/>
                <w:szCs w:val="24"/>
              </w:rPr>
            </w:pPr>
            <w:r>
              <w:rPr>
                <w:color w:val="auto"/>
                <w:sz w:val="24"/>
                <w:szCs w:val="24"/>
              </w:rPr>
              <w:t xml:space="preserve">Gráfico </w:t>
            </w:r>
            <w:r w:rsidR="0007442B">
              <w:rPr>
                <w:color w:val="auto"/>
                <w:sz w:val="24"/>
                <w:szCs w:val="24"/>
              </w:rPr>
              <w:t>33</w:t>
            </w:r>
            <w:r w:rsidRPr="00FE76BD">
              <w:rPr>
                <w:color w:val="auto"/>
                <w:sz w:val="24"/>
                <w:szCs w:val="24"/>
              </w:rPr>
              <w:t>. Escenarios del comportamiento de la Deuda Pública en el Largo Plazo</w:t>
            </w:r>
          </w:p>
          <w:p w14:paraId="79ECE304" w14:textId="77777777" w:rsidR="003F1984" w:rsidRPr="00FE76BD" w:rsidRDefault="003F1984" w:rsidP="00963B9C">
            <w:pPr>
              <w:ind w:left="567" w:right="49"/>
              <w:jc w:val="center"/>
              <w:rPr>
                <w:sz w:val="24"/>
                <w:szCs w:val="24"/>
              </w:rPr>
            </w:pPr>
            <w:r w:rsidRPr="00FE76BD">
              <w:rPr>
                <w:sz w:val="24"/>
                <w:szCs w:val="24"/>
              </w:rPr>
              <w:t>En porcentaje del PIB</w:t>
            </w:r>
          </w:p>
          <w:p w14:paraId="0FCE159B" w14:textId="77777777" w:rsidR="003F1984" w:rsidRPr="00FE76BD" w:rsidRDefault="003F1984" w:rsidP="00963B9C">
            <w:pPr>
              <w:ind w:left="567" w:right="49"/>
              <w:jc w:val="center"/>
              <w:rPr>
                <w:noProof/>
                <w:sz w:val="24"/>
                <w:szCs w:val="24"/>
              </w:rPr>
            </w:pPr>
            <w:r>
              <w:rPr>
                <w:noProof/>
                <w:lang w:val="es-ES"/>
              </w:rPr>
              <w:drawing>
                <wp:inline distT="0" distB="0" distL="0" distR="0" wp14:anchorId="7CDA1668" wp14:editId="559A8CCA">
                  <wp:extent cx="5040000" cy="2160000"/>
                  <wp:effectExtent l="0" t="0" r="8255" b="0"/>
                  <wp:docPr id="44" name="Chart 44">
                    <a:extLst xmlns:a="http://schemas.openxmlformats.org/drawingml/2006/main">
                      <a:ext uri="{FF2B5EF4-FFF2-40B4-BE49-F238E27FC236}">
                        <a16:creationId xmlns:a16="http://schemas.microsoft.com/office/drawing/2014/main" xmlns:w16se="http://schemas.microsoft.com/office/word/2015/wordml/symex" xmlns:w15="http://schemas.microsoft.com/office/word/2012/wordml" xmlns:w="http://schemas.openxmlformats.org/wordprocessingml/2006/main" xmlns:w10="urn:schemas-microsoft-com:office:word" xmlns:v="urn:schemas-microsoft-com:vml" xmlns:o="urn:schemas-microsoft-com:office:office" xmlns:cx="http://schemas.microsoft.com/office/drawing/2014/chartex" xmlns="" id="{00000000-0008-0000-0100-000011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r w:rsidRPr="00FE76BD">
              <w:rPr>
                <w:noProof/>
                <w:sz w:val="24"/>
                <w:szCs w:val="24"/>
              </w:rPr>
              <w:t xml:space="preserve"> </w:t>
            </w:r>
          </w:p>
          <w:p w14:paraId="701F863D" w14:textId="77777777" w:rsidR="003F1984" w:rsidRPr="00457392" w:rsidRDefault="003F1984" w:rsidP="00963B9C">
            <w:pPr>
              <w:ind w:left="567" w:right="49"/>
              <w:rPr>
                <w:sz w:val="16"/>
                <w:szCs w:val="16"/>
              </w:rPr>
            </w:pPr>
            <w:r w:rsidRPr="00457392">
              <w:rPr>
                <w:sz w:val="16"/>
                <w:szCs w:val="16"/>
              </w:rPr>
              <w:t xml:space="preserve">      </w:t>
            </w:r>
            <w:r w:rsidRPr="00E93DAF">
              <w:t>Fuente: Elaboración DAPF con el análisis del Índice de Blanchard</w:t>
            </w:r>
          </w:p>
        </w:tc>
      </w:tr>
    </w:tbl>
    <w:p w14:paraId="04A1E629" w14:textId="77777777" w:rsidR="003F1984" w:rsidRDefault="003F1984" w:rsidP="003F1984">
      <w:pPr>
        <w:pStyle w:val="Sinespaciado"/>
        <w:ind w:right="49"/>
        <w:jc w:val="both"/>
        <w:rPr>
          <w:rFonts w:ascii="Times New Roman" w:hAnsi="Times New Roman"/>
          <w:sz w:val="24"/>
          <w:szCs w:val="24"/>
          <w:lang w:val="es-MX"/>
        </w:rPr>
      </w:pPr>
    </w:p>
    <w:p w14:paraId="52075669" w14:textId="77777777" w:rsidR="003F1984" w:rsidRDefault="003F1984" w:rsidP="003F1984">
      <w:pPr>
        <w:pStyle w:val="Sinespaciado"/>
        <w:ind w:left="567" w:right="49"/>
        <w:jc w:val="both"/>
        <w:rPr>
          <w:rFonts w:ascii="Times New Roman" w:hAnsi="Times New Roman"/>
          <w:sz w:val="24"/>
          <w:szCs w:val="24"/>
          <w:lang w:val="es-MX"/>
        </w:rPr>
      </w:pPr>
      <w:r w:rsidRPr="00FE76BD">
        <w:rPr>
          <w:rFonts w:ascii="Times New Roman" w:hAnsi="Times New Roman"/>
          <w:sz w:val="24"/>
          <w:szCs w:val="24"/>
          <w:lang w:val="es-MX"/>
        </w:rPr>
        <w:t xml:space="preserve">Lo anterior muestra que hay margen suficiente para soportar choques de la economía, sin que esto repercuta severamente en la sostenibilidad fiscal.  Para el efecto se aplicaron choques transitorios a los principales determinantes del comportamiento de la deuda y en el peor escenario de un choque combinado en el que se da una reducción del PIB real en los primeros años (caída del 30.0% del valor estimado), incremento de la tasa de interés real en 50 puntos básicos y un aumento importante en el déficit primario en los primeros cinco años (aumentos en puntos porcentuales del PIB de 0.8 por dos años, 0.6 por los dos años siguientes y 0.4 en el quinto año).  Con estos choques combinados la relación deuda / PIB para 2040 podría situarse hasta </w:t>
      </w:r>
      <w:r>
        <w:rPr>
          <w:rFonts w:ascii="Times New Roman" w:hAnsi="Times New Roman"/>
          <w:sz w:val="24"/>
          <w:szCs w:val="24"/>
          <w:lang w:val="es-MX"/>
        </w:rPr>
        <w:t>45.6</w:t>
      </w:r>
      <w:r w:rsidRPr="00FE76BD">
        <w:rPr>
          <w:rFonts w:ascii="Times New Roman" w:hAnsi="Times New Roman"/>
          <w:sz w:val="24"/>
          <w:szCs w:val="24"/>
          <w:lang w:val="es-MX"/>
        </w:rPr>
        <w:t>%</w:t>
      </w:r>
      <w:r>
        <w:rPr>
          <w:rFonts w:ascii="Times New Roman" w:hAnsi="Times New Roman"/>
          <w:sz w:val="24"/>
          <w:szCs w:val="24"/>
          <w:lang w:val="es-MX"/>
        </w:rPr>
        <w:t>.</w:t>
      </w:r>
    </w:p>
    <w:p w14:paraId="7E8AD7BA" w14:textId="77777777" w:rsidR="003F1984" w:rsidRDefault="003F1984" w:rsidP="003F1984">
      <w:pPr>
        <w:pStyle w:val="Sinespaciado"/>
        <w:ind w:left="567" w:right="49"/>
        <w:jc w:val="both"/>
        <w:rPr>
          <w:rFonts w:ascii="Times New Roman" w:hAnsi="Times New Roman"/>
          <w:sz w:val="24"/>
          <w:szCs w:val="24"/>
          <w:lang w:val="es-MX"/>
        </w:rPr>
      </w:pPr>
    </w:p>
    <w:p w14:paraId="1D35D6B0" w14:textId="77777777" w:rsidR="003F1984" w:rsidRDefault="003F1984" w:rsidP="003F1984">
      <w:pPr>
        <w:pStyle w:val="Sinespaciado"/>
        <w:ind w:left="567" w:right="49"/>
        <w:jc w:val="both"/>
        <w:rPr>
          <w:rFonts w:ascii="Times New Roman" w:hAnsi="Times New Roman"/>
          <w:sz w:val="24"/>
          <w:szCs w:val="24"/>
          <w:lang w:val="es-MX"/>
        </w:rPr>
      </w:pPr>
      <w:r w:rsidRPr="00FE76BD">
        <w:rPr>
          <w:rFonts w:ascii="Times New Roman" w:hAnsi="Times New Roman"/>
          <w:sz w:val="24"/>
          <w:szCs w:val="24"/>
          <w:lang w:val="es-MX"/>
        </w:rPr>
        <w:t xml:space="preserve">Considerando los resultados mostrados, es importante indicar que la autoridad fiscal puede tomar medidas de política para evitar un deterioro de las cuentas fiscales y revertir así la tendencia de la deuda mediante ajustes en los ingresos o gastos del gobierno que pueden reducir o minimizar el impacto de los efectos adversos en el largo plazo.  </w:t>
      </w:r>
    </w:p>
    <w:p w14:paraId="2149144E" w14:textId="77777777" w:rsidR="003F1984" w:rsidRDefault="003F1984" w:rsidP="003F1984">
      <w:pPr>
        <w:pStyle w:val="Sinespaciado"/>
        <w:ind w:left="567" w:right="49"/>
        <w:jc w:val="both"/>
        <w:rPr>
          <w:rFonts w:ascii="Times New Roman" w:hAnsi="Times New Roman"/>
          <w:sz w:val="24"/>
          <w:szCs w:val="24"/>
          <w:lang w:val="es-MX"/>
        </w:rPr>
      </w:pPr>
    </w:p>
    <w:p w14:paraId="2F82F5C1" w14:textId="3579EB6A" w:rsidR="003F1984" w:rsidRPr="00FE76BD" w:rsidRDefault="003F1984" w:rsidP="003F1984">
      <w:pPr>
        <w:pStyle w:val="Sinespaciado"/>
        <w:ind w:left="567" w:right="49"/>
        <w:jc w:val="both"/>
        <w:rPr>
          <w:rFonts w:ascii="Times New Roman" w:hAnsi="Times New Roman"/>
          <w:sz w:val="24"/>
          <w:szCs w:val="24"/>
          <w:lang w:val="es-MX"/>
        </w:rPr>
      </w:pPr>
      <w:r w:rsidRPr="00FE76BD">
        <w:rPr>
          <w:rFonts w:ascii="Times New Roman" w:hAnsi="Times New Roman"/>
          <w:sz w:val="24"/>
          <w:szCs w:val="24"/>
          <w:lang w:val="es-MX"/>
        </w:rPr>
        <w:t>En ese sentido, se elaboraron dos escenarios adicionales que muestran dos tipos de ajustes fiscales uno en el que se busca un equilibrio en el balance primario, después de los choques en la economía; y otro escenario en el que el ajuste fiscal es más severo y se logra un superávit primario de 0.2</w:t>
      </w:r>
      <w:r>
        <w:rPr>
          <w:rFonts w:ascii="Times New Roman" w:hAnsi="Times New Roman"/>
          <w:sz w:val="24"/>
          <w:szCs w:val="24"/>
          <w:lang w:val="es-MX"/>
        </w:rPr>
        <w:t xml:space="preserve">% </w:t>
      </w:r>
      <w:r w:rsidRPr="00FE76BD">
        <w:rPr>
          <w:rFonts w:ascii="Times New Roman" w:hAnsi="Times New Roman"/>
          <w:sz w:val="24"/>
          <w:szCs w:val="24"/>
          <w:lang w:val="es-MX"/>
        </w:rPr>
        <w:t xml:space="preserve">del PIB posterior a los choques combinados.   Con dichos ajustes la relación de deuda / PIB para 2040 pasaría de </w:t>
      </w:r>
      <w:r>
        <w:rPr>
          <w:rFonts w:ascii="Times New Roman" w:hAnsi="Times New Roman"/>
          <w:sz w:val="24"/>
          <w:szCs w:val="24"/>
          <w:lang w:val="es-MX"/>
        </w:rPr>
        <w:t>45.6</w:t>
      </w:r>
      <w:r w:rsidRPr="00FE76BD">
        <w:rPr>
          <w:rFonts w:ascii="Times New Roman" w:hAnsi="Times New Roman"/>
          <w:sz w:val="24"/>
          <w:szCs w:val="24"/>
          <w:lang w:val="es-MX"/>
        </w:rPr>
        <w:t>%</w:t>
      </w:r>
      <w:r>
        <w:rPr>
          <w:rFonts w:ascii="Times New Roman" w:hAnsi="Times New Roman"/>
          <w:sz w:val="24"/>
          <w:szCs w:val="24"/>
          <w:lang w:val="es-MX"/>
        </w:rPr>
        <w:t xml:space="preserve"> </w:t>
      </w:r>
      <w:r w:rsidRPr="00FE76BD">
        <w:rPr>
          <w:rFonts w:ascii="Times New Roman" w:hAnsi="Times New Roman"/>
          <w:sz w:val="24"/>
          <w:szCs w:val="24"/>
          <w:lang w:val="es-MX"/>
        </w:rPr>
        <w:t xml:space="preserve">a </w:t>
      </w:r>
      <w:r>
        <w:rPr>
          <w:rFonts w:ascii="Times New Roman" w:hAnsi="Times New Roman"/>
          <w:sz w:val="24"/>
          <w:szCs w:val="24"/>
          <w:lang w:val="es-MX"/>
        </w:rPr>
        <w:t>42.6</w:t>
      </w:r>
      <w:r w:rsidRPr="00FE76BD">
        <w:rPr>
          <w:rFonts w:ascii="Times New Roman" w:hAnsi="Times New Roman"/>
          <w:sz w:val="24"/>
          <w:szCs w:val="24"/>
          <w:lang w:val="es-MX"/>
        </w:rPr>
        <w:t xml:space="preserve">% del PIB, únicamente logrando un equilibrio en el resultado primario y con un ajuste un poco más fuerte </w:t>
      </w:r>
      <w:r>
        <w:rPr>
          <w:rFonts w:ascii="Times New Roman" w:hAnsi="Times New Roman"/>
          <w:sz w:val="24"/>
          <w:szCs w:val="24"/>
          <w:lang w:val="es-MX"/>
        </w:rPr>
        <w:t>se logra</w:t>
      </w:r>
      <w:r w:rsidRPr="00FE76BD">
        <w:rPr>
          <w:rFonts w:ascii="Times New Roman" w:hAnsi="Times New Roman"/>
          <w:sz w:val="24"/>
          <w:szCs w:val="24"/>
          <w:lang w:val="es-MX"/>
        </w:rPr>
        <w:t xml:space="preserve"> un </w:t>
      </w:r>
      <w:r>
        <w:rPr>
          <w:rFonts w:ascii="Times New Roman" w:hAnsi="Times New Roman"/>
          <w:sz w:val="24"/>
          <w:szCs w:val="24"/>
          <w:lang w:val="es-MX"/>
        </w:rPr>
        <w:t xml:space="preserve">mayor </w:t>
      </w:r>
      <w:r w:rsidRPr="00FE76BD">
        <w:rPr>
          <w:rFonts w:ascii="Times New Roman" w:hAnsi="Times New Roman"/>
          <w:sz w:val="24"/>
          <w:szCs w:val="24"/>
          <w:lang w:val="es-MX"/>
        </w:rPr>
        <w:t xml:space="preserve">superávit primario, </w:t>
      </w:r>
      <w:r>
        <w:rPr>
          <w:rFonts w:ascii="Times New Roman" w:hAnsi="Times New Roman"/>
          <w:sz w:val="24"/>
          <w:szCs w:val="24"/>
          <w:lang w:val="es-MX"/>
        </w:rPr>
        <w:t xml:space="preserve">en donde </w:t>
      </w:r>
      <w:r w:rsidRPr="00FE76BD">
        <w:rPr>
          <w:rFonts w:ascii="Times New Roman" w:hAnsi="Times New Roman"/>
          <w:sz w:val="24"/>
          <w:szCs w:val="24"/>
          <w:lang w:val="es-MX"/>
        </w:rPr>
        <w:t>la relación deuda/PIB disminuiría a</w:t>
      </w:r>
      <w:r>
        <w:rPr>
          <w:rFonts w:ascii="Times New Roman" w:hAnsi="Times New Roman"/>
          <w:sz w:val="24"/>
          <w:szCs w:val="24"/>
          <w:lang w:val="es-MX"/>
        </w:rPr>
        <w:t xml:space="preserve"> 40.2</w:t>
      </w:r>
      <w:r w:rsidRPr="00FE76BD">
        <w:rPr>
          <w:rFonts w:ascii="Times New Roman" w:hAnsi="Times New Roman"/>
          <w:sz w:val="24"/>
          <w:szCs w:val="24"/>
          <w:lang w:val="es-MX"/>
        </w:rPr>
        <w:t xml:space="preserve">% o del PIB.   Dada la evolución de las </w:t>
      </w:r>
      <w:r w:rsidRPr="00FE76BD">
        <w:rPr>
          <w:rFonts w:ascii="Times New Roman" w:hAnsi="Times New Roman"/>
          <w:sz w:val="24"/>
          <w:szCs w:val="24"/>
          <w:lang w:val="es-MX"/>
        </w:rPr>
        <w:lastRenderedPageBreak/>
        <w:t xml:space="preserve">cuentas fiscales, la disciplina en el manejo de los recursos y el historial de estabilidad macroeconómica en los últimos 20 años, son escenarios factibles y que dan sustento para afirmar que la deuda pública en Guatemala es sostenible en el mediano y largo plazo.  </w:t>
      </w:r>
    </w:p>
    <w:p w14:paraId="4E1AB844" w14:textId="77777777" w:rsidR="003F1984" w:rsidRPr="00FE76BD" w:rsidRDefault="003F1984" w:rsidP="003F1984">
      <w:pPr>
        <w:tabs>
          <w:tab w:val="left" w:pos="1066"/>
        </w:tabs>
        <w:ind w:left="567" w:right="49"/>
        <w:rPr>
          <w:sz w:val="24"/>
          <w:szCs w:val="24"/>
          <w:lang w:val="es-MX"/>
        </w:rPr>
      </w:pPr>
    </w:p>
    <w:tbl>
      <w:tblPr>
        <w:tblStyle w:val="Tablaconcuadrcula"/>
        <w:tblW w:w="9069" w:type="dxa"/>
        <w:tblInd w:w="69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Look w:val="04A0" w:firstRow="1" w:lastRow="0" w:firstColumn="1" w:lastColumn="0" w:noHBand="0" w:noVBand="1"/>
      </w:tblPr>
      <w:tblGrid>
        <w:gridCol w:w="9069"/>
      </w:tblGrid>
      <w:tr w:rsidR="003F1984" w:rsidRPr="00FE76BD" w14:paraId="2243E801" w14:textId="77777777" w:rsidTr="00963B9C">
        <w:trPr>
          <w:trHeight w:val="3540"/>
        </w:trPr>
        <w:tc>
          <w:tcPr>
            <w:tcW w:w="9069" w:type="dxa"/>
          </w:tcPr>
          <w:p w14:paraId="721BE9A8" w14:textId="75DBFDCC" w:rsidR="003F1984" w:rsidRPr="00FE76BD" w:rsidRDefault="003F1984" w:rsidP="00963B9C">
            <w:pPr>
              <w:pStyle w:val="Epgrafe"/>
              <w:keepNext/>
              <w:ind w:left="567" w:right="49"/>
              <w:rPr>
                <w:color w:val="auto"/>
                <w:sz w:val="24"/>
                <w:szCs w:val="24"/>
              </w:rPr>
            </w:pPr>
            <w:r>
              <w:rPr>
                <w:color w:val="auto"/>
                <w:sz w:val="24"/>
                <w:szCs w:val="24"/>
              </w:rPr>
              <w:t xml:space="preserve">Gráfico </w:t>
            </w:r>
            <w:r w:rsidR="0007442B">
              <w:rPr>
                <w:color w:val="auto"/>
                <w:sz w:val="24"/>
                <w:szCs w:val="24"/>
              </w:rPr>
              <w:t>34</w:t>
            </w:r>
            <w:r w:rsidRPr="00FE76BD">
              <w:rPr>
                <w:color w:val="auto"/>
                <w:sz w:val="24"/>
                <w:szCs w:val="24"/>
              </w:rPr>
              <w:t>. Escenarios de Ajuste Fiscal para Atenuar Choques Adversos en la Deuda Pública de Largo Plazo</w:t>
            </w:r>
          </w:p>
          <w:p w14:paraId="33DFD3E2" w14:textId="77777777" w:rsidR="003F1984" w:rsidRPr="000063D5" w:rsidRDefault="003F1984" w:rsidP="00963B9C">
            <w:pPr>
              <w:ind w:left="567" w:right="49"/>
              <w:jc w:val="center"/>
            </w:pPr>
            <w:r w:rsidRPr="000063D5">
              <w:t>En porcentaje del PIB</w:t>
            </w:r>
          </w:p>
          <w:p w14:paraId="2CD056B3" w14:textId="77777777" w:rsidR="003F1984" w:rsidRPr="00FE76BD" w:rsidRDefault="003F1984" w:rsidP="00963B9C">
            <w:pPr>
              <w:ind w:left="567" w:right="49"/>
              <w:jc w:val="center"/>
              <w:rPr>
                <w:noProof/>
                <w:sz w:val="24"/>
                <w:szCs w:val="24"/>
              </w:rPr>
            </w:pPr>
            <w:r>
              <w:rPr>
                <w:noProof/>
                <w:lang w:val="es-ES"/>
              </w:rPr>
              <w:drawing>
                <wp:inline distT="0" distB="0" distL="0" distR="0" wp14:anchorId="251808B6" wp14:editId="2612F41A">
                  <wp:extent cx="5040000" cy="2160000"/>
                  <wp:effectExtent l="0" t="0" r="8255" b="0"/>
                  <wp:docPr id="70" name="Chart 45">
                    <a:extLst xmlns:a="http://schemas.openxmlformats.org/drawingml/2006/main">
                      <a:ext uri="{FF2B5EF4-FFF2-40B4-BE49-F238E27FC236}">
                        <a16:creationId xmlns:a16="http://schemas.microsoft.com/office/drawing/2014/main" xmlns:w16se="http://schemas.microsoft.com/office/word/2015/wordml/symex" xmlns:w15="http://schemas.microsoft.com/office/word/2012/wordml" xmlns:w="http://schemas.openxmlformats.org/wordprocessingml/2006/main" xmlns:w10="urn:schemas-microsoft-com:office:word" xmlns:v="urn:schemas-microsoft-com:vml" xmlns:o="urn:schemas-microsoft-com:office:office" xmlns:cx="http://schemas.microsoft.com/office/drawing/2014/chartex" xmlns="" id="{00000000-0008-0000-0100-00001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14:paraId="4F9AE373" w14:textId="77777777" w:rsidR="003F1984" w:rsidRPr="00FE76BD" w:rsidRDefault="003F1984" w:rsidP="00963B9C">
            <w:pPr>
              <w:ind w:left="567" w:right="49"/>
              <w:rPr>
                <w:sz w:val="24"/>
                <w:szCs w:val="24"/>
              </w:rPr>
            </w:pPr>
            <w:r w:rsidRPr="00FE76BD">
              <w:rPr>
                <w:sz w:val="24"/>
                <w:szCs w:val="24"/>
              </w:rPr>
              <w:t xml:space="preserve">    </w:t>
            </w:r>
          </w:p>
          <w:p w14:paraId="04148521" w14:textId="77777777" w:rsidR="003F1984" w:rsidRPr="00FE76BD" w:rsidRDefault="003F1984" w:rsidP="00963B9C">
            <w:pPr>
              <w:ind w:left="567" w:right="49"/>
              <w:rPr>
                <w:sz w:val="24"/>
                <w:szCs w:val="24"/>
              </w:rPr>
            </w:pPr>
            <w:r w:rsidRPr="00F7730F">
              <w:rPr>
                <w:szCs w:val="24"/>
              </w:rPr>
              <w:t xml:space="preserve">Fuente: Elaboración </w:t>
            </w:r>
            <w:r>
              <w:rPr>
                <w:szCs w:val="24"/>
              </w:rPr>
              <w:t>DAPF</w:t>
            </w:r>
            <w:r w:rsidRPr="00F7730F">
              <w:rPr>
                <w:szCs w:val="24"/>
              </w:rPr>
              <w:t xml:space="preserve"> con el análisis del Índice de Blanchard</w:t>
            </w:r>
          </w:p>
        </w:tc>
      </w:tr>
    </w:tbl>
    <w:p w14:paraId="22283DDD" w14:textId="77777777" w:rsidR="003F1984" w:rsidRPr="00FE76BD" w:rsidRDefault="003F1984" w:rsidP="003F1984">
      <w:pPr>
        <w:tabs>
          <w:tab w:val="left" w:pos="1066"/>
        </w:tabs>
        <w:ind w:right="49"/>
        <w:rPr>
          <w:sz w:val="24"/>
          <w:szCs w:val="24"/>
        </w:rPr>
      </w:pPr>
    </w:p>
    <w:p w14:paraId="7662F69A" w14:textId="77777777" w:rsidR="00246A61" w:rsidRPr="00FE76BD" w:rsidRDefault="00246A61" w:rsidP="00246A61">
      <w:pPr>
        <w:tabs>
          <w:tab w:val="left" w:pos="1066"/>
        </w:tabs>
        <w:ind w:left="567" w:right="49"/>
        <w:rPr>
          <w:sz w:val="24"/>
          <w:szCs w:val="24"/>
        </w:rPr>
      </w:pPr>
    </w:p>
    <w:p w14:paraId="4D9B73F2" w14:textId="77777777" w:rsidR="00246A61" w:rsidRPr="004A2797" w:rsidRDefault="00246A61" w:rsidP="00246A61">
      <w:pPr>
        <w:pStyle w:val="Ttulo1"/>
        <w:widowControl/>
        <w:numPr>
          <w:ilvl w:val="1"/>
          <w:numId w:val="5"/>
        </w:numPr>
        <w:ind w:left="993" w:right="49"/>
        <w:jc w:val="left"/>
        <w:rPr>
          <w:b w:val="0"/>
          <w:color w:val="auto"/>
          <w:sz w:val="24"/>
          <w:szCs w:val="24"/>
        </w:rPr>
      </w:pPr>
      <w:bookmarkStart w:id="54" w:name="_Toc523294555"/>
      <w:bookmarkStart w:id="55" w:name="_Toc16519891"/>
      <w:bookmarkStart w:id="56" w:name="_Toc49939724"/>
      <w:r w:rsidRPr="004A2797">
        <w:rPr>
          <w:color w:val="auto"/>
          <w:sz w:val="24"/>
          <w:szCs w:val="24"/>
        </w:rPr>
        <w:t>Aspectos generales para la mitigación</w:t>
      </w:r>
      <w:bookmarkEnd w:id="54"/>
      <w:bookmarkEnd w:id="55"/>
      <w:bookmarkEnd w:id="56"/>
      <w:r w:rsidRPr="004A2797">
        <w:rPr>
          <w:color w:val="auto"/>
          <w:sz w:val="24"/>
          <w:szCs w:val="24"/>
        </w:rPr>
        <w:t xml:space="preserve">   </w:t>
      </w:r>
    </w:p>
    <w:p w14:paraId="5FBBEA72" w14:textId="77777777" w:rsidR="00246A61" w:rsidRPr="00F7730F" w:rsidRDefault="00246A61" w:rsidP="00246A61">
      <w:pPr>
        <w:pStyle w:val="Sinespaciado"/>
        <w:ind w:left="567" w:right="49"/>
        <w:jc w:val="both"/>
        <w:rPr>
          <w:rFonts w:ascii="Times New Roman" w:hAnsi="Times New Roman"/>
          <w:sz w:val="24"/>
          <w:szCs w:val="24"/>
          <w:lang w:val="es-GT"/>
        </w:rPr>
      </w:pPr>
    </w:p>
    <w:p w14:paraId="471E07F5" w14:textId="77777777" w:rsidR="00246A61" w:rsidRPr="00FE76BD" w:rsidRDefault="00246A61" w:rsidP="00246A61">
      <w:pPr>
        <w:pStyle w:val="Sinespaciado"/>
        <w:ind w:left="567" w:right="49"/>
        <w:jc w:val="both"/>
        <w:rPr>
          <w:rFonts w:ascii="Times New Roman" w:hAnsi="Times New Roman"/>
          <w:sz w:val="24"/>
          <w:szCs w:val="24"/>
          <w:lang w:val="es-MX"/>
        </w:rPr>
      </w:pPr>
      <w:r w:rsidRPr="00FE76BD">
        <w:rPr>
          <w:rFonts w:ascii="Times New Roman" w:hAnsi="Times New Roman"/>
          <w:sz w:val="24"/>
          <w:szCs w:val="24"/>
          <w:lang w:val="es-MX"/>
        </w:rPr>
        <w:t>Las medidas de política fiscal para atenuar los choques exógenos podrían fundamentarse en una mejora sustancial de la recaudación tributaria que permita ampliar la base tributaria, modificar o modernizar algunas tarifas impositivas y que la Superintendencia de Administración Tributaria mejore la fiscalización y los controles aduaneros para la reducción de la evasión y el contrabando aduanero.  Asimismo, es necesario ampliar los mecanismos de cooperación internacional, evaluar los espacios para el uso de crédito público (de acuerdo a los indicadores de deuda y sostenibilidad), fortalecer la provisión de bienes públicos con un alto rendimiento económico y social (como son la infraestructura, protección social, salud y educación) y aumentar el coeficiente de inversión mediante asociaciones público-privadas, entre otros aspectos para mejorar la posición económica y fiscal del país en un horizonte de mediano plazo.</w:t>
      </w:r>
    </w:p>
    <w:p w14:paraId="66241519" w14:textId="77777777" w:rsidR="00246A61" w:rsidRPr="00FE76BD" w:rsidRDefault="00246A61" w:rsidP="00246A61">
      <w:pPr>
        <w:ind w:right="49"/>
        <w:rPr>
          <w:sz w:val="24"/>
          <w:szCs w:val="24"/>
          <w:lang w:val="es-ES"/>
        </w:rPr>
      </w:pPr>
    </w:p>
    <w:p w14:paraId="1ECE2BC5" w14:textId="77777777" w:rsidR="00246A61" w:rsidRPr="00184700" w:rsidRDefault="00246A61" w:rsidP="008A5924">
      <w:pPr>
        <w:pStyle w:val="Sinespaciado"/>
        <w:jc w:val="both"/>
        <w:rPr>
          <w:rFonts w:ascii="Times New Roman" w:hAnsi="Times New Roman"/>
        </w:rPr>
      </w:pPr>
    </w:p>
    <w:p w14:paraId="17CB7BEC" w14:textId="77777777" w:rsidR="00226395" w:rsidRDefault="00226395">
      <w:pPr>
        <w:widowControl/>
        <w:spacing w:after="200" w:line="276" w:lineRule="auto"/>
        <w:rPr>
          <w:b/>
          <w:color w:val="000000"/>
          <w:sz w:val="28"/>
          <w:szCs w:val="28"/>
        </w:rPr>
      </w:pPr>
      <w:r>
        <w:rPr>
          <w:sz w:val="28"/>
          <w:szCs w:val="28"/>
        </w:rPr>
        <w:br w:type="page"/>
      </w:r>
    </w:p>
    <w:p w14:paraId="745DCA06" w14:textId="77777777" w:rsidR="008A5924" w:rsidRPr="00226395" w:rsidRDefault="008A5924" w:rsidP="00DD6292">
      <w:pPr>
        <w:pStyle w:val="Ttulo1"/>
        <w:widowControl/>
        <w:numPr>
          <w:ilvl w:val="0"/>
          <w:numId w:val="5"/>
        </w:numPr>
        <w:spacing w:before="240" w:after="60"/>
        <w:jc w:val="left"/>
        <w:rPr>
          <w:sz w:val="28"/>
          <w:szCs w:val="28"/>
        </w:rPr>
      </w:pPr>
      <w:bookmarkStart w:id="57" w:name="_Toc49939725"/>
      <w:r w:rsidRPr="00226395">
        <w:rPr>
          <w:sz w:val="28"/>
          <w:szCs w:val="28"/>
        </w:rPr>
        <w:lastRenderedPageBreak/>
        <w:t>Riesgos fiscales Específicos</w:t>
      </w:r>
      <w:bookmarkEnd w:id="57"/>
    </w:p>
    <w:p w14:paraId="4D1C3859" w14:textId="77777777" w:rsidR="007D30E4" w:rsidRPr="00D30644" w:rsidRDefault="007D30E4" w:rsidP="007D30E4">
      <w:pPr>
        <w:rPr>
          <w:lang w:val="es-GT"/>
        </w:rPr>
      </w:pPr>
    </w:p>
    <w:p w14:paraId="4EAA8506" w14:textId="77777777" w:rsidR="00226395" w:rsidRPr="0033794E" w:rsidRDefault="00226395" w:rsidP="00A86EFD">
      <w:pPr>
        <w:pStyle w:val="Sinespaciado"/>
        <w:ind w:left="567" w:right="49"/>
        <w:jc w:val="both"/>
        <w:rPr>
          <w:rFonts w:ascii="Times New Roman" w:hAnsi="Times New Roman"/>
          <w:sz w:val="24"/>
          <w:szCs w:val="24"/>
          <w:lang w:val="es-MX"/>
        </w:rPr>
      </w:pPr>
      <w:r w:rsidRPr="0033794E">
        <w:rPr>
          <w:rFonts w:ascii="Times New Roman" w:hAnsi="Times New Roman"/>
          <w:sz w:val="24"/>
          <w:szCs w:val="24"/>
          <w:lang w:val="es-MX"/>
        </w:rPr>
        <w:t>L</w:t>
      </w:r>
      <w:r w:rsidR="001E7AE2" w:rsidRPr="0033794E">
        <w:rPr>
          <w:rFonts w:ascii="Times New Roman" w:hAnsi="Times New Roman"/>
          <w:sz w:val="24"/>
          <w:szCs w:val="24"/>
          <w:lang w:val="es-MX"/>
        </w:rPr>
        <w:t xml:space="preserve">os riesgos fiscales son una serie de factores que pueden llevar a que los resultados de las finanzas públicas (principalmente déficit fiscal y el </w:t>
      </w:r>
      <w:r w:rsidRPr="0033794E">
        <w:rPr>
          <w:rFonts w:ascii="Times New Roman" w:hAnsi="Times New Roman"/>
          <w:sz w:val="24"/>
          <w:szCs w:val="24"/>
          <w:lang w:val="es-MX"/>
        </w:rPr>
        <w:t xml:space="preserve">coeficiente </w:t>
      </w:r>
      <w:r w:rsidR="001E7AE2" w:rsidRPr="0033794E">
        <w:rPr>
          <w:rFonts w:ascii="Times New Roman" w:hAnsi="Times New Roman"/>
          <w:sz w:val="24"/>
          <w:szCs w:val="24"/>
          <w:lang w:val="es-MX"/>
        </w:rPr>
        <w:t xml:space="preserve">de deuda, medidos respecto del PIB) se desvíen de lo proyectado. Adicionalmente, </w:t>
      </w:r>
      <w:r w:rsidRPr="0033794E">
        <w:rPr>
          <w:rFonts w:ascii="Times New Roman" w:hAnsi="Times New Roman"/>
          <w:sz w:val="24"/>
          <w:szCs w:val="24"/>
          <w:lang w:val="es-MX"/>
        </w:rPr>
        <w:t>tal como lo señala el Fondo Monetario Internacional, la rápida evolución de las condiciones macroeconómicas y financieras adversas derivadas de la pandemia, incidirá negativamente en las finanzas públicas a escala mundial. Muchos gobiernos registrarán disminuciones de sus ingresos y aumentos de los gastos. Además, se materializará un mayor número de los pasivos contingentes para de los gobiernos. Por último, las diversas medidas fiscales de respuesta a la crisis que han sido adoptadas por los gobiernos podr</w:t>
      </w:r>
      <w:r w:rsidR="009562D6" w:rsidRPr="0033794E">
        <w:rPr>
          <w:rFonts w:ascii="Times New Roman" w:hAnsi="Times New Roman"/>
          <w:sz w:val="24"/>
          <w:szCs w:val="24"/>
          <w:lang w:val="es-MX"/>
        </w:rPr>
        <w:t>ía</w:t>
      </w:r>
      <w:r w:rsidRPr="0033794E">
        <w:rPr>
          <w:rFonts w:ascii="Times New Roman" w:hAnsi="Times New Roman"/>
          <w:sz w:val="24"/>
          <w:szCs w:val="24"/>
          <w:lang w:val="es-MX"/>
        </w:rPr>
        <w:t xml:space="preserve">n crear nuevos riesgos fiscales. </w:t>
      </w:r>
    </w:p>
    <w:p w14:paraId="7EBE1716" w14:textId="77777777" w:rsidR="00551571" w:rsidRDefault="00551571" w:rsidP="00226395">
      <w:pPr>
        <w:autoSpaceDE w:val="0"/>
        <w:autoSpaceDN w:val="0"/>
        <w:adjustRightInd w:val="0"/>
        <w:spacing w:line="276" w:lineRule="auto"/>
        <w:jc w:val="both"/>
        <w:rPr>
          <w:sz w:val="24"/>
          <w:szCs w:val="24"/>
          <w:lang w:val="es-ES" w:eastAsia="en-US"/>
        </w:rPr>
      </w:pPr>
    </w:p>
    <w:p w14:paraId="5D889403" w14:textId="77777777" w:rsidR="00551571" w:rsidRPr="0033794E" w:rsidRDefault="00551571" w:rsidP="00A86EFD">
      <w:pPr>
        <w:pStyle w:val="Sinespaciado"/>
        <w:ind w:left="567" w:right="49"/>
        <w:jc w:val="both"/>
        <w:rPr>
          <w:rFonts w:ascii="Times New Roman" w:hAnsi="Times New Roman"/>
          <w:sz w:val="24"/>
          <w:szCs w:val="24"/>
          <w:lang w:val="es-MX"/>
        </w:rPr>
      </w:pPr>
      <w:r w:rsidRPr="0033794E">
        <w:rPr>
          <w:rFonts w:ascii="Times New Roman" w:hAnsi="Times New Roman"/>
          <w:sz w:val="24"/>
          <w:szCs w:val="24"/>
          <w:lang w:val="es-MX"/>
        </w:rPr>
        <w:t xml:space="preserve">El análisis de los riesgos fiscales en esta etapa toma especial importancia por cuanto derivado de la pandemia, se observa un agravamiento de la situación fiscal en el corto plazo, resultado, por un </w:t>
      </w:r>
      <w:r w:rsidR="00F860B8" w:rsidRPr="0033794E">
        <w:rPr>
          <w:rFonts w:ascii="Times New Roman" w:hAnsi="Times New Roman"/>
          <w:sz w:val="24"/>
          <w:szCs w:val="24"/>
          <w:lang w:val="es-MX"/>
        </w:rPr>
        <w:t>lado,</w:t>
      </w:r>
      <w:r w:rsidRPr="0033794E">
        <w:rPr>
          <w:rFonts w:ascii="Times New Roman" w:hAnsi="Times New Roman"/>
          <w:sz w:val="24"/>
          <w:szCs w:val="24"/>
          <w:lang w:val="es-MX"/>
        </w:rPr>
        <w:t xml:space="preserve"> de las decisiones </w:t>
      </w:r>
      <w:r w:rsidR="00CE7C7D" w:rsidRPr="0033794E">
        <w:rPr>
          <w:rFonts w:ascii="Times New Roman" w:hAnsi="Times New Roman"/>
          <w:sz w:val="24"/>
          <w:szCs w:val="24"/>
          <w:lang w:val="es-MX"/>
        </w:rPr>
        <w:t xml:space="preserve">e instrumentos </w:t>
      </w:r>
      <w:r w:rsidRPr="0033794E">
        <w:rPr>
          <w:rFonts w:ascii="Times New Roman" w:hAnsi="Times New Roman"/>
          <w:sz w:val="24"/>
          <w:szCs w:val="24"/>
          <w:lang w:val="es-MX"/>
        </w:rPr>
        <w:t>de política pública para su atención y por el otro, del comportamiento de las variables fiscales y macroeconómicas. De esta forma, es necesaria una gestión oportuna de dichos riesgos de forma que sus consecuencias puedan mitigarse en el mediano y largo plazo, garantizando la recuperación y el fortalecimiento la economía y las finanzas públicas ancladas en la observada resiliencia macroeconómica con la que el país cuenta.</w:t>
      </w:r>
    </w:p>
    <w:p w14:paraId="5BA31C04" w14:textId="77777777" w:rsidR="00226395" w:rsidRPr="00A86EFD" w:rsidRDefault="00226395" w:rsidP="00A86EFD">
      <w:pPr>
        <w:pStyle w:val="Sinespaciado"/>
        <w:ind w:left="567" w:right="49"/>
        <w:jc w:val="both"/>
        <w:rPr>
          <w:rFonts w:ascii="Times New Roman" w:hAnsi="Times New Roman"/>
          <w:sz w:val="24"/>
          <w:szCs w:val="24"/>
          <w:lang w:val="es-MX"/>
        </w:rPr>
      </w:pPr>
    </w:p>
    <w:p w14:paraId="1B76B8FF" w14:textId="77777777" w:rsidR="00226395" w:rsidRPr="0033794E" w:rsidRDefault="00226395" w:rsidP="00A86EFD">
      <w:pPr>
        <w:pStyle w:val="Sinespaciado"/>
        <w:ind w:left="567" w:right="49"/>
        <w:jc w:val="both"/>
        <w:rPr>
          <w:rFonts w:ascii="Times New Roman" w:hAnsi="Times New Roman"/>
          <w:sz w:val="24"/>
          <w:szCs w:val="24"/>
          <w:lang w:val="es-MX"/>
        </w:rPr>
      </w:pPr>
      <w:r w:rsidRPr="0033794E">
        <w:rPr>
          <w:rFonts w:ascii="Times New Roman" w:hAnsi="Times New Roman"/>
          <w:sz w:val="24"/>
          <w:szCs w:val="24"/>
          <w:lang w:val="es-MX"/>
        </w:rPr>
        <w:t xml:space="preserve">En función de lo anterior, </w:t>
      </w:r>
      <w:r w:rsidR="00551571" w:rsidRPr="0033794E">
        <w:rPr>
          <w:rFonts w:ascii="Times New Roman" w:hAnsi="Times New Roman"/>
          <w:sz w:val="24"/>
          <w:szCs w:val="24"/>
          <w:lang w:val="es-MX"/>
        </w:rPr>
        <w:t>se</w:t>
      </w:r>
      <w:r w:rsidRPr="0033794E">
        <w:rPr>
          <w:rFonts w:ascii="Times New Roman" w:hAnsi="Times New Roman"/>
          <w:sz w:val="24"/>
          <w:szCs w:val="24"/>
          <w:lang w:val="es-MX"/>
        </w:rPr>
        <w:t xml:space="preserve"> deben identificar los diferentes riesgos a los que están expuestas </w:t>
      </w:r>
      <w:r w:rsidR="00551571" w:rsidRPr="0033794E">
        <w:rPr>
          <w:rFonts w:ascii="Times New Roman" w:hAnsi="Times New Roman"/>
          <w:sz w:val="24"/>
          <w:szCs w:val="24"/>
          <w:lang w:val="es-MX"/>
        </w:rPr>
        <w:t>la</w:t>
      </w:r>
      <w:r w:rsidRPr="0033794E">
        <w:rPr>
          <w:rFonts w:ascii="Times New Roman" w:hAnsi="Times New Roman"/>
          <w:sz w:val="24"/>
          <w:szCs w:val="24"/>
          <w:lang w:val="es-MX"/>
        </w:rPr>
        <w:t xml:space="preserve">s perspectivas fiscales, medir su impacto </w:t>
      </w:r>
      <w:r w:rsidR="00551571" w:rsidRPr="0033794E">
        <w:rPr>
          <w:rFonts w:ascii="Times New Roman" w:hAnsi="Times New Roman"/>
          <w:sz w:val="24"/>
          <w:szCs w:val="24"/>
          <w:lang w:val="es-MX"/>
        </w:rPr>
        <w:t>y</w:t>
      </w:r>
      <w:r w:rsidRPr="0033794E">
        <w:rPr>
          <w:rFonts w:ascii="Times New Roman" w:hAnsi="Times New Roman"/>
          <w:sz w:val="24"/>
          <w:szCs w:val="24"/>
          <w:lang w:val="es-MX"/>
        </w:rPr>
        <w:t xml:space="preserve"> gestionarlos de manera proactiva. En este apartado, se examinan las estrategias y las medidas que el Gobierno de Guatemala, ha adoptado </w:t>
      </w:r>
      <w:r w:rsidR="00551571" w:rsidRPr="0033794E">
        <w:rPr>
          <w:rFonts w:ascii="Times New Roman" w:hAnsi="Times New Roman"/>
          <w:sz w:val="24"/>
          <w:szCs w:val="24"/>
          <w:lang w:val="es-MX"/>
        </w:rPr>
        <w:t>en la búsqueda del objetivo de gestionar</w:t>
      </w:r>
      <w:r w:rsidRPr="0033794E">
        <w:rPr>
          <w:rFonts w:ascii="Times New Roman" w:hAnsi="Times New Roman"/>
          <w:sz w:val="24"/>
          <w:szCs w:val="24"/>
          <w:lang w:val="es-MX"/>
        </w:rPr>
        <w:t xml:space="preserve"> efectivamente los riesgos fiscales resultantes de la atención de la emergencia sanitaria.</w:t>
      </w:r>
    </w:p>
    <w:p w14:paraId="34A3C58F" w14:textId="77777777" w:rsidR="00226395" w:rsidRPr="00A86EFD" w:rsidRDefault="00226395" w:rsidP="00A86EFD">
      <w:pPr>
        <w:pStyle w:val="Sinespaciado"/>
        <w:ind w:left="567" w:right="49"/>
        <w:jc w:val="both"/>
        <w:rPr>
          <w:rFonts w:ascii="Times New Roman" w:hAnsi="Times New Roman"/>
          <w:sz w:val="24"/>
          <w:szCs w:val="24"/>
          <w:lang w:val="es-MX"/>
        </w:rPr>
      </w:pPr>
    </w:p>
    <w:p w14:paraId="09DEDE43" w14:textId="77777777" w:rsidR="007D30E4" w:rsidRPr="005A4BBD" w:rsidRDefault="007D30E4" w:rsidP="005C2F32">
      <w:pPr>
        <w:pStyle w:val="Ttulo1"/>
        <w:widowControl/>
        <w:numPr>
          <w:ilvl w:val="1"/>
          <w:numId w:val="5"/>
        </w:numPr>
        <w:ind w:left="993" w:right="49"/>
        <w:jc w:val="left"/>
        <w:rPr>
          <w:color w:val="auto"/>
          <w:sz w:val="24"/>
          <w:szCs w:val="24"/>
        </w:rPr>
      </w:pPr>
      <w:bookmarkStart w:id="58" w:name="_Toc42707424"/>
      <w:bookmarkStart w:id="59" w:name="_Toc49939726"/>
      <w:r w:rsidRPr="005A4BBD">
        <w:rPr>
          <w:color w:val="auto"/>
          <w:sz w:val="24"/>
          <w:szCs w:val="24"/>
        </w:rPr>
        <w:t xml:space="preserve">Enfermedades y epidemias como </w:t>
      </w:r>
      <w:bookmarkEnd w:id="58"/>
      <w:r w:rsidRPr="005A4BBD">
        <w:rPr>
          <w:color w:val="auto"/>
          <w:sz w:val="24"/>
          <w:szCs w:val="24"/>
        </w:rPr>
        <w:t>riesgos fiscales</w:t>
      </w:r>
      <w:bookmarkEnd w:id="59"/>
    </w:p>
    <w:p w14:paraId="4601659D" w14:textId="77777777" w:rsidR="007D30E4" w:rsidRPr="00AB7610" w:rsidRDefault="007D30E4" w:rsidP="007D30E4">
      <w:pPr>
        <w:autoSpaceDE w:val="0"/>
        <w:autoSpaceDN w:val="0"/>
        <w:adjustRightInd w:val="0"/>
        <w:rPr>
          <w:color w:val="005DA7"/>
          <w:sz w:val="28"/>
          <w:szCs w:val="28"/>
        </w:rPr>
      </w:pPr>
    </w:p>
    <w:p w14:paraId="3EA4177F" w14:textId="5B09024B" w:rsidR="007D30E4" w:rsidRPr="0033794E" w:rsidRDefault="007D30E4" w:rsidP="00A86EFD">
      <w:pPr>
        <w:pStyle w:val="Sinespaciado"/>
        <w:ind w:left="567" w:right="49"/>
        <w:jc w:val="both"/>
        <w:rPr>
          <w:rFonts w:ascii="Times New Roman" w:hAnsi="Times New Roman"/>
          <w:sz w:val="24"/>
          <w:szCs w:val="24"/>
          <w:lang w:val="es-MX"/>
        </w:rPr>
      </w:pPr>
      <w:r w:rsidRPr="0033794E">
        <w:rPr>
          <w:rFonts w:ascii="Times New Roman" w:hAnsi="Times New Roman"/>
          <w:sz w:val="24"/>
          <w:szCs w:val="24"/>
          <w:lang w:val="es-MX"/>
        </w:rPr>
        <w:t>Los desastres son consecuencia de fenómenos que desencadenan procesos que provocan daños físicos, pérdidas de vidas humanas y de capital; al tiempo que alteran la vida de comunidades y personas trastornando la actividad económica de los territorios afectados. La recuperación después de dichos eventos requiere de la acción de los gobiernos y en muchos países, de recursos externos para dicha recuperación. En la terminología de la Gestión de Riesgo, se encuentran los denominados desastres biológicos</w:t>
      </w:r>
      <w:r w:rsidRPr="00A86EFD">
        <w:rPr>
          <w:rFonts w:ascii="Times New Roman" w:hAnsi="Times New Roman"/>
          <w:sz w:val="24"/>
          <w:szCs w:val="24"/>
          <w:lang w:val="es-MX"/>
        </w:rPr>
        <w:footnoteReference w:id="1"/>
      </w:r>
      <w:r w:rsidRPr="0033794E">
        <w:rPr>
          <w:rFonts w:ascii="Times New Roman" w:hAnsi="Times New Roman"/>
          <w:sz w:val="24"/>
          <w:szCs w:val="24"/>
          <w:lang w:val="es-MX"/>
        </w:rPr>
        <w:t>, los cuales se relacionan con enfermedades que adquieren difusión a nivel de endemia, epidemia o pandemia.</w:t>
      </w:r>
    </w:p>
    <w:p w14:paraId="38262659" w14:textId="77777777" w:rsidR="007D30E4" w:rsidRPr="00A86EFD" w:rsidRDefault="007D30E4" w:rsidP="00A86EFD">
      <w:pPr>
        <w:pStyle w:val="Sinespaciado"/>
        <w:ind w:left="567" w:right="49"/>
        <w:jc w:val="both"/>
        <w:rPr>
          <w:rFonts w:ascii="Times New Roman" w:hAnsi="Times New Roman"/>
          <w:sz w:val="24"/>
          <w:szCs w:val="24"/>
          <w:lang w:val="es-MX"/>
        </w:rPr>
      </w:pPr>
    </w:p>
    <w:p w14:paraId="2A99FB8D" w14:textId="77777777" w:rsidR="007D30E4" w:rsidRPr="00A86EFD" w:rsidRDefault="007D30E4" w:rsidP="00A86EFD">
      <w:pPr>
        <w:pStyle w:val="Sinespaciado"/>
        <w:ind w:left="567" w:right="49"/>
        <w:jc w:val="both"/>
        <w:rPr>
          <w:rFonts w:ascii="Times New Roman" w:hAnsi="Times New Roman"/>
          <w:sz w:val="24"/>
          <w:szCs w:val="24"/>
          <w:lang w:val="es-MX"/>
        </w:rPr>
      </w:pPr>
      <w:r w:rsidRPr="0033794E">
        <w:rPr>
          <w:rFonts w:ascii="Times New Roman" w:hAnsi="Times New Roman"/>
          <w:sz w:val="24"/>
          <w:szCs w:val="24"/>
          <w:lang w:val="es-MX"/>
        </w:rPr>
        <w:t xml:space="preserve">De acuerdo con el Centro para la Investigación de la Epidemiologia de los Desastres (CRED), de la Universidad Católica de Lovaina, cuando la enfermedad se mantiene en una misma zona durante un periodo de tiempo prolongado se trata de una endemia, la epidemia ocurre cuando la misma enfermedad se observa en un área muy amplia, cruzando las fronteras de diversos países y con niveles de incidencia superiores a los considerados normales para una enfermedad. Cuando la enfermedad afecta a una gran cantidad de personas, se transforma en una pandemia. El significado etimológico de esta palabra es “enfermedad de todo el pueblo”. La pandemia suele </w:t>
      </w:r>
      <w:r w:rsidRPr="0033794E">
        <w:rPr>
          <w:rFonts w:ascii="Times New Roman" w:hAnsi="Times New Roman"/>
          <w:sz w:val="24"/>
          <w:szCs w:val="24"/>
          <w:lang w:val="es-MX"/>
        </w:rPr>
        <w:lastRenderedPageBreak/>
        <w:t>producirse ante la aparición de un nuevo virus o bacteria que producen enfermedades para las cuales no existe tipo alguno de inmunidad.</w:t>
      </w:r>
      <w:r w:rsidRPr="00A86EFD">
        <w:rPr>
          <w:rFonts w:ascii="Times New Roman" w:hAnsi="Times New Roman"/>
          <w:sz w:val="24"/>
          <w:szCs w:val="24"/>
          <w:lang w:val="es-MX"/>
        </w:rPr>
        <w:t xml:space="preserve"> </w:t>
      </w:r>
    </w:p>
    <w:p w14:paraId="7054142E" w14:textId="77777777" w:rsidR="007D30E4" w:rsidRPr="00A86EFD" w:rsidRDefault="007D30E4" w:rsidP="00A86EFD">
      <w:pPr>
        <w:pStyle w:val="Sinespaciado"/>
        <w:ind w:left="567" w:right="49"/>
        <w:jc w:val="both"/>
        <w:rPr>
          <w:rFonts w:ascii="Times New Roman" w:hAnsi="Times New Roman"/>
          <w:sz w:val="24"/>
          <w:szCs w:val="24"/>
          <w:lang w:val="es-MX"/>
        </w:rPr>
      </w:pPr>
    </w:p>
    <w:p w14:paraId="64971F3F" w14:textId="0C87605F" w:rsidR="007D30E4" w:rsidRPr="0033794E" w:rsidRDefault="007D30E4" w:rsidP="00A86EFD">
      <w:pPr>
        <w:pStyle w:val="Sinespaciado"/>
        <w:ind w:left="567" w:right="49"/>
        <w:jc w:val="both"/>
        <w:rPr>
          <w:rFonts w:ascii="Times New Roman" w:hAnsi="Times New Roman"/>
          <w:sz w:val="24"/>
          <w:szCs w:val="24"/>
          <w:lang w:val="es-MX"/>
        </w:rPr>
      </w:pPr>
      <w:r w:rsidRPr="0033794E">
        <w:rPr>
          <w:rFonts w:ascii="Times New Roman" w:hAnsi="Times New Roman"/>
          <w:sz w:val="24"/>
          <w:szCs w:val="24"/>
          <w:lang w:val="es-MX"/>
        </w:rPr>
        <w:t>El brote epidémico o pandémico de una enfermedad puede afectar a la economía y los medios de vida de la población, tanto en el país donde surge el brote como en otras partes del mundo. Debido al incremento del tránsito de personas y productos, una enfermedad puede propagarse rápidamente entre países y continentes. (OMS, Organización Mundial de la Salud 2017</w:t>
      </w:r>
      <w:r w:rsidR="008D307C" w:rsidRPr="0033794E">
        <w:rPr>
          <w:rFonts w:ascii="Times New Roman" w:hAnsi="Times New Roman"/>
          <w:sz w:val="24"/>
          <w:szCs w:val="24"/>
          <w:lang w:val="es-MX"/>
        </w:rPr>
        <w:t>. Virus de la gripe y las pandemias</w:t>
      </w:r>
      <w:r w:rsidRPr="0033794E">
        <w:rPr>
          <w:rFonts w:ascii="Times New Roman" w:hAnsi="Times New Roman"/>
          <w:sz w:val="24"/>
          <w:szCs w:val="24"/>
          <w:lang w:val="es-MX"/>
        </w:rPr>
        <w:t>).</w:t>
      </w:r>
    </w:p>
    <w:p w14:paraId="14969B84" w14:textId="77777777" w:rsidR="007D30E4" w:rsidRPr="0033794E" w:rsidRDefault="007D30E4" w:rsidP="00A86EFD">
      <w:pPr>
        <w:pStyle w:val="Sinespaciado"/>
        <w:ind w:left="567" w:right="49"/>
        <w:jc w:val="both"/>
        <w:rPr>
          <w:rFonts w:ascii="Times New Roman" w:hAnsi="Times New Roman"/>
          <w:sz w:val="24"/>
          <w:szCs w:val="24"/>
          <w:lang w:val="es-MX"/>
        </w:rPr>
      </w:pPr>
    </w:p>
    <w:p w14:paraId="70D8D272" w14:textId="77777777" w:rsidR="007D30E4" w:rsidRPr="0033794E" w:rsidRDefault="007D30E4" w:rsidP="00A86EFD">
      <w:pPr>
        <w:pStyle w:val="Sinespaciado"/>
        <w:ind w:left="567" w:right="49"/>
        <w:jc w:val="both"/>
        <w:rPr>
          <w:rFonts w:ascii="Times New Roman" w:hAnsi="Times New Roman"/>
          <w:sz w:val="24"/>
          <w:szCs w:val="24"/>
          <w:lang w:val="es-MX"/>
        </w:rPr>
      </w:pPr>
      <w:r w:rsidRPr="0033794E">
        <w:rPr>
          <w:rFonts w:ascii="Times New Roman" w:hAnsi="Times New Roman"/>
          <w:sz w:val="24"/>
          <w:szCs w:val="24"/>
          <w:lang w:val="es-MX"/>
        </w:rPr>
        <w:t>Una pandemia como cualquier otro desastre tiene efectos económicos y sociales que pueden ser estimados sobre la base de la metodología para la evaluaci</w:t>
      </w:r>
      <w:r w:rsidRPr="0033794E">
        <w:rPr>
          <w:rFonts w:ascii="Times New Roman" w:hAnsi="Times New Roman" w:hint="eastAsia"/>
          <w:sz w:val="24"/>
          <w:szCs w:val="24"/>
          <w:lang w:val="es-MX"/>
        </w:rPr>
        <w:t>ó</w:t>
      </w:r>
      <w:r w:rsidRPr="0033794E">
        <w:rPr>
          <w:rFonts w:ascii="Times New Roman" w:hAnsi="Times New Roman"/>
          <w:sz w:val="24"/>
          <w:szCs w:val="24"/>
          <w:lang w:val="es-MX"/>
        </w:rPr>
        <w:t>n de efectos socioeconómicos y ambientales de los desastres, elaborada desde principios de los a</w:t>
      </w:r>
      <w:r w:rsidRPr="0033794E">
        <w:rPr>
          <w:rFonts w:ascii="Times New Roman" w:hAnsi="Times New Roman" w:hint="eastAsia"/>
          <w:sz w:val="24"/>
          <w:szCs w:val="24"/>
          <w:lang w:val="es-MX"/>
        </w:rPr>
        <w:t>ñ</w:t>
      </w:r>
      <w:r w:rsidRPr="0033794E">
        <w:rPr>
          <w:rFonts w:ascii="Times New Roman" w:hAnsi="Times New Roman"/>
          <w:sz w:val="24"/>
          <w:szCs w:val="24"/>
          <w:lang w:val="es-MX"/>
        </w:rPr>
        <w:t>os setenta por parte de la CEPAL. Dicha metodolog</w:t>
      </w:r>
      <w:r w:rsidRPr="0033794E">
        <w:rPr>
          <w:rFonts w:ascii="Times New Roman" w:hAnsi="Times New Roman" w:hint="eastAsia"/>
          <w:sz w:val="24"/>
          <w:szCs w:val="24"/>
          <w:lang w:val="es-MX"/>
        </w:rPr>
        <w:t>í</w:t>
      </w:r>
      <w:r w:rsidRPr="0033794E">
        <w:rPr>
          <w:rFonts w:ascii="Times New Roman" w:hAnsi="Times New Roman"/>
          <w:sz w:val="24"/>
          <w:szCs w:val="24"/>
          <w:lang w:val="es-MX"/>
        </w:rPr>
        <w:t>a, ha sido aplicada en latinoamericana para evaluar emergencias sanitarias, fue desarrollada inicialmente, como un ejercicio piloto realizado para la OPS, BID y CEPAL para estimar los potenciales costos en un pa</w:t>
      </w:r>
      <w:r w:rsidRPr="0033794E">
        <w:rPr>
          <w:rFonts w:ascii="Times New Roman" w:hAnsi="Times New Roman" w:hint="eastAsia"/>
          <w:sz w:val="24"/>
          <w:szCs w:val="24"/>
          <w:lang w:val="es-MX"/>
        </w:rPr>
        <w:t>í</w:t>
      </w:r>
      <w:r w:rsidRPr="0033794E">
        <w:rPr>
          <w:rFonts w:ascii="Times New Roman" w:hAnsi="Times New Roman"/>
          <w:sz w:val="24"/>
          <w:szCs w:val="24"/>
          <w:lang w:val="es-MX"/>
        </w:rPr>
        <w:t>s de la epidemia del s</w:t>
      </w:r>
      <w:r w:rsidRPr="0033794E">
        <w:rPr>
          <w:rFonts w:ascii="Times New Roman" w:hAnsi="Times New Roman" w:hint="eastAsia"/>
          <w:sz w:val="24"/>
          <w:szCs w:val="24"/>
          <w:lang w:val="es-MX"/>
        </w:rPr>
        <w:t>í</w:t>
      </w:r>
      <w:r w:rsidRPr="0033794E">
        <w:rPr>
          <w:rFonts w:ascii="Times New Roman" w:hAnsi="Times New Roman"/>
          <w:sz w:val="24"/>
          <w:szCs w:val="24"/>
          <w:lang w:val="es-MX"/>
        </w:rPr>
        <w:t>ndrome agudo respiratorio severo (SARS) y luego se han realizado ejercicios de evaluaci</w:t>
      </w:r>
      <w:r w:rsidRPr="0033794E">
        <w:rPr>
          <w:rFonts w:ascii="Times New Roman" w:hAnsi="Times New Roman" w:hint="eastAsia"/>
          <w:sz w:val="24"/>
          <w:szCs w:val="24"/>
          <w:lang w:val="es-MX"/>
        </w:rPr>
        <w:t>ó</w:t>
      </w:r>
      <w:r w:rsidRPr="0033794E">
        <w:rPr>
          <w:rFonts w:ascii="Times New Roman" w:hAnsi="Times New Roman"/>
          <w:sz w:val="24"/>
          <w:szCs w:val="24"/>
          <w:lang w:val="es-MX"/>
        </w:rPr>
        <w:t>n de una potencial ocurrencia de influenza aviar en pa</w:t>
      </w:r>
      <w:r w:rsidRPr="0033794E">
        <w:rPr>
          <w:rFonts w:ascii="Times New Roman" w:hAnsi="Times New Roman" w:hint="eastAsia"/>
          <w:sz w:val="24"/>
          <w:szCs w:val="24"/>
          <w:lang w:val="es-MX"/>
        </w:rPr>
        <w:t>í</w:t>
      </w:r>
      <w:r w:rsidRPr="0033794E">
        <w:rPr>
          <w:rFonts w:ascii="Times New Roman" w:hAnsi="Times New Roman"/>
          <w:sz w:val="24"/>
          <w:szCs w:val="24"/>
          <w:lang w:val="es-MX"/>
        </w:rPr>
        <w:t>ses de Am</w:t>
      </w:r>
      <w:r w:rsidRPr="0033794E">
        <w:rPr>
          <w:rFonts w:ascii="Times New Roman" w:hAnsi="Times New Roman" w:hint="eastAsia"/>
          <w:sz w:val="24"/>
          <w:szCs w:val="24"/>
          <w:lang w:val="es-MX"/>
        </w:rPr>
        <w:t>é</w:t>
      </w:r>
      <w:r w:rsidRPr="0033794E">
        <w:rPr>
          <w:rFonts w:ascii="Times New Roman" w:hAnsi="Times New Roman"/>
          <w:sz w:val="24"/>
          <w:szCs w:val="24"/>
          <w:lang w:val="es-MX"/>
        </w:rPr>
        <w:t>rica Latina y el Caribe.</w:t>
      </w:r>
    </w:p>
    <w:p w14:paraId="490E41CB" w14:textId="77777777" w:rsidR="00D30644" w:rsidRPr="0033794E" w:rsidRDefault="00D30644" w:rsidP="00A86EFD">
      <w:pPr>
        <w:pStyle w:val="Sinespaciado"/>
        <w:ind w:left="567" w:right="49"/>
        <w:jc w:val="both"/>
        <w:rPr>
          <w:rFonts w:ascii="Times New Roman" w:hAnsi="Times New Roman"/>
          <w:sz w:val="24"/>
          <w:szCs w:val="24"/>
          <w:lang w:val="es-MX"/>
        </w:rPr>
      </w:pPr>
    </w:p>
    <w:p w14:paraId="42FEF59E" w14:textId="77777777" w:rsidR="00D30644" w:rsidRPr="0033794E" w:rsidRDefault="00D30644" w:rsidP="00A86EFD">
      <w:pPr>
        <w:pStyle w:val="Sinespaciado"/>
        <w:ind w:left="567" w:right="49"/>
        <w:jc w:val="both"/>
        <w:rPr>
          <w:rFonts w:ascii="Times New Roman" w:hAnsi="Times New Roman"/>
          <w:sz w:val="24"/>
          <w:szCs w:val="24"/>
          <w:lang w:val="es-MX"/>
        </w:rPr>
      </w:pPr>
      <w:r w:rsidRPr="0033794E">
        <w:rPr>
          <w:rFonts w:ascii="Times New Roman" w:hAnsi="Times New Roman"/>
          <w:sz w:val="24"/>
          <w:szCs w:val="24"/>
          <w:lang w:val="es-MX"/>
        </w:rPr>
        <w:t>Derivado de la emergencia, el Gobierno de la República de Guatemala, entre otras acciones, declaró el Estado de Calamidad Pública mediante el Acuerdo Gubernativo 5-2020, del 5 de marzo de 2020, que fue ratificado por el Congreso de la República el 12 de marzo de 2020.</w:t>
      </w:r>
    </w:p>
    <w:p w14:paraId="4A218551" w14:textId="77777777" w:rsidR="00D30644" w:rsidRPr="0033794E" w:rsidRDefault="00D30644" w:rsidP="00A86EFD">
      <w:pPr>
        <w:pStyle w:val="Sinespaciado"/>
        <w:ind w:left="567" w:right="49"/>
        <w:jc w:val="both"/>
        <w:rPr>
          <w:rFonts w:ascii="Times New Roman" w:hAnsi="Times New Roman"/>
          <w:sz w:val="24"/>
          <w:szCs w:val="24"/>
          <w:lang w:val="es-MX"/>
        </w:rPr>
      </w:pPr>
    </w:p>
    <w:p w14:paraId="030442E1" w14:textId="77777777" w:rsidR="00D30644" w:rsidRPr="0033794E" w:rsidRDefault="00D30644" w:rsidP="00A86EFD">
      <w:pPr>
        <w:pStyle w:val="Sinespaciado"/>
        <w:ind w:left="567" w:right="49"/>
        <w:jc w:val="both"/>
        <w:rPr>
          <w:rFonts w:ascii="Times New Roman" w:hAnsi="Times New Roman"/>
          <w:sz w:val="24"/>
          <w:szCs w:val="24"/>
          <w:lang w:val="es-MX"/>
        </w:rPr>
      </w:pPr>
      <w:r w:rsidRPr="0033794E">
        <w:rPr>
          <w:rFonts w:ascii="Times New Roman" w:hAnsi="Times New Roman"/>
          <w:sz w:val="24"/>
          <w:szCs w:val="24"/>
          <w:lang w:val="es-MX"/>
        </w:rPr>
        <w:t xml:space="preserve">Para finales de abril 2020, la cifra en cuanto al número de infectados no pareciera alarmante, el bajo nivel de contagio se asocia a la efectividad de las medidas adoptadas por el Gobierno de la República, lo que ha permitido, los bajos niveles de propagación observados. </w:t>
      </w:r>
    </w:p>
    <w:p w14:paraId="55866C08" w14:textId="77777777" w:rsidR="00D30644" w:rsidRPr="0033794E" w:rsidRDefault="00D30644" w:rsidP="00A86EFD">
      <w:pPr>
        <w:pStyle w:val="Sinespaciado"/>
        <w:ind w:left="567" w:right="49"/>
        <w:jc w:val="both"/>
        <w:rPr>
          <w:rFonts w:ascii="Times New Roman" w:hAnsi="Times New Roman"/>
          <w:sz w:val="24"/>
          <w:szCs w:val="24"/>
          <w:lang w:val="es-MX"/>
        </w:rPr>
      </w:pPr>
    </w:p>
    <w:p w14:paraId="30C8286D" w14:textId="13A483C8" w:rsidR="009562D6" w:rsidRDefault="00D30644" w:rsidP="00A86EFD">
      <w:pPr>
        <w:pStyle w:val="Sinespaciado"/>
        <w:ind w:left="567" w:right="49"/>
        <w:jc w:val="both"/>
        <w:rPr>
          <w:rFonts w:ascii="Times New Roman" w:hAnsi="Times New Roman"/>
          <w:sz w:val="24"/>
          <w:szCs w:val="24"/>
          <w:lang w:val="es-MX"/>
        </w:rPr>
      </w:pPr>
      <w:r w:rsidRPr="0033794E">
        <w:rPr>
          <w:rFonts w:ascii="Times New Roman" w:hAnsi="Times New Roman"/>
          <w:sz w:val="24"/>
          <w:szCs w:val="24"/>
          <w:lang w:val="es-MX"/>
        </w:rPr>
        <w:t>Las medidas de distanciamiento social, cuarentena, toque de queda y restricciones de movilidad buscan retrasar y contener el avance en el número de contagios, lo que se ha denominado “aplanar la curva de la epidemia” y así evitar sobrecargar a los servicios de salud para que puedan brindar los cuidados de forma adecuada a quienes los requieran.  La idea que subyace es la de ralentizar (o frenar) la propagación del coronavirus, de modo que el número de casos se distribuya en el tiempo en lugar de experimentar un fuerte y descontrolado aumento en una fase temprana. Lo anterior implicaría formar una curva plana, en lugar de una curva pronunciada, causada por un rápido acrecentamiento de las infecciones.</w:t>
      </w:r>
    </w:p>
    <w:p w14:paraId="29604F1F" w14:textId="6EC82C54" w:rsidR="0007442B" w:rsidRDefault="0007442B" w:rsidP="00A86EFD">
      <w:pPr>
        <w:pStyle w:val="Sinespaciado"/>
        <w:ind w:left="567" w:right="49"/>
        <w:jc w:val="both"/>
        <w:rPr>
          <w:rFonts w:ascii="Times New Roman" w:hAnsi="Times New Roman"/>
          <w:sz w:val="24"/>
          <w:szCs w:val="24"/>
          <w:lang w:val="es-MX"/>
        </w:rPr>
      </w:pPr>
    </w:p>
    <w:p w14:paraId="10598B14" w14:textId="56393BC8" w:rsidR="0007442B" w:rsidRDefault="0007442B" w:rsidP="00A86EFD">
      <w:pPr>
        <w:pStyle w:val="Sinespaciado"/>
        <w:ind w:left="567" w:right="49"/>
        <w:jc w:val="both"/>
        <w:rPr>
          <w:rFonts w:ascii="Times New Roman" w:hAnsi="Times New Roman"/>
          <w:sz w:val="24"/>
          <w:szCs w:val="24"/>
          <w:lang w:val="es-MX"/>
        </w:rPr>
      </w:pPr>
    </w:p>
    <w:p w14:paraId="6CB7465D" w14:textId="4E134E67" w:rsidR="0007442B" w:rsidRDefault="0007442B" w:rsidP="00A86EFD">
      <w:pPr>
        <w:pStyle w:val="Sinespaciado"/>
        <w:ind w:left="567" w:right="49"/>
        <w:jc w:val="both"/>
        <w:rPr>
          <w:rFonts w:ascii="Times New Roman" w:hAnsi="Times New Roman"/>
          <w:sz w:val="24"/>
          <w:szCs w:val="24"/>
          <w:lang w:val="es-MX"/>
        </w:rPr>
      </w:pPr>
    </w:p>
    <w:p w14:paraId="55B39F8E" w14:textId="66FCF821" w:rsidR="0007442B" w:rsidRDefault="0007442B" w:rsidP="00A86EFD">
      <w:pPr>
        <w:pStyle w:val="Sinespaciado"/>
        <w:ind w:left="567" w:right="49"/>
        <w:jc w:val="both"/>
        <w:rPr>
          <w:rFonts w:ascii="Times New Roman" w:hAnsi="Times New Roman"/>
          <w:sz w:val="24"/>
          <w:szCs w:val="24"/>
          <w:lang w:val="es-MX"/>
        </w:rPr>
      </w:pPr>
    </w:p>
    <w:p w14:paraId="11C7F943" w14:textId="3FB228B3" w:rsidR="0007442B" w:rsidRDefault="0007442B" w:rsidP="00A86EFD">
      <w:pPr>
        <w:pStyle w:val="Sinespaciado"/>
        <w:ind w:left="567" w:right="49"/>
        <w:jc w:val="both"/>
        <w:rPr>
          <w:rFonts w:ascii="Times New Roman" w:hAnsi="Times New Roman"/>
          <w:sz w:val="24"/>
          <w:szCs w:val="24"/>
          <w:lang w:val="es-MX"/>
        </w:rPr>
      </w:pPr>
    </w:p>
    <w:p w14:paraId="30D03F0F" w14:textId="400FE8BB" w:rsidR="0007442B" w:rsidRDefault="0007442B" w:rsidP="00A86EFD">
      <w:pPr>
        <w:pStyle w:val="Sinespaciado"/>
        <w:ind w:left="567" w:right="49"/>
        <w:jc w:val="both"/>
        <w:rPr>
          <w:rFonts w:ascii="Times New Roman" w:hAnsi="Times New Roman"/>
          <w:sz w:val="24"/>
          <w:szCs w:val="24"/>
          <w:lang w:val="es-MX"/>
        </w:rPr>
      </w:pPr>
    </w:p>
    <w:p w14:paraId="3D60364F" w14:textId="2F104F83" w:rsidR="0007442B" w:rsidRDefault="0007442B" w:rsidP="00A86EFD">
      <w:pPr>
        <w:pStyle w:val="Sinespaciado"/>
        <w:ind w:left="567" w:right="49"/>
        <w:jc w:val="both"/>
        <w:rPr>
          <w:rFonts w:ascii="Times New Roman" w:hAnsi="Times New Roman"/>
          <w:sz w:val="24"/>
          <w:szCs w:val="24"/>
          <w:lang w:val="es-MX"/>
        </w:rPr>
      </w:pPr>
    </w:p>
    <w:p w14:paraId="1FC73420" w14:textId="382779CE" w:rsidR="0007442B" w:rsidRDefault="0007442B" w:rsidP="00A86EFD">
      <w:pPr>
        <w:pStyle w:val="Sinespaciado"/>
        <w:ind w:left="567" w:right="49"/>
        <w:jc w:val="both"/>
        <w:rPr>
          <w:rFonts w:ascii="Times New Roman" w:hAnsi="Times New Roman"/>
          <w:sz w:val="24"/>
          <w:szCs w:val="24"/>
          <w:lang w:val="es-MX"/>
        </w:rPr>
      </w:pPr>
    </w:p>
    <w:p w14:paraId="5D78A6EE" w14:textId="78A8E328" w:rsidR="0007442B" w:rsidRDefault="0007442B" w:rsidP="00A86EFD">
      <w:pPr>
        <w:pStyle w:val="Sinespaciado"/>
        <w:ind w:left="567" w:right="49"/>
        <w:jc w:val="both"/>
        <w:rPr>
          <w:rFonts w:ascii="Times New Roman" w:hAnsi="Times New Roman"/>
          <w:sz w:val="24"/>
          <w:szCs w:val="24"/>
          <w:lang w:val="es-MX"/>
        </w:rPr>
      </w:pPr>
    </w:p>
    <w:p w14:paraId="021F688D" w14:textId="09FA95CF" w:rsidR="0007442B" w:rsidRDefault="0007442B" w:rsidP="00A86EFD">
      <w:pPr>
        <w:pStyle w:val="Sinespaciado"/>
        <w:ind w:left="567" w:right="49"/>
        <w:jc w:val="both"/>
        <w:rPr>
          <w:rFonts w:ascii="Times New Roman" w:hAnsi="Times New Roman"/>
          <w:sz w:val="24"/>
          <w:szCs w:val="24"/>
          <w:lang w:val="es-MX"/>
        </w:rPr>
      </w:pPr>
    </w:p>
    <w:p w14:paraId="6D51DC99" w14:textId="77777777" w:rsidR="0007442B" w:rsidRPr="00A86EFD" w:rsidRDefault="0007442B" w:rsidP="00A86EFD">
      <w:pPr>
        <w:pStyle w:val="Sinespaciado"/>
        <w:ind w:left="567" w:right="49"/>
        <w:jc w:val="both"/>
        <w:rPr>
          <w:rFonts w:ascii="Times New Roman" w:hAnsi="Times New Roman"/>
          <w:sz w:val="24"/>
          <w:szCs w:val="24"/>
          <w:lang w:val="es-MX"/>
        </w:rPr>
      </w:pPr>
    </w:p>
    <w:p w14:paraId="09C39CC4" w14:textId="2EE76025" w:rsidR="00D30644" w:rsidRPr="0033794E" w:rsidRDefault="0033794E" w:rsidP="0033794E">
      <w:pPr>
        <w:pStyle w:val="Epgrafe"/>
        <w:keepNext/>
        <w:ind w:left="567" w:right="49"/>
        <w:rPr>
          <w:color w:val="auto"/>
          <w:sz w:val="24"/>
          <w:szCs w:val="24"/>
        </w:rPr>
      </w:pPr>
      <w:r w:rsidRPr="0033794E">
        <w:rPr>
          <w:color w:val="auto"/>
          <w:sz w:val="24"/>
          <w:szCs w:val="24"/>
        </w:rPr>
        <w:lastRenderedPageBreak/>
        <w:t>Gr</w:t>
      </w:r>
      <w:r>
        <w:rPr>
          <w:color w:val="auto"/>
          <w:sz w:val="24"/>
          <w:szCs w:val="24"/>
        </w:rPr>
        <w:t>á</w:t>
      </w:r>
      <w:r w:rsidRPr="0033794E">
        <w:rPr>
          <w:color w:val="auto"/>
          <w:sz w:val="24"/>
          <w:szCs w:val="24"/>
        </w:rPr>
        <w:t>fic</w:t>
      </w:r>
      <w:r>
        <w:rPr>
          <w:color w:val="auto"/>
          <w:sz w:val="24"/>
          <w:szCs w:val="24"/>
        </w:rPr>
        <w:t>o</w:t>
      </w:r>
      <w:r w:rsidRPr="0033794E">
        <w:rPr>
          <w:color w:val="auto"/>
          <w:sz w:val="24"/>
          <w:szCs w:val="24"/>
        </w:rPr>
        <w:t xml:space="preserve"> 35</w:t>
      </w:r>
      <w:r w:rsidR="00D30644" w:rsidRPr="0033794E">
        <w:rPr>
          <w:color w:val="auto"/>
          <w:sz w:val="24"/>
          <w:szCs w:val="24"/>
        </w:rPr>
        <w:t xml:space="preserve"> </w:t>
      </w:r>
    </w:p>
    <w:p w14:paraId="3061C367" w14:textId="77777777" w:rsidR="00D30644" w:rsidRPr="0033794E" w:rsidRDefault="00D30644" w:rsidP="0033794E">
      <w:pPr>
        <w:pStyle w:val="Epgrafe"/>
        <w:keepNext/>
        <w:ind w:left="567" w:right="49"/>
        <w:rPr>
          <w:color w:val="auto"/>
          <w:sz w:val="24"/>
          <w:szCs w:val="24"/>
        </w:rPr>
      </w:pPr>
      <w:r w:rsidRPr="0033794E">
        <w:rPr>
          <w:color w:val="auto"/>
          <w:sz w:val="24"/>
          <w:szCs w:val="24"/>
        </w:rPr>
        <w:t xml:space="preserve">Aplanar la curva epidemiológica </w:t>
      </w:r>
    </w:p>
    <w:p w14:paraId="319202BD" w14:textId="77777777" w:rsidR="00D30644" w:rsidRDefault="00D30644" w:rsidP="00D30644">
      <w:pPr>
        <w:autoSpaceDE w:val="0"/>
        <w:autoSpaceDN w:val="0"/>
        <w:adjustRightInd w:val="0"/>
        <w:spacing w:line="276" w:lineRule="auto"/>
        <w:jc w:val="both"/>
        <w:rPr>
          <w:rFonts w:eastAsia="OptimaLTStd"/>
          <w:color w:val="000000"/>
        </w:rPr>
      </w:pPr>
    </w:p>
    <w:p w14:paraId="497FC89A" w14:textId="77777777" w:rsidR="00D30644" w:rsidRDefault="00D30644" w:rsidP="00D30644">
      <w:pPr>
        <w:autoSpaceDE w:val="0"/>
        <w:autoSpaceDN w:val="0"/>
        <w:adjustRightInd w:val="0"/>
        <w:spacing w:line="276" w:lineRule="auto"/>
        <w:jc w:val="center"/>
        <w:rPr>
          <w:rFonts w:eastAsia="OptimaLTStd"/>
          <w:color w:val="000000"/>
        </w:rPr>
      </w:pPr>
      <w:r>
        <w:rPr>
          <w:noProof/>
          <w:lang w:val="es-ES"/>
        </w:rPr>
        <w:drawing>
          <wp:inline distT="0" distB="0" distL="0" distR="0" wp14:anchorId="1CDF4D06" wp14:editId="3D9AA144">
            <wp:extent cx="4259580" cy="2314576"/>
            <wp:effectExtent l="0" t="0" r="7620" b="9525"/>
            <wp:docPr id="24" name="Imagen 1" descr="curva epidémica">
              <a:extLst xmlns:a="http://schemas.openxmlformats.org/drawingml/2006/main">
                <a:ext uri="{FF2B5EF4-FFF2-40B4-BE49-F238E27FC236}">
                  <a16:creationId xmlns:a16="http://schemas.microsoft.com/office/drawing/2014/main" xmlns:w16se="http://schemas.microsoft.com/office/word/2015/wordml/symex" xmlns:w15="http://schemas.microsoft.com/office/word/2012/wordml" xmlns:w="http://schemas.openxmlformats.org/wordprocessingml/2006/main" xmlns:w10="urn:schemas-microsoft-com:office:word" xmlns:v="urn:schemas-microsoft-com:vml" xmlns:o="urn:schemas-microsoft-com:office:office" xmlns:cx="http://schemas.microsoft.com/office/drawing/2014/chartex" xmlns="" id="{A806FC36-A0F5-4FEE-AC3C-A0D5235A6090}"/>
                </a:ext>
              </a:extLst>
            </wp:docPr>
            <wp:cNvGraphicFramePr/>
            <a:graphic xmlns:a="http://schemas.openxmlformats.org/drawingml/2006/main">
              <a:graphicData uri="http://schemas.openxmlformats.org/drawingml/2006/picture">
                <pic:pic xmlns:pic="http://schemas.openxmlformats.org/drawingml/2006/picture">
                  <pic:nvPicPr>
                    <pic:cNvPr id="2" name="Imagen 1" descr="curva epidémica">
                      <a:extLst>
                        <a:ext uri="{FF2B5EF4-FFF2-40B4-BE49-F238E27FC236}">
                          <a16:creationId xmlns:a16="http://schemas.microsoft.com/office/drawing/2014/main" xmlns:w16se="http://schemas.microsoft.com/office/word/2015/wordml/symex" xmlns:w15="http://schemas.microsoft.com/office/word/2012/wordml" xmlns:w="http://schemas.openxmlformats.org/wordprocessingml/2006/main" xmlns:w10="urn:schemas-microsoft-com:office:word" xmlns:v="urn:schemas-microsoft-com:vml" xmlns:o="urn:schemas-microsoft-com:office:office" xmlns:cx="http://schemas.microsoft.com/office/drawing/2014/chartex" xmlns="" id="{A806FC36-A0F5-4FEE-AC3C-A0D5235A6090}"/>
                        </a:ext>
                      </a:extLst>
                    </pic:cNvPr>
                    <pic:cNvPicPr/>
                  </pic:nvPicPr>
                  <pic:blipFill rotWithShape="1">
                    <a:blip r:embed="rId46">
                      <a:extLst>
                        <a:ext uri="{28A0092B-C50C-407E-A947-70E740481C1C}">
                          <a14:useLocalDpi xmlns:a14="http://schemas.microsoft.com/office/drawing/2010/main" val="0"/>
                        </a:ext>
                      </a:extLst>
                    </a:blip>
                    <a:srcRect t="10591" b="19847"/>
                    <a:stretch/>
                  </pic:blipFill>
                  <pic:spPr bwMode="auto">
                    <a:xfrm>
                      <a:off x="0" y="0"/>
                      <a:ext cx="4259580" cy="2314576"/>
                    </a:xfrm>
                    <a:prstGeom prst="rect">
                      <a:avLst/>
                    </a:prstGeom>
                    <a:noFill/>
                    <a:ln>
                      <a:noFill/>
                    </a:ln>
                  </pic:spPr>
                </pic:pic>
              </a:graphicData>
            </a:graphic>
          </wp:inline>
        </w:drawing>
      </w:r>
    </w:p>
    <w:p w14:paraId="463FA1C6" w14:textId="77777777" w:rsidR="00D30644" w:rsidRPr="004707AB" w:rsidRDefault="00D30644" w:rsidP="00D30644">
      <w:pPr>
        <w:autoSpaceDE w:val="0"/>
        <w:autoSpaceDN w:val="0"/>
        <w:adjustRightInd w:val="0"/>
        <w:spacing w:line="276" w:lineRule="auto"/>
        <w:ind w:left="1416" w:firstLine="708"/>
        <w:jc w:val="both"/>
        <w:rPr>
          <w:rFonts w:eastAsia="OptimaLTStd"/>
          <w:color w:val="000000"/>
          <w:lang w:val="es-MX"/>
        </w:rPr>
      </w:pPr>
      <w:r w:rsidRPr="004707AB">
        <w:rPr>
          <w:rFonts w:eastAsia="OptimaLTStd"/>
          <w:color w:val="000000"/>
          <w:lang w:val="es-MX"/>
        </w:rPr>
        <w:t>Fuente: BBC News, marzo 2020, Kim y Bergstorm, universidad de Washington</w:t>
      </w:r>
    </w:p>
    <w:p w14:paraId="122DFD01" w14:textId="77777777" w:rsidR="00D30644" w:rsidRDefault="00D30644" w:rsidP="00D30644">
      <w:pPr>
        <w:autoSpaceDE w:val="0"/>
        <w:autoSpaceDN w:val="0"/>
        <w:adjustRightInd w:val="0"/>
        <w:spacing w:line="276" w:lineRule="auto"/>
        <w:jc w:val="both"/>
        <w:rPr>
          <w:rFonts w:eastAsia="OptimaLTStd"/>
          <w:color w:val="000000"/>
        </w:rPr>
      </w:pPr>
    </w:p>
    <w:p w14:paraId="094FBB33" w14:textId="77777777" w:rsidR="00D30644" w:rsidRPr="0033794E" w:rsidRDefault="00D30644" w:rsidP="00A86EFD">
      <w:pPr>
        <w:pStyle w:val="Sinespaciado"/>
        <w:ind w:left="567" w:right="49"/>
        <w:jc w:val="both"/>
        <w:rPr>
          <w:rFonts w:ascii="Times New Roman" w:hAnsi="Times New Roman"/>
          <w:sz w:val="24"/>
          <w:szCs w:val="24"/>
          <w:lang w:val="es-MX"/>
        </w:rPr>
      </w:pPr>
      <w:r w:rsidRPr="0033794E">
        <w:rPr>
          <w:rFonts w:ascii="Times New Roman" w:hAnsi="Times New Roman"/>
          <w:sz w:val="24"/>
          <w:szCs w:val="24"/>
          <w:lang w:val="es-MX"/>
        </w:rPr>
        <w:t>A nivel internacional el desarrollo de la pandemia en Japón es un ejemplo de una curva plana, donde el número de casos pasó de uno (1) el 16 de enero a cuatrocientos ochenta (480) al 9 de marzo, (creció solamente en 9 casos diarios en promedio). Una curva pronunciada se forma por lo sucedido en Italia, donde los casos pasaron de tres (3) el 31 de enero a nueve mil (9,000) al 9 de marzo, es decir, un crecimiento de 237 casos por día en promedio. La cantidad de contagios registrados en Italia por día es 27 veces superior a la observada en Japón.</w:t>
      </w:r>
    </w:p>
    <w:p w14:paraId="52CD50F8" w14:textId="77777777" w:rsidR="00CE7C7D" w:rsidRPr="009562D6" w:rsidRDefault="00CE7C7D" w:rsidP="00D30644">
      <w:pPr>
        <w:autoSpaceDE w:val="0"/>
        <w:autoSpaceDN w:val="0"/>
        <w:adjustRightInd w:val="0"/>
        <w:spacing w:line="276" w:lineRule="auto"/>
        <w:jc w:val="both"/>
        <w:rPr>
          <w:rFonts w:eastAsia="OptimaLTStd"/>
          <w:color w:val="000000"/>
          <w:sz w:val="24"/>
          <w:szCs w:val="24"/>
        </w:rPr>
      </w:pPr>
    </w:p>
    <w:p w14:paraId="56A5B1D0" w14:textId="7C8EF17B" w:rsidR="00967F17" w:rsidRPr="005A4BBD" w:rsidRDefault="00967F17" w:rsidP="005C2F32">
      <w:pPr>
        <w:pStyle w:val="Ttulo1"/>
        <w:widowControl/>
        <w:numPr>
          <w:ilvl w:val="1"/>
          <w:numId w:val="5"/>
        </w:numPr>
        <w:ind w:left="993" w:right="49"/>
        <w:jc w:val="left"/>
        <w:rPr>
          <w:color w:val="auto"/>
          <w:sz w:val="24"/>
          <w:szCs w:val="24"/>
        </w:rPr>
      </w:pPr>
      <w:bookmarkStart w:id="60" w:name="_Toc49939727"/>
      <w:bookmarkStart w:id="61" w:name="_Toc46851807"/>
      <w:r w:rsidRPr="005A4BBD">
        <w:rPr>
          <w:color w:val="auto"/>
          <w:sz w:val="24"/>
          <w:szCs w:val="24"/>
        </w:rPr>
        <w:t>Impactos Económicos y Fiscales de la Pandemia de Covid-19 Coronavirus</w:t>
      </w:r>
      <w:r w:rsidR="00CE7C7D" w:rsidRPr="005A4BBD">
        <w:rPr>
          <w:color w:val="auto"/>
          <w:sz w:val="24"/>
          <w:szCs w:val="24"/>
        </w:rPr>
        <w:t xml:space="preserve"> en Guatemala</w:t>
      </w:r>
      <w:bookmarkEnd w:id="60"/>
    </w:p>
    <w:p w14:paraId="2DA3686F" w14:textId="77777777" w:rsidR="00967F17" w:rsidRPr="009562D6" w:rsidRDefault="00967F17" w:rsidP="00967F17">
      <w:pPr>
        <w:rPr>
          <w:sz w:val="24"/>
          <w:szCs w:val="24"/>
        </w:rPr>
      </w:pPr>
    </w:p>
    <w:p w14:paraId="5DEC3C24" w14:textId="284A3264" w:rsidR="00967F17" w:rsidRPr="0033794E" w:rsidRDefault="00967F17" w:rsidP="00A86EFD">
      <w:pPr>
        <w:pStyle w:val="Sinespaciado"/>
        <w:ind w:left="567" w:right="49"/>
        <w:jc w:val="both"/>
        <w:rPr>
          <w:rFonts w:ascii="Times New Roman" w:hAnsi="Times New Roman"/>
          <w:sz w:val="24"/>
          <w:szCs w:val="24"/>
          <w:lang w:val="es-MX"/>
        </w:rPr>
      </w:pPr>
      <w:r w:rsidRPr="0033794E">
        <w:rPr>
          <w:rFonts w:ascii="Times New Roman" w:hAnsi="Times New Roman"/>
          <w:sz w:val="24"/>
          <w:szCs w:val="24"/>
          <w:lang w:val="es-MX"/>
        </w:rPr>
        <w:t xml:space="preserve">Los diversos impactos en la economía nacional son estimados mediante la descripción del comportamiento de algunas de las variables más significativas </w:t>
      </w:r>
      <w:r w:rsidR="00533872" w:rsidRPr="0033794E">
        <w:rPr>
          <w:rFonts w:ascii="Times New Roman" w:hAnsi="Times New Roman"/>
          <w:sz w:val="24"/>
          <w:szCs w:val="24"/>
          <w:lang w:val="es-MX"/>
        </w:rPr>
        <w:t>en los sectores anteriormente definidos</w:t>
      </w:r>
      <w:r w:rsidRPr="0033794E">
        <w:rPr>
          <w:rFonts w:ascii="Times New Roman" w:hAnsi="Times New Roman"/>
          <w:sz w:val="24"/>
          <w:szCs w:val="24"/>
          <w:lang w:val="es-MX"/>
        </w:rPr>
        <w:t xml:space="preserve">, </w:t>
      </w:r>
      <w:r w:rsidR="00533872" w:rsidRPr="0033794E">
        <w:rPr>
          <w:rFonts w:ascii="Times New Roman" w:hAnsi="Times New Roman"/>
          <w:sz w:val="24"/>
          <w:szCs w:val="24"/>
          <w:lang w:val="es-MX"/>
        </w:rPr>
        <w:t xml:space="preserve">haciendo </w:t>
      </w:r>
      <w:r w:rsidRPr="0033794E">
        <w:rPr>
          <w:rFonts w:ascii="Times New Roman" w:hAnsi="Times New Roman"/>
          <w:sz w:val="24"/>
          <w:szCs w:val="24"/>
          <w:lang w:val="es-MX"/>
        </w:rPr>
        <w:t xml:space="preserve">hincapié en </w:t>
      </w:r>
      <w:r w:rsidR="00533872" w:rsidRPr="0033794E">
        <w:rPr>
          <w:rFonts w:ascii="Times New Roman" w:hAnsi="Times New Roman"/>
          <w:sz w:val="24"/>
          <w:szCs w:val="24"/>
          <w:lang w:val="es-MX"/>
        </w:rPr>
        <w:t>que,</w:t>
      </w:r>
      <w:r w:rsidRPr="0033794E">
        <w:rPr>
          <w:rFonts w:ascii="Times New Roman" w:hAnsi="Times New Roman"/>
          <w:sz w:val="24"/>
          <w:szCs w:val="24"/>
          <w:lang w:val="es-MX"/>
        </w:rPr>
        <w:t xml:space="preserve"> </w:t>
      </w:r>
      <w:r w:rsidR="00533872" w:rsidRPr="0033794E">
        <w:rPr>
          <w:rFonts w:ascii="Times New Roman" w:hAnsi="Times New Roman"/>
          <w:sz w:val="24"/>
          <w:szCs w:val="24"/>
          <w:lang w:val="es-MX"/>
        </w:rPr>
        <w:t xml:space="preserve">en la totalidad de los casos, </w:t>
      </w:r>
      <w:r w:rsidRPr="0033794E">
        <w:rPr>
          <w:rFonts w:ascii="Times New Roman" w:hAnsi="Times New Roman"/>
          <w:sz w:val="24"/>
          <w:szCs w:val="24"/>
          <w:lang w:val="es-MX"/>
        </w:rPr>
        <w:t>se trata de cifras preliminares, lo que obliga a su posterior revisión y adecuado tratamiento en cuanto a la potencialidad de paulatinos o inesperados cambios que las mismas puedan presentar.</w:t>
      </w:r>
    </w:p>
    <w:p w14:paraId="4ACC22BE" w14:textId="77777777" w:rsidR="00967F17" w:rsidRPr="009562D6" w:rsidRDefault="00967F17" w:rsidP="00967F17">
      <w:pPr>
        <w:autoSpaceDE w:val="0"/>
        <w:autoSpaceDN w:val="0"/>
        <w:adjustRightInd w:val="0"/>
        <w:spacing w:line="276" w:lineRule="auto"/>
        <w:jc w:val="both"/>
        <w:rPr>
          <w:sz w:val="24"/>
          <w:szCs w:val="24"/>
          <w:lang w:val="es-ES" w:eastAsia="en-US"/>
        </w:rPr>
      </w:pPr>
    </w:p>
    <w:p w14:paraId="145DC1EC" w14:textId="0DBCCB83" w:rsidR="00967F17" w:rsidRPr="0033794E" w:rsidRDefault="00967F17" w:rsidP="00A86EFD">
      <w:pPr>
        <w:pStyle w:val="Sinespaciado"/>
        <w:ind w:left="567" w:right="49"/>
        <w:jc w:val="both"/>
        <w:rPr>
          <w:rFonts w:ascii="Times New Roman" w:hAnsi="Times New Roman"/>
          <w:sz w:val="24"/>
          <w:szCs w:val="24"/>
          <w:lang w:val="es-MX"/>
        </w:rPr>
      </w:pPr>
      <w:r w:rsidRPr="0033794E">
        <w:rPr>
          <w:rFonts w:ascii="Times New Roman" w:hAnsi="Times New Roman"/>
          <w:sz w:val="24"/>
          <w:szCs w:val="24"/>
          <w:lang w:val="es-MX"/>
        </w:rPr>
        <w:t xml:space="preserve">Los costos adicionales, </w:t>
      </w:r>
      <w:r w:rsidR="00533872" w:rsidRPr="0033794E">
        <w:rPr>
          <w:rFonts w:ascii="Times New Roman" w:hAnsi="Times New Roman"/>
          <w:sz w:val="24"/>
          <w:szCs w:val="24"/>
          <w:lang w:val="es-MX"/>
        </w:rPr>
        <w:t xml:space="preserve">se establecen </w:t>
      </w:r>
      <w:r w:rsidRPr="0033794E">
        <w:rPr>
          <w:rFonts w:ascii="Times New Roman" w:hAnsi="Times New Roman"/>
          <w:sz w:val="24"/>
          <w:szCs w:val="24"/>
          <w:lang w:val="es-MX"/>
        </w:rPr>
        <w:t>en la figura del gasto público encaminado a la atención de la pandemia</w:t>
      </w:r>
      <w:r w:rsidR="00533872" w:rsidRPr="0033794E">
        <w:rPr>
          <w:rFonts w:ascii="Times New Roman" w:hAnsi="Times New Roman"/>
          <w:sz w:val="24"/>
          <w:szCs w:val="24"/>
          <w:lang w:val="es-MX"/>
        </w:rPr>
        <w:t xml:space="preserve">, </w:t>
      </w:r>
      <w:r w:rsidRPr="0033794E">
        <w:rPr>
          <w:rFonts w:ascii="Times New Roman" w:hAnsi="Times New Roman"/>
          <w:sz w:val="24"/>
          <w:szCs w:val="24"/>
          <w:lang w:val="es-MX"/>
        </w:rPr>
        <w:t xml:space="preserve">estimados en función a los recursos asignados </w:t>
      </w:r>
      <w:r w:rsidR="00533872" w:rsidRPr="0033794E">
        <w:rPr>
          <w:rFonts w:ascii="Times New Roman" w:hAnsi="Times New Roman"/>
          <w:sz w:val="24"/>
          <w:szCs w:val="24"/>
          <w:lang w:val="es-MX"/>
        </w:rPr>
        <w:t>a</w:t>
      </w:r>
      <w:r w:rsidRPr="0033794E">
        <w:rPr>
          <w:rFonts w:ascii="Times New Roman" w:hAnsi="Times New Roman"/>
          <w:sz w:val="24"/>
          <w:szCs w:val="24"/>
          <w:lang w:val="es-MX"/>
        </w:rPr>
        <w:t xml:space="preserve"> las medidas tendentes a controlar la propagación de la pandemia, así como las transferencias y fondos destinados </w:t>
      </w:r>
      <w:r w:rsidR="00533872" w:rsidRPr="0033794E">
        <w:rPr>
          <w:rFonts w:ascii="Times New Roman" w:hAnsi="Times New Roman"/>
          <w:sz w:val="24"/>
          <w:szCs w:val="24"/>
          <w:lang w:val="es-MX"/>
        </w:rPr>
        <w:t>a</w:t>
      </w:r>
      <w:r w:rsidRPr="0033794E">
        <w:rPr>
          <w:rFonts w:ascii="Times New Roman" w:hAnsi="Times New Roman"/>
          <w:sz w:val="24"/>
          <w:szCs w:val="24"/>
          <w:lang w:val="es-MX"/>
        </w:rPr>
        <w:t xml:space="preserve"> atender a la población afectada, con énfasis en los grupos más vulnerables. Las medidas de política económica adoptadas tanto en la etapa de contención, como en la mitigación de la afectación hacia la economía, acciones que causarán presiones adicionales sobre los resultados fiscales más relevantes.</w:t>
      </w:r>
    </w:p>
    <w:p w14:paraId="6BE5279D" w14:textId="77777777" w:rsidR="00967F17" w:rsidRPr="00A86EFD" w:rsidRDefault="00967F17" w:rsidP="00A86EFD">
      <w:pPr>
        <w:pStyle w:val="Sinespaciado"/>
        <w:ind w:left="567" w:right="49"/>
        <w:jc w:val="both"/>
        <w:rPr>
          <w:rFonts w:ascii="Times New Roman" w:hAnsi="Times New Roman"/>
          <w:sz w:val="24"/>
          <w:szCs w:val="24"/>
          <w:lang w:val="es-MX"/>
        </w:rPr>
      </w:pPr>
    </w:p>
    <w:p w14:paraId="1B2DA975" w14:textId="07F3902B" w:rsidR="005A4BBD" w:rsidRDefault="00967F17" w:rsidP="00D95BA3">
      <w:pPr>
        <w:pStyle w:val="Sinespaciado"/>
        <w:ind w:left="567" w:right="49"/>
        <w:jc w:val="both"/>
        <w:rPr>
          <w:rFonts w:ascii="Times New Roman" w:hAnsi="Times New Roman"/>
          <w:sz w:val="24"/>
          <w:szCs w:val="24"/>
          <w:lang w:val="es-MX"/>
        </w:rPr>
      </w:pPr>
      <w:r w:rsidRPr="0033794E">
        <w:rPr>
          <w:rFonts w:ascii="Times New Roman" w:hAnsi="Times New Roman"/>
          <w:sz w:val="24"/>
          <w:szCs w:val="24"/>
          <w:lang w:val="es-MX"/>
        </w:rPr>
        <w:t xml:space="preserve">Es de suma relevancia, aclarar que, por tratarse de un evento en pleno desarrollo, la determinación de los impactos y efectos sobre la economía nacional se fundamenta en el establecimiento de la línea base previa a la declaración de la pandemia y el criterio de las entidades y expertos que han iniciado líneas de investigación respecto de los posibles efectos de </w:t>
      </w:r>
      <w:r w:rsidRPr="0033794E">
        <w:rPr>
          <w:rFonts w:ascii="Times New Roman" w:hAnsi="Times New Roman"/>
          <w:sz w:val="24"/>
          <w:szCs w:val="24"/>
          <w:lang w:val="es-MX"/>
        </w:rPr>
        <w:lastRenderedPageBreak/>
        <w:t xml:space="preserve">la crisis sobre las variables analizadas. Por lo anterior, dichas estimaciones deberán ser actualizadas al momento de contar con información y cifras oficiales, que apoyen o </w:t>
      </w:r>
      <w:r w:rsidR="00533872" w:rsidRPr="0033794E">
        <w:rPr>
          <w:rFonts w:ascii="Times New Roman" w:hAnsi="Times New Roman"/>
          <w:sz w:val="24"/>
          <w:szCs w:val="24"/>
          <w:lang w:val="es-MX"/>
        </w:rPr>
        <w:t>contradigan</w:t>
      </w:r>
      <w:r w:rsidRPr="0033794E">
        <w:rPr>
          <w:rFonts w:ascii="Times New Roman" w:hAnsi="Times New Roman"/>
          <w:sz w:val="24"/>
          <w:szCs w:val="24"/>
          <w:lang w:val="es-MX"/>
        </w:rPr>
        <w:t xml:space="preserve"> lo</w:t>
      </w:r>
      <w:r w:rsidR="00533872" w:rsidRPr="0033794E">
        <w:rPr>
          <w:rFonts w:ascii="Times New Roman" w:hAnsi="Times New Roman"/>
          <w:sz w:val="24"/>
          <w:szCs w:val="24"/>
          <w:lang w:val="es-MX"/>
        </w:rPr>
        <w:t xml:space="preserve"> </w:t>
      </w:r>
      <w:r w:rsidRPr="0033794E">
        <w:rPr>
          <w:rFonts w:ascii="Times New Roman" w:hAnsi="Times New Roman"/>
          <w:sz w:val="24"/>
          <w:szCs w:val="24"/>
          <w:lang w:val="es-MX"/>
        </w:rPr>
        <w:t>señalado.</w:t>
      </w:r>
    </w:p>
    <w:p w14:paraId="25EE8835" w14:textId="77777777" w:rsidR="00D95BA3" w:rsidRPr="0033794E" w:rsidRDefault="00D95BA3" w:rsidP="00D95BA3">
      <w:pPr>
        <w:pStyle w:val="Sinespaciado"/>
        <w:ind w:left="567" w:right="49"/>
        <w:jc w:val="both"/>
        <w:rPr>
          <w:rFonts w:ascii="Times New Roman" w:hAnsi="Times New Roman"/>
          <w:sz w:val="24"/>
          <w:szCs w:val="24"/>
          <w:lang w:val="es-MX"/>
        </w:rPr>
      </w:pPr>
    </w:p>
    <w:p w14:paraId="32F0EC9D" w14:textId="77777777" w:rsidR="00D30644" w:rsidRPr="005A4BBD" w:rsidRDefault="00D30644" w:rsidP="00D95BA3">
      <w:pPr>
        <w:pStyle w:val="Ttulo1"/>
        <w:widowControl/>
        <w:numPr>
          <w:ilvl w:val="2"/>
          <w:numId w:val="5"/>
        </w:numPr>
        <w:ind w:right="49"/>
        <w:jc w:val="left"/>
        <w:rPr>
          <w:color w:val="auto"/>
          <w:sz w:val="24"/>
          <w:szCs w:val="24"/>
        </w:rPr>
      </w:pPr>
      <w:bookmarkStart w:id="62" w:name="_Toc49939728"/>
      <w:r w:rsidRPr="005A4BBD">
        <w:rPr>
          <w:color w:val="auto"/>
          <w:sz w:val="24"/>
          <w:szCs w:val="24"/>
        </w:rPr>
        <w:t>Sector Externo</w:t>
      </w:r>
      <w:bookmarkEnd w:id="61"/>
      <w:bookmarkEnd w:id="62"/>
    </w:p>
    <w:p w14:paraId="5FB2002D" w14:textId="77777777" w:rsidR="00D30644" w:rsidRPr="009562D6" w:rsidRDefault="00D30644" w:rsidP="00D30644">
      <w:pPr>
        <w:autoSpaceDE w:val="0"/>
        <w:autoSpaceDN w:val="0"/>
        <w:adjustRightInd w:val="0"/>
        <w:spacing w:line="276" w:lineRule="auto"/>
        <w:jc w:val="both"/>
        <w:rPr>
          <w:rFonts w:eastAsia="OptimaLTStd"/>
          <w:color w:val="000000"/>
          <w:sz w:val="24"/>
          <w:szCs w:val="24"/>
          <w:lang w:val="es-MX"/>
        </w:rPr>
      </w:pPr>
    </w:p>
    <w:p w14:paraId="4ABDA094" w14:textId="77777777" w:rsidR="00D30644" w:rsidRPr="0033794E" w:rsidRDefault="00D30644" w:rsidP="00A86EFD">
      <w:pPr>
        <w:pStyle w:val="Sinespaciado"/>
        <w:ind w:left="567" w:right="49"/>
        <w:jc w:val="both"/>
        <w:rPr>
          <w:rFonts w:ascii="Times New Roman" w:hAnsi="Times New Roman"/>
          <w:sz w:val="24"/>
          <w:szCs w:val="24"/>
          <w:lang w:val="es-MX"/>
        </w:rPr>
      </w:pPr>
      <w:bookmarkStart w:id="63" w:name="_Hlk38293509"/>
      <w:r w:rsidRPr="0033794E">
        <w:rPr>
          <w:rFonts w:ascii="Times New Roman" w:hAnsi="Times New Roman"/>
          <w:sz w:val="24"/>
          <w:szCs w:val="24"/>
          <w:lang w:val="es-MX"/>
        </w:rPr>
        <w:t>Las variables incluidas en el análisis preliminar son las exportaciones, importaciones, turismo y viajes y remesas familiares, en el análisis a profundidad del sector, se podrá hacer una revisión respecto de los cambios en los Flujos de Inversión Extranjera Directa.</w:t>
      </w:r>
    </w:p>
    <w:bookmarkEnd w:id="63"/>
    <w:p w14:paraId="67C62C9F" w14:textId="77777777" w:rsidR="00D30644" w:rsidRPr="009562D6" w:rsidRDefault="00D30644" w:rsidP="00D30644">
      <w:pPr>
        <w:autoSpaceDE w:val="0"/>
        <w:autoSpaceDN w:val="0"/>
        <w:adjustRightInd w:val="0"/>
        <w:spacing w:line="276" w:lineRule="auto"/>
        <w:jc w:val="both"/>
        <w:rPr>
          <w:rFonts w:eastAsia="OptimaLTStd"/>
          <w:color w:val="000000"/>
          <w:sz w:val="24"/>
          <w:szCs w:val="24"/>
          <w:lang w:val="es-MX"/>
        </w:rPr>
      </w:pPr>
    </w:p>
    <w:p w14:paraId="38AACE51" w14:textId="77777777" w:rsidR="00D30644" w:rsidRPr="00A86EFD" w:rsidRDefault="00D30644" w:rsidP="00A86EFD">
      <w:pPr>
        <w:pStyle w:val="Ttulo1"/>
        <w:widowControl/>
        <w:numPr>
          <w:ilvl w:val="3"/>
          <w:numId w:val="5"/>
        </w:numPr>
        <w:ind w:right="49"/>
        <w:jc w:val="left"/>
        <w:rPr>
          <w:color w:val="auto"/>
          <w:sz w:val="24"/>
          <w:szCs w:val="24"/>
        </w:rPr>
      </w:pPr>
      <w:bookmarkStart w:id="64" w:name="_Toc46851808"/>
      <w:bookmarkStart w:id="65" w:name="_Toc49939729"/>
      <w:r w:rsidRPr="00A86EFD">
        <w:rPr>
          <w:color w:val="auto"/>
          <w:sz w:val="24"/>
          <w:szCs w:val="24"/>
        </w:rPr>
        <w:t>Exportaciones</w:t>
      </w:r>
      <w:bookmarkEnd w:id="64"/>
      <w:bookmarkEnd w:id="65"/>
    </w:p>
    <w:p w14:paraId="66B14086" w14:textId="77777777" w:rsidR="00F7521C" w:rsidRDefault="00F7521C" w:rsidP="00D30644">
      <w:pPr>
        <w:autoSpaceDE w:val="0"/>
        <w:autoSpaceDN w:val="0"/>
        <w:adjustRightInd w:val="0"/>
        <w:spacing w:line="276" w:lineRule="auto"/>
        <w:jc w:val="both"/>
        <w:rPr>
          <w:rFonts w:eastAsia="OptimaLTStd"/>
          <w:color w:val="000000"/>
          <w:sz w:val="24"/>
          <w:szCs w:val="24"/>
          <w:lang w:val="es-MX"/>
        </w:rPr>
      </w:pPr>
    </w:p>
    <w:p w14:paraId="71B71736" w14:textId="0F69BE2B" w:rsidR="00D30644" w:rsidRPr="0033794E" w:rsidRDefault="00D30644" w:rsidP="00E648CF">
      <w:pPr>
        <w:pStyle w:val="Sinespaciado"/>
        <w:ind w:left="567" w:right="49"/>
        <w:jc w:val="both"/>
        <w:rPr>
          <w:rFonts w:ascii="Times New Roman" w:hAnsi="Times New Roman"/>
          <w:sz w:val="24"/>
          <w:szCs w:val="24"/>
          <w:lang w:val="es-MX"/>
        </w:rPr>
      </w:pPr>
      <w:r w:rsidRPr="0033794E">
        <w:rPr>
          <w:rFonts w:ascii="Times New Roman" w:hAnsi="Times New Roman"/>
          <w:sz w:val="24"/>
          <w:szCs w:val="24"/>
          <w:lang w:val="es-MX"/>
        </w:rPr>
        <w:t xml:space="preserve">Al observar la estructura de nuestras exportaciones durante el último quinquenio se puede observar que más del 50% está conformado por la participación de diez productos principales, de los cuales cinco de ellos son materias primas agrícolas (Banano, Azúcar, Café, Cardamomo y Grasas y Aceites comestibles) que conforman el 29.7% de las exportaciones totales y se encuentran dentro de los denominados soft commodities. </w:t>
      </w:r>
    </w:p>
    <w:p w14:paraId="18025EF7" w14:textId="5FACFA65" w:rsidR="00D30644" w:rsidRPr="0033794E" w:rsidRDefault="0033794E" w:rsidP="0033794E">
      <w:pPr>
        <w:pStyle w:val="Epgrafe"/>
        <w:keepNext/>
        <w:ind w:left="567" w:right="49"/>
        <w:rPr>
          <w:color w:val="auto"/>
          <w:sz w:val="24"/>
          <w:szCs w:val="24"/>
        </w:rPr>
      </w:pPr>
      <w:r w:rsidRPr="0033794E">
        <w:rPr>
          <w:color w:val="auto"/>
          <w:sz w:val="24"/>
          <w:szCs w:val="24"/>
        </w:rPr>
        <w:t>Tabla 4</w:t>
      </w:r>
    </w:p>
    <w:p w14:paraId="2E01F662" w14:textId="77777777" w:rsidR="00D30644" w:rsidRPr="0033794E" w:rsidRDefault="00D30644" w:rsidP="0033794E">
      <w:pPr>
        <w:pStyle w:val="Epgrafe"/>
        <w:keepNext/>
        <w:ind w:left="567" w:right="49"/>
        <w:rPr>
          <w:color w:val="auto"/>
          <w:sz w:val="24"/>
          <w:szCs w:val="24"/>
        </w:rPr>
      </w:pPr>
      <w:r w:rsidRPr="0033794E">
        <w:rPr>
          <w:color w:val="auto"/>
          <w:sz w:val="24"/>
          <w:szCs w:val="24"/>
        </w:rPr>
        <w:t xml:space="preserve">Principales diez productos de exportación nacionales </w:t>
      </w:r>
    </w:p>
    <w:p w14:paraId="1C55E07A" w14:textId="77777777" w:rsidR="00D30644" w:rsidRPr="0033794E" w:rsidRDefault="00D30644" w:rsidP="0033794E">
      <w:pPr>
        <w:pStyle w:val="Epgrafe"/>
        <w:keepNext/>
        <w:ind w:left="567" w:right="49"/>
        <w:rPr>
          <w:color w:val="auto"/>
          <w:sz w:val="24"/>
          <w:szCs w:val="24"/>
        </w:rPr>
      </w:pPr>
      <w:r w:rsidRPr="0033794E">
        <w:rPr>
          <w:color w:val="auto"/>
          <w:sz w:val="24"/>
          <w:szCs w:val="24"/>
        </w:rPr>
        <w:t>Período 2015-2019</w:t>
      </w:r>
    </w:p>
    <w:p w14:paraId="259157C0" w14:textId="77777777" w:rsidR="00D30644" w:rsidRPr="0033794E" w:rsidRDefault="00D30644" w:rsidP="0033794E">
      <w:pPr>
        <w:pStyle w:val="Epgrafe"/>
        <w:keepNext/>
        <w:ind w:left="567" w:right="49"/>
        <w:rPr>
          <w:color w:val="auto"/>
          <w:sz w:val="24"/>
          <w:szCs w:val="24"/>
        </w:rPr>
      </w:pPr>
      <w:r w:rsidRPr="0033794E">
        <w:rPr>
          <w:color w:val="auto"/>
          <w:sz w:val="24"/>
          <w:szCs w:val="24"/>
        </w:rPr>
        <w:t>Cifras en millones de U.S. Dólares y porcentajes</w:t>
      </w:r>
    </w:p>
    <w:p w14:paraId="53E039C4" w14:textId="77777777" w:rsidR="00D30644" w:rsidRPr="009562D6" w:rsidRDefault="00D30644" w:rsidP="00D30644">
      <w:pPr>
        <w:autoSpaceDE w:val="0"/>
        <w:autoSpaceDN w:val="0"/>
        <w:adjustRightInd w:val="0"/>
        <w:spacing w:line="276" w:lineRule="auto"/>
        <w:jc w:val="center"/>
        <w:rPr>
          <w:rFonts w:eastAsia="OptimaLTStd"/>
          <w:color w:val="000000"/>
          <w:sz w:val="24"/>
          <w:szCs w:val="24"/>
          <w:lang w:val="es-MX"/>
        </w:rPr>
      </w:pPr>
    </w:p>
    <w:tbl>
      <w:tblPr>
        <w:tblW w:w="8850" w:type="dxa"/>
        <w:jc w:val="center"/>
        <w:tblCellMar>
          <w:left w:w="70" w:type="dxa"/>
          <w:right w:w="70" w:type="dxa"/>
        </w:tblCellMar>
        <w:tblLook w:val="04A0" w:firstRow="1" w:lastRow="0" w:firstColumn="1" w:lastColumn="0" w:noHBand="0" w:noVBand="1"/>
      </w:tblPr>
      <w:tblGrid>
        <w:gridCol w:w="852"/>
        <w:gridCol w:w="1566"/>
        <w:gridCol w:w="840"/>
        <w:gridCol w:w="840"/>
        <w:gridCol w:w="840"/>
        <w:gridCol w:w="840"/>
        <w:gridCol w:w="840"/>
        <w:gridCol w:w="1363"/>
        <w:gridCol w:w="1130"/>
      </w:tblGrid>
      <w:tr w:rsidR="006A2C20" w:rsidRPr="00F7521C" w14:paraId="26ABD4C8" w14:textId="77777777" w:rsidTr="006A2C20">
        <w:trPr>
          <w:trHeight w:val="504"/>
          <w:jc w:val="center"/>
        </w:trPr>
        <w:tc>
          <w:tcPr>
            <w:tcW w:w="822" w:type="dxa"/>
            <w:vMerge w:val="restart"/>
            <w:tcBorders>
              <w:top w:val="single" w:sz="4" w:space="0" w:color="auto"/>
              <w:left w:val="single" w:sz="4" w:space="0" w:color="auto"/>
              <w:bottom w:val="single" w:sz="4" w:space="0" w:color="auto"/>
              <w:right w:val="single" w:sz="4" w:space="0" w:color="auto"/>
            </w:tcBorders>
            <w:shd w:val="clear" w:color="000000" w:fill="D6DCE4"/>
            <w:noWrap/>
            <w:vAlign w:val="center"/>
            <w:hideMark/>
          </w:tcPr>
          <w:p w14:paraId="5C14E5F3" w14:textId="77777777" w:rsidR="00D30644" w:rsidRPr="00F7521C" w:rsidRDefault="00D30644" w:rsidP="00D30644">
            <w:pPr>
              <w:rPr>
                <w:b/>
                <w:bCs/>
                <w:lang w:val="es-MX" w:eastAsia="es-MX"/>
              </w:rPr>
            </w:pPr>
            <w:r w:rsidRPr="00F7521C">
              <w:rPr>
                <w:b/>
                <w:bCs/>
                <w:lang w:val="es-MX" w:eastAsia="es-MX"/>
              </w:rPr>
              <w:t>Posición</w:t>
            </w:r>
          </w:p>
        </w:tc>
        <w:tc>
          <w:tcPr>
            <w:tcW w:w="1566" w:type="dxa"/>
            <w:vMerge w:val="restart"/>
            <w:tcBorders>
              <w:top w:val="single" w:sz="4" w:space="0" w:color="auto"/>
              <w:left w:val="single" w:sz="4" w:space="0" w:color="auto"/>
              <w:bottom w:val="single" w:sz="4" w:space="0" w:color="auto"/>
              <w:right w:val="single" w:sz="4" w:space="0" w:color="auto"/>
            </w:tcBorders>
            <w:shd w:val="clear" w:color="000000" w:fill="D6DCE4"/>
            <w:noWrap/>
            <w:vAlign w:val="center"/>
            <w:hideMark/>
          </w:tcPr>
          <w:p w14:paraId="28C67BA3" w14:textId="77777777" w:rsidR="00D30644" w:rsidRPr="00F7521C" w:rsidRDefault="00D30644" w:rsidP="00D30644">
            <w:pPr>
              <w:jc w:val="center"/>
              <w:rPr>
                <w:b/>
                <w:bCs/>
                <w:lang w:val="es-MX" w:eastAsia="es-MX"/>
              </w:rPr>
            </w:pPr>
            <w:r w:rsidRPr="00F7521C">
              <w:rPr>
                <w:b/>
                <w:bCs/>
                <w:lang w:val="es-MX" w:eastAsia="es-MX"/>
              </w:rPr>
              <w:t>Exportaciones Totales</w:t>
            </w:r>
          </w:p>
        </w:tc>
        <w:tc>
          <w:tcPr>
            <w:tcW w:w="811" w:type="dxa"/>
            <w:vMerge w:val="restart"/>
            <w:tcBorders>
              <w:top w:val="single" w:sz="4" w:space="0" w:color="auto"/>
              <w:left w:val="single" w:sz="4" w:space="0" w:color="auto"/>
              <w:bottom w:val="single" w:sz="4" w:space="0" w:color="auto"/>
              <w:right w:val="single" w:sz="4" w:space="0" w:color="auto"/>
            </w:tcBorders>
            <w:shd w:val="clear" w:color="000000" w:fill="D6DCE4"/>
            <w:noWrap/>
            <w:vAlign w:val="center"/>
            <w:hideMark/>
          </w:tcPr>
          <w:p w14:paraId="6181E651" w14:textId="77777777" w:rsidR="00D30644" w:rsidRPr="00F7521C" w:rsidRDefault="00D30644" w:rsidP="00D30644">
            <w:pPr>
              <w:jc w:val="center"/>
              <w:rPr>
                <w:b/>
                <w:bCs/>
                <w:lang w:val="es-MX" w:eastAsia="es-MX"/>
              </w:rPr>
            </w:pPr>
            <w:r w:rsidRPr="00F7521C">
              <w:rPr>
                <w:b/>
                <w:bCs/>
                <w:lang w:val="es-MX" w:eastAsia="es-MX"/>
              </w:rPr>
              <w:t>2015</w:t>
            </w:r>
          </w:p>
        </w:tc>
        <w:tc>
          <w:tcPr>
            <w:tcW w:w="811" w:type="dxa"/>
            <w:vMerge w:val="restart"/>
            <w:tcBorders>
              <w:top w:val="single" w:sz="4" w:space="0" w:color="auto"/>
              <w:left w:val="single" w:sz="4" w:space="0" w:color="auto"/>
              <w:bottom w:val="single" w:sz="4" w:space="0" w:color="auto"/>
              <w:right w:val="single" w:sz="4" w:space="0" w:color="auto"/>
            </w:tcBorders>
            <w:shd w:val="clear" w:color="000000" w:fill="D6DCE4"/>
            <w:noWrap/>
            <w:vAlign w:val="center"/>
            <w:hideMark/>
          </w:tcPr>
          <w:p w14:paraId="4F6DA3EA" w14:textId="77777777" w:rsidR="00D30644" w:rsidRPr="00F7521C" w:rsidRDefault="00D30644" w:rsidP="00D30644">
            <w:pPr>
              <w:jc w:val="center"/>
              <w:rPr>
                <w:b/>
                <w:bCs/>
                <w:lang w:val="es-MX" w:eastAsia="es-MX"/>
              </w:rPr>
            </w:pPr>
            <w:r w:rsidRPr="00F7521C">
              <w:rPr>
                <w:b/>
                <w:bCs/>
                <w:lang w:val="es-MX" w:eastAsia="es-MX"/>
              </w:rPr>
              <w:t>2016</w:t>
            </w:r>
          </w:p>
        </w:tc>
        <w:tc>
          <w:tcPr>
            <w:tcW w:w="811" w:type="dxa"/>
            <w:vMerge w:val="restart"/>
            <w:tcBorders>
              <w:top w:val="single" w:sz="4" w:space="0" w:color="auto"/>
              <w:left w:val="single" w:sz="4" w:space="0" w:color="auto"/>
              <w:bottom w:val="single" w:sz="4" w:space="0" w:color="auto"/>
              <w:right w:val="single" w:sz="4" w:space="0" w:color="auto"/>
            </w:tcBorders>
            <w:shd w:val="clear" w:color="000000" w:fill="D6DCE4"/>
            <w:noWrap/>
            <w:vAlign w:val="center"/>
            <w:hideMark/>
          </w:tcPr>
          <w:p w14:paraId="3C3636D4" w14:textId="77777777" w:rsidR="00D30644" w:rsidRPr="00F7521C" w:rsidRDefault="00D30644" w:rsidP="00D30644">
            <w:pPr>
              <w:jc w:val="center"/>
              <w:rPr>
                <w:b/>
                <w:bCs/>
                <w:lang w:val="es-MX" w:eastAsia="es-MX"/>
              </w:rPr>
            </w:pPr>
            <w:r w:rsidRPr="00F7521C">
              <w:rPr>
                <w:b/>
                <w:bCs/>
                <w:lang w:val="es-MX" w:eastAsia="es-MX"/>
              </w:rPr>
              <w:t>2017</w:t>
            </w:r>
          </w:p>
        </w:tc>
        <w:tc>
          <w:tcPr>
            <w:tcW w:w="811" w:type="dxa"/>
            <w:vMerge w:val="restart"/>
            <w:tcBorders>
              <w:top w:val="single" w:sz="4" w:space="0" w:color="auto"/>
              <w:left w:val="single" w:sz="4" w:space="0" w:color="auto"/>
              <w:bottom w:val="single" w:sz="4" w:space="0" w:color="auto"/>
              <w:right w:val="single" w:sz="4" w:space="0" w:color="auto"/>
            </w:tcBorders>
            <w:shd w:val="clear" w:color="000000" w:fill="D6DCE4"/>
            <w:noWrap/>
            <w:vAlign w:val="center"/>
            <w:hideMark/>
          </w:tcPr>
          <w:p w14:paraId="06E22F4C" w14:textId="77777777" w:rsidR="00D30644" w:rsidRPr="00F7521C" w:rsidRDefault="00D30644" w:rsidP="00D30644">
            <w:pPr>
              <w:jc w:val="center"/>
              <w:rPr>
                <w:b/>
                <w:bCs/>
                <w:lang w:val="es-MX" w:eastAsia="es-MX"/>
              </w:rPr>
            </w:pPr>
            <w:r w:rsidRPr="00F7521C">
              <w:rPr>
                <w:b/>
                <w:bCs/>
                <w:lang w:val="es-MX" w:eastAsia="es-MX"/>
              </w:rPr>
              <w:t>2018</w:t>
            </w:r>
          </w:p>
        </w:tc>
        <w:tc>
          <w:tcPr>
            <w:tcW w:w="811" w:type="dxa"/>
            <w:vMerge w:val="restart"/>
            <w:tcBorders>
              <w:top w:val="single" w:sz="4" w:space="0" w:color="auto"/>
              <w:left w:val="single" w:sz="4" w:space="0" w:color="auto"/>
              <w:bottom w:val="single" w:sz="4" w:space="0" w:color="auto"/>
              <w:right w:val="single" w:sz="4" w:space="0" w:color="auto"/>
            </w:tcBorders>
            <w:shd w:val="clear" w:color="000000" w:fill="D6DCE4"/>
            <w:noWrap/>
            <w:vAlign w:val="center"/>
            <w:hideMark/>
          </w:tcPr>
          <w:p w14:paraId="2E3D26A4" w14:textId="77777777" w:rsidR="00D30644" w:rsidRPr="00F7521C" w:rsidRDefault="00D30644" w:rsidP="00D30644">
            <w:pPr>
              <w:jc w:val="center"/>
              <w:rPr>
                <w:b/>
                <w:bCs/>
                <w:lang w:val="es-MX" w:eastAsia="es-MX"/>
              </w:rPr>
            </w:pPr>
            <w:r w:rsidRPr="00F7521C">
              <w:rPr>
                <w:b/>
                <w:bCs/>
                <w:lang w:val="es-MX" w:eastAsia="es-MX"/>
              </w:rPr>
              <w:t>2019 p/</w:t>
            </w:r>
          </w:p>
        </w:tc>
        <w:tc>
          <w:tcPr>
            <w:tcW w:w="1316" w:type="dxa"/>
            <w:vMerge w:val="restart"/>
            <w:tcBorders>
              <w:top w:val="single" w:sz="4" w:space="0" w:color="auto"/>
              <w:left w:val="single" w:sz="4" w:space="0" w:color="auto"/>
              <w:bottom w:val="single" w:sz="4" w:space="0" w:color="auto"/>
              <w:right w:val="single" w:sz="4" w:space="0" w:color="auto"/>
            </w:tcBorders>
            <w:shd w:val="clear" w:color="000000" w:fill="D6DCE4"/>
            <w:vAlign w:val="center"/>
            <w:hideMark/>
          </w:tcPr>
          <w:p w14:paraId="7B00259C" w14:textId="77777777" w:rsidR="00D30644" w:rsidRPr="00F7521C" w:rsidRDefault="00D30644" w:rsidP="00D30644">
            <w:pPr>
              <w:jc w:val="center"/>
              <w:rPr>
                <w:b/>
                <w:bCs/>
                <w:lang w:val="es-MX" w:eastAsia="es-MX"/>
              </w:rPr>
            </w:pPr>
            <w:r w:rsidRPr="00F7521C">
              <w:rPr>
                <w:b/>
                <w:bCs/>
                <w:lang w:val="es-MX" w:eastAsia="es-MX"/>
              </w:rPr>
              <w:t>Participación Exportaciones   2019</w:t>
            </w:r>
          </w:p>
        </w:tc>
        <w:tc>
          <w:tcPr>
            <w:tcW w:w="1091" w:type="dxa"/>
            <w:vMerge w:val="restart"/>
            <w:tcBorders>
              <w:top w:val="single" w:sz="4" w:space="0" w:color="auto"/>
              <w:left w:val="single" w:sz="4" w:space="0" w:color="auto"/>
              <w:bottom w:val="single" w:sz="4" w:space="0" w:color="auto"/>
              <w:right w:val="single" w:sz="4" w:space="0" w:color="auto"/>
            </w:tcBorders>
            <w:shd w:val="clear" w:color="000000" w:fill="D6DCE4"/>
            <w:vAlign w:val="center"/>
            <w:hideMark/>
          </w:tcPr>
          <w:p w14:paraId="4FAFCF2D" w14:textId="77777777" w:rsidR="00D30644" w:rsidRPr="00F7521C" w:rsidRDefault="00D30644" w:rsidP="00D30644">
            <w:pPr>
              <w:jc w:val="center"/>
              <w:rPr>
                <w:b/>
                <w:bCs/>
                <w:lang w:val="es-MX" w:eastAsia="es-MX"/>
              </w:rPr>
            </w:pPr>
            <w:r w:rsidRPr="00F7521C">
              <w:rPr>
                <w:b/>
                <w:bCs/>
                <w:lang w:val="es-MX" w:eastAsia="es-MX"/>
              </w:rPr>
              <w:t>Acumulado %</w:t>
            </w:r>
          </w:p>
        </w:tc>
      </w:tr>
      <w:tr w:rsidR="00D30644" w:rsidRPr="00F7521C" w14:paraId="5924B24F" w14:textId="77777777" w:rsidTr="006A2C20">
        <w:trPr>
          <w:trHeight w:val="504"/>
          <w:jc w:val="center"/>
        </w:trPr>
        <w:tc>
          <w:tcPr>
            <w:tcW w:w="822" w:type="dxa"/>
            <w:vMerge/>
            <w:tcBorders>
              <w:top w:val="single" w:sz="4" w:space="0" w:color="auto"/>
              <w:left w:val="single" w:sz="4" w:space="0" w:color="auto"/>
              <w:bottom w:val="single" w:sz="4" w:space="0" w:color="auto"/>
              <w:right w:val="single" w:sz="4" w:space="0" w:color="auto"/>
            </w:tcBorders>
            <w:vAlign w:val="center"/>
            <w:hideMark/>
          </w:tcPr>
          <w:p w14:paraId="290EB18F" w14:textId="77777777" w:rsidR="00D30644" w:rsidRPr="00F7521C" w:rsidRDefault="00D30644" w:rsidP="00D30644">
            <w:pPr>
              <w:rPr>
                <w:b/>
                <w:bCs/>
                <w:lang w:val="es-MX" w:eastAsia="es-MX"/>
              </w:rPr>
            </w:pPr>
          </w:p>
        </w:tc>
        <w:tc>
          <w:tcPr>
            <w:tcW w:w="1566" w:type="dxa"/>
            <w:vMerge/>
            <w:tcBorders>
              <w:top w:val="single" w:sz="4" w:space="0" w:color="auto"/>
              <w:left w:val="single" w:sz="4" w:space="0" w:color="auto"/>
              <w:bottom w:val="single" w:sz="4" w:space="0" w:color="auto"/>
              <w:right w:val="single" w:sz="4" w:space="0" w:color="auto"/>
            </w:tcBorders>
            <w:vAlign w:val="center"/>
            <w:hideMark/>
          </w:tcPr>
          <w:p w14:paraId="33BE7791" w14:textId="77777777" w:rsidR="00D30644" w:rsidRPr="00F7521C" w:rsidRDefault="00D30644" w:rsidP="00D30644">
            <w:pPr>
              <w:rPr>
                <w:b/>
                <w:bCs/>
                <w:lang w:val="es-MX" w:eastAsia="es-MX"/>
              </w:rPr>
            </w:pPr>
          </w:p>
        </w:tc>
        <w:tc>
          <w:tcPr>
            <w:tcW w:w="811" w:type="dxa"/>
            <w:vMerge/>
            <w:tcBorders>
              <w:top w:val="single" w:sz="4" w:space="0" w:color="auto"/>
              <w:left w:val="single" w:sz="4" w:space="0" w:color="auto"/>
              <w:bottom w:val="single" w:sz="4" w:space="0" w:color="auto"/>
              <w:right w:val="single" w:sz="4" w:space="0" w:color="auto"/>
            </w:tcBorders>
            <w:vAlign w:val="center"/>
            <w:hideMark/>
          </w:tcPr>
          <w:p w14:paraId="2CFDCD7E" w14:textId="77777777" w:rsidR="00D30644" w:rsidRPr="00F7521C" w:rsidRDefault="00D30644" w:rsidP="00D30644">
            <w:pPr>
              <w:rPr>
                <w:b/>
                <w:bCs/>
                <w:lang w:val="es-MX" w:eastAsia="es-MX"/>
              </w:rPr>
            </w:pPr>
          </w:p>
        </w:tc>
        <w:tc>
          <w:tcPr>
            <w:tcW w:w="811" w:type="dxa"/>
            <w:vMerge/>
            <w:tcBorders>
              <w:top w:val="single" w:sz="4" w:space="0" w:color="auto"/>
              <w:left w:val="single" w:sz="4" w:space="0" w:color="auto"/>
              <w:bottom w:val="single" w:sz="4" w:space="0" w:color="auto"/>
              <w:right w:val="single" w:sz="4" w:space="0" w:color="auto"/>
            </w:tcBorders>
            <w:vAlign w:val="center"/>
            <w:hideMark/>
          </w:tcPr>
          <w:p w14:paraId="1FC1301E" w14:textId="77777777" w:rsidR="00D30644" w:rsidRPr="00F7521C" w:rsidRDefault="00D30644" w:rsidP="00D30644">
            <w:pPr>
              <w:rPr>
                <w:b/>
                <w:bCs/>
                <w:lang w:val="es-MX" w:eastAsia="es-MX"/>
              </w:rPr>
            </w:pPr>
          </w:p>
        </w:tc>
        <w:tc>
          <w:tcPr>
            <w:tcW w:w="811" w:type="dxa"/>
            <w:vMerge/>
            <w:tcBorders>
              <w:top w:val="single" w:sz="4" w:space="0" w:color="auto"/>
              <w:left w:val="single" w:sz="4" w:space="0" w:color="auto"/>
              <w:bottom w:val="single" w:sz="4" w:space="0" w:color="auto"/>
              <w:right w:val="single" w:sz="4" w:space="0" w:color="auto"/>
            </w:tcBorders>
            <w:vAlign w:val="center"/>
            <w:hideMark/>
          </w:tcPr>
          <w:p w14:paraId="515FC477" w14:textId="77777777" w:rsidR="00D30644" w:rsidRPr="00F7521C" w:rsidRDefault="00D30644" w:rsidP="00D30644">
            <w:pPr>
              <w:rPr>
                <w:b/>
                <w:bCs/>
                <w:lang w:val="es-MX" w:eastAsia="es-MX"/>
              </w:rPr>
            </w:pPr>
          </w:p>
        </w:tc>
        <w:tc>
          <w:tcPr>
            <w:tcW w:w="811" w:type="dxa"/>
            <w:vMerge/>
            <w:tcBorders>
              <w:top w:val="single" w:sz="4" w:space="0" w:color="auto"/>
              <w:left w:val="single" w:sz="4" w:space="0" w:color="auto"/>
              <w:bottom w:val="single" w:sz="4" w:space="0" w:color="auto"/>
              <w:right w:val="single" w:sz="4" w:space="0" w:color="auto"/>
            </w:tcBorders>
            <w:vAlign w:val="center"/>
            <w:hideMark/>
          </w:tcPr>
          <w:p w14:paraId="6200F3B4" w14:textId="77777777" w:rsidR="00D30644" w:rsidRPr="00F7521C" w:rsidRDefault="00D30644" w:rsidP="00D30644">
            <w:pPr>
              <w:rPr>
                <w:b/>
                <w:bCs/>
                <w:lang w:val="es-MX" w:eastAsia="es-MX"/>
              </w:rPr>
            </w:pPr>
          </w:p>
        </w:tc>
        <w:tc>
          <w:tcPr>
            <w:tcW w:w="811" w:type="dxa"/>
            <w:vMerge/>
            <w:tcBorders>
              <w:top w:val="single" w:sz="4" w:space="0" w:color="auto"/>
              <w:left w:val="single" w:sz="4" w:space="0" w:color="auto"/>
              <w:bottom w:val="single" w:sz="4" w:space="0" w:color="auto"/>
              <w:right w:val="single" w:sz="4" w:space="0" w:color="auto"/>
            </w:tcBorders>
            <w:vAlign w:val="center"/>
            <w:hideMark/>
          </w:tcPr>
          <w:p w14:paraId="59921E80" w14:textId="77777777" w:rsidR="00D30644" w:rsidRPr="00F7521C" w:rsidRDefault="00D30644" w:rsidP="00D30644">
            <w:pPr>
              <w:rPr>
                <w:b/>
                <w:bCs/>
                <w:lang w:val="es-MX" w:eastAsia="es-MX"/>
              </w:rPr>
            </w:pPr>
          </w:p>
        </w:tc>
        <w:tc>
          <w:tcPr>
            <w:tcW w:w="1316" w:type="dxa"/>
            <w:vMerge/>
            <w:tcBorders>
              <w:top w:val="single" w:sz="4" w:space="0" w:color="auto"/>
              <w:left w:val="single" w:sz="4" w:space="0" w:color="auto"/>
              <w:bottom w:val="single" w:sz="4" w:space="0" w:color="auto"/>
              <w:right w:val="single" w:sz="4" w:space="0" w:color="auto"/>
            </w:tcBorders>
            <w:vAlign w:val="center"/>
            <w:hideMark/>
          </w:tcPr>
          <w:p w14:paraId="55A8F3BC" w14:textId="77777777" w:rsidR="00D30644" w:rsidRPr="00F7521C" w:rsidRDefault="00D30644" w:rsidP="00D30644">
            <w:pPr>
              <w:rPr>
                <w:b/>
                <w:bCs/>
                <w:lang w:val="es-MX" w:eastAsia="es-MX"/>
              </w:rPr>
            </w:pPr>
          </w:p>
        </w:tc>
        <w:tc>
          <w:tcPr>
            <w:tcW w:w="1091" w:type="dxa"/>
            <w:vMerge/>
            <w:tcBorders>
              <w:top w:val="single" w:sz="4" w:space="0" w:color="auto"/>
              <w:left w:val="single" w:sz="4" w:space="0" w:color="auto"/>
              <w:bottom w:val="single" w:sz="4" w:space="0" w:color="auto"/>
              <w:right w:val="single" w:sz="4" w:space="0" w:color="auto"/>
            </w:tcBorders>
            <w:vAlign w:val="center"/>
            <w:hideMark/>
          </w:tcPr>
          <w:p w14:paraId="4D9B47F7" w14:textId="77777777" w:rsidR="00D30644" w:rsidRPr="00F7521C" w:rsidRDefault="00D30644" w:rsidP="00D30644">
            <w:pPr>
              <w:rPr>
                <w:b/>
                <w:bCs/>
                <w:lang w:val="es-MX" w:eastAsia="es-MX"/>
              </w:rPr>
            </w:pPr>
          </w:p>
        </w:tc>
      </w:tr>
      <w:tr w:rsidR="006A2C20" w:rsidRPr="00F7521C" w14:paraId="332420B8" w14:textId="77777777" w:rsidTr="006A2C20">
        <w:trPr>
          <w:trHeight w:val="240"/>
          <w:jc w:val="center"/>
        </w:trPr>
        <w:tc>
          <w:tcPr>
            <w:tcW w:w="822" w:type="dxa"/>
            <w:vMerge/>
            <w:tcBorders>
              <w:top w:val="single" w:sz="4" w:space="0" w:color="auto"/>
              <w:left w:val="single" w:sz="4" w:space="0" w:color="auto"/>
              <w:bottom w:val="single" w:sz="4" w:space="0" w:color="auto"/>
              <w:right w:val="single" w:sz="4" w:space="0" w:color="auto"/>
            </w:tcBorders>
            <w:vAlign w:val="center"/>
            <w:hideMark/>
          </w:tcPr>
          <w:p w14:paraId="6FD969E5" w14:textId="77777777" w:rsidR="00D30644" w:rsidRPr="00F7521C" w:rsidRDefault="00D30644" w:rsidP="00D30644">
            <w:pPr>
              <w:rPr>
                <w:b/>
                <w:bCs/>
                <w:lang w:val="es-MX" w:eastAsia="es-MX"/>
              </w:rPr>
            </w:pPr>
          </w:p>
        </w:tc>
        <w:tc>
          <w:tcPr>
            <w:tcW w:w="1566" w:type="dxa"/>
            <w:vMerge/>
            <w:tcBorders>
              <w:top w:val="single" w:sz="4" w:space="0" w:color="auto"/>
              <w:left w:val="single" w:sz="4" w:space="0" w:color="auto"/>
              <w:bottom w:val="single" w:sz="4" w:space="0" w:color="auto"/>
              <w:right w:val="single" w:sz="4" w:space="0" w:color="auto"/>
            </w:tcBorders>
            <w:vAlign w:val="center"/>
            <w:hideMark/>
          </w:tcPr>
          <w:p w14:paraId="02C0774C" w14:textId="77777777" w:rsidR="00D30644" w:rsidRPr="00F7521C" w:rsidRDefault="00D30644" w:rsidP="00D30644">
            <w:pPr>
              <w:rPr>
                <w:b/>
                <w:bCs/>
                <w:lang w:val="es-MX" w:eastAsia="es-MX"/>
              </w:rPr>
            </w:pPr>
          </w:p>
        </w:tc>
        <w:tc>
          <w:tcPr>
            <w:tcW w:w="811" w:type="dxa"/>
            <w:tcBorders>
              <w:top w:val="nil"/>
              <w:left w:val="nil"/>
              <w:bottom w:val="single" w:sz="4" w:space="0" w:color="auto"/>
              <w:right w:val="single" w:sz="4" w:space="0" w:color="auto"/>
            </w:tcBorders>
            <w:shd w:val="clear" w:color="000000" w:fill="D6DCE4"/>
            <w:noWrap/>
            <w:vAlign w:val="center"/>
            <w:hideMark/>
          </w:tcPr>
          <w:p w14:paraId="2CAD50E3" w14:textId="77777777" w:rsidR="00D30644" w:rsidRPr="00F7521C" w:rsidRDefault="00D30644" w:rsidP="00D30644">
            <w:pPr>
              <w:jc w:val="right"/>
              <w:rPr>
                <w:lang w:val="es-MX" w:eastAsia="es-MX"/>
              </w:rPr>
            </w:pPr>
            <w:r w:rsidRPr="00F7521C">
              <w:rPr>
                <w:lang w:val="es-MX" w:eastAsia="es-MX"/>
              </w:rPr>
              <w:t>10,674.8</w:t>
            </w:r>
          </w:p>
        </w:tc>
        <w:tc>
          <w:tcPr>
            <w:tcW w:w="811" w:type="dxa"/>
            <w:tcBorders>
              <w:top w:val="nil"/>
              <w:left w:val="nil"/>
              <w:bottom w:val="single" w:sz="4" w:space="0" w:color="auto"/>
              <w:right w:val="single" w:sz="4" w:space="0" w:color="auto"/>
            </w:tcBorders>
            <w:shd w:val="clear" w:color="000000" w:fill="D6DCE4"/>
            <w:noWrap/>
            <w:vAlign w:val="center"/>
            <w:hideMark/>
          </w:tcPr>
          <w:p w14:paraId="1004E9BD" w14:textId="77777777" w:rsidR="00D30644" w:rsidRPr="00F7521C" w:rsidRDefault="00D30644" w:rsidP="00D30644">
            <w:pPr>
              <w:jc w:val="right"/>
              <w:rPr>
                <w:lang w:val="es-MX" w:eastAsia="es-MX"/>
              </w:rPr>
            </w:pPr>
            <w:r w:rsidRPr="00F7521C">
              <w:rPr>
                <w:lang w:val="es-MX" w:eastAsia="es-MX"/>
              </w:rPr>
              <w:t>10,449.3</w:t>
            </w:r>
          </w:p>
        </w:tc>
        <w:tc>
          <w:tcPr>
            <w:tcW w:w="811" w:type="dxa"/>
            <w:tcBorders>
              <w:top w:val="nil"/>
              <w:left w:val="nil"/>
              <w:bottom w:val="single" w:sz="4" w:space="0" w:color="auto"/>
              <w:right w:val="single" w:sz="4" w:space="0" w:color="auto"/>
            </w:tcBorders>
            <w:shd w:val="clear" w:color="000000" w:fill="D6DCE4"/>
            <w:noWrap/>
            <w:vAlign w:val="center"/>
            <w:hideMark/>
          </w:tcPr>
          <w:p w14:paraId="2787B6E7" w14:textId="77777777" w:rsidR="00D30644" w:rsidRPr="00F7521C" w:rsidRDefault="00D30644" w:rsidP="00D30644">
            <w:pPr>
              <w:jc w:val="right"/>
              <w:rPr>
                <w:lang w:val="es-MX" w:eastAsia="es-MX"/>
              </w:rPr>
            </w:pPr>
            <w:r w:rsidRPr="00F7521C">
              <w:rPr>
                <w:lang w:val="es-MX" w:eastAsia="es-MX"/>
              </w:rPr>
              <w:t>10,982.4</w:t>
            </w:r>
          </w:p>
        </w:tc>
        <w:tc>
          <w:tcPr>
            <w:tcW w:w="811" w:type="dxa"/>
            <w:tcBorders>
              <w:top w:val="nil"/>
              <w:left w:val="nil"/>
              <w:bottom w:val="single" w:sz="4" w:space="0" w:color="auto"/>
              <w:right w:val="single" w:sz="4" w:space="0" w:color="auto"/>
            </w:tcBorders>
            <w:shd w:val="clear" w:color="000000" w:fill="D6DCE4"/>
            <w:noWrap/>
            <w:vAlign w:val="center"/>
            <w:hideMark/>
          </w:tcPr>
          <w:p w14:paraId="1C807B16" w14:textId="77777777" w:rsidR="00D30644" w:rsidRPr="00F7521C" w:rsidRDefault="00D30644" w:rsidP="00D30644">
            <w:pPr>
              <w:jc w:val="right"/>
              <w:rPr>
                <w:lang w:val="es-MX" w:eastAsia="es-MX"/>
              </w:rPr>
            </w:pPr>
            <w:r w:rsidRPr="00F7521C">
              <w:rPr>
                <w:lang w:val="es-MX" w:eastAsia="es-MX"/>
              </w:rPr>
              <w:t>10,969.6</w:t>
            </w:r>
          </w:p>
        </w:tc>
        <w:tc>
          <w:tcPr>
            <w:tcW w:w="811" w:type="dxa"/>
            <w:tcBorders>
              <w:top w:val="nil"/>
              <w:left w:val="nil"/>
              <w:bottom w:val="single" w:sz="4" w:space="0" w:color="auto"/>
              <w:right w:val="single" w:sz="4" w:space="0" w:color="auto"/>
            </w:tcBorders>
            <w:shd w:val="clear" w:color="000000" w:fill="D6DCE4"/>
            <w:noWrap/>
            <w:vAlign w:val="center"/>
            <w:hideMark/>
          </w:tcPr>
          <w:p w14:paraId="07FEB331" w14:textId="77777777" w:rsidR="00D30644" w:rsidRPr="00F7521C" w:rsidRDefault="00D30644" w:rsidP="00D30644">
            <w:pPr>
              <w:jc w:val="right"/>
              <w:rPr>
                <w:lang w:val="es-MX" w:eastAsia="es-MX"/>
              </w:rPr>
            </w:pPr>
            <w:r w:rsidRPr="00F7521C">
              <w:rPr>
                <w:lang w:val="es-MX" w:eastAsia="es-MX"/>
              </w:rPr>
              <w:t>11,176.5</w:t>
            </w:r>
          </w:p>
        </w:tc>
        <w:tc>
          <w:tcPr>
            <w:tcW w:w="1316" w:type="dxa"/>
            <w:vMerge/>
            <w:tcBorders>
              <w:top w:val="single" w:sz="4" w:space="0" w:color="auto"/>
              <w:left w:val="single" w:sz="4" w:space="0" w:color="auto"/>
              <w:bottom w:val="single" w:sz="4" w:space="0" w:color="auto"/>
              <w:right w:val="single" w:sz="4" w:space="0" w:color="auto"/>
            </w:tcBorders>
            <w:vAlign w:val="center"/>
            <w:hideMark/>
          </w:tcPr>
          <w:p w14:paraId="512D1B1E" w14:textId="77777777" w:rsidR="00D30644" w:rsidRPr="00F7521C" w:rsidRDefault="00D30644" w:rsidP="00D30644">
            <w:pPr>
              <w:rPr>
                <w:b/>
                <w:bCs/>
                <w:lang w:val="es-MX" w:eastAsia="es-MX"/>
              </w:rPr>
            </w:pPr>
          </w:p>
        </w:tc>
        <w:tc>
          <w:tcPr>
            <w:tcW w:w="1091" w:type="dxa"/>
            <w:vMerge/>
            <w:tcBorders>
              <w:top w:val="single" w:sz="4" w:space="0" w:color="auto"/>
              <w:left w:val="single" w:sz="4" w:space="0" w:color="auto"/>
              <w:bottom w:val="single" w:sz="4" w:space="0" w:color="auto"/>
              <w:right w:val="single" w:sz="4" w:space="0" w:color="auto"/>
            </w:tcBorders>
            <w:vAlign w:val="center"/>
            <w:hideMark/>
          </w:tcPr>
          <w:p w14:paraId="4A763034" w14:textId="77777777" w:rsidR="00D30644" w:rsidRPr="00F7521C" w:rsidRDefault="00D30644" w:rsidP="00D30644">
            <w:pPr>
              <w:rPr>
                <w:b/>
                <w:bCs/>
                <w:lang w:val="es-MX" w:eastAsia="es-MX"/>
              </w:rPr>
            </w:pPr>
          </w:p>
        </w:tc>
      </w:tr>
      <w:tr w:rsidR="006A2C20" w:rsidRPr="00F7521C" w14:paraId="5AA3306C" w14:textId="77777777" w:rsidTr="006A2C20">
        <w:trPr>
          <w:trHeight w:val="165"/>
          <w:jc w:val="center"/>
        </w:trPr>
        <w:tc>
          <w:tcPr>
            <w:tcW w:w="822" w:type="dxa"/>
            <w:tcBorders>
              <w:top w:val="nil"/>
              <w:left w:val="single" w:sz="4" w:space="0" w:color="auto"/>
              <w:bottom w:val="single" w:sz="4" w:space="0" w:color="auto"/>
              <w:right w:val="single" w:sz="4" w:space="0" w:color="auto"/>
            </w:tcBorders>
            <w:shd w:val="clear" w:color="000000" w:fill="FFFFFF"/>
            <w:noWrap/>
            <w:vAlign w:val="center"/>
            <w:hideMark/>
          </w:tcPr>
          <w:p w14:paraId="0C0806EB" w14:textId="77777777" w:rsidR="00D30644" w:rsidRPr="00F7521C" w:rsidRDefault="00D30644" w:rsidP="00D30644">
            <w:pPr>
              <w:jc w:val="center"/>
              <w:rPr>
                <w:lang w:val="es-MX" w:eastAsia="es-MX"/>
              </w:rPr>
            </w:pPr>
            <w:r w:rsidRPr="00F7521C">
              <w:rPr>
                <w:lang w:val="es-MX" w:eastAsia="es-MX"/>
              </w:rPr>
              <w:t>1</w:t>
            </w:r>
          </w:p>
        </w:tc>
        <w:tc>
          <w:tcPr>
            <w:tcW w:w="1566" w:type="dxa"/>
            <w:tcBorders>
              <w:top w:val="nil"/>
              <w:left w:val="nil"/>
              <w:bottom w:val="single" w:sz="4" w:space="0" w:color="auto"/>
              <w:right w:val="single" w:sz="4" w:space="0" w:color="auto"/>
            </w:tcBorders>
            <w:shd w:val="clear" w:color="000000" w:fill="FFFFFF"/>
            <w:noWrap/>
            <w:vAlign w:val="bottom"/>
            <w:hideMark/>
          </w:tcPr>
          <w:p w14:paraId="2AFE1135" w14:textId="77777777" w:rsidR="00D30644" w:rsidRPr="00F7521C" w:rsidRDefault="00D30644" w:rsidP="00D30644">
            <w:pPr>
              <w:rPr>
                <w:lang w:val="es-MX" w:eastAsia="es-MX"/>
              </w:rPr>
            </w:pPr>
            <w:r w:rsidRPr="00F7521C">
              <w:rPr>
                <w:lang w:val="es-MX" w:eastAsia="es-MX"/>
              </w:rPr>
              <w:t>Artículos de vestuario</w:t>
            </w:r>
          </w:p>
        </w:tc>
        <w:tc>
          <w:tcPr>
            <w:tcW w:w="811" w:type="dxa"/>
            <w:tcBorders>
              <w:top w:val="nil"/>
              <w:left w:val="nil"/>
              <w:bottom w:val="single" w:sz="4" w:space="0" w:color="auto"/>
              <w:right w:val="single" w:sz="4" w:space="0" w:color="auto"/>
            </w:tcBorders>
            <w:shd w:val="clear" w:color="000000" w:fill="FFFFFF"/>
            <w:noWrap/>
            <w:vAlign w:val="center"/>
            <w:hideMark/>
          </w:tcPr>
          <w:p w14:paraId="6FE6DBB1" w14:textId="77777777" w:rsidR="00D30644" w:rsidRPr="00F7521C" w:rsidRDefault="00D30644" w:rsidP="00D30644">
            <w:pPr>
              <w:jc w:val="right"/>
              <w:rPr>
                <w:lang w:val="es-MX" w:eastAsia="es-MX"/>
              </w:rPr>
            </w:pPr>
            <w:r w:rsidRPr="00F7521C">
              <w:rPr>
                <w:lang w:val="es-MX" w:eastAsia="es-MX"/>
              </w:rPr>
              <w:t>1,325.0</w:t>
            </w:r>
          </w:p>
        </w:tc>
        <w:tc>
          <w:tcPr>
            <w:tcW w:w="811" w:type="dxa"/>
            <w:tcBorders>
              <w:top w:val="nil"/>
              <w:left w:val="nil"/>
              <w:bottom w:val="single" w:sz="4" w:space="0" w:color="auto"/>
              <w:right w:val="single" w:sz="4" w:space="0" w:color="auto"/>
            </w:tcBorders>
            <w:shd w:val="clear" w:color="000000" w:fill="FFFFFF"/>
            <w:noWrap/>
            <w:vAlign w:val="center"/>
            <w:hideMark/>
          </w:tcPr>
          <w:p w14:paraId="06871369" w14:textId="77777777" w:rsidR="00D30644" w:rsidRPr="00F7521C" w:rsidRDefault="00D30644" w:rsidP="00D30644">
            <w:pPr>
              <w:jc w:val="right"/>
              <w:rPr>
                <w:lang w:val="es-MX" w:eastAsia="es-MX"/>
              </w:rPr>
            </w:pPr>
            <w:r w:rsidRPr="00F7521C">
              <w:rPr>
                <w:lang w:val="es-MX" w:eastAsia="es-MX"/>
              </w:rPr>
              <w:t>1,268.9</w:t>
            </w:r>
          </w:p>
        </w:tc>
        <w:tc>
          <w:tcPr>
            <w:tcW w:w="811" w:type="dxa"/>
            <w:tcBorders>
              <w:top w:val="nil"/>
              <w:left w:val="nil"/>
              <w:bottom w:val="single" w:sz="4" w:space="0" w:color="auto"/>
              <w:right w:val="single" w:sz="4" w:space="0" w:color="auto"/>
            </w:tcBorders>
            <w:shd w:val="clear" w:color="000000" w:fill="FFFFFF"/>
            <w:noWrap/>
            <w:vAlign w:val="center"/>
            <w:hideMark/>
          </w:tcPr>
          <w:p w14:paraId="07004B3C" w14:textId="77777777" w:rsidR="00D30644" w:rsidRPr="00F7521C" w:rsidRDefault="00D30644" w:rsidP="00D30644">
            <w:pPr>
              <w:jc w:val="right"/>
              <w:rPr>
                <w:lang w:val="es-MX" w:eastAsia="es-MX"/>
              </w:rPr>
            </w:pPr>
            <w:r w:rsidRPr="00F7521C">
              <w:rPr>
                <w:lang w:val="es-MX" w:eastAsia="es-MX"/>
              </w:rPr>
              <w:t>1,339.9</w:t>
            </w:r>
          </w:p>
        </w:tc>
        <w:tc>
          <w:tcPr>
            <w:tcW w:w="811" w:type="dxa"/>
            <w:tcBorders>
              <w:top w:val="nil"/>
              <w:left w:val="nil"/>
              <w:bottom w:val="single" w:sz="4" w:space="0" w:color="auto"/>
              <w:right w:val="single" w:sz="4" w:space="0" w:color="auto"/>
            </w:tcBorders>
            <w:shd w:val="clear" w:color="000000" w:fill="FFFFFF"/>
            <w:noWrap/>
            <w:vAlign w:val="center"/>
            <w:hideMark/>
          </w:tcPr>
          <w:p w14:paraId="3152F718" w14:textId="77777777" w:rsidR="00D30644" w:rsidRPr="00F7521C" w:rsidRDefault="00D30644" w:rsidP="00D30644">
            <w:pPr>
              <w:jc w:val="right"/>
              <w:rPr>
                <w:lang w:val="es-MX" w:eastAsia="es-MX"/>
              </w:rPr>
            </w:pPr>
            <w:r w:rsidRPr="00F7521C">
              <w:rPr>
                <w:lang w:val="es-MX" w:eastAsia="es-MX"/>
              </w:rPr>
              <w:t>1,449.7</w:t>
            </w:r>
          </w:p>
        </w:tc>
        <w:tc>
          <w:tcPr>
            <w:tcW w:w="811" w:type="dxa"/>
            <w:tcBorders>
              <w:top w:val="nil"/>
              <w:left w:val="nil"/>
              <w:bottom w:val="single" w:sz="4" w:space="0" w:color="auto"/>
              <w:right w:val="single" w:sz="4" w:space="0" w:color="auto"/>
            </w:tcBorders>
            <w:shd w:val="clear" w:color="000000" w:fill="FFFFFF"/>
            <w:noWrap/>
            <w:vAlign w:val="center"/>
            <w:hideMark/>
          </w:tcPr>
          <w:p w14:paraId="56DE1355" w14:textId="77777777" w:rsidR="00D30644" w:rsidRPr="00F7521C" w:rsidRDefault="00D30644" w:rsidP="00D30644">
            <w:pPr>
              <w:jc w:val="right"/>
              <w:rPr>
                <w:lang w:val="es-MX" w:eastAsia="es-MX"/>
              </w:rPr>
            </w:pPr>
            <w:r w:rsidRPr="00F7521C">
              <w:rPr>
                <w:lang w:val="es-MX" w:eastAsia="es-MX"/>
              </w:rPr>
              <w:t>1,397.5</w:t>
            </w:r>
          </w:p>
        </w:tc>
        <w:tc>
          <w:tcPr>
            <w:tcW w:w="1316" w:type="dxa"/>
            <w:tcBorders>
              <w:top w:val="nil"/>
              <w:left w:val="nil"/>
              <w:bottom w:val="single" w:sz="4" w:space="0" w:color="auto"/>
              <w:right w:val="single" w:sz="4" w:space="0" w:color="auto"/>
            </w:tcBorders>
            <w:shd w:val="clear" w:color="000000" w:fill="FFFFFF"/>
            <w:noWrap/>
            <w:vAlign w:val="center"/>
            <w:hideMark/>
          </w:tcPr>
          <w:p w14:paraId="209885E3" w14:textId="77777777" w:rsidR="00D30644" w:rsidRPr="00F7521C" w:rsidRDefault="00D30644" w:rsidP="00D30644">
            <w:pPr>
              <w:jc w:val="center"/>
              <w:rPr>
                <w:lang w:val="es-MX" w:eastAsia="es-MX"/>
              </w:rPr>
            </w:pPr>
            <w:r w:rsidRPr="00F7521C">
              <w:rPr>
                <w:lang w:val="es-MX" w:eastAsia="es-MX"/>
              </w:rPr>
              <w:t>12.5%</w:t>
            </w:r>
          </w:p>
        </w:tc>
        <w:tc>
          <w:tcPr>
            <w:tcW w:w="1091" w:type="dxa"/>
            <w:tcBorders>
              <w:top w:val="nil"/>
              <w:left w:val="nil"/>
              <w:bottom w:val="single" w:sz="4" w:space="0" w:color="auto"/>
              <w:right w:val="single" w:sz="4" w:space="0" w:color="auto"/>
            </w:tcBorders>
            <w:shd w:val="clear" w:color="000000" w:fill="FFFFFF"/>
            <w:noWrap/>
            <w:vAlign w:val="center"/>
            <w:hideMark/>
          </w:tcPr>
          <w:p w14:paraId="16551F6C" w14:textId="77777777" w:rsidR="00D30644" w:rsidRPr="00F7521C" w:rsidRDefault="00D30644" w:rsidP="00D30644">
            <w:pPr>
              <w:jc w:val="center"/>
              <w:rPr>
                <w:lang w:val="es-MX" w:eastAsia="es-MX"/>
              </w:rPr>
            </w:pPr>
            <w:r w:rsidRPr="00F7521C">
              <w:rPr>
                <w:lang w:val="es-MX" w:eastAsia="es-MX"/>
              </w:rPr>
              <w:t>12.5%</w:t>
            </w:r>
          </w:p>
        </w:tc>
      </w:tr>
      <w:tr w:rsidR="006A2C20" w:rsidRPr="00F7521C" w14:paraId="385EA641" w14:textId="77777777" w:rsidTr="006A2C20">
        <w:trPr>
          <w:trHeight w:val="165"/>
          <w:jc w:val="center"/>
        </w:trPr>
        <w:tc>
          <w:tcPr>
            <w:tcW w:w="822" w:type="dxa"/>
            <w:tcBorders>
              <w:top w:val="nil"/>
              <w:left w:val="single" w:sz="4" w:space="0" w:color="auto"/>
              <w:bottom w:val="single" w:sz="4" w:space="0" w:color="auto"/>
              <w:right w:val="single" w:sz="4" w:space="0" w:color="auto"/>
            </w:tcBorders>
            <w:shd w:val="clear" w:color="auto" w:fill="E2EFD9" w:themeFill="accent6" w:themeFillTint="33"/>
            <w:noWrap/>
            <w:vAlign w:val="center"/>
            <w:hideMark/>
          </w:tcPr>
          <w:p w14:paraId="4185964C" w14:textId="77777777" w:rsidR="00D30644" w:rsidRPr="00F7521C" w:rsidRDefault="00D30644" w:rsidP="00D30644">
            <w:pPr>
              <w:jc w:val="center"/>
              <w:rPr>
                <w:lang w:val="es-MX" w:eastAsia="es-MX"/>
              </w:rPr>
            </w:pPr>
            <w:r w:rsidRPr="00F7521C">
              <w:rPr>
                <w:lang w:val="es-MX" w:eastAsia="es-MX"/>
              </w:rPr>
              <w:t>2</w:t>
            </w:r>
          </w:p>
        </w:tc>
        <w:tc>
          <w:tcPr>
            <w:tcW w:w="1566" w:type="dxa"/>
            <w:tcBorders>
              <w:top w:val="nil"/>
              <w:left w:val="nil"/>
              <w:bottom w:val="single" w:sz="4" w:space="0" w:color="auto"/>
              <w:right w:val="single" w:sz="4" w:space="0" w:color="auto"/>
            </w:tcBorders>
            <w:shd w:val="clear" w:color="auto" w:fill="E2EFD9" w:themeFill="accent6" w:themeFillTint="33"/>
            <w:noWrap/>
            <w:vAlign w:val="bottom"/>
            <w:hideMark/>
          </w:tcPr>
          <w:p w14:paraId="3CE3AD23" w14:textId="77777777" w:rsidR="00D30644" w:rsidRPr="00F7521C" w:rsidRDefault="00D30644" w:rsidP="00D30644">
            <w:pPr>
              <w:rPr>
                <w:lang w:val="es-MX" w:eastAsia="es-MX"/>
              </w:rPr>
            </w:pPr>
            <w:r w:rsidRPr="00F7521C">
              <w:rPr>
                <w:lang w:val="es-MX" w:eastAsia="es-MX"/>
              </w:rPr>
              <w:t>Banano</w:t>
            </w:r>
          </w:p>
        </w:tc>
        <w:tc>
          <w:tcPr>
            <w:tcW w:w="811" w:type="dxa"/>
            <w:tcBorders>
              <w:top w:val="nil"/>
              <w:left w:val="nil"/>
              <w:bottom w:val="single" w:sz="4" w:space="0" w:color="auto"/>
              <w:right w:val="single" w:sz="4" w:space="0" w:color="auto"/>
            </w:tcBorders>
            <w:shd w:val="clear" w:color="auto" w:fill="E2EFD9" w:themeFill="accent6" w:themeFillTint="33"/>
            <w:noWrap/>
            <w:vAlign w:val="center"/>
            <w:hideMark/>
          </w:tcPr>
          <w:p w14:paraId="0575F528" w14:textId="77777777" w:rsidR="00D30644" w:rsidRPr="00F7521C" w:rsidRDefault="00D30644" w:rsidP="00D30644">
            <w:pPr>
              <w:jc w:val="right"/>
              <w:rPr>
                <w:lang w:val="es-MX" w:eastAsia="es-MX"/>
              </w:rPr>
            </w:pPr>
            <w:r w:rsidRPr="00F7521C">
              <w:rPr>
                <w:lang w:val="es-MX" w:eastAsia="es-MX"/>
              </w:rPr>
              <w:t>715.1</w:t>
            </w:r>
          </w:p>
        </w:tc>
        <w:tc>
          <w:tcPr>
            <w:tcW w:w="811" w:type="dxa"/>
            <w:tcBorders>
              <w:top w:val="nil"/>
              <w:left w:val="nil"/>
              <w:bottom w:val="single" w:sz="4" w:space="0" w:color="auto"/>
              <w:right w:val="single" w:sz="4" w:space="0" w:color="auto"/>
            </w:tcBorders>
            <w:shd w:val="clear" w:color="auto" w:fill="E2EFD9" w:themeFill="accent6" w:themeFillTint="33"/>
            <w:noWrap/>
            <w:vAlign w:val="center"/>
            <w:hideMark/>
          </w:tcPr>
          <w:p w14:paraId="194AA00E" w14:textId="77777777" w:rsidR="00D30644" w:rsidRPr="00F7521C" w:rsidRDefault="00D30644" w:rsidP="00D30644">
            <w:pPr>
              <w:jc w:val="right"/>
              <w:rPr>
                <w:lang w:val="es-MX" w:eastAsia="es-MX"/>
              </w:rPr>
            </w:pPr>
            <w:r w:rsidRPr="00F7521C">
              <w:rPr>
                <w:lang w:val="es-MX" w:eastAsia="es-MX"/>
              </w:rPr>
              <w:t>702.6</w:t>
            </w:r>
          </w:p>
        </w:tc>
        <w:tc>
          <w:tcPr>
            <w:tcW w:w="811" w:type="dxa"/>
            <w:tcBorders>
              <w:top w:val="nil"/>
              <w:left w:val="nil"/>
              <w:bottom w:val="single" w:sz="4" w:space="0" w:color="auto"/>
              <w:right w:val="single" w:sz="4" w:space="0" w:color="auto"/>
            </w:tcBorders>
            <w:shd w:val="clear" w:color="auto" w:fill="E2EFD9" w:themeFill="accent6" w:themeFillTint="33"/>
            <w:noWrap/>
            <w:vAlign w:val="center"/>
            <w:hideMark/>
          </w:tcPr>
          <w:p w14:paraId="5EEAE61E" w14:textId="77777777" w:rsidR="00D30644" w:rsidRPr="00F7521C" w:rsidRDefault="00D30644" w:rsidP="00D30644">
            <w:pPr>
              <w:jc w:val="right"/>
              <w:rPr>
                <w:lang w:val="es-MX" w:eastAsia="es-MX"/>
              </w:rPr>
            </w:pPr>
            <w:r w:rsidRPr="00F7521C">
              <w:rPr>
                <w:lang w:val="es-MX" w:eastAsia="es-MX"/>
              </w:rPr>
              <w:t>781.6</w:t>
            </w:r>
          </w:p>
        </w:tc>
        <w:tc>
          <w:tcPr>
            <w:tcW w:w="811" w:type="dxa"/>
            <w:tcBorders>
              <w:top w:val="nil"/>
              <w:left w:val="nil"/>
              <w:bottom w:val="single" w:sz="4" w:space="0" w:color="auto"/>
              <w:right w:val="single" w:sz="4" w:space="0" w:color="auto"/>
            </w:tcBorders>
            <w:shd w:val="clear" w:color="auto" w:fill="E2EFD9" w:themeFill="accent6" w:themeFillTint="33"/>
            <w:noWrap/>
            <w:vAlign w:val="center"/>
            <w:hideMark/>
          </w:tcPr>
          <w:p w14:paraId="748AED1A" w14:textId="77777777" w:rsidR="00D30644" w:rsidRPr="00F7521C" w:rsidRDefault="00D30644" w:rsidP="00D30644">
            <w:pPr>
              <w:jc w:val="right"/>
              <w:rPr>
                <w:lang w:val="es-MX" w:eastAsia="es-MX"/>
              </w:rPr>
            </w:pPr>
            <w:r w:rsidRPr="00F7521C">
              <w:rPr>
                <w:lang w:val="es-MX" w:eastAsia="es-MX"/>
              </w:rPr>
              <w:t>804.0</w:t>
            </w:r>
          </w:p>
        </w:tc>
        <w:tc>
          <w:tcPr>
            <w:tcW w:w="811" w:type="dxa"/>
            <w:tcBorders>
              <w:top w:val="nil"/>
              <w:left w:val="nil"/>
              <w:bottom w:val="single" w:sz="4" w:space="0" w:color="auto"/>
              <w:right w:val="single" w:sz="4" w:space="0" w:color="auto"/>
            </w:tcBorders>
            <w:shd w:val="clear" w:color="auto" w:fill="E2EFD9" w:themeFill="accent6" w:themeFillTint="33"/>
            <w:noWrap/>
            <w:vAlign w:val="center"/>
            <w:hideMark/>
          </w:tcPr>
          <w:p w14:paraId="10B70758" w14:textId="77777777" w:rsidR="00D30644" w:rsidRPr="00F7521C" w:rsidRDefault="00D30644" w:rsidP="00D30644">
            <w:pPr>
              <w:jc w:val="right"/>
              <w:rPr>
                <w:lang w:val="es-MX" w:eastAsia="es-MX"/>
              </w:rPr>
            </w:pPr>
            <w:r w:rsidRPr="00F7521C">
              <w:rPr>
                <w:lang w:val="es-MX" w:eastAsia="es-MX"/>
              </w:rPr>
              <w:t>829.1</w:t>
            </w:r>
          </w:p>
        </w:tc>
        <w:tc>
          <w:tcPr>
            <w:tcW w:w="1316" w:type="dxa"/>
            <w:tcBorders>
              <w:top w:val="nil"/>
              <w:left w:val="nil"/>
              <w:bottom w:val="single" w:sz="4" w:space="0" w:color="auto"/>
              <w:right w:val="single" w:sz="4" w:space="0" w:color="auto"/>
            </w:tcBorders>
            <w:shd w:val="clear" w:color="auto" w:fill="E2EFD9" w:themeFill="accent6" w:themeFillTint="33"/>
            <w:noWrap/>
            <w:vAlign w:val="center"/>
            <w:hideMark/>
          </w:tcPr>
          <w:p w14:paraId="58A1690C" w14:textId="77777777" w:rsidR="00D30644" w:rsidRPr="00F7521C" w:rsidRDefault="00D30644" w:rsidP="00D30644">
            <w:pPr>
              <w:jc w:val="center"/>
              <w:rPr>
                <w:lang w:val="es-MX" w:eastAsia="es-MX"/>
              </w:rPr>
            </w:pPr>
            <w:r w:rsidRPr="00F7521C">
              <w:rPr>
                <w:lang w:val="es-MX" w:eastAsia="es-MX"/>
              </w:rPr>
              <w:t>7.4%</w:t>
            </w:r>
          </w:p>
        </w:tc>
        <w:tc>
          <w:tcPr>
            <w:tcW w:w="1091" w:type="dxa"/>
            <w:tcBorders>
              <w:top w:val="nil"/>
              <w:left w:val="nil"/>
              <w:bottom w:val="single" w:sz="4" w:space="0" w:color="auto"/>
              <w:right w:val="single" w:sz="4" w:space="0" w:color="auto"/>
            </w:tcBorders>
            <w:shd w:val="clear" w:color="auto" w:fill="E2EFD9" w:themeFill="accent6" w:themeFillTint="33"/>
            <w:noWrap/>
            <w:vAlign w:val="center"/>
            <w:hideMark/>
          </w:tcPr>
          <w:p w14:paraId="4347E666" w14:textId="77777777" w:rsidR="00D30644" w:rsidRPr="00F7521C" w:rsidRDefault="00D30644" w:rsidP="00D30644">
            <w:pPr>
              <w:jc w:val="center"/>
              <w:rPr>
                <w:color w:val="000000" w:themeColor="text1"/>
                <w:lang w:val="es-MX" w:eastAsia="es-MX"/>
              </w:rPr>
            </w:pPr>
            <w:r w:rsidRPr="00F7521C">
              <w:rPr>
                <w:color w:val="000000" w:themeColor="text1"/>
                <w:lang w:val="es-MX" w:eastAsia="es-MX"/>
              </w:rPr>
              <w:t>19.9%</w:t>
            </w:r>
          </w:p>
        </w:tc>
      </w:tr>
      <w:tr w:rsidR="006A2C20" w:rsidRPr="00F7521C" w14:paraId="59DFD8E4" w14:textId="77777777" w:rsidTr="006A2C20">
        <w:trPr>
          <w:trHeight w:val="165"/>
          <w:jc w:val="center"/>
        </w:trPr>
        <w:tc>
          <w:tcPr>
            <w:tcW w:w="822" w:type="dxa"/>
            <w:tcBorders>
              <w:top w:val="nil"/>
              <w:left w:val="single" w:sz="4" w:space="0" w:color="auto"/>
              <w:bottom w:val="single" w:sz="4" w:space="0" w:color="auto"/>
              <w:right w:val="single" w:sz="4" w:space="0" w:color="auto"/>
            </w:tcBorders>
            <w:shd w:val="clear" w:color="auto" w:fill="E2EFD9" w:themeFill="accent6" w:themeFillTint="33"/>
            <w:noWrap/>
            <w:vAlign w:val="center"/>
            <w:hideMark/>
          </w:tcPr>
          <w:p w14:paraId="221CE53B" w14:textId="77777777" w:rsidR="00D30644" w:rsidRPr="00F7521C" w:rsidRDefault="00D30644" w:rsidP="00D30644">
            <w:pPr>
              <w:jc w:val="center"/>
              <w:rPr>
                <w:lang w:val="es-MX" w:eastAsia="es-MX"/>
              </w:rPr>
            </w:pPr>
            <w:r w:rsidRPr="00F7521C">
              <w:rPr>
                <w:lang w:val="es-MX" w:eastAsia="es-MX"/>
              </w:rPr>
              <w:t>3</w:t>
            </w:r>
          </w:p>
        </w:tc>
        <w:tc>
          <w:tcPr>
            <w:tcW w:w="1566" w:type="dxa"/>
            <w:tcBorders>
              <w:top w:val="nil"/>
              <w:left w:val="nil"/>
              <w:bottom w:val="single" w:sz="4" w:space="0" w:color="auto"/>
              <w:right w:val="single" w:sz="4" w:space="0" w:color="auto"/>
            </w:tcBorders>
            <w:shd w:val="clear" w:color="auto" w:fill="E2EFD9" w:themeFill="accent6" w:themeFillTint="33"/>
            <w:noWrap/>
            <w:vAlign w:val="bottom"/>
            <w:hideMark/>
          </w:tcPr>
          <w:p w14:paraId="4992C533" w14:textId="77777777" w:rsidR="00D30644" w:rsidRPr="00F7521C" w:rsidRDefault="00D30644" w:rsidP="00D30644">
            <w:pPr>
              <w:rPr>
                <w:lang w:val="es-MX" w:eastAsia="es-MX"/>
              </w:rPr>
            </w:pPr>
            <w:r w:rsidRPr="00F7521C">
              <w:rPr>
                <w:lang w:val="es-MX" w:eastAsia="es-MX"/>
              </w:rPr>
              <w:t>Azúcar</w:t>
            </w:r>
          </w:p>
        </w:tc>
        <w:tc>
          <w:tcPr>
            <w:tcW w:w="811" w:type="dxa"/>
            <w:tcBorders>
              <w:top w:val="nil"/>
              <w:left w:val="nil"/>
              <w:bottom w:val="single" w:sz="4" w:space="0" w:color="auto"/>
              <w:right w:val="single" w:sz="4" w:space="0" w:color="auto"/>
            </w:tcBorders>
            <w:shd w:val="clear" w:color="auto" w:fill="E2EFD9" w:themeFill="accent6" w:themeFillTint="33"/>
            <w:noWrap/>
            <w:vAlign w:val="center"/>
            <w:hideMark/>
          </w:tcPr>
          <w:p w14:paraId="1EA41B48" w14:textId="77777777" w:rsidR="00D30644" w:rsidRPr="00F7521C" w:rsidRDefault="00D30644" w:rsidP="00D30644">
            <w:pPr>
              <w:jc w:val="right"/>
              <w:rPr>
                <w:lang w:val="es-MX" w:eastAsia="es-MX"/>
              </w:rPr>
            </w:pPr>
            <w:r w:rsidRPr="00F7521C">
              <w:rPr>
                <w:lang w:val="es-MX" w:eastAsia="es-MX"/>
              </w:rPr>
              <w:t>850.8</w:t>
            </w:r>
          </w:p>
        </w:tc>
        <w:tc>
          <w:tcPr>
            <w:tcW w:w="811" w:type="dxa"/>
            <w:tcBorders>
              <w:top w:val="nil"/>
              <w:left w:val="nil"/>
              <w:bottom w:val="single" w:sz="4" w:space="0" w:color="auto"/>
              <w:right w:val="single" w:sz="4" w:space="0" w:color="auto"/>
            </w:tcBorders>
            <w:shd w:val="clear" w:color="auto" w:fill="E2EFD9" w:themeFill="accent6" w:themeFillTint="33"/>
            <w:noWrap/>
            <w:vAlign w:val="center"/>
            <w:hideMark/>
          </w:tcPr>
          <w:p w14:paraId="18B76643" w14:textId="77777777" w:rsidR="00D30644" w:rsidRPr="00F7521C" w:rsidRDefault="00D30644" w:rsidP="00D30644">
            <w:pPr>
              <w:jc w:val="right"/>
              <w:rPr>
                <w:lang w:val="es-MX" w:eastAsia="es-MX"/>
              </w:rPr>
            </w:pPr>
            <w:r w:rsidRPr="00F7521C">
              <w:rPr>
                <w:lang w:val="es-MX" w:eastAsia="es-MX"/>
              </w:rPr>
              <w:t>816.7</w:t>
            </w:r>
          </w:p>
        </w:tc>
        <w:tc>
          <w:tcPr>
            <w:tcW w:w="811" w:type="dxa"/>
            <w:tcBorders>
              <w:top w:val="nil"/>
              <w:left w:val="nil"/>
              <w:bottom w:val="single" w:sz="4" w:space="0" w:color="auto"/>
              <w:right w:val="single" w:sz="4" w:space="0" w:color="auto"/>
            </w:tcBorders>
            <w:shd w:val="clear" w:color="auto" w:fill="E2EFD9" w:themeFill="accent6" w:themeFillTint="33"/>
            <w:noWrap/>
            <w:vAlign w:val="center"/>
            <w:hideMark/>
          </w:tcPr>
          <w:p w14:paraId="4EDAC84B" w14:textId="77777777" w:rsidR="00D30644" w:rsidRPr="00F7521C" w:rsidRDefault="00D30644" w:rsidP="00D30644">
            <w:pPr>
              <w:jc w:val="right"/>
              <w:rPr>
                <w:lang w:val="es-MX" w:eastAsia="es-MX"/>
              </w:rPr>
            </w:pPr>
            <w:r w:rsidRPr="00F7521C">
              <w:rPr>
                <w:lang w:val="es-MX" w:eastAsia="es-MX"/>
              </w:rPr>
              <w:t>825.0</w:t>
            </w:r>
          </w:p>
        </w:tc>
        <w:tc>
          <w:tcPr>
            <w:tcW w:w="811" w:type="dxa"/>
            <w:tcBorders>
              <w:top w:val="nil"/>
              <w:left w:val="nil"/>
              <w:bottom w:val="single" w:sz="4" w:space="0" w:color="auto"/>
              <w:right w:val="single" w:sz="4" w:space="0" w:color="auto"/>
            </w:tcBorders>
            <w:shd w:val="clear" w:color="auto" w:fill="E2EFD9" w:themeFill="accent6" w:themeFillTint="33"/>
            <w:noWrap/>
            <w:vAlign w:val="center"/>
            <w:hideMark/>
          </w:tcPr>
          <w:p w14:paraId="3A42C8AD" w14:textId="77777777" w:rsidR="00D30644" w:rsidRPr="00F7521C" w:rsidRDefault="00D30644" w:rsidP="00D30644">
            <w:pPr>
              <w:jc w:val="right"/>
              <w:rPr>
                <w:lang w:val="es-MX" w:eastAsia="es-MX"/>
              </w:rPr>
            </w:pPr>
            <w:r w:rsidRPr="00F7521C">
              <w:rPr>
                <w:lang w:val="es-MX" w:eastAsia="es-MX"/>
              </w:rPr>
              <w:t>632.9</w:t>
            </w:r>
          </w:p>
        </w:tc>
        <w:tc>
          <w:tcPr>
            <w:tcW w:w="811" w:type="dxa"/>
            <w:tcBorders>
              <w:top w:val="nil"/>
              <w:left w:val="nil"/>
              <w:bottom w:val="single" w:sz="4" w:space="0" w:color="auto"/>
              <w:right w:val="single" w:sz="4" w:space="0" w:color="auto"/>
            </w:tcBorders>
            <w:shd w:val="clear" w:color="auto" w:fill="E2EFD9" w:themeFill="accent6" w:themeFillTint="33"/>
            <w:noWrap/>
            <w:vAlign w:val="center"/>
            <w:hideMark/>
          </w:tcPr>
          <w:p w14:paraId="2F19701D" w14:textId="77777777" w:rsidR="00D30644" w:rsidRPr="00F7521C" w:rsidRDefault="00D30644" w:rsidP="00D30644">
            <w:pPr>
              <w:jc w:val="right"/>
              <w:rPr>
                <w:lang w:val="es-MX" w:eastAsia="es-MX"/>
              </w:rPr>
            </w:pPr>
            <w:r w:rsidRPr="00F7521C">
              <w:rPr>
                <w:lang w:val="es-MX" w:eastAsia="es-MX"/>
              </w:rPr>
              <w:t>694.7</w:t>
            </w:r>
          </w:p>
        </w:tc>
        <w:tc>
          <w:tcPr>
            <w:tcW w:w="1316" w:type="dxa"/>
            <w:tcBorders>
              <w:top w:val="nil"/>
              <w:left w:val="nil"/>
              <w:bottom w:val="single" w:sz="4" w:space="0" w:color="auto"/>
              <w:right w:val="single" w:sz="4" w:space="0" w:color="auto"/>
            </w:tcBorders>
            <w:shd w:val="clear" w:color="auto" w:fill="E2EFD9" w:themeFill="accent6" w:themeFillTint="33"/>
            <w:noWrap/>
            <w:vAlign w:val="center"/>
            <w:hideMark/>
          </w:tcPr>
          <w:p w14:paraId="7DEEC526" w14:textId="77777777" w:rsidR="00D30644" w:rsidRPr="00F7521C" w:rsidRDefault="00D30644" w:rsidP="00D30644">
            <w:pPr>
              <w:jc w:val="center"/>
              <w:rPr>
                <w:lang w:val="es-MX" w:eastAsia="es-MX"/>
              </w:rPr>
            </w:pPr>
            <w:r w:rsidRPr="00F7521C">
              <w:rPr>
                <w:lang w:val="es-MX" w:eastAsia="es-MX"/>
              </w:rPr>
              <w:t>6.2%</w:t>
            </w:r>
          </w:p>
        </w:tc>
        <w:tc>
          <w:tcPr>
            <w:tcW w:w="1091" w:type="dxa"/>
            <w:tcBorders>
              <w:top w:val="nil"/>
              <w:left w:val="nil"/>
              <w:bottom w:val="single" w:sz="4" w:space="0" w:color="auto"/>
              <w:right w:val="single" w:sz="4" w:space="0" w:color="auto"/>
            </w:tcBorders>
            <w:shd w:val="clear" w:color="auto" w:fill="E2EFD9" w:themeFill="accent6" w:themeFillTint="33"/>
            <w:noWrap/>
            <w:vAlign w:val="center"/>
            <w:hideMark/>
          </w:tcPr>
          <w:p w14:paraId="4C0E40FC" w14:textId="77777777" w:rsidR="00D30644" w:rsidRPr="00F7521C" w:rsidRDefault="00D30644" w:rsidP="00D30644">
            <w:pPr>
              <w:jc w:val="center"/>
              <w:rPr>
                <w:color w:val="000000" w:themeColor="text1"/>
                <w:lang w:val="es-MX" w:eastAsia="es-MX"/>
              </w:rPr>
            </w:pPr>
            <w:r w:rsidRPr="00F7521C">
              <w:rPr>
                <w:color w:val="000000" w:themeColor="text1"/>
                <w:lang w:val="es-MX" w:eastAsia="es-MX"/>
              </w:rPr>
              <w:t>26.1%</w:t>
            </w:r>
          </w:p>
        </w:tc>
      </w:tr>
      <w:tr w:rsidR="006A2C20" w:rsidRPr="00F7521C" w14:paraId="067DA228" w14:textId="77777777" w:rsidTr="006A2C20">
        <w:trPr>
          <w:trHeight w:val="165"/>
          <w:jc w:val="center"/>
        </w:trPr>
        <w:tc>
          <w:tcPr>
            <w:tcW w:w="822" w:type="dxa"/>
            <w:tcBorders>
              <w:top w:val="nil"/>
              <w:left w:val="single" w:sz="4" w:space="0" w:color="auto"/>
              <w:bottom w:val="single" w:sz="4" w:space="0" w:color="auto"/>
              <w:right w:val="single" w:sz="4" w:space="0" w:color="auto"/>
            </w:tcBorders>
            <w:shd w:val="clear" w:color="auto" w:fill="E2EFD9" w:themeFill="accent6" w:themeFillTint="33"/>
            <w:noWrap/>
            <w:vAlign w:val="center"/>
            <w:hideMark/>
          </w:tcPr>
          <w:p w14:paraId="7B907865" w14:textId="77777777" w:rsidR="00D30644" w:rsidRPr="00F7521C" w:rsidRDefault="00D30644" w:rsidP="00D30644">
            <w:pPr>
              <w:jc w:val="center"/>
              <w:rPr>
                <w:lang w:val="es-MX" w:eastAsia="es-MX"/>
              </w:rPr>
            </w:pPr>
            <w:r w:rsidRPr="00F7521C">
              <w:rPr>
                <w:lang w:val="es-MX" w:eastAsia="es-MX"/>
              </w:rPr>
              <w:t>4</w:t>
            </w:r>
          </w:p>
        </w:tc>
        <w:tc>
          <w:tcPr>
            <w:tcW w:w="1566" w:type="dxa"/>
            <w:tcBorders>
              <w:top w:val="nil"/>
              <w:left w:val="nil"/>
              <w:bottom w:val="single" w:sz="4" w:space="0" w:color="auto"/>
              <w:right w:val="single" w:sz="4" w:space="0" w:color="auto"/>
            </w:tcBorders>
            <w:shd w:val="clear" w:color="auto" w:fill="E2EFD9" w:themeFill="accent6" w:themeFillTint="33"/>
            <w:noWrap/>
            <w:vAlign w:val="bottom"/>
            <w:hideMark/>
          </w:tcPr>
          <w:p w14:paraId="7067A529" w14:textId="77777777" w:rsidR="00D30644" w:rsidRPr="00F7521C" w:rsidRDefault="00D30644" w:rsidP="00D30644">
            <w:pPr>
              <w:rPr>
                <w:lang w:val="es-MX" w:eastAsia="es-MX"/>
              </w:rPr>
            </w:pPr>
            <w:r w:rsidRPr="00F7521C">
              <w:rPr>
                <w:lang w:val="es-MX" w:eastAsia="es-MX"/>
              </w:rPr>
              <w:t>Café</w:t>
            </w:r>
          </w:p>
        </w:tc>
        <w:tc>
          <w:tcPr>
            <w:tcW w:w="811" w:type="dxa"/>
            <w:tcBorders>
              <w:top w:val="nil"/>
              <w:left w:val="nil"/>
              <w:bottom w:val="single" w:sz="4" w:space="0" w:color="auto"/>
              <w:right w:val="single" w:sz="4" w:space="0" w:color="auto"/>
            </w:tcBorders>
            <w:shd w:val="clear" w:color="auto" w:fill="E2EFD9" w:themeFill="accent6" w:themeFillTint="33"/>
            <w:noWrap/>
            <w:vAlign w:val="center"/>
            <w:hideMark/>
          </w:tcPr>
          <w:p w14:paraId="53381A71" w14:textId="77777777" w:rsidR="00D30644" w:rsidRPr="00F7521C" w:rsidRDefault="00D30644" w:rsidP="00D30644">
            <w:pPr>
              <w:jc w:val="right"/>
              <w:rPr>
                <w:lang w:val="es-MX" w:eastAsia="es-MX"/>
              </w:rPr>
            </w:pPr>
            <w:r w:rsidRPr="00F7521C">
              <w:rPr>
                <w:lang w:val="es-MX" w:eastAsia="es-MX"/>
              </w:rPr>
              <w:t>663.0</w:t>
            </w:r>
          </w:p>
        </w:tc>
        <w:tc>
          <w:tcPr>
            <w:tcW w:w="811" w:type="dxa"/>
            <w:tcBorders>
              <w:top w:val="nil"/>
              <w:left w:val="nil"/>
              <w:bottom w:val="single" w:sz="4" w:space="0" w:color="auto"/>
              <w:right w:val="single" w:sz="4" w:space="0" w:color="auto"/>
            </w:tcBorders>
            <w:shd w:val="clear" w:color="auto" w:fill="E2EFD9" w:themeFill="accent6" w:themeFillTint="33"/>
            <w:noWrap/>
            <w:vAlign w:val="center"/>
            <w:hideMark/>
          </w:tcPr>
          <w:p w14:paraId="2A5B4754" w14:textId="77777777" w:rsidR="00D30644" w:rsidRPr="00F7521C" w:rsidRDefault="00D30644" w:rsidP="00D30644">
            <w:pPr>
              <w:jc w:val="right"/>
              <w:rPr>
                <w:lang w:val="es-MX" w:eastAsia="es-MX"/>
              </w:rPr>
            </w:pPr>
            <w:r w:rsidRPr="00F7521C">
              <w:rPr>
                <w:lang w:val="es-MX" w:eastAsia="es-MX"/>
              </w:rPr>
              <w:t>649.1</w:t>
            </w:r>
          </w:p>
        </w:tc>
        <w:tc>
          <w:tcPr>
            <w:tcW w:w="811" w:type="dxa"/>
            <w:tcBorders>
              <w:top w:val="nil"/>
              <w:left w:val="nil"/>
              <w:bottom w:val="single" w:sz="4" w:space="0" w:color="auto"/>
              <w:right w:val="single" w:sz="4" w:space="0" w:color="auto"/>
            </w:tcBorders>
            <w:shd w:val="clear" w:color="auto" w:fill="E2EFD9" w:themeFill="accent6" w:themeFillTint="33"/>
            <w:noWrap/>
            <w:vAlign w:val="center"/>
            <w:hideMark/>
          </w:tcPr>
          <w:p w14:paraId="0ACC3909" w14:textId="77777777" w:rsidR="00D30644" w:rsidRPr="00F7521C" w:rsidRDefault="00D30644" w:rsidP="00D30644">
            <w:pPr>
              <w:jc w:val="right"/>
              <w:rPr>
                <w:lang w:val="es-MX" w:eastAsia="es-MX"/>
              </w:rPr>
            </w:pPr>
            <w:r w:rsidRPr="00F7521C">
              <w:rPr>
                <w:lang w:val="es-MX" w:eastAsia="es-MX"/>
              </w:rPr>
              <w:t>748.0</w:t>
            </w:r>
          </w:p>
        </w:tc>
        <w:tc>
          <w:tcPr>
            <w:tcW w:w="811" w:type="dxa"/>
            <w:tcBorders>
              <w:top w:val="nil"/>
              <w:left w:val="nil"/>
              <w:bottom w:val="single" w:sz="4" w:space="0" w:color="auto"/>
              <w:right w:val="single" w:sz="4" w:space="0" w:color="auto"/>
            </w:tcBorders>
            <w:shd w:val="clear" w:color="auto" w:fill="E2EFD9" w:themeFill="accent6" w:themeFillTint="33"/>
            <w:noWrap/>
            <w:vAlign w:val="center"/>
            <w:hideMark/>
          </w:tcPr>
          <w:p w14:paraId="57B4C7BD" w14:textId="77777777" w:rsidR="00D30644" w:rsidRPr="00F7521C" w:rsidRDefault="00D30644" w:rsidP="00D30644">
            <w:pPr>
              <w:jc w:val="right"/>
              <w:rPr>
                <w:lang w:val="es-MX" w:eastAsia="es-MX"/>
              </w:rPr>
            </w:pPr>
            <w:r w:rsidRPr="00F7521C">
              <w:rPr>
                <w:lang w:val="es-MX" w:eastAsia="es-MX"/>
              </w:rPr>
              <w:t>679.9</w:t>
            </w:r>
          </w:p>
        </w:tc>
        <w:tc>
          <w:tcPr>
            <w:tcW w:w="811" w:type="dxa"/>
            <w:tcBorders>
              <w:top w:val="nil"/>
              <w:left w:val="nil"/>
              <w:bottom w:val="single" w:sz="4" w:space="0" w:color="auto"/>
              <w:right w:val="single" w:sz="4" w:space="0" w:color="auto"/>
            </w:tcBorders>
            <w:shd w:val="clear" w:color="auto" w:fill="E2EFD9" w:themeFill="accent6" w:themeFillTint="33"/>
            <w:noWrap/>
            <w:vAlign w:val="center"/>
            <w:hideMark/>
          </w:tcPr>
          <w:p w14:paraId="4D5F83B6" w14:textId="77777777" w:rsidR="00D30644" w:rsidRPr="00F7521C" w:rsidRDefault="00D30644" w:rsidP="00D30644">
            <w:pPr>
              <w:jc w:val="right"/>
              <w:rPr>
                <w:lang w:val="es-MX" w:eastAsia="es-MX"/>
              </w:rPr>
            </w:pPr>
            <w:r w:rsidRPr="00F7521C">
              <w:rPr>
                <w:lang w:val="es-MX" w:eastAsia="es-MX"/>
              </w:rPr>
              <w:t>662.4</w:t>
            </w:r>
          </w:p>
        </w:tc>
        <w:tc>
          <w:tcPr>
            <w:tcW w:w="1316" w:type="dxa"/>
            <w:tcBorders>
              <w:top w:val="nil"/>
              <w:left w:val="nil"/>
              <w:bottom w:val="single" w:sz="4" w:space="0" w:color="auto"/>
              <w:right w:val="single" w:sz="4" w:space="0" w:color="auto"/>
            </w:tcBorders>
            <w:shd w:val="clear" w:color="auto" w:fill="E2EFD9" w:themeFill="accent6" w:themeFillTint="33"/>
            <w:noWrap/>
            <w:vAlign w:val="center"/>
            <w:hideMark/>
          </w:tcPr>
          <w:p w14:paraId="644CC617" w14:textId="77777777" w:rsidR="00D30644" w:rsidRPr="00F7521C" w:rsidRDefault="00D30644" w:rsidP="00D30644">
            <w:pPr>
              <w:jc w:val="center"/>
              <w:rPr>
                <w:lang w:val="es-MX" w:eastAsia="es-MX"/>
              </w:rPr>
            </w:pPr>
            <w:r w:rsidRPr="00F7521C">
              <w:rPr>
                <w:lang w:val="es-MX" w:eastAsia="es-MX"/>
              </w:rPr>
              <w:t>5.9%</w:t>
            </w:r>
          </w:p>
        </w:tc>
        <w:tc>
          <w:tcPr>
            <w:tcW w:w="1091" w:type="dxa"/>
            <w:tcBorders>
              <w:top w:val="nil"/>
              <w:left w:val="nil"/>
              <w:bottom w:val="single" w:sz="4" w:space="0" w:color="auto"/>
              <w:right w:val="single" w:sz="4" w:space="0" w:color="auto"/>
            </w:tcBorders>
            <w:shd w:val="clear" w:color="auto" w:fill="E2EFD9" w:themeFill="accent6" w:themeFillTint="33"/>
            <w:noWrap/>
            <w:vAlign w:val="center"/>
            <w:hideMark/>
          </w:tcPr>
          <w:p w14:paraId="70584C8D" w14:textId="77777777" w:rsidR="00D30644" w:rsidRPr="00F7521C" w:rsidRDefault="00D30644" w:rsidP="00D30644">
            <w:pPr>
              <w:jc w:val="center"/>
              <w:rPr>
                <w:color w:val="000000" w:themeColor="text1"/>
                <w:lang w:val="es-MX" w:eastAsia="es-MX"/>
              </w:rPr>
            </w:pPr>
            <w:r w:rsidRPr="00F7521C">
              <w:rPr>
                <w:color w:val="000000" w:themeColor="text1"/>
                <w:lang w:val="es-MX" w:eastAsia="es-MX"/>
              </w:rPr>
              <w:t>32.1%</w:t>
            </w:r>
          </w:p>
        </w:tc>
      </w:tr>
      <w:tr w:rsidR="006A2C20" w:rsidRPr="00F7521C" w14:paraId="033745B9" w14:textId="77777777" w:rsidTr="006A2C20">
        <w:trPr>
          <w:trHeight w:val="165"/>
          <w:jc w:val="center"/>
        </w:trPr>
        <w:tc>
          <w:tcPr>
            <w:tcW w:w="822" w:type="dxa"/>
            <w:tcBorders>
              <w:top w:val="nil"/>
              <w:left w:val="single" w:sz="4" w:space="0" w:color="auto"/>
              <w:bottom w:val="single" w:sz="4" w:space="0" w:color="auto"/>
              <w:right w:val="single" w:sz="4" w:space="0" w:color="auto"/>
            </w:tcBorders>
            <w:shd w:val="clear" w:color="auto" w:fill="E2EFD9" w:themeFill="accent6" w:themeFillTint="33"/>
            <w:noWrap/>
            <w:vAlign w:val="center"/>
            <w:hideMark/>
          </w:tcPr>
          <w:p w14:paraId="1CC27F6C" w14:textId="77777777" w:rsidR="00D30644" w:rsidRPr="00F7521C" w:rsidRDefault="00D30644" w:rsidP="00D30644">
            <w:pPr>
              <w:jc w:val="center"/>
              <w:rPr>
                <w:lang w:val="es-MX" w:eastAsia="es-MX"/>
              </w:rPr>
            </w:pPr>
            <w:r w:rsidRPr="00F7521C">
              <w:rPr>
                <w:lang w:val="es-MX" w:eastAsia="es-MX"/>
              </w:rPr>
              <w:t>5</w:t>
            </w:r>
          </w:p>
        </w:tc>
        <w:tc>
          <w:tcPr>
            <w:tcW w:w="1566" w:type="dxa"/>
            <w:tcBorders>
              <w:top w:val="nil"/>
              <w:left w:val="nil"/>
              <w:bottom w:val="single" w:sz="4" w:space="0" w:color="auto"/>
              <w:right w:val="single" w:sz="4" w:space="0" w:color="auto"/>
            </w:tcBorders>
            <w:shd w:val="clear" w:color="auto" w:fill="E2EFD9" w:themeFill="accent6" w:themeFillTint="33"/>
            <w:noWrap/>
            <w:vAlign w:val="bottom"/>
            <w:hideMark/>
          </w:tcPr>
          <w:p w14:paraId="6C9F101F" w14:textId="77777777" w:rsidR="00D30644" w:rsidRPr="00F7521C" w:rsidRDefault="00D30644" w:rsidP="00D30644">
            <w:pPr>
              <w:rPr>
                <w:lang w:val="es-MX" w:eastAsia="es-MX"/>
              </w:rPr>
            </w:pPr>
            <w:r w:rsidRPr="00F7521C">
              <w:rPr>
                <w:lang w:val="es-MX" w:eastAsia="es-MX"/>
              </w:rPr>
              <w:t>Cardamomo</w:t>
            </w:r>
          </w:p>
        </w:tc>
        <w:tc>
          <w:tcPr>
            <w:tcW w:w="811" w:type="dxa"/>
            <w:tcBorders>
              <w:top w:val="nil"/>
              <w:left w:val="nil"/>
              <w:bottom w:val="single" w:sz="4" w:space="0" w:color="auto"/>
              <w:right w:val="single" w:sz="4" w:space="0" w:color="auto"/>
            </w:tcBorders>
            <w:shd w:val="clear" w:color="auto" w:fill="E2EFD9" w:themeFill="accent6" w:themeFillTint="33"/>
            <w:noWrap/>
            <w:vAlign w:val="center"/>
            <w:hideMark/>
          </w:tcPr>
          <w:p w14:paraId="2D3A76D0" w14:textId="77777777" w:rsidR="00D30644" w:rsidRPr="00F7521C" w:rsidRDefault="00D30644" w:rsidP="00D30644">
            <w:pPr>
              <w:jc w:val="right"/>
              <w:rPr>
                <w:lang w:val="es-MX" w:eastAsia="es-MX"/>
              </w:rPr>
            </w:pPr>
            <w:r w:rsidRPr="00F7521C">
              <w:rPr>
                <w:lang w:val="es-MX" w:eastAsia="es-MX"/>
              </w:rPr>
              <w:t>243.0</w:t>
            </w:r>
          </w:p>
        </w:tc>
        <w:tc>
          <w:tcPr>
            <w:tcW w:w="811" w:type="dxa"/>
            <w:tcBorders>
              <w:top w:val="nil"/>
              <w:left w:val="nil"/>
              <w:bottom w:val="single" w:sz="4" w:space="0" w:color="auto"/>
              <w:right w:val="single" w:sz="4" w:space="0" w:color="auto"/>
            </w:tcBorders>
            <w:shd w:val="clear" w:color="auto" w:fill="E2EFD9" w:themeFill="accent6" w:themeFillTint="33"/>
            <w:noWrap/>
            <w:vAlign w:val="center"/>
            <w:hideMark/>
          </w:tcPr>
          <w:p w14:paraId="36ECE5A6" w14:textId="77777777" w:rsidR="00D30644" w:rsidRPr="00F7521C" w:rsidRDefault="00D30644" w:rsidP="00D30644">
            <w:pPr>
              <w:jc w:val="right"/>
              <w:rPr>
                <w:lang w:val="es-MX" w:eastAsia="es-MX"/>
              </w:rPr>
            </w:pPr>
            <w:r w:rsidRPr="00F7521C">
              <w:rPr>
                <w:lang w:val="es-MX" w:eastAsia="es-MX"/>
              </w:rPr>
              <w:t>229.0</w:t>
            </w:r>
          </w:p>
        </w:tc>
        <w:tc>
          <w:tcPr>
            <w:tcW w:w="811" w:type="dxa"/>
            <w:tcBorders>
              <w:top w:val="nil"/>
              <w:left w:val="nil"/>
              <w:bottom w:val="single" w:sz="4" w:space="0" w:color="auto"/>
              <w:right w:val="single" w:sz="4" w:space="0" w:color="auto"/>
            </w:tcBorders>
            <w:shd w:val="clear" w:color="auto" w:fill="E2EFD9" w:themeFill="accent6" w:themeFillTint="33"/>
            <w:noWrap/>
            <w:vAlign w:val="center"/>
            <w:hideMark/>
          </w:tcPr>
          <w:p w14:paraId="3932F436" w14:textId="77777777" w:rsidR="00D30644" w:rsidRPr="00F7521C" w:rsidRDefault="00D30644" w:rsidP="00D30644">
            <w:pPr>
              <w:jc w:val="right"/>
              <w:rPr>
                <w:lang w:val="es-MX" w:eastAsia="es-MX"/>
              </w:rPr>
            </w:pPr>
            <w:r w:rsidRPr="00F7521C">
              <w:rPr>
                <w:lang w:val="es-MX" w:eastAsia="es-MX"/>
              </w:rPr>
              <w:t>366.6</w:t>
            </w:r>
          </w:p>
        </w:tc>
        <w:tc>
          <w:tcPr>
            <w:tcW w:w="811" w:type="dxa"/>
            <w:tcBorders>
              <w:top w:val="nil"/>
              <w:left w:val="nil"/>
              <w:bottom w:val="single" w:sz="4" w:space="0" w:color="auto"/>
              <w:right w:val="single" w:sz="4" w:space="0" w:color="auto"/>
            </w:tcBorders>
            <w:shd w:val="clear" w:color="auto" w:fill="E2EFD9" w:themeFill="accent6" w:themeFillTint="33"/>
            <w:noWrap/>
            <w:vAlign w:val="center"/>
            <w:hideMark/>
          </w:tcPr>
          <w:p w14:paraId="72CF8C76" w14:textId="77777777" w:rsidR="00D30644" w:rsidRPr="00F7521C" w:rsidRDefault="00D30644" w:rsidP="00D30644">
            <w:pPr>
              <w:jc w:val="right"/>
              <w:rPr>
                <w:lang w:val="es-MX" w:eastAsia="es-MX"/>
              </w:rPr>
            </w:pPr>
            <w:r w:rsidRPr="00F7521C">
              <w:rPr>
                <w:lang w:val="es-MX" w:eastAsia="es-MX"/>
              </w:rPr>
              <w:t>433.4</w:t>
            </w:r>
          </w:p>
        </w:tc>
        <w:tc>
          <w:tcPr>
            <w:tcW w:w="811" w:type="dxa"/>
            <w:tcBorders>
              <w:top w:val="nil"/>
              <w:left w:val="nil"/>
              <w:bottom w:val="single" w:sz="4" w:space="0" w:color="auto"/>
              <w:right w:val="single" w:sz="4" w:space="0" w:color="auto"/>
            </w:tcBorders>
            <w:shd w:val="clear" w:color="auto" w:fill="E2EFD9" w:themeFill="accent6" w:themeFillTint="33"/>
            <w:noWrap/>
            <w:vAlign w:val="center"/>
            <w:hideMark/>
          </w:tcPr>
          <w:p w14:paraId="1F4C8AB2" w14:textId="77777777" w:rsidR="00D30644" w:rsidRPr="00F7521C" w:rsidRDefault="00D30644" w:rsidP="00D30644">
            <w:pPr>
              <w:jc w:val="right"/>
              <w:rPr>
                <w:lang w:val="es-MX" w:eastAsia="es-MX"/>
              </w:rPr>
            </w:pPr>
            <w:r w:rsidRPr="00F7521C">
              <w:rPr>
                <w:lang w:val="es-MX" w:eastAsia="es-MX"/>
              </w:rPr>
              <w:t>647.5</w:t>
            </w:r>
          </w:p>
        </w:tc>
        <w:tc>
          <w:tcPr>
            <w:tcW w:w="1316" w:type="dxa"/>
            <w:tcBorders>
              <w:top w:val="nil"/>
              <w:left w:val="nil"/>
              <w:bottom w:val="single" w:sz="4" w:space="0" w:color="auto"/>
              <w:right w:val="single" w:sz="4" w:space="0" w:color="auto"/>
            </w:tcBorders>
            <w:shd w:val="clear" w:color="auto" w:fill="E2EFD9" w:themeFill="accent6" w:themeFillTint="33"/>
            <w:noWrap/>
            <w:vAlign w:val="center"/>
            <w:hideMark/>
          </w:tcPr>
          <w:p w14:paraId="5671A402" w14:textId="77777777" w:rsidR="00D30644" w:rsidRPr="00F7521C" w:rsidRDefault="00D30644" w:rsidP="00D30644">
            <w:pPr>
              <w:jc w:val="center"/>
              <w:rPr>
                <w:lang w:val="es-MX" w:eastAsia="es-MX"/>
              </w:rPr>
            </w:pPr>
            <w:r w:rsidRPr="00F7521C">
              <w:rPr>
                <w:lang w:val="es-MX" w:eastAsia="es-MX"/>
              </w:rPr>
              <w:t>5.8%</w:t>
            </w:r>
          </w:p>
        </w:tc>
        <w:tc>
          <w:tcPr>
            <w:tcW w:w="1091" w:type="dxa"/>
            <w:tcBorders>
              <w:top w:val="nil"/>
              <w:left w:val="nil"/>
              <w:bottom w:val="single" w:sz="4" w:space="0" w:color="auto"/>
              <w:right w:val="single" w:sz="4" w:space="0" w:color="auto"/>
            </w:tcBorders>
            <w:shd w:val="clear" w:color="auto" w:fill="E2EFD9" w:themeFill="accent6" w:themeFillTint="33"/>
            <w:noWrap/>
            <w:vAlign w:val="center"/>
            <w:hideMark/>
          </w:tcPr>
          <w:p w14:paraId="60ADB64B" w14:textId="77777777" w:rsidR="00D30644" w:rsidRPr="00F7521C" w:rsidRDefault="00D30644" w:rsidP="00D30644">
            <w:pPr>
              <w:jc w:val="center"/>
              <w:rPr>
                <w:color w:val="000000" w:themeColor="text1"/>
                <w:lang w:val="es-MX" w:eastAsia="es-MX"/>
              </w:rPr>
            </w:pPr>
            <w:r w:rsidRPr="00F7521C">
              <w:rPr>
                <w:color w:val="000000" w:themeColor="text1"/>
                <w:lang w:val="es-MX" w:eastAsia="es-MX"/>
              </w:rPr>
              <w:t>37.9%</w:t>
            </w:r>
          </w:p>
        </w:tc>
      </w:tr>
      <w:tr w:rsidR="006A2C20" w:rsidRPr="00F7521C" w14:paraId="5DB058FC" w14:textId="77777777" w:rsidTr="006A2C20">
        <w:trPr>
          <w:trHeight w:val="165"/>
          <w:jc w:val="center"/>
        </w:trPr>
        <w:tc>
          <w:tcPr>
            <w:tcW w:w="822" w:type="dxa"/>
            <w:tcBorders>
              <w:top w:val="nil"/>
              <w:left w:val="single" w:sz="4" w:space="0" w:color="auto"/>
              <w:bottom w:val="single" w:sz="4" w:space="0" w:color="auto"/>
              <w:right w:val="single" w:sz="4" w:space="0" w:color="auto"/>
            </w:tcBorders>
            <w:shd w:val="clear" w:color="auto" w:fill="E2EFD9" w:themeFill="accent6" w:themeFillTint="33"/>
            <w:noWrap/>
            <w:vAlign w:val="center"/>
            <w:hideMark/>
          </w:tcPr>
          <w:p w14:paraId="7A7A81F3" w14:textId="77777777" w:rsidR="00D30644" w:rsidRPr="00F7521C" w:rsidRDefault="00D30644" w:rsidP="00D30644">
            <w:pPr>
              <w:jc w:val="center"/>
              <w:rPr>
                <w:lang w:val="es-MX" w:eastAsia="es-MX"/>
              </w:rPr>
            </w:pPr>
            <w:r w:rsidRPr="00F7521C">
              <w:rPr>
                <w:lang w:val="es-MX" w:eastAsia="es-MX"/>
              </w:rPr>
              <w:t>6</w:t>
            </w:r>
          </w:p>
        </w:tc>
        <w:tc>
          <w:tcPr>
            <w:tcW w:w="1566" w:type="dxa"/>
            <w:tcBorders>
              <w:top w:val="nil"/>
              <w:left w:val="nil"/>
              <w:bottom w:val="single" w:sz="4" w:space="0" w:color="auto"/>
              <w:right w:val="single" w:sz="4" w:space="0" w:color="auto"/>
            </w:tcBorders>
            <w:shd w:val="clear" w:color="auto" w:fill="E2EFD9" w:themeFill="accent6" w:themeFillTint="33"/>
            <w:noWrap/>
            <w:vAlign w:val="bottom"/>
            <w:hideMark/>
          </w:tcPr>
          <w:p w14:paraId="48D84CE0" w14:textId="77777777" w:rsidR="00D30644" w:rsidRPr="00F7521C" w:rsidRDefault="00D30644" w:rsidP="00D30644">
            <w:pPr>
              <w:rPr>
                <w:lang w:val="es-MX" w:eastAsia="es-MX"/>
              </w:rPr>
            </w:pPr>
            <w:r w:rsidRPr="00F7521C">
              <w:rPr>
                <w:lang w:val="es-MX" w:eastAsia="es-MX"/>
              </w:rPr>
              <w:t>Grasas y aceites comestibles</w:t>
            </w:r>
          </w:p>
        </w:tc>
        <w:tc>
          <w:tcPr>
            <w:tcW w:w="811" w:type="dxa"/>
            <w:tcBorders>
              <w:top w:val="nil"/>
              <w:left w:val="nil"/>
              <w:bottom w:val="single" w:sz="4" w:space="0" w:color="auto"/>
              <w:right w:val="single" w:sz="4" w:space="0" w:color="auto"/>
            </w:tcBorders>
            <w:shd w:val="clear" w:color="auto" w:fill="E2EFD9" w:themeFill="accent6" w:themeFillTint="33"/>
            <w:noWrap/>
            <w:vAlign w:val="center"/>
            <w:hideMark/>
          </w:tcPr>
          <w:p w14:paraId="2D0A190C" w14:textId="77777777" w:rsidR="00D30644" w:rsidRPr="00F7521C" w:rsidRDefault="00D30644" w:rsidP="00D30644">
            <w:pPr>
              <w:jc w:val="right"/>
              <w:rPr>
                <w:lang w:val="es-MX" w:eastAsia="es-MX"/>
              </w:rPr>
            </w:pPr>
            <w:r w:rsidRPr="00F7521C">
              <w:rPr>
                <w:lang w:val="es-MX" w:eastAsia="es-MX"/>
              </w:rPr>
              <w:t>361.0</w:t>
            </w:r>
          </w:p>
        </w:tc>
        <w:tc>
          <w:tcPr>
            <w:tcW w:w="811" w:type="dxa"/>
            <w:tcBorders>
              <w:top w:val="nil"/>
              <w:left w:val="nil"/>
              <w:bottom w:val="single" w:sz="4" w:space="0" w:color="auto"/>
              <w:right w:val="single" w:sz="4" w:space="0" w:color="auto"/>
            </w:tcBorders>
            <w:shd w:val="clear" w:color="auto" w:fill="E2EFD9" w:themeFill="accent6" w:themeFillTint="33"/>
            <w:noWrap/>
            <w:vAlign w:val="center"/>
            <w:hideMark/>
          </w:tcPr>
          <w:p w14:paraId="776FBBDF" w14:textId="77777777" w:rsidR="00D30644" w:rsidRPr="00F7521C" w:rsidRDefault="00D30644" w:rsidP="00D30644">
            <w:pPr>
              <w:jc w:val="right"/>
              <w:rPr>
                <w:lang w:val="es-MX" w:eastAsia="es-MX"/>
              </w:rPr>
            </w:pPr>
            <w:r w:rsidRPr="00F7521C">
              <w:rPr>
                <w:lang w:val="es-MX" w:eastAsia="es-MX"/>
              </w:rPr>
              <w:t>469.4</w:t>
            </w:r>
          </w:p>
        </w:tc>
        <w:tc>
          <w:tcPr>
            <w:tcW w:w="811" w:type="dxa"/>
            <w:tcBorders>
              <w:top w:val="nil"/>
              <w:left w:val="nil"/>
              <w:bottom w:val="single" w:sz="4" w:space="0" w:color="auto"/>
              <w:right w:val="single" w:sz="4" w:space="0" w:color="auto"/>
            </w:tcBorders>
            <w:shd w:val="clear" w:color="auto" w:fill="E2EFD9" w:themeFill="accent6" w:themeFillTint="33"/>
            <w:noWrap/>
            <w:vAlign w:val="center"/>
            <w:hideMark/>
          </w:tcPr>
          <w:p w14:paraId="1487440A" w14:textId="77777777" w:rsidR="00D30644" w:rsidRPr="00F7521C" w:rsidRDefault="00D30644" w:rsidP="00D30644">
            <w:pPr>
              <w:jc w:val="right"/>
              <w:rPr>
                <w:lang w:val="es-MX" w:eastAsia="es-MX"/>
              </w:rPr>
            </w:pPr>
            <w:r w:rsidRPr="00F7521C">
              <w:rPr>
                <w:lang w:val="es-MX" w:eastAsia="es-MX"/>
              </w:rPr>
              <w:t>570.1</w:t>
            </w:r>
          </w:p>
        </w:tc>
        <w:tc>
          <w:tcPr>
            <w:tcW w:w="811" w:type="dxa"/>
            <w:tcBorders>
              <w:top w:val="nil"/>
              <w:left w:val="nil"/>
              <w:bottom w:val="single" w:sz="4" w:space="0" w:color="auto"/>
              <w:right w:val="single" w:sz="4" w:space="0" w:color="auto"/>
            </w:tcBorders>
            <w:shd w:val="clear" w:color="auto" w:fill="E2EFD9" w:themeFill="accent6" w:themeFillTint="33"/>
            <w:noWrap/>
            <w:vAlign w:val="center"/>
            <w:hideMark/>
          </w:tcPr>
          <w:p w14:paraId="2449E802" w14:textId="77777777" w:rsidR="00D30644" w:rsidRPr="00F7521C" w:rsidRDefault="00D30644" w:rsidP="00D30644">
            <w:pPr>
              <w:jc w:val="right"/>
              <w:rPr>
                <w:lang w:val="es-MX" w:eastAsia="es-MX"/>
              </w:rPr>
            </w:pPr>
            <w:r w:rsidRPr="00F7521C">
              <w:rPr>
                <w:lang w:val="es-MX" w:eastAsia="es-MX"/>
              </w:rPr>
              <w:t>566.5</w:t>
            </w:r>
          </w:p>
        </w:tc>
        <w:tc>
          <w:tcPr>
            <w:tcW w:w="811" w:type="dxa"/>
            <w:tcBorders>
              <w:top w:val="nil"/>
              <w:left w:val="nil"/>
              <w:bottom w:val="single" w:sz="4" w:space="0" w:color="auto"/>
              <w:right w:val="single" w:sz="4" w:space="0" w:color="auto"/>
            </w:tcBorders>
            <w:shd w:val="clear" w:color="auto" w:fill="E2EFD9" w:themeFill="accent6" w:themeFillTint="33"/>
            <w:noWrap/>
            <w:vAlign w:val="center"/>
            <w:hideMark/>
          </w:tcPr>
          <w:p w14:paraId="42566D4B" w14:textId="77777777" w:rsidR="00D30644" w:rsidRPr="00F7521C" w:rsidRDefault="00D30644" w:rsidP="00D30644">
            <w:pPr>
              <w:jc w:val="right"/>
              <w:rPr>
                <w:lang w:val="es-MX" w:eastAsia="es-MX"/>
              </w:rPr>
            </w:pPr>
            <w:r w:rsidRPr="00F7521C">
              <w:rPr>
                <w:lang w:val="es-MX" w:eastAsia="es-MX"/>
              </w:rPr>
              <w:t>490.1</w:t>
            </w:r>
          </w:p>
        </w:tc>
        <w:tc>
          <w:tcPr>
            <w:tcW w:w="1316" w:type="dxa"/>
            <w:tcBorders>
              <w:top w:val="nil"/>
              <w:left w:val="nil"/>
              <w:bottom w:val="single" w:sz="4" w:space="0" w:color="auto"/>
              <w:right w:val="single" w:sz="4" w:space="0" w:color="auto"/>
            </w:tcBorders>
            <w:shd w:val="clear" w:color="auto" w:fill="E2EFD9" w:themeFill="accent6" w:themeFillTint="33"/>
            <w:noWrap/>
            <w:vAlign w:val="center"/>
            <w:hideMark/>
          </w:tcPr>
          <w:p w14:paraId="08ABA48D" w14:textId="77777777" w:rsidR="00D30644" w:rsidRPr="00F7521C" w:rsidRDefault="00D30644" w:rsidP="00D30644">
            <w:pPr>
              <w:jc w:val="center"/>
              <w:rPr>
                <w:lang w:val="es-MX" w:eastAsia="es-MX"/>
              </w:rPr>
            </w:pPr>
            <w:r w:rsidRPr="00F7521C">
              <w:rPr>
                <w:lang w:val="es-MX" w:eastAsia="es-MX"/>
              </w:rPr>
              <w:t>4.4%</w:t>
            </w:r>
          </w:p>
        </w:tc>
        <w:tc>
          <w:tcPr>
            <w:tcW w:w="1091" w:type="dxa"/>
            <w:tcBorders>
              <w:top w:val="nil"/>
              <w:left w:val="nil"/>
              <w:bottom w:val="single" w:sz="4" w:space="0" w:color="auto"/>
              <w:right w:val="single" w:sz="4" w:space="0" w:color="auto"/>
            </w:tcBorders>
            <w:shd w:val="clear" w:color="auto" w:fill="E2EFD9" w:themeFill="accent6" w:themeFillTint="33"/>
            <w:noWrap/>
            <w:vAlign w:val="center"/>
            <w:hideMark/>
          </w:tcPr>
          <w:p w14:paraId="3BD46195" w14:textId="77777777" w:rsidR="00D30644" w:rsidRPr="00F7521C" w:rsidRDefault="00D30644" w:rsidP="00D30644">
            <w:pPr>
              <w:jc w:val="center"/>
              <w:rPr>
                <w:lang w:val="es-MX" w:eastAsia="es-MX"/>
              </w:rPr>
            </w:pPr>
            <w:r w:rsidRPr="00F7521C">
              <w:rPr>
                <w:lang w:val="es-MX" w:eastAsia="es-MX"/>
              </w:rPr>
              <w:t>42.2%</w:t>
            </w:r>
          </w:p>
        </w:tc>
      </w:tr>
      <w:tr w:rsidR="006A2C20" w:rsidRPr="00F7521C" w14:paraId="49798A10" w14:textId="77777777" w:rsidTr="006A2C20">
        <w:trPr>
          <w:trHeight w:val="165"/>
          <w:jc w:val="center"/>
        </w:trPr>
        <w:tc>
          <w:tcPr>
            <w:tcW w:w="822" w:type="dxa"/>
            <w:tcBorders>
              <w:top w:val="nil"/>
              <w:left w:val="single" w:sz="4" w:space="0" w:color="auto"/>
              <w:bottom w:val="single" w:sz="4" w:space="0" w:color="auto"/>
              <w:right w:val="single" w:sz="4" w:space="0" w:color="auto"/>
            </w:tcBorders>
            <w:shd w:val="clear" w:color="000000" w:fill="FFFFFF"/>
            <w:noWrap/>
            <w:vAlign w:val="center"/>
            <w:hideMark/>
          </w:tcPr>
          <w:p w14:paraId="51529CCE" w14:textId="77777777" w:rsidR="00D30644" w:rsidRPr="00F7521C" w:rsidRDefault="00D30644" w:rsidP="00D30644">
            <w:pPr>
              <w:jc w:val="center"/>
              <w:rPr>
                <w:lang w:val="es-MX" w:eastAsia="es-MX"/>
              </w:rPr>
            </w:pPr>
            <w:r w:rsidRPr="00F7521C">
              <w:rPr>
                <w:lang w:val="es-MX" w:eastAsia="es-MX"/>
              </w:rPr>
              <w:t>7</w:t>
            </w:r>
          </w:p>
        </w:tc>
        <w:tc>
          <w:tcPr>
            <w:tcW w:w="1566" w:type="dxa"/>
            <w:tcBorders>
              <w:top w:val="nil"/>
              <w:left w:val="nil"/>
              <w:bottom w:val="single" w:sz="4" w:space="0" w:color="auto"/>
              <w:right w:val="single" w:sz="4" w:space="0" w:color="auto"/>
            </w:tcBorders>
            <w:shd w:val="clear" w:color="000000" w:fill="FFFFFF"/>
            <w:noWrap/>
            <w:vAlign w:val="bottom"/>
            <w:hideMark/>
          </w:tcPr>
          <w:p w14:paraId="69565BD5" w14:textId="77777777" w:rsidR="00D30644" w:rsidRPr="00F7521C" w:rsidRDefault="00D30644" w:rsidP="00D30644">
            <w:pPr>
              <w:rPr>
                <w:lang w:val="es-MX" w:eastAsia="es-MX"/>
              </w:rPr>
            </w:pPr>
            <w:r w:rsidRPr="00F7521C">
              <w:rPr>
                <w:lang w:val="es-MX" w:eastAsia="es-MX"/>
              </w:rPr>
              <w:t>Hierro y acero</w:t>
            </w:r>
          </w:p>
        </w:tc>
        <w:tc>
          <w:tcPr>
            <w:tcW w:w="811" w:type="dxa"/>
            <w:tcBorders>
              <w:top w:val="nil"/>
              <w:left w:val="nil"/>
              <w:bottom w:val="single" w:sz="4" w:space="0" w:color="auto"/>
              <w:right w:val="single" w:sz="4" w:space="0" w:color="auto"/>
            </w:tcBorders>
            <w:shd w:val="clear" w:color="000000" w:fill="FFFFFF"/>
            <w:noWrap/>
            <w:vAlign w:val="center"/>
            <w:hideMark/>
          </w:tcPr>
          <w:p w14:paraId="310DE1C8" w14:textId="77777777" w:rsidR="00D30644" w:rsidRPr="00F7521C" w:rsidRDefault="00D30644" w:rsidP="00D30644">
            <w:pPr>
              <w:jc w:val="right"/>
              <w:rPr>
                <w:lang w:val="es-MX" w:eastAsia="es-MX"/>
              </w:rPr>
            </w:pPr>
            <w:r w:rsidRPr="00F7521C">
              <w:rPr>
                <w:lang w:val="es-MX" w:eastAsia="es-MX"/>
              </w:rPr>
              <w:t>222.9</w:t>
            </w:r>
          </w:p>
        </w:tc>
        <w:tc>
          <w:tcPr>
            <w:tcW w:w="811" w:type="dxa"/>
            <w:tcBorders>
              <w:top w:val="nil"/>
              <w:left w:val="nil"/>
              <w:bottom w:val="single" w:sz="4" w:space="0" w:color="auto"/>
              <w:right w:val="single" w:sz="4" w:space="0" w:color="auto"/>
            </w:tcBorders>
            <w:shd w:val="clear" w:color="000000" w:fill="FFFFFF"/>
            <w:noWrap/>
            <w:vAlign w:val="center"/>
            <w:hideMark/>
          </w:tcPr>
          <w:p w14:paraId="7C9B829B" w14:textId="77777777" w:rsidR="00D30644" w:rsidRPr="00F7521C" w:rsidRDefault="00D30644" w:rsidP="00D30644">
            <w:pPr>
              <w:jc w:val="right"/>
              <w:rPr>
                <w:lang w:val="es-MX" w:eastAsia="es-MX"/>
              </w:rPr>
            </w:pPr>
            <w:r w:rsidRPr="00F7521C">
              <w:rPr>
                <w:lang w:val="es-MX" w:eastAsia="es-MX"/>
              </w:rPr>
              <w:t>191.3</w:t>
            </w:r>
          </w:p>
        </w:tc>
        <w:tc>
          <w:tcPr>
            <w:tcW w:w="811" w:type="dxa"/>
            <w:tcBorders>
              <w:top w:val="nil"/>
              <w:left w:val="nil"/>
              <w:bottom w:val="single" w:sz="4" w:space="0" w:color="auto"/>
              <w:right w:val="single" w:sz="4" w:space="0" w:color="auto"/>
            </w:tcBorders>
            <w:shd w:val="clear" w:color="000000" w:fill="FFFFFF"/>
            <w:noWrap/>
            <w:vAlign w:val="center"/>
            <w:hideMark/>
          </w:tcPr>
          <w:p w14:paraId="74EE630D" w14:textId="77777777" w:rsidR="00D30644" w:rsidRPr="00F7521C" w:rsidRDefault="00D30644" w:rsidP="00D30644">
            <w:pPr>
              <w:jc w:val="right"/>
              <w:rPr>
                <w:lang w:val="es-MX" w:eastAsia="es-MX"/>
              </w:rPr>
            </w:pPr>
            <w:r w:rsidRPr="00F7521C">
              <w:rPr>
                <w:lang w:val="es-MX" w:eastAsia="es-MX"/>
              </w:rPr>
              <w:t>237.2</w:t>
            </w:r>
          </w:p>
        </w:tc>
        <w:tc>
          <w:tcPr>
            <w:tcW w:w="811" w:type="dxa"/>
            <w:tcBorders>
              <w:top w:val="nil"/>
              <w:left w:val="nil"/>
              <w:bottom w:val="single" w:sz="4" w:space="0" w:color="auto"/>
              <w:right w:val="single" w:sz="4" w:space="0" w:color="auto"/>
            </w:tcBorders>
            <w:shd w:val="clear" w:color="000000" w:fill="FFFFFF"/>
            <w:noWrap/>
            <w:vAlign w:val="center"/>
            <w:hideMark/>
          </w:tcPr>
          <w:p w14:paraId="785AD58B" w14:textId="77777777" w:rsidR="00D30644" w:rsidRPr="00F7521C" w:rsidRDefault="00D30644" w:rsidP="00D30644">
            <w:pPr>
              <w:jc w:val="right"/>
              <w:rPr>
                <w:lang w:val="es-MX" w:eastAsia="es-MX"/>
              </w:rPr>
            </w:pPr>
            <w:r w:rsidRPr="00F7521C">
              <w:rPr>
                <w:lang w:val="es-MX" w:eastAsia="es-MX"/>
              </w:rPr>
              <w:t>302.2</w:t>
            </w:r>
          </w:p>
        </w:tc>
        <w:tc>
          <w:tcPr>
            <w:tcW w:w="811" w:type="dxa"/>
            <w:tcBorders>
              <w:top w:val="nil"/>
              <w:left w:val="nil"/>
              <w:bottom w:val="single" w:sz="4" w:space="0" w:color="auto"/>
              <w:right w:val="single" w:sz="4" w:space="0" w:color="auto"/>
            </w:tcBorders>
            <w:shd w:val="clear" w:color="000000" w:fill="FFFFFF"/>
            <w:noWrap/>
            <w:vAlign w:val="center"/>
            <w:hideMark/>
          </w:tcPr>
          <w:p w14:paraId="4FBF1E05" w14:textId="77777777" w:rsidR="00D30644" w:rsidRPr="00F7521C" w:rsidRDefault="00D30644" w:rsidP="00D30644">
            <w:pPr>
              <w:jc w:val="right"/>
              <w:rPr>
                <w:lang w:val="es-MX" w:eastAsia="es-MX"/>
              </w:rPr>
            </w:pPr>
            <w:r w:rsidRPr="00F7521C">
              <w:rPr>
                <w:lang w:val="es-MX" w:eastAsia="es-MX"/>
              </w:rPr>
              <w:t>359.0</w:t>
            </w:r>
          </w:p>
        </w:tc>
        <w:tc>
          <w:tcPr>
            <w:tcW w:w="1316" w:type="dxa"/>
            <w:tcBorders>
              <w:top w:val="nil"/>
              <w:left w:val="nil"/>
              <w:bottom w:val="single" w:sz="4" w:space="0" w:color="auto"/>
              <w:right w:val="single" w:sz="4" w:space="0" w:color="auto"/>
            </w:tcBorders>
            <w:shd w:val="clear" w:color="000000" w:fill="FFFFFF"/>
            <w:noWrap/>
            <w:vAlign w:val="center"/>
            <w:hideMark/>
          </w:tcPr>
          <w:p w14:paraId="71EF8EA3" w14:textId="77777777" w:rsidR="00D30644" w:rsidRPr="00F7521C" w:rsidRDefault="00D30644" w:rsidP="00D30644">
            <w:pPr>
              <w:jc w:val="center"/>
              <w:rPr>
                <w:lang w:val="es-MX" w:eastAsia="es-MX"/>
              </w:rPr>
            </w:pPr>
            <w:r w:rsidRPr="00F7521C">
              <w:rPr>
                <w:lang w:val="es-MX" w:eastAsia="es-MX"/>
              </w:rPr>
              <w:t>3.2%</w:t>
            </w:r>
          </w:p>
        </w:tc>
        <w:tc>
          <w:tcPr>
            <w:tcW w:w="1091" w:type="dxa"/>
            <w:tcBorders>
              <w:top w:val="nil"/>
              <w:left w:val="nil"/>
              <w:bottom w:val="single" w:sz="4" w:space="0" w:color="auto"/>
              <w:right w:val="single" w:sz="4" w:space="0" w:color="auto"/>
            </w:tcBorders>
            <w:shd w:val="clear" w:color="000000" w:fill="FFFFFF"/>
            <w:noWrap/>
            <w:vAlign w:val="center"/>
            <w:hideMark/>
          </w:tcPr>
          <w:p w14:paraId="0E4007D7" w14:textId="77777777" w:rsidR="00D30644" w:rsidRPr="00F7521C" w:rsidRDefault="00D30644" w:rsidP="00D30644">
            <w:pPr>
              <w:jc w:val="center"/>
              <w:rPr>
                <w:lang w:val="es-MX" w:eastAsia="es-MX"/>
              </w:rPr>
            </w:pPr>
            <w:r w:rsidRPr="00F7521C">
              <w:rPr>
                <w:lang w:val="es-MX" w:eastAsia="es-MX"/>
              </w:rPr>
              <w:t>45.5%</w:t>
            </w:r>
          </w:p>
        </w:tc>
      </w:tr>
      <w:tr w:rsidR="006A2C20" w:rsidRPr="00F7521C" w14:paraId="06A2C28D" w14:textId="77777777" w:rsidTr="006A2C20">
        <w:trPr>
          <w:trHeight w:val="165"/>
          <w:jc w:val="center"/>
        </w:trPr>
        <w:tc>
          <w:tcPr>
            <w:tcW w:w="822" w:type="dxa"/>
            <w:tcBorders>
              <w:top w:val="nil"/>
              <w:left w:val="single" w:sz="4" w:space="0" w:color="auto"/>
              <w:bottom w:val="single" w:sz="4" w:space="0" w:color="auto"/>
              <w:right w:val="single" w:sz="4" w:space="0" w:color="auto"/>
            </w:tcBorders>
            <w:shd w:val="clear" w:color="000000" w:fill="FFFFFF"/>
            <w:noWrap/>
            <w:vAlign w:val="center"/>
            <w:hideMark/>
          </w:tcPr>
          <w:p w14:paraId="56B2622D" w14:textId="77777777" w:rsidR="00D30644" w:rsidRPr="00F7521C" w:rsidRDefault="00D30644" w:rsidP="00D30644">
            <w:pPr>
              <w:jc w:val="center"/>
              <w:rPr>
                <w:lang w:val="es-MX" w:eastAsia="es-MX"/>
              </w:rPr>
            </w:pPr>
            <w:r w:rsidRPr="00F7521C">
              <w:rPr>
                <w:lang w:val="es-MX" w:eastAsia="es-MX"/>
              </w:rPr>
              <w:t>8</w:t>
            </w:r>
          </w:p>
        </w:tc>
        <w:tc>
          <w:tcPr>
            <w:tcW w:w="1566" w:type="dxa"/>
            <w:tcBorders>
              <w:top w:val="nil"/>
              <w:left w:val="nil"/>
              <w:bottom w:val="single" w:sz="4" w:space="0" w:color="auto"/>
              <w:right w:val="single" w:sz="4" w:space="0" w:color="auto"/>
            </w:tcBorders>
            <w:shd w:val="clear" w:color="000000" w:fill="FFFFFF"/>
            <w:noWrap/>
            <w:vAlign w:val="bottom"/>
            <w:hideMark/>
          </w:tcPr>
          <w:p w14:paraId="146D3470" w14:textId="77777777" w:rsidR="00D30644" w:rsidRPr="00F7521C" w:rsidRDefault="00D30644" w:rsidP="00D30644">
            <w:pPr>
              <w:rPr>
                <w:lang w:val="es-MX" w:eastAsia="es-MX"/>
              </w:rPr>
            </w:pPr>
            <w:r w:rsidRPr="00F7521C">
              <w:rPr>
                <w:lang w:val="es-MX" w:eastAsia="es-MX"/>
              </w:rPr>
              <w:t>Materiales plásticos y sus manufacturas</w:t>
            </w:r>
          </w:p>
        </w:tc>
        <w:tc>
          <w:tcPr>
            <w:tcW w:w="811" w:type="dxa"/>
            <w:tcBorders>
              <w:top w:val="nil"/>
              <w:left w:val="nil"/>
              <w:bottom w:val="single" w:sz="4" w:space="0" w:color="auto"/>
              <w:right w:val="single" w:sz="4" w:space="0" w:color="auto"/>
            </w:tcBorders>
            <w:shd w:val="clear" w:color="000000" w:fill="FFFFFF"/>
            <w:noWrap/>
            <w:vAlign w:val="center"/>
            <w:hideMark/>
          </w:tcPr>
          <w:p w14:paraId="3C81693B" w14:textId="77777777" w:rsidR="00D30644" w:rsidRPr="00F7521C" w:rsidRDefault="00D30644" w:rsidP="00D30644">
            <w:pPr>
              <w:jc w:val="right"/>
              <w:rPr>
                <w:lang w:val="es-MX" w:eastAsia="es-MX"/>
              </w:rPr>
            </w:pPr>
            <w:r w:rsidRPr="00F7521C">
              <w:rPr>
                <w:lang w:val="es-MX" w:eastAsia="es-MX"/>
              </w:rPr>
              <w:t>321.7</w:t>
            </w:r>
          </w:p>
        </w:tc>
        <w:tc>
          <w:tcPr>
            <w:tcW w:w="811" w:type="dxa"/>
            <w:tcBorders>
              <w:top w:val="nil"/>
              <w:left w:val="nil"/>
              <w:bottom w:val="single" w:sz="4" w:space="0" w:color="auto"/>
              <w:right w:val="single" w:sz="4" w:space="0" w:color="auto"/>
            </w:tcBorders>
            <w:shd w:val="clear" w:color="000000" w:fill="FFFFFF"/>
            <w:noWrap/>
            <w:vAlign w:val="center"/>
            <w:hideMark/>
          </w:tcPr>
          <w:p w14:paraId="4BAECD48" w14:textId="77777777" w:rsidR="00D30644" w:rsidRPr="00F7521C" w:rsidRDefault="00D30644" w:rsidP="00D30644">
            <w:pPr>
              <w:jc w:val="right"/>
              <w:rPr>
                <w:lang w:val="es-MX" w:eastAsia="es-MX"/>
              </w:rPr>
            </w:pPr>
            <w:r w:rsidRPr="00F7521C">
              <w:rPr>
                <w:lang w:val="es-MX" w:eastAsia="es-MX"/>
              </w:rPr>
              <w:t>322.6</w:t>
            </w:r>
          </w:p>
        </w:tc>
        <w:tc>
          <w:tcPr>
            <w:tcW w:w="811" w:type="dxa"/>
            <w:tcBorders>
              <w:top w:val="nil"/>
              <w:left w:val="nil"/>
              <w:bottom w:val="single" w:sz="4" w:space="0" w:color="auto"/>
              <w:right w:val="single" w:sz="4" w:space="0" w:color="auto"/>
            </w:tcBorders>
            <w:shd w:val="clear" w:color="000000" w:fill="FFFFFF"/>
            <w:noWrap/>
            <w:vAlign w:val="center"/>
            <w:hideMark/>
          </w:tcPr>
          <w:p w14:paraId="0C061CA0" w14:textId="77777777" w:rsidR="00D30644" w:rsidRPr="00F7521C" w:rsidRDefault="00D30644" w:rsidP="00D30644">
            <w:pPr>
              <w:jc w:val="right"/>
              <w:rPr>
                <w:lang w:val="es-MX" w:eastAsia="es-MX"/>
              </w:rPr>
            </w:pPr>
            <w:r w:rsidRPr="00F7521C">
              <w:rPr>
                <w:lang w:val="es-MX" w:eastAsia="es-MX"/>
              </w:rPr>
              <w:t>329.3</w:t>
            </w:r>
          </w:p>
        </w:tc>
        <w:tc>
          <w:tcPr>
            <w:tcW w:w="811" w:type="dxa"/>
            <w:tcBorders>
              <w:top w:val="nil"/>
              <w:left w:val="nil"/>
              <w:bottom w:val="single" w:sz="4" w:space="0" w:color="auto"/>
              <w:right w:val="single" w:sz="4" w:space="0" w:color="auto"/>
            </w:tcBorders>
            <w:shd w:val="clear" w:color="000000" w:fill="FFFFFF"/>
            <w:noWrap/>
            <w:vAlign w:val="center"/>
            <w:hideMark/>
          </w:tcPr>
          <w:p w14:paraId="6184D4F4" w14:textId="77777777" w:rsidR="00D30644" w:rsidRPr="00F7521C" w:rsidRDefault="00D30644" w:rsidP="00D30644">
            <w:pPr>
              <w:jc w:val="right"/>
              <w:rPr>
                <w:lang w:val="es-MX" w:eastAsia="es-MX"/>
              </w:rPr>
            </w:pPr>
            <w:r w:rsidRPr="00F7521C">
              <w:rPr>
                <w:lang w:val="es-MX" w:eastAsia="es-MX"/>
              </w:rPr>
              <w:t>349.4</w:t>
            </w:r>
          </w:p>
        </w:tc>
        <w:tc>
          <w:tcPr>
            <w:tcW w:w="811" w:type="dxa"/>
            <w:tcBorders>
              <w:top w:val="nil"/>
              <w:left w:val="nil"/>
              <w:bottom w:val="single" w:sz="4" w:space="0" w:color="auto"/>
              <w:right w:val="single" w:sz="4" w:space="0" w:color="auto"/>
            </w:tcBorders>
            <w:shd w:val="clear" w:color="000000" w:fill="FFFFFF"/>
            <w:noWrap/>
            <w:vAlign w:val="center"/>
            <w:hideMark/>
          </w:tcPr>
          <w:p w14:paraId="3FEA82A3" w14:textId="77777777" w:rsidR="00D30644" w:rsidRPr="00F7521C" w:rsidRDefault="00D30644" w:rsidP="00D30644">
            <w:pPr>
              <w:jc w:val="right"/>
              <w:rPr>
                <w:lang w:val="es-MX" w:eastAsia="es-MX"/>
              </w:rPr>
            </w:pPr>
            <w:r w:rsidRPr="00F7521C">
              <w:rPr>
                <w:lang w:val="es-MX" w:eastAsia="es-MX"/>
              </w:rPr>
              <w:t>357.4</w:t>
            </w:r>
          </w:p>
        </w:tc>
        <w:tc>
          <w:tcPr>
            <w:tcW w:w="1316" w:type="dxa"/>
            <w:tcBorders>
              <w:top w:val="nil"/>
              <w:left w:val="nil"/>
              <w:bottom w:val="single" w:sz="4" w:space="0" w:color="auto"/>
              <w:right w:val="single" w:sz="4" w:space="0" w:color="auto"/>
            </w:tcBorders>
            <w:shd w:val="clear" w:color="000000" w:fill="FFFFFF"/>
            <w:noWrap/>
            <w:vAlign w:val="center"/>
            <w:hideMark/>
          </w:tcPr>
          <w:p w14:paraId="22A27392" w14:textId="77777777" w:rsidR="00D30644" w:rsidRPr="00F7521C" w:rsidRDefault="00D30644" w:rsidP="00D30644">
            <w:pPr>
              <w:jc w:val="center"/>
              <w:rPr>
                <w:lang w:val="es-MX" w:eastAsia="es-MX"/>
              </w:rPr>
            </w:pPr>
            <w:r w:rsidRPr="00F7521C">
              <w:rPr>
                <w:lang w:val="es-MX" w:eastAsia="es-MX"/>
              </w:rPr>
              <w:t>3.2%</w:t>
            </w:r>
          </w:p>
        </w:tc>
        <w:tc>
          <w:tcPr>
            <w:tcW w:w="1091" w:type="dxa"/>
            <w:tcBorders>
              <w:top w:val="nil"/>
              <w:left w:val="nil"/>
              <w:bottom w:val="single" w:sz="4" w:space="0" w:color="auto"/>
              <w:right w:val="single" w:sz="4" w:space="0" w:color="auto"/>
            </w:tcBorders>
            <w:shd w:val="clear" w:color="000000" w:fill="FFFFFF"/>
            <w:noWrap/>
            <w:vAlign w:val="center"/>
            <w:hideMark/>
          </w:tcPr>
          <w:p w14:paraId="4D385F09" w14:textId="77777777" w:rsidR="00D30644" w:rsidRPr="00F7521C" w:rsidRDefault="00D30644" w:rsidP="00D30644">
            <w:pPr>
              <w:jc w:val="center"/>
              <w:rPr>
                <w:lang w:val="es-MX" w:eastAsia="es-MX"/>
              </w:rPr>
            </w:pPr>
            <w:r w:rsidRPr="00F7521C">
              <w:rPr>
                <w:lang w:val="es-MX" w:eastAsia="es-MX"/>
              </w:rPr>
              <w:t>48.7%</w:t>
            </w:r>
          </w:p>
        </w:tc>
      </w:tr>
      <w:tr w:rsidR="006A2C20" w:rsidRPr="00F7521C" w14:paraId="18284758" w14:textId="77777777" w:rsidTr="006A2C20">
        <w:trPr>
          <w:trHeight w:val="165"/>
          <w:jc w:val="center"/>
        </w:trPr>
        <w:tc>
          <w:tcPr>
            <w:tcW w:w="822" w:type="dxa"/>
            <w:tcBorders>
              <w:top w:val="nil"/>
              <w:left w:val="single" w:sz="4" w:space="0" w:color="auto"/>
              <w:bottom w:val="single" w:sz="4" w:space="0" w:color="auto"/>
              <w:right w:val="single" w:sz="4" w:space="0" w:color="auto"/>
            </w:tcBorders>
            <w:shd w:val="clear" w:color="000000" w:fill="FFFFFF"/>
            <w:noWrap/>
            <w:vAlign w:val="center"/>
            <w:hideMark/>
          </w:tcPr>
          <w:p w14:paraId="2D0E4C61" w14:textId="77777777" w:rsidR="00D30644" w:rsidRPr="00F7521C" w:rsidRDefault="00D30644" w:rsidP="00D30644">
            <w:pPr>
              <w:jc w:val="center"/>
              <w:rPr>
                <w:lang w:val="es-MX" w:eastAsia="es-MX"/>
              </w:rPr>
            </w:pPr>
            <w:r w:rsidRPr="00F7521C">
              <w:rPr>
                <w:lang w:val="es-MX" w:eastAsia="es-MX"/>
              </w:rPr>
              <w:t>9</w:t>
            </w:r>
          </w:p>
        </w:tc>
        <w:tc>
          <w:tcPr>
            <w:tcW w:w="1566" w:type="dxa"/>
            <w:tcBorders>
              <w:top w:val="nil"/>
              <w:left w:val="nil"/>
              <w:bottom w:val="single" w:sz="4" w:space="0" w:color="auto"/>
              <w:right w:val="single" w:sz="4" w:space="0" w:color="auto"/>
            </w:tcBorders>
            <w:shd w:val="clear" w:color="000000" w:fill="FFFFFF"/>
            <w:noWrap/>
            <w:vAlign w:val="bottom"/>
            <w:hideMark/>
          </w:tcPr>
          <w:p w14:paraId="1894DEB6" w14:textId="77777777" w:rsidR="00D30644" w:rsidRPr="00F7521C" w:rsidRDefault="00D30644" w:rsidP="00D30644">
            <w:pPr>
              <w:rPr>
                <w:lang w:val="es-MX" w:eastAsia="es-MX"/>
              </w:rPr>
            </w:pPr>
            <w:r w:rsidRPr="00F7521C">
              <w:rPr>
                <w:lang w:val="es-MX" w:eastAsia="es-MX"/>
              </w:rPr>
              <w:t>Bebidas, líquidos alcohólicos y vinagres</w:t>
            </w:r>
          </w:p>
        </w:tc>
        <w:tc>
          <w:tcPr>
            <w:tcW w:w="811" w:type="dxa"/>
            <w:tcBorders>
              <w:top w:val="nil"/>
              <w:left w:val="nil"/>
              <w:bottom w:val="single" w:sz="4" w:space="0" w:color="auto"/>
              <w:right w:val="single" w:sz="4" w:space="0" w:color="auto"/>
            </w:tcBorders>
            <w:shd w:val="clear" w:color="000000" w:fill="FFFFFF"/>
            <w:noWrap/>
            <w:vAlign w:val="center"/>
            <w:hideMark/>
          </w:tcPr>
          <w:p w14:paraId="2230ABCF" w14:textId="77777777" w:rsidR="00D30644" w:rsidRPr="00F7521C" w:rsidRDefault="00D30644" w:rsidP="00D30644">
            <w:pPr>
              <w:jc w:val="right"/>
              <w:rPr>
                <w:lang w:val="es-MX" w:eastAsia="es-MX"/>
              </w:rPr>
            </w:pPr>
            <w:r w:rsidRPr="00F7521C">
              <w:rPr>
                <w:lang w:val="es-MX" w:eastAsia="es-MX"/>
              </w:rPr>
              <w:t>298.8</w:t>
            </w:r>
          </w:p>
        </w:tc>
        <w:tc>
          <w:tcPr>
            <w:tcW w:w="811" w:type="dxa"/>
            <w:tcBorders>
              <w:top w:val="nil"/>
              <w:left w:val="nil"/>
              <w:bottom w:val="single" w:sz="4" w:space="0" w:color="auto"/>
              <w:right w:val="single" w:sz="4" w:space="0" w:color="auto"/>
            </w:tcBorders>
            <w:shd w:val="clear" w:color="000000" w:fill="FFFFFF"/>
            <w:noWrap/>
            <w:vAlign w:val="center"/>
            <w:hideMark/>
          </w:tcPr>
          <w:p w14:paraId="403BE6D0" w14:textId="77777777" w:rsidR="00D30644" w:rsidRPr="00F7521C" w:rsidRDefault="00D30644" w:rsidP="00D30644">
            <w:pPr>
              <w:jc w:val="right"/>
              <w:rPr>
                <w:lang w:val="es-MX" w:eastAsia="es-MX"/>
              </w:rPr>
            </w:pPr>
            <w:r w:rsidRPr="00F7521C">
              <w:rPr>
                <w:lang w:val="es-MX" w:eastAsia="es-MX"/>
              </w:rPr>
              <w:t>328.0</w:t>
            </w:r>
          </w:p>
        </w:tc>
        <w:tc>
          <w:tcPr>
            <w:tcW w:w="811" w:type="dxa"/>
            <w:tcBorders>
              <w:top w:val="nil"/>
              <w:left w:val="nil"/>
              <w:bottom w:val="single" w:sz="4" w:space="0" w:color="auto"/>
              <w:right w:val="single" w:sz="4" w:space="0" w:color="auto"/>
            </w:tcBorders>
            <w:shd w:val="clear" w:color="000000" w:fill="FFFFFF"/>
            <w:noWrap/>
            <w:vAlign w:val="center"/>
            <w:hideMark/>
          </w:tcPr>
          <w:p w14:paraId="55127F65" w14:textId="77777777" w:rsidR="00D30644" w:rsidRPr="00F7521C" w:rsidRDefault="00D30644" w:rsidP="00D30644">
            <w:pPr>
              <w:jc w:val="right"/>
              <w:rPr>
                <w:lang w:val="es-MX" w:eastAsia="es-MX"/>
              </w:rPr>
            </w:pPr>
            <w:r w:rsidRPr="00F7521C">
              <w:rPr>
                <w:lang w:val="es-MX" w:eastAsia="es-MX"/>
              </w:rPr>
              <w:t>326.2</w:t>
            </w:r>
          </w:p>
        </w:tc>
        <w:tc>
          <w:tcPr>
            <w:tcW w:w="811" w:type="dxa"/>
            <w:tcBorders>
              <w:top w:val="nil"/>
              <w:left w:val="nil"/>
              <w:bottom w:val="single" w:sz="4" w:space="0" w:color="auto"/>
              <w:right w:val="single" w:sz="4" w:space="0" w:color="auto"/>
            </w:tcBorders>
            <w:shd w:val="clear" w:color="000000" w:fill="FFFFFF"/>
            <w:noWrap/>
            <w:vAlign w:val="center"/>
            <w:hideMark/>
          </w:tcPr>
          <w:p w14:paraId="41AE2A9F" w14:textId="77777777" w:rsidR="00D30644" w:rsidRPr="00F7521C" w:rsidRDefault="00D30644" w:rsidP="00D30644">
            <w:pPr>
              <w:jc w:val="right"/>
              <w:rPr>
                <w:lang w:val="es-MX" w:eastAsia="es-MX"/>
              </w:rPr>
            </w:pPr>
            <w:r w:rsidRPr="00F7521C">
              <w:rPr>
                <w:lang w:val="es-MX" w:eastAsia="es-MX"/>
              </w:rPr>
              <w:t>325.0</w:t>
            </w:r>
          </w:p>
        </w:tc>
        <w:tc>
          <w:tcPr>
            <w:tcW w:w="811" w:type="dxa"/>
            <w:tcBorders>
              <w:top w:val="nil"/>
              <w:left w:val="nil"/>
              <w:bottom w:val="single" w:sz="4" w:space="0" w:color="auto"/>
              <w:right w:val="single" w:sz="4" w:space="0" w:color="auto"/>
            </w:tcBorders>
            <w:shd w:val="clear" w:color="000000" w:fill="FFFFFF"/>
            <w:noWrap/>
            <w:vAlign w:val="center"/>
            <w:hideMark/>
          </w:tcPr>
          <w:p w14:paraId="51A5E2F0" w14:textId="77777777" w:rsidR="00D30644" w:rsidRPr="00F7521C" w:rsidRDefault="00D30644" w:rsidP="00D30644">
            <w:pPr>
              <w:jc w:val="right"/>
              <w:rPr>
                <w:lang w:val="es-MX" w:eastAsia="es-MX"/>
              </w:rPr>
            </w:pPr>
            <w:r w:rsidRPr="00F7521C">
              <w:rPr>
                <w:lang w:val="es-MX" w:eastAsia="es-MX"/>
              </w:rPr>
              <w:t>337.2</w:t>
            </w:r>
          </w:p>
        </w:tc>
        <w:tc>
          <w:tcPr>
            <w:tcW w:w="1316" w:type="dxa"/>
            <w:tcBorders>
              <w:top w:val="nil"/>
              <w:left w:val="nil"/>
              <w:bottom w:val="single" w:sz="4" w:space="0" w:color="auto"/>
              <w:right w:val="single" w:sz="4" w:space="0" w:color="auto"/>
            </w:tcBorders>
            <w:shd w:val="clear" w:color="000000" w:fill="FFFFFF"/>
            <w:noWrap/>
            <w:vAlign w:val="center"/>
            <w:hideMark/>
          </w:tcPr>
          <w:p w14:paraId="63FFEE79" w14:textId="77777777" w:rsidR="00D30644" w:rsidRPr="00F7521C" w:rsidRDefault="00D30644" w:rsidP="00D30644">
            <w:pPr>
              <w:jc w:val="center"/>
              <w:rPr>
                <w:lang w:val="es-MX" w:eastAsia="es-MX"/>
              </w:rPr>
            </w:pPr>
            <w:r w:rsidRPr="00F7521C">
              <w:rPr>
                <w:lang w:val="es-MX" w:eastAsia="es-MX"/>
              </w:rPr>
              <w:t>3.0%</w:t>
            </w:r>
          </w:p>
        </w:tc>
        <w:tc>
          <w:tcPr>
            <w:tcW w:w="1091" w:type="dxa"/>
            <w:tcBorders>
              <w:top w:val="nil"/>
              <w:left w:val="nil"/>
              <w:bottom w:val="single" w:sz="4" w:space="0" w:color="auto"/>
              <w:right w:val="single" w:sz="4" w:space="0" w:color="auto"/>
            </w:tcBorders>
            <w:shd w:val="clear" w:color="000000" w:fill="FFFFFF"/>
            <w:noWrap/>
            <w:vAlign w:val="center"/>
            <w:hideMark/>
          </w:tcPr>
          <w:p w14:paraId="6C6C7743" w14:textId="77777777" w:rsidR="00D30644" w:rsidRPr="00F7521C" w:rsidRDefault="00D30644" w:rsidP="00D30644">
            <w:pPr>
              <w:jc w:val="center"/>
              <w:rPr>
                <w:lang w:val="es-MX" w:eastAsia="es-MX"/>
              </w:rPr>
            </w:pPr>
            <w:r w:rsidRPr="00F7521C">
              <w:rPr>
                <w:lang w:val="es-MX" w:eastAsia="es-MX"/>
              </w:rPr>
              <w:t>51.7%</w:t>
            </w:r>
          </w:p>
        </w:tc>
      </w:tr>
      <w:tr w:rsidR="006A2C20" w:rsidRPr="00F7521C" w14:paraId="7273A69F" w14:textId="77777777" w:rsidTr="006A2C20">
        <w:trPr>
          <w:trHeight w:val="156"/>
          <w:jc w:val="center"/>
        </w:trPr>
        <w:tc>
          <w:tcPr>
            <w:tcW w:w="822" w:type="dxa"/>
            <w:tcBorders>
              <w:top w:val="nil"/>
              <w:left w:val="single" w:sz="4" w:space="0" w:color="auto"/>
              <w:bottom w:val="single" w:sz="4" w:space="0" w:color="auto"/>
              <w:right w:val="single" w:sz="4" w:space="0" w:color="auto"/>
            </w:tcBorders>
            <w:shd w:val="clear" w:color="000000" w:fill="FFFFFF"/>
            <w:noWrap/>
            <w:vAlign w:val="center"/>
            <w:hideMark/>
          </w:tcPr>
          <w:p w14:paraId="5C45B423" w14:textId="77777777" w:rsidR="00D30644" w:rsidRPr="00F7521C" w:rsidRDefault="00D30644" w:rsidP="00D30644">
            <w:pPr>
              <w:jc w:val="center"/>
              <w:rPr>
                <w:lang w:val="es-MX" w:eastAsia="es-MX"/>
              </w:rPr>
            </w:pPr>
            <w:r w:rsidRPr="00F7521C">
              <w:rPr>
                <w:lang w:val="es-MX" w:eastAsia="es-MX"/>
              </w:rPr>
              <w:t>10</w:t>
            </w:r>
          </w:p>
        </w:tc>
        <w:tc>
          <w:tcPr>
            <w:tcW w:w="1566" w:type="dxa"/>
            <w:tcBorders>
              <w:top w:val="nil"/>
              <w:left w:val="nil"/>
              <w:bottom w:val="single" w:sz="4" w:space="0" w:color="auto"/>
              <w:right w:val="single" w:sz="4" w:space="0" w:color="auto"/>
            </w:tcBorders>
            <w:shd w:val="clear" w:color="000000" w:fill="FFFFFF"/>
            <w:noWrap/>
            <w:vAlign w:val="bottom"/>
            <w:hideMark/>
          </w:tcPr>
          <w:p w14:paraId="791C9341" w14:textId="77777777" w:rsidR="00D30644" w:rsidRPr="00F7521C" w:rsidRDefault="00D30644" w:rsidP="00D30644">
            <w:pPr>
              <w:rPr>
                <w:lang w:val="es-MX" w:eastAsia="es-MX"/>
              </w:rPr>
            </w:pPr>
            <w:r w:rsidRPr="00F7521C">
              <w:rPr>
                <w:lang w:val="es-MX" w:eastAsia="es-MX"/>
              </w:rPr>
              <w:t>Manufacturas de papel y cartón</w:t>
            </w:r>
          </w:p>
        </w:tc>
        <w:tc>
          <w:tcPr>
            <w:tcW w:w="811" w:type="dxa"/>
            <w:tcBorders>
              <w:top w:val="nil"/>
              <w:left w:val="nil"/>
              <w:bottom w:val="single" w:sz="4" w:space="0" w:color="auto"/>
              <w:right w:val="single" w:sz="4" w:space="0" w:color="auto"/>
            </w:tcBorders>
            <w:shd w:val="clear" w:color="000000" w:fill="FFFFFF"/>
            <w:noWrap/>
            <w:vAlign w:val="center"/>
            <w:hideMark/>
          </w:tcPr>
          <w:p w14:paraId="584A1E12" w14:textId="77777777" w:rsidR="00D30644" w:rsidRPr="00F7521C" w:rsidRDefault="00D30644" w:rsidP="00D30644">
            <w:pPr>
              <w:jc w:val="right"/>
              <w:rPr>
                <w:lang w:val="es-MX" w:eastAsia="es-MX"/>
              </w:rPr>
            </w:pPr>
            <w:r w:rsidRPr="00F7521C">
              <w:rPr>
                <w:lang w:val="es-MX" w:eastAsia="es-MX"/>
              </w:rPr>
              <w:t>234.8</w:t>
            </w:r>
          </w:p>
        </w:tc>
        <w:tc>
          <w:tcPr>
            <w:tcW w:w="811" w:type="dxa"/>
            <w:tcBorders>
              <w:top w:val="nil"/>
              <w:left w:val="nil"/>
              <w:bottom w:val="single" w:sz="4" w:space="0" w:color="auto"/>
              <w:right w:val="single" w:sz="4" w:space="0" w:color="auto"/>
            </w:tcBorders>
            <w:shd w:val="clear" w:color="000000" w:fill="FFFFFF"/>
            <w:noWrap/>
            <w:vAlign w:val="center"/>
            <w:hideMark/>
          </w:tcPr>
          <w:p w14:paraId="2E708350" w14:textId="77777777" w:rsidR="00D30644" w:rsidRPr="00F7521C" w:rsidRDefault="00D30644" w:rsidP="00D30644">
            <w:pPr>
              <w:jc w:val="right"/>
              <w:rPr>
                <w:lang w:val="es-MX" w:eastAsia="es-MX"/>
              </w:rPr>
            </w:pPr>
            <w:r w:rsidRPr="00F7521C">
              <w:rPr>
                <w:lang w:val="es-MX" w:eastAsia="es-MX"/>
              </w:rPr>
              <w:t>245.5</w:t>
            </w:r>
          </w:p>
        </w:tc>
        <w:tc>
          <w:tcPr>
            <w:tcW w:w="811" w:type="dxa"/>
            <w:tcBorders>
              <w:top w:val="nil"/>
              <w:left w:val="nil"/>
              <w:bottom w:val="single" w:sz="4" w:space="0" w:color="auto"/>
              <w:right w:val="single" w:sz="4" w:space="0" w:color="auto"/>
            </w:tcBorders>
            <w:shd w:val="clear" w:color="000000" w:fill="FFFFFF"/>
            <w:noWrap/>
            <w:vAlign w:val="center"/>
            <w:hideMark/>
          </w:tcPr>
          <w:p w14:paraId="2D6A67AF" w14:textId="77777777" w:rsidR="00D30644" w:rsidRPr="00F7521C" w:rsidRDefault="00D30644" w:rsidP="00D30644">
            <w:pPr>
              <w:jc w:val="right"/>
              <w:rPr>
                <w:lang w:val="es-MX" w:eastAsia="es-MX"/>
              </w:rPr>
            </w:pPr>
            <w:r w:rsidRPr="00F7521C">
              <w:rPr>
                <w:lang w:val="es-MX" w:eastAsia="es-MX"/>
              </w:rPr>
              <w:t>271.9</w:t>
            </w:r>
          </w:p>
        </w:tc>
        <w:tc>
          <w:tcPr>
            <w:tcW w:w="811" w:type="dxa"/>
            <w:tcBorders>
              <w:top w:val="nil"/>
              <w:left w:val="nil"/>
              <w:bottom w:val="single" w:sz="4" w:space="0" w:color="auto"/>
              <w:right w:val="single" w:sz="4" w:space="0" w:color="auto"/>
            </w:tcBorders>
            <w:shd w:val="clear" w:color="000000" w:fill="FFFFFF"/>
            <w:noWrap/>
            <w:vAlign w:val="center"/>
            <w:hideMark/>
          </w:tcPr>
          <w:p w14:paraId="66187352" w14:textId="77777777" w:rsidR="00D30644" w:rsidRPr="00F7521C" w:rsidRDefault="00D30644" w:rsidP="00D30644">
            <w:pPr>
              <w:jc w:val="right"/>
              <w:rPr>
                <w:lang w:val="es-MX" w:eastAsia="es-MX"/>
              </w:rPr>
            </w:pPr>
            <w:r w:rsidRPr="00F7521C">
              <w:rPr>
                <w:lang w:val="es-MX" w:eastAsia="es-MX"/>
              </w:rPr>
              <w:t>293.4</w:t>
            </w:r>
          </w:p>
        </w:tc>
        <w:tc>
          <w:tcPr>
            <w:tcW w:w="811" w:type="dxa"/>
            <w:tcBorders>
              <w:top w:val="nil"/>
              <w:left w:val="nil"/>
              <w:bottom w:val="single" w:sz="4" w:space="0" w:color="auto"/>
              <w:right w:val="single" w:sz="4" w:space="0" w:color="auto"/>
            </w:tcBorders>
            <w:shd w:val="clear" w:color="000000" w:fill="FFFFFF"/>
            <w:noWrap/>
            <w:vAlign w:val="center"/>
            <w:hideMark/>
          </w:tcPr>
          <w:p w14:paraId="530D0D52" w14:textId="77777777" w:rsidR="00D30644" w:rsidRPr="00F7521C" w:rsidRDefault="00D30644" w:rsidP="00D30644">
            <w:pPr>
              <w:jc w:val="right"/>
              <w:rPr>
                <w:lang w:val="es-MX" w:eastAsia="es-MX"/>
              </w:rPr>
            </w:pPr>
            <w:r w:rsidRPr="00F7521C">
              <w:rPr>
                <w:lang w:val="es-MX" w:eastAsia="es-MX"/>
              </w:rPr>
              <w:t>325.8</w:t>
            </w:r>
          </w:p>
        </w:tc>
        <w:tc>
          <w:tcPr>
            <w:tcW w:w="1316" w:type="dxa"/>
            <w:tcBorders>
              <w:top w:val="nil"/>
              <w:left w:val="nil"/>
              <w:bottom w:val="single" w:sz="4" w:space="0" w:color="auto"/>
              <w:right w:val="single" w:sz="4" w:space="0" w:color="auto"/>
            </w:tcBorders>
            <w:shd w:val="clear" w:color="000000" w:fill="FFFFFF"/>
            <w:noWrap/>
            <w:vAlign w:val="center"/>
            <w:hideMark/>
          </w:tcPr>
          <w:p w14:paraId="36C4D848" w14:textId="77777777" w:rsidR="00D30644" w:rsidRPr="00F7521C" w:rsidRDefault="00D30644" w:rsidP="00D30644">
            <w:pPr>
              <w:jc w:val="center"/>
              <w:rPr>
                <w:lang w:val="es-MX" w:eastAsia="es-MX"/>
              </w:rPr>
            </w:pPr>
            <w:r w:rsidRPr="00F7521C">
              <w:rPr>
                <w:lang w:val="es-MX" w:eastAsia="es-MX"/>
              </w:rPr>
              <w:t>2.9%</w:t>
            </w:r>
          </w:p>
        </w:tc>
        <w:tc>
          <w:tcPr>
            <w:tcW w:w="1091" w:type="dxa"/>
            <w:tcBorders>
              <w:top w:val="nil"/>
              <w:left w:val="nil"/>
              <w:bottom w:val="single" w:sz="4" w:space="0" w:color="auto"/>
              <w:right w:val="single" w:sz="4" w:space="0" w:color="auto"/>
            </w:tcBorders>
            <w:shd w:val="clear" w:color="000000" w:fill="FFFFFF"/>
            <w:noWrap/>
            <w:vAlign w:val="center"/>
            <w:hideMark/>
          </w:tcPr>
          <w:p w14:paraId="38AA25A9" w14:textId="77777777" w:rsidR="00D30644" w:rsidRPr="00F7521C" w:rsidRDefault="00D30644" w:rsidP="00D30644">
            <w:pPr>
              <w:jc w:val="center"/>
              <w:rPr>
                <w:lang w:val="es-MX" w:eastAsia="es-MX"/>
              </w:rPr>
            </w:pPr>
            <w:r w:rsidRPr="00F7521C">
              <w:rPr>
                <w:lang w:val="es-MX" w:eastAsia="es-MX"/>
              </w:rPr>
              <w:t>54.6%</w:t>
            </w:r>
          </w:p>
        </w:tc>
      </w:tr>
    </w:tbl>
    <w:p w14:paraId="59CC26FC" w14:textId="07D73ED4" w:rsidR="00D30644" w:rsidRPr="004707AB" w:rsidRDefault="00F7521C" w:rsidP="00F7521C">
      <w:pPr>
        <w:autoSpaceDE w:val="0"/>
        <w:autoSpaceDN w:val="0"/>
        <w:adjustRightInd w:val="0"/>
        <w:spacing w:line="276" w:lineRule="auto"/>
        <w:ind w:left="708"/>
        <w:jc w:val="both"/>
        <w:rPr>
          <w:rFonts w:eastAsia="OptimaLTStd"/>
          <w:color w:val="000000"/>
          <w:lang w:val="es-MX"/>
        </w:rPr>
      </w:pPr>
      <w:r w:rsidRPr="004707AB">
        <w:rPr>
          <w:rFonts w:eastAsia="OptimaLTStd"/>
          <w:color w:val="000000"/>
          <w:lang w:val="es-MX"/>
        </w:rPr>
        <w:t xml:space="preserve">   </w:t>
      </w:r>
      <w:r w:rsidR="00D30644" w:rsidRPr="004707AB">
        <w:rPr>
          <w:rFonts w:eastAsia="OptimaLTStd"/>
          <w:color w:val="000000"/>
          <w:lang w:val="es-MX"/>
        </w:rPr>
        <w:t xml:space="preserve">p/Preliminar  </w:t>
      </w:r>
    </w:p>
    <w:p w14:paraId="080069E4" w14:textId="65ABEB2B" w:rsidR="00D30644" w:rsidRPr="004707AB" w:rsidRDefault="00F7521C" w:rsidP="00F7521C">
      <w:pPr>
        <w:autoSpaceDE w:val="0"/>
        <w:autoSpaceDN w:val="0"/>
        <w:adjustRightInd w:val="0"/>
        <w:spacing w:line="276" w:lineRule="auto"/>
        <w:ind w:left="708"/>
        <w:jc w:val="both"/>
        <w:rPr>
          <w:rFonts w:eastAsia="OptimaLTStd"/>
          <w:color w:val="000000"/>
          <w:lang w:val="es-MX"/>
        </w:rPr>
      </w:pPr>
      <w:r w:rsidRPr="004707AB">
        <w:rPr>
          <w:rFonts w:eastAsia="OptimaLTStd"/>
          <w:color w:val="000000"/>
          <w:lang w:val="es-MX"/>
        </w:rPr>
        <w:t xml:space="preserve">  </w:t>
      </w:r>
      <w:r w:rsidR="00D30644" w:rsidRPr="004707AB">
        <w:rPr>
          <w:rFonts w:eastAsia="OptimaLTStd"/>
          <w:color w:val="000000"/>
          <w:lang w:val="es-MX"/>
        </w:rPr>
        <w:t xml:space="preserve"> Fuente: Minfin, Dirección de Transparencia Fiscal, Cifras Banco de Guatemala.</w:t>
      </w:r>
    </w:p>
    <w:p w14:paraId="12EB093A" w14:textId="77777777" w:rsidR="00D30644" w:rsidRPr="009562D6" w:rsidRDefault="00D30644" w:rsidP="00D30644">
      <w:pPr>
        <w:autoSpaceDE w:val="0"/>
        <w:autoSpaceDN w:val="0"/>
        <w:adjustRightInd w:val="0"/>
        <w:spacing w:line="276" w:lineRule="auto"/>
        <w:jc w:val="both"/>
        <w:rPr>
          <w:rFonts w:eastAsia="OptimaLTStd"/>
          <w:color w:val="000000"/>
          <w:sz w:val="24"/>
          <w:szCs w:val="24"/>
          <w:lang w:val="es-MX"/>
        </w:rPr>
      </w:pPr>
    </w:p>
    <w:p w14:paraId="7159ADA3" w14:textId="77777777" w:rsidR="004707AB" w:rsidRDefault="004707AB" w:rsidP="00D30644">
      <w:pPr>
        <w:autoSpaceDE w:val="0"/>
        <w:autoSpaceDN w:val="0"/>
        <w:adjustRightInd w:val="0"/>
        <w:spacing w:line="276" w:lineRule="auto"/>
        <w:jc w:val="both"/>
        <w:rPr>
          <w:rFonts w:eastAsia="OptimaLTStd"/>
          <w:color w:val="000000"/>
          <w:sz w:val="24"/>
          <w:szCs w:val="24"/>
          <w:lang w:val="es-MX"/>
        </w:rPr>
      </w:pPr>
    </w:p>
    <w:p w14:paraId="5DCDAECA" w14:textId="6F0D6E9F" w:rsidR="00D30644" w:rsidRPr="00E648CF" w:rsidRDefault="00D30644" w:rsidP="00E648CF">
      <w:pPr>
        <w:pStyle w:val="Sinespaciado"/>
        <w:ind w:left="567" w:right="49"/>
        <w:jc w:val="both"/>
        <w:rPr>
          <w:rFonts w:ascii="Times New Roman" w:hAnsi="Times New Roman"/>
          <w:sz w:val="24"/>
          <w:szCs w:val="24"/>
          <w:lang w:val="es-MX"/>
        </w:rPr>
      </w:pPr>
      <w:r w:rsidRPr="00E648CF">
        <w:rPr>
          <w:rFonts w:ascii="Times New Roman" w:hAnsi="Times New Roman"/>
          <w:sz w:val="24"/>
          <w:szCs w:val="24"/>
          <w:lang w:val="es-MX"/>
        </w:rPr>
        <w:lastRenderedPageBreak/>
        <w:t>En la actualidad, se observa una alta volatilidad y considerables caídas en los precios de algunos de los principales commodities; cardamomo 40.6%; azúcar 20.1%; café 15.4% y aceite de palma 22.1%; lo que podría afectar los volúmenes y montos de las exportaciones nacionales.</w:t>
      </w:r>
    </w:p>
    <w:p w14:paraId="36B7687B" w14:textId="77777777" w:rsidR="00D30644" w:rsidRPr="009562D6" w:rsidRDefault="00D30644" w:rsidP="00D30644">
      <w:pPr>
        <w:autoSpaceDE w:val="0"/>
        <w:autoSpaceDN w:val="0"/>
        <w:adjustRightInd w:val="0"/>
        <w:spacing w:line="276" w:lineRule="auto"/>
        <w:jc w:val="both"/>
        <w:rPr>
          <w:rFonts w:eastAsia="OptimaLTStd"/>
          <w:color w:val="000000"/>
          <w:sz w:val="24"/>
          <w:szCs w:val="24"/>
          <w:lang w:val="es-MX"/>
        </w:rPr>
      </w:pPr>
    </w:p>
    <w:p w14:paraId="5BEDF1D3" w14:textId="5A18FD3D" w:rsidR="00D30644" w:rsidRPr="0033794E" w:rsidRDefault="0033794E" w:rsidP="0033794E">
      <w:pPr>
        <w:pStyle w:val="Epgrafe"/>
        <w:keepNext/>
        <w:ind w:left="567" w:right="49"/>
        <w:rPr>
          <w:color w:val="auto"/>
          <w:sz w:val="24"/>
          <w:szCs w:val="24"/>
        </w:rPr>
      </w:pPr>
      <w:r>
        <w:rPr>
          <w:color w:val="auto"/>
          <w:sz w:val="24"/>
          <w:szCs w:val="24"/>
        </w:rPr>
        <w:t>Tabla 5</w:t>
      </w:r>
    </w:p>
    <w:p w14:paraId="52630710" w14:textId="1CECE2F9" w:rsidR="00D30644" w:rsidRPr="0033794E" w:rsidRDefault="00D30644" w:rsidP="0033794E">
      <w:pPr>
        <w:pStyle w:val="Epgrafe"/>
        <w:keepNext/>
        <w:ind w:left="567" w:right="49"/>
        <w:rPr>
          <w:color w:val="auto"/>
          <w:sz w:val="24"/>
          <w:szCs w:val="24"/>
        </w:rPr>
      </w:pPr>
      <w:r w:rsidRPr="0033794E">
        <w:rPr>
          <w:color w:val="auto"/>
          <w:sz w:val="24"/>
          <w:szCs w:val="24"/>
        </w:rPr>
        <w:t>Caíd</w:t>
      </w:r>
      <w:r w:rsidR="00F7521C" w:rsidRPr="0033794E">
        <w:rPr>
          <w:color w:val="auto"/>
          <w:sz w:val="24"/>
          <w:szCs w:val="24"/>
        </w:rPr>
        <w:t xml:space="preserve">as en el </w:t>
      </w:r>
      <w:r w:rsidRPr="0033794E">
        <w:rPr>
          <w:color w:val="auto"/>
          <w:sz w:val="24"/>
          <w:szCs w:val="24"/>
        </w:rPr>
        <w:t xml:space="preserve">precio </w:t>
      </w:r>
      <w:r w:rsidR="00F7521C" w:rsidRPr="0033794E">
        <w:rPr>
          <w:color w:val="auto"/>
          <w:sz w:val="24"/>
          <w:szCs w:val="24"/>
        </w:rPr>
        <w:t xml:space="preserve">de </w:t>
      </w:r>
      <w:r w:rsidRPr="0033794E">
        <w:rPr>
          <w:color w:val="auto"/>
          <w:sz w:val="24"/>
          <w:szCs w:val="24"/>
        </w:rPr>
        <w:t>commodities más importantes</w:t>
      </w:r>
    </w:p>
    <w:p w14:paraId="3C12E1BB" w14:textId="77777777" w:rsidR="00D30644" w:rsidRPr="0033794E" w:rsidRDefault="00D30644" w:rsidP="0033794E">
      <w:pPr>
        <w:pStyle w:val="Epgrafe"/>
        <w:keepNext/>
        <w:ind w:left="567" w:right="49"/>
        <w:rPr>
          <w:color w:val="auto"/>
          <w:sz w:val="24"/>
          <w:szCs w:val="24"/>
        </w:rPr>
      </w:pPr>
      <w:r w:rsidRPr="0033794E">
        <w:rPr>
          <w:color w:val="auto"/>
          <w:sz w:val="24"/>
          <w:szCs w:val="24"/>
        </w:rPr>
        <w:t>Período del 01-01-2020 al 18-03-2020</w:t>
      </w:r>
    </w:p>
    <w:p w14:paraId="3B6A9282" w14:textId="77777777" w:rsidR="00D30644" w:rsidRPr="0033794E" w:rsidRDefault="00D30644" w:rsidP="0033794E">
      <w:pPr>
        <w:pStyle w:val="Epgrafe"/>
        <w:keepNext/>
        <w:ind w:left="567" w:right="49"/>
        <w:rPr>
          <w:color w:val="auto"/>
          <w:sz w:val="24"/>
          <w:szCs w:val="24"/>
        </w:rPr>
      </w:pPr>
      <w:r w:rsidRPr="0033794E">
        <w:rPr>
          <w:color w:val="auto"/>
          <w:sz w:val="24"/>
          <w:szCs w:val="24"/>
        </w:rPr>
        <w:t>Cifras en porcentajes</w:t>
      </w:r>
    </w:p>
    <w:p w14:paraId="02835B53" w14:textId="77777777" w:rsidR="00D30644" w:rsidRPr="009562D6" w:rsidRDefault="00D30644" w:rsidP="00D30644">
      <w:pPr>
        <w:autoSpaceDE w:val="0"/>
        <w:autoSpaceDN w:val="0"/>
        <w:adjustRightInd w:val="0"/>
        <w:spacing w:line="276" w:lineRule="auto"/>
        <w:jc w:val="both"/>
        <w:rPr>
          <w:rFonts w:eastAsia="OptimaLTStd"/>
          <w:color w:val="000000"/>
          <w:sz w:val="24"/>
          <w:szCs w:val="24"/>
          <w:lang w:val="es-MX"/>
        </w:rPr>
      </w:pPr>
    </w:p>
    <w:tbl>
      <w:tblPr>
        <w:tblW w:w="7634" w:type="dxa"/>
        <w:jc w:val="center"/>
        <w:tblCellMar>
          <w:left w:w="70" w:type="dxa"/>
          <w:right w:w="70" w:type="dxa"/>
        </w:tblCellMar>
        <w:tblLook w:val="04A0" w:firstRow="1" w:lastRow="0" w:firstColumn="1" w:lastColumn="0" w:noHBand="0" w:noVBand="1"/>
      </w:tblPr>
      <w:tblGrid>
        <w:gridCol w:w="4132"/>
        <w:gridCol w:w="1573"/>
        <w:gridCol w:w="1929"/>
      </w:tblGrid>
      <w:tr w:rsidR="00D30644" w:rsidRPr="009562D6" w14:paraId="437CCE71" w14:textId="77777777" w:rsidTr="00D30644">
        <w:trPr>
          <w:trHeight w:val="800"/>
          <w:jc w:val="center"/>
        </w:trPr>
        <w:tc>
          <w:tcPr>
            <w:tcW w:w="4132" w:type="dxa"/>
            <w:tcBorders>
              <w:top w:val="single" w:sz="4" w:space="0" w:color="auto"/>
              <w:left w:val="single" w:sz="4" w:space="0" w:color="auto"/>
              <w:bottom w:val="single" w:sz="4" w:space="0" w:color="auto"/>
              <w:right w:val="single" w:sz="4" w:space="0" w:color="auto"/>
            </w:tcBorders>
            <w:shd w:val="clear" w:color="000000" w:fill="D6DCE4"/>
            <w:vAlign w:val="center"/>
            <w:hideMark/>
          </w:tcPr>
          <w:p w14:paraId="04532751" w14:textId="77777777" w:rsidR="00D30644" w:rsidRPr="009562D6" w:rsidRDefault="00D30644" w:rsidP="00D30644">
            <w:pPr>
              <w:jc w:val="center"/>
              <w:rPr>
                <w:b/>
                <w:bCs/>
                <w:color w:val="000000"/>
                <w:sz w:val="24"/>
                <w:szCs w:val="24"/>
                <w:lang w:val="es-MX" w:eastAsia="es-MX"/>
              </w:rPr>
            </w:pPr>
            <w:r w:rsidRPr="009562D6">
              <w:rPr>
                <w:b/>
                <w:bCs/>
                <w:color w:val="000000"/>
                <w:sz w:val="24"/>
                <w:szCs w:val="24"/>
                <w:lang w:val="es-MX" w:eastAsia="es-MX"/>
              </w:rPr>
              <w:t>Productos</w:t>
            </w:r>
          </w:p>
        </w:tc>
        <w:tc>
          <w:tcPr>
            <w:tcW w:w="1573" w:type="dxa"/>
            <w:tcBorders>
              <w:top w:val="single" w:sz="4" w:space="0" w:color="auto"/>
              <w:left w:val="nil"/>
              <w:bottom w:val="single" w:sz="4" w:space="0" w:color="auto"/>
              <w:right w:val="single" w:sz="4" w:space="0" w:color="auto"/>
            </w:tcBorders>
            <w:shd w:val="clear" w:color="000000" w:fill="D6DCE4"/>
            <w:vAlign w:val="center"/>
            <w:hideMark/>
          </w:tcPr>
          <w:p w14:paraId="05180FB2" w14:textId="77777777" w:rsidR="00D30644" w:rsidRPr="009562D6" w:rsidRDefault="00D30644" w:rsidP="00D30644">
            <w:pPr>
              <w:jc w:val="center"/>
              <w:rPr>
                <w:b/>
                <w:bCs/>
                <w:sz w:val="24"/>
                <w:szCs w:val="24"/>
                <w:lang w:val="es-MX" w:eastAsia="es-MX"/>
              </w:rPr>
            </w:pPr>
            <w:r w:rsidRPr="009562D6">
              <w:rPr>
                <w:b/>
                <w:bCs/>
                <w:sz w:val="24"/>
                <w:szCs w:val="24"/>
                <w:lang w:val="es-MX" w:eastAsia="es-MX"/>
              </w:rPr>
              <w:t>Caída en el precio</w:t>
            </w:r>
          </w:p>
        </w:tc>
        <w:tc>
          <w:tcPr>
            <w:tcW w:w="1929" w:type="dxa"/>
            <w:tcBorders>
              <w:top w:val="single" w:sz="4" w:space="0" w:color="auto"/>
              <w:left w:val="nil"/>
              <w:bottom w:val="single" w:sz="4" w:space="0" w:color="auto"/>
              <w:right w:val="single" w:sz="4" w:space="0" w:color="auto"/>
            </w:tcBorders>
            <w:shd w:val="clear" w:color="000000" w:fill="D6DCE4"/>
            <w:vAlign w:val="center"/>
            <w:hideMark/>
          </w:tcPr>
          <w:p w14:paraId="071ECBCB" w14:textId="77777777" w:rsidR="00D30644" w:rsidRPr="009562D6" w:rsidRDefault="00D30644" w:rsidP="00D30644">
            <w:pPr>
              <w:jc w:val="center"/>
              <w:rPr>
                <w:b/>
                <w:bCs/>
                <w:color w:val="000000"/>
                <w:sz w:val="24"/>
                <w:szCs w:val="24"/>
                <w:lang w:val="es-MX" w:eastAsia="es-MX"/>
              </w:rPr>
            </w:pPr>
            <w:r w:rsidRPr="009562D6">
              <w:rPr>
                <w:b/>
                <w:bCs/>
                <w:color w:val="000000"/>
                <w:sz w:val="24"/>
                <w:szCs w:val="24"/>
                <w:lang w:val="es-MX" w:eastAsia="es-MX"/>
              </w:rPr>
              <w:t>Tipo de commodity</w:t>
            </w:r>
          </w:p>
        </w:tc>
      </w:tr>
      <w:tr w:rsidR="00D30644" w:rsidRPr="009562D6" w14:paraId="34DF106E" w14:textId="77777777" w:rsidTr="00D30644">
        <w:trPr>
          <w:trHeight w:val="390"/>
          <w:jc w:val="center"/>
        </w:trPr>
        <w:tc>
          <w:tcPr>
            <w:tcW w:w="4132" w:type="dxa"/>
            <w:tcBorders>
              <w:top w:val="nil"/>
              <w:left w:val="single" w:sz="4" w:space="0" w:color="auto"/>
              <w:bottom w:val="single" w:sz="4" w:space="0" w:color="auto"/>
              <w:right w:val="single" w:sz="4" w:space="0" w:color="auto"/>
            </w:tcBorders>
            <w:shd w:val="clear" w:color="auto" w:fill="auto"/>
            <w:vAlign w:val="center"/>
            <w:hideMark/>
          </w:tcPr>
          <w:p w14:paraId="2608919F" w14:textId="77777777" w:rsidR="00D30644" w:rsidRPr="009562D6" w:rsidRDefault="00D30644" w:rsidP="00D30644">
            <w:pPr>
              <w:rPr>
                <w:color w:val="000000"/>
                <w:sz w:val="24"/>
                <w:szCs w:val="24"/>
                <w:lang w:val="es-MX" w:eastAsia="es-MX"/>
              </w:rPr>
            </w:pPr>
            <w:r w:rsidRPr="009562D6">
              <w:rPr>
                <w:color w:val="000000"/>
                <w:sz w:val="24"/>
                <w:szCs w:val="24"/>
                <w:lang w:val="es-MX" w:eastAsia="es-MX"/>
              </w:rPr>
              <w:t>Café</w:t>
            </w:r>
          </w:p>
        </w:tc>
        <w:tc>
          <w:tcPr>
            <w:tcW w:w="1573" w:type="dxa"/>
            <w:tcBorders>
              <w:top w:val="nil"/>
              <w:left w:val="nil"/>
              <w:bottom w:val="single" w:sz="4" w:space="0" w:color="auto"/>
              <w:right w:val="single" w:sz="4" w:space="0" w:color="auto"/>
            </w:tcBorders>
            <w:shd w:val="clear" w:color="auto" w:fill="auto"/>
            <w:vAlign w:val="center"/>
            <w:hideMark/>
          </w:tcPr>
          <w:p w14:paraId="31C73D61" w14:textId="77777777" w:rsidR="00D30644" w:rsidRPr="009562D6" w:rsidRDefault="00D30644" w:rsidP="00D30644">
            <w:pPr>
              <w:jc w:val="right"/>
              <w:rPr>
                <w:sz w:val="24"/>
                <w:szCs w:val="24"/>
                <w:lang w:val="es-MX" w:eastAsia="es-MX"/>
              </w:rPr>
            </w:pPr>
            <w:r w:rsidRPr="009562D6">
              <w:rPr>
                <w:sz w:val="24"/>
                <w:szCs w:val="24"/>
                <w:lang w:val="es-MX" w:eastAsia="es-MX"/>
              </w:rPr>
              <w:t>-15,4%</w:t>
            </w:r>
          </w:p>
        </w:tc>
        <w:tc>
          <w:tcPr>
            <w:tcW w:w="1929" w:type="dxa"/>
            <w:tcBorders>
              <w:top w:val="nil"/>
              <w:left w:val="nil"/>
              <w:bottom w:val="single" w:sz="4" w:space="0" w:color="auto"/>
              <w:right w:val="single" w:sz="4" w:space="0" w:color="auto"/>
            </w:tcBorders>
            <w:shd w:val="clear" w:color="auto" w:fill="auto"/>
            <w:vAlign w:val="center"/>
            <w:hideMark/>
          </w:tcPr>
          <w:p w14:paraId="438A8A0E" w14:textId="77777777" w:rsidR="00D30644" w:rsidRPr="009562D6" w:rsidRDefault="00D30644" w:rsidP="00D30644">
            <w:pPr>
              <w:jc w:val="center"/>
              <w:rPr>
                <w:color w:val="000000"/>
                <w:sz w:val="24"/>
                <w:szCs w:val="24"/>
                <w:lang w:val="es-MX" w:eastAsia="es-MX"/>
              </w:rPr>
            </w:pPr>
            <w:r w:rsidRPr="009562D6">
              <w:rPr>
                <w:color w:val="000000"/>
                <w:sz w:val="24"/>
                <w:szCs w:val="24"/>
                <w:lang w:val="es-MX" w:eastAsia="es-MX"/>
              </w:rPr>
              <w:t>Soft</w:t>
            </w:r>
          </w:p>
        </w:tc>
      </w:tr>
      <w:tr w:rsidR="00D30644" w:rsidRPr="009562D6" w14:paraId="4A5024FE" w14:textId="77777777" w:rsidTr="00D30644">
        <w:trPr>
          <w:trHeight w:val="390"/>
          <w:jc w:val="center"/>
        </w:trPr>
        <w:tc>
          <w:tcPr>
            <w:tcW w:w="4132" w:type="dxa"/>
            <w:tcBorders>
              <w:top w:val="nil"/>
              <w:left w:val="single" w:sz="4" w:space="0" w:color="auto"/>
              <w:bottom w:val="single" w:sz="4" w:space="0" w:color="auto"/>
              <w:right w:val="single" w:sz="4" w:space="0" w:color="auto"/>
            </w:tcBorders>
            <w:shd w:val="clear" w:color="auto" w:fill="auto"/>
            <w:vAlign w:val="center"/>
            <w:hideMark/>
          </w:tcPr>
          <w:p w14:paraId="6C862187" w14:textId="77777777" w:rsidR="00D30644" w:rsidRPr="009562D6" w:rsidRDefault="00D30644" w:rsidP="00D30644">
            <w:pPr>
              <w:rPr>
                <w:color w:val="000000"/>
                <w:sz w:val="24"/>
                <w:szCs w:val="24"/>
                <w:lang w:val="es-MX" w:eastAsia="es-MX"/>
              </w:rPr>
            </w:pPr>
            <w:r w:rsidRPr="009562D6">
              <w:rPr>
                <w:color w:val="000000"/>
                <w:sz w:val="24"/>
                <w:szCs w:val="24"/>
                <w:lang w:val="es-MX" w:eastAsia="es-MX"/>
              </w:rPr>
              <w:t>Algodón</w:t>
            </w:r>
          </w:p>
        </w:tc>
        <w:tc>
          <w:tcPr>
            <w:tcW w:w="1573" w:type="dxa"/>
            <w:tcBorders>
              <w:top w:val="nil"/>
              <w:left w:val="nil"/>
              <w:bottom w:val="single" w:sz="4" w:space="0" w:color="auto"/>
              <w:right w:val="single" w:sz="4" w:space="0" w:color="auto"/>
            </w:tcBorders>
            <w:shd w:val="clear" w:color="auto" w:fill="auto"/>
            <w:vAlign w:val="center"/>
            <w:hideMark/>
          </w:tcPr>
          <w:p w14:paraId="70C12283" w14:textId="77777777" w:rsidR="00D30644" w:rsidRPr="009562D6" w:rsidRDefault="00D30644" w:rsidP="00D30644">
            <w:pPr>
              <w:jc w:val="right"/>
              <w:rPr>
                <w:sz w:val="24"/>
                <w:szCs w:val="24"/>
                <w:lang w:val="es-MX" w:eastAsia="es-MX"/>
              </w:rPr>
            </w:pPr>
            <w:r w:rsidRPr="009562D6">
              <w:rPr>
                <w:sz w:val="24"/>
                <w:szCs w:val="24"/>
                <w:lang w:val="es-MX" w:eastAsia="es-MX"/>
              </w:rPr>
              <w:t>-18,1%</w:t>
            </w:r>
          </w:p>
        </w:tc>
        <w:tc>
          <w:tcPr>
            <w:tcW w:w="1929" w:type="dxa"/>
            <w:tcBorders>
              <w:top w:val="nil"/>
              <w:left w:val="nil"/>
              <w:bottom w:val="single" w:sz="4" w:space="0" w:color="auto"/>
              <w:right w:val="single" w:sz="4" w:space="0" w:color="auto"/>
            </w:tcBorders>
            <w:shd w:val="clear" w:color="auto" w:fill="auto"/>
            <w:vAlign w:val="center"/>
            <w:hideMark/>
          </w:tcPr>
          <w:p w14:paraId="3C560023" w14:textId="77777777" w:rsidR="00D30644" w:rsidRPr="009562D6" w:rsidRDefault="00D30644" w:rsidP="00D30644">
            <w:pPr>
              <w:jc w:val="center"/>
              <w:rPr>
                <w:color w:val="000000"/>
                <w:sz w:val="24"/>
                <w:szCs w:val="24"/>
                <w:lang w:val="es-MX" w:eastAsia="es-MX"/>
              </w:rPr>
            </w:pPr>
            <w:r w:rsidRPr="009562D6">
              <w:rPr>
                <w:color w:val="000000"/>
                <w:sz w:val="24"/>
                <w:szCs w:val="24"/>
                <w:lang w:val="es-MX" w:eastAsia="es-MX"/>
              </w:rPr>
              <w:t>Soft</w:t>
            </w:r>
          </w:p>
        </w:tc>
      </w:tr>
      <w:tr w:rsidR="00D30644" w:rsidRPr="009562D6" w14:paraId="7AA803C0" w14:textId="77777777" w:rsidTr="00D30644">
        <w:trPr>
          <w:trHeight w:val="390"/>
          <w:jc w:val="center"/>
        </w:trPr>
        <w:tc>
          <w:tcPr>
            <w:tcW w:w="4132" w:type="dxa"/>
            <w:tcBorders>
              <w:top w:val="nil"/>
              <w:left w:val="single" w:sz="4" w:space="0" w:color="auto"/>
              <w:bottom w:val="single" w:sz="4" w:space="0" w:color="auto"/>
              <w:right w:val="single" w:sz="4" w:space="0" w:color="auto"/>
            </w:tcBorders>
            <w:shd w:val="clear" w:color="auto" w:fill="auto"/>
            <w:vAlign w:val="center"/>
            <w:hideMark/>
          </w:tcPr>
          <w:p w14:paraId="7FA7FBC9" w14:textId="77777777" w:rsidR="00D30644" w:rsidRPr="009562D6" w:rsidRDefault="00D30644" w:rsidP="00D30644">
            <w:pPr>
              <w:rPr>
                <w:color w:val="000000"/>
                <w:sz w:val="24"/>
                <w:szCs w:val="24"/>
                <w:lang w:val="es-MX" w:eastAsia="es-MX"/>
              </w:rPr>
            </w:pPr>
            <w:r w:rsidRPr="009562D6">
              <w:rPr>
                <w:color w:val="000000"/>
                <w:sz w:val="24"/>
                <w:szCs w:val="24"/>
                <w:lang w:val="es-MX" w:eastAsia="es-MX"/>
              </w:rPr>
              <w:t>Azúcar</w:t>
            </w:r>
          </w:p>
        </w:tc>
        <w:tc>
          <w:tcPr>
            <w:tcW w:w="1573" w:type="dxa"/>
            <w:tcBorders>
              <w:top w:val="nil"/>
              <w:left w:val="nil"/>
              <w:bottom w:val="single" w:sz="4" w:space="0" w:color="auto"/>
              <w:right w:val="single" w:sz="4" w:space="0" w:color="auto"/>
            </w:tcBorders>
            <w:shd w:val="clear" w:color="auto" w:fill="auto"/>
            <w:vAlign w:val="center"/>
            <w:hideMark/>
          </w:tcPr>
          <w:p w14:paraId="6A735437" w14:textId="77777777" w:rsidR="00D30644" w:rsidRPr="009562D6" w:rsidRDefault="00D30644" w:rsidP="00D30644">
            <w:pPr>
              <w:jc w:val="right"/>
              <w:rPr>
                <w:sz w:val="24"/>
                <w:szCs w:val="24"/>
                <w:lang w:val="es-MX" w:eastAsia="es-MX"/>
              </w:rPr>
            </w:pPr>
            <w:r w:rsidRPr="009562D6">
              <w:rPr>
                <w:sz w:val="24"/>
                <w:szCs w:val="24"/>
                <w:lang w:val="es-MX" w:eastAsia="es-MX"/>
              </w:rPr>
              <w:t>-20,1%</w:t>
            </w:r>
          </w:p>
        </w:tc>
        <w:tc>
          <w:tcPr>
            <w:tcW w:w="1929" w:type="dxa"/>
            <w:tcBorders>
              <w:top w:val="nil"/>
              <w:left w:val="nil"/>
              <w:bottom w:val="single" w:sz="4" w:space="0" w:color="auto"/>
              <w:right w:val="single" w:sz="4" w:space="0" w:color="auto"/>
            </w:tcBorders>
            <w:shd w:val="clear" w:color="auto" w:fill="auto"/>
            <w:vAlign w:val="center"/>
            <w:hideMark/>
          </w:tcPr>
          <w:p w14:paraId="6572A81B" w14:textId="77777777" w:rsidR="00D30644" w:rsidRPr="009562D6" w:rsidRDefault="00D30644" w:rsidP="00D30644">
            <w:pPr>
              <w:jc w:val="center"/>
              <w:rPr>
                <w:color w:val="000000"/>
                <w:sz w:val="24"/>
                <w:szCs w:val="24"/>
                <w:lang w:val="es-MX" w:eastAsia="es-MX"/>
              </w:rPr>
            </w:pPr>
            <w:r w:rsidRPr="009562D6">
              <w:rPr>
                <w:color w:val="000000"/>
                <w:sz w:val="24"/>
                <w:szCs w:val="24"/>
                <w:lang w:val="es-MX" w:eastAsia="es-MX"/>
              </w:rPr>
              <w:t>Soft</w:t>
            </w:r>
          </w:p>
        </w:tc>
      </w:tr>
      <w:tr w:rsidR="00D30644" w:rsidRPr="009562D6" w14:paraId="7D69B4F6" w14:textId="77777777" w:rsidTr="00D30644">
        <w:trPr>
          <w:trHeight w:val="390"/>
          <w:jc w:val="center"/>
        </w:trPr>
        <w:tc>
          <w:tcPr>
            <w:tcW w:w="4132" w:type="dxa"/>
            <w:tcBorders>
              <w:top w:val="nil"/>
              <w:left w:val="single" w:sz="4" w:space="0" w:color="auto"/>
              <w:bottom w:val="single" w:sz="4" w:space="0" w:color="auto"/>
              <w:right w:val="single" w:sz="4" w:space="0" w:color="auto"/>
            </w:tcBorders>
            <w:shd w:val="clear" w:color="auto" w:fill="auto"/>
            <w:vAlign w:val="center"/>
            <w:hideMark/>
          </w:tcPr>
          <w:p w14:paraId="1AA4C4D4" w14:textId="77777777" w:rsidR="00D30644" w:rsidRPr="009562D6" w:rsidRDefault="00D30644" w:rsidP="00D30644">
            <w:pPr>
              <w:rPr>
                <w:color w:val="000000"/>
                <w:sz w:val="24"/>
                <w:szCs w:val="24"/>
                <w:lang w:val="es-MX" w:eastAsia="es-MX"/>
              </w:rPr>
            </w:pPr>
            <w:r w:rsidRPr="009562D6">
              <w:rPr>
                <w:color w:val="000000"/>
                <w:sz w:val="24"/>
                <w:szCs w:val="24"/>
                <w:lang w:val="es-MX" w:eastAsia="es-MX"/>
              </w:rPr>
              <w:t>Aceite de Palma</w:t>
            </w:r>
          </w:p>
        </w:tc>
        <w:tc>
          <w:tcPr>
            <w:tcW w:w="1573" w:type="dxa"/>
            <w:tcBorders>
              <w:top w:val="nil"/>
              <w:left w:val="nil"/>
              <w:bottom w:val="single" w:sz="4" w:space="0" w:color="auto"/>
              <w:right w:val="single" w:sz="4" w:space="0" w:color="auto"/>
            </w:tcBorders>
            <w:shd w:val="clear" w:color="auto" w:fill="auto"/>
            <w:vAlign w:val="center"/>
            <w:hideMark/>
          </w:tcPr>
          <w:p w14:paraId="3E1FB808" w14:textId="77777777" w:rsidR="00D30644" w:rsidRPr="009562D6" w:rsidRDefault="00D30644" w:rsidP="00D30644">
            <w:pPr>
              <w:jc w:val="right"/>
              <w:rPr>
                <w:sz w:val="24"/>
                <w:szCs w:val="24"/>
                <w:lang w:val="es-MX" w:eastAsia="es-MX"/>
              </w:rPr>
            </w:pPr>
            <w:r w:rsidRPr="009562D6">
              <w:rPr>
                <w:sz w:val="24"/>
                <w:szCs w:val="24"/>
                <w:lang w:val="es-MX" w:eastAsia="es-MX"/>
              </w:rPr>
              <w:t>-22,1%</w:t>
            </w:r>
          </w:p>
        </w:tc>
        <w:tc>
          <w:tcPr>
            <w:tcW w:w="1929" w:type="dxa"/>
            <w:tcBorders>
              <w:top w:val="nil"/>
              <w:left w:val="nil"/>
              <w:bottom w:val="single" w:sz="4" w:space="0" w:color="auto"/>
              <w:right w:val="single" w:sz="4" w:space="0" w:color="auto"/>
            </w:tcBorders>
            <w:shd w:val="clear" w:color="auto" w:fill="auto"/>
            <w:vAlign w:val="center"/>
            <w:hideMark/>
          </w:tcPr>
          <w:p w14:paraId="61E3DB87" w14:textId="77777777" w:rsidR="00D30644" w:rsidRPr="009562D6" w:rsidRDefault="00D30644" w:rsidP="00D30644">
            <w:pPr>
              <w:jc w:val="center"/>
              <w:rPr>
                <w:color w:val="000000"/>
                <w:sz w:val="24"/>
                <w:szCs w:val="24"/>
                <w:lang w:val="es-MX" w:eastAsia="es-MX"/>
              </w:rPr>
            </w:pPr>
            <w:r w:rsidRPr="009562D6">
              <w:rPr>
                <w:color w:val="000000"/>
                <w:sz w:val="24"/>
                <w:szCs w:val="24"/>
                <w:lang w:val="es-MX" w:eastAsia="es-MX"/>
              </w:rPr>
              <w:t>Soft</w:t>
            </w:r>
          </w:p>
        </w:tc>
      </w:tr>
      <w:tr w:rsidR="00D30644" w:rsidRPr="009562D6" w14:paraId="658FAC1E" w14:textId="77777777" w:rsidTr="00D30644">
        <w:trPr>
          <w:trHeight w:val="390"/>
          <w:jc w:val="center"/>
        </w:trPr>
        <w:tc>
          <w:tcPr>
            <w:tcW w:w="4132" w:type="dxa"/>
            <w:tcBorders>
              <w:top w:val="nil"/>
              <w:left w:val="single" w:sz="4" w:space="0" w:color="auto"/>
              <w:bottom w:val="single" w:sz="4" w:space="0" w:color="auto"/>
              <w:right w:val="single" w:sz="4" w:space="0" w:color="auto"/>
            </w:tcBorders>
            <w:shd w:val="clear" w:color="auto" w:fill="auto"/>
            <w:vAlign w:val="center"/>
            <w:hideMark/>
          </w:tcPr>
          <w:p w14:paraId="5B504949" w14:textId="77777777" w:rsidR="00D30644" w:rsidRPr="009562D6" w:rsidRDefault="00D30644" w:rsidP="00D30644">
            <w:pPr>
              <w:rPr>
                <w:color w:val="000000"/>
                <w:sz w:val="24"/>
                <w:szCs w:val="24"/>
                <w:lang w:val="es-MX" w:eastAsia="es-MX"/>
              </w:rPr>
            </w:pPr>
            <w:r w:rsidRPr="009562D6">
              <w:rPr>
                <w:color w:val="000000"/>
                <w:sz w:val="24"/>
                <w:szCs w:val="24"/>
                <w:lang w:val="es-MX" w:eastAsia="es-MX"/>
              </w:rPr>
              <w:t>Madera</w:t>
            </w:r>
          </w:p>
        </w:tc>
        <w:tc>
          <w:tcPr>
            <w:tcW w:w="1573" w:type="dxa"/>
            <w:tcBorders>
              <w:top w:val="nil"/>
              <w:left w:val="nil"/>
              <w:bottom w:val="single" w:sz="4" w:space="0" w:color="auto"/>
              <w:right w:val="single" w:sz="4" w:space="0" w:color="auto"/>
            </w:tcBorders>
            <w:shd w:val="clear" w:color="auto" w:fill="auto"/>
            <w:vAlign w:val="center"/>
            <w:hideMark/>
          </w:tcPr>
          <w:p w14:paraId="3218628B" w14:textId="77777777" w:rsidR="00D30644" w:rsidRPr="009562D6" w:rsidRDefault="00D30644" w:rsidP="00D30644">
            <w:pPr>
              <w:jc w:val="right"/>
              <w:rPr>
                <w:sz w:val="24"/>
                <w:szCs w:val="24"/>
                <w:lang w:val="es-MX" w:eastAsia="es-MX"/>
              </w:rPr>
            </w:pPr>
            <w:r w:rsidRPr="009562D6">
              <w:rPr>
                <w:sz w:val="24"/>
                <w:szCs w:val="24"/>
                <w:lang w:val="es-MX" w:eastAsia="es-MX"/>
              </w:rPr>
              <w:t>-25,0%</w:t>
            </w:r>
          </w:p>
        </w:tc>
        <w:tc>
          <w:tcPr>
            <w:tcW w:w="1929" w:type="dxa"/>
            <w:tcBorders>
              <w:top w:val="nil"/>
              <w:left w:val="nil"/>
              <w:bottom w:val="single" w:sz="4" w:space="0" w:color="auto"/>
              <w:right w:val="single" w:sz="4" w:space="0" w:color="auto"/>
            </w:tcBorders>
            <w:shd w:val="clear" w:color="auto" w:fill="auto"/>
            <w:vAlign w:val="center"/>
            <w:hideMark/>
          </w:tcPr>
          <w:p w14:paraId="6C892CFC" w14:textId="77777777" w:rsidR="00D30644" w:rsidRPr="009562D6" w:rsidRDefault="00D30644" w:rsidP="00D30644">
            <w:pPr>
              <w:jc w:val="center"/>
              <w:rPr>
                <w:color w:val="000000"/>
                <w:sz w:val="24"/>
                <w:szCs w:val="24"/>
                <w:lang w:val="es-MX" w:eastAsia="es-MX"/>
              </w:rPr>
            </w:pPr>
            <w:r w:rsidRPr="009562D6">
              <w:rPr>
                <w:color w:val="000000"/>
                <w:sz w:val="24"/>
                <w:szCs w:val="24"/>
                <w:lang w:val="es-MX" w:eastAsia="es-MX"/>
              </w:rPr>
              <w:t>Soft</w:t>
            </w:r>
          </w:p>
        </w:tc>
      </w:tr>
      <w:tr w:rsidR="00D30644" w:rsidRPr="009562D6" w14:paraId="7385FFF9" w14:textId="77777777" w:rsidTr="00D30644">
        <w:trPr>
          <w:trHeight w:val="390"/>
          <w:jc w:val="center"/>
        </w:trPr>
        <w:tc>
          <w:tcPr>
            <w:tcW w:w="4132" w:type="dxa"/>
            <w:tcBorders>
              <w:top w:val="nil"/>
              <w:left w:val="single" w:sz="4" w:space="0" w:color="auto"/>
              <w:bottom w:val="single" w:sz="4" w:space="0" w:color="auto"/>
              <w:right w:val="single" w:sz="4" w:space="0" w:color="auto"/>
            </w:tcBorders>
            <w:shd w:val="clear" w:color="auto" w:fill="auto"/>
            <w:vAlign w:val="center"/>
            <w:hideMark/>
          </w:tcPr>
          <w:p w14:paraId="53CADC61" w14:textId="77777777" w:rsidR="00D30644" w:rsidRPr="009562D6" w:rsidRDefault="00D30644" w:rsidP="00D30644">
            <w:pPr>
              <w:rPr>
                <w:color w:val="000000"/>
                <w:sz w:val="24"/>
                <w:szCs w:val="24"/>
                <w:lang w:val="es-MX" w:eastAsia="es-MX"/>
              </w:rPr>
            </w:pPr>
            <w:r w:rsidRPr="009562D6">
              <w:rPr>
                <w:color w:val="000000"/>
                <w:sz w:val="24"/>
                <w:szCs w:val="24"/>
                <w:lang w:val="es-MX" w:eastAsia="es-MX"/>
              </w:rPr>
              <w:t>Cardamomo</w:t>
            </w:r>
          </w:p>
        </w:tc>
        <w:tc>
          <w:tcPr>
            <w:tcW w:w="1573" w:type="dxa"/>
            <w:tcBorders>
              <w:top w:val="nil"/>
              <w:left w:val="nil"/>
              <w:bottom w:val="single" w:sz="4" w:space="0" w:color="auto"/>
              <w:right w:val="single" w:sz="4" w:space="0" w:color="auto"/>
            </w:tcBorders>
            <w:shd w:val="clear" w:color="auto" w:fill="auto"/>
            <w:vAlign w:val="center"/>
            <w:hideMark/>
          </w:tcPr>
          <w:p w14:paraId="28755B24" w14:textId="77777777" w:rsidR="00D30644" w:rsidRPr="009562D6" w:rsidRDefault="00D30644" w:rsidP="00D30644">
            <w:pPr>
              <w:jc w:val="right"/>
              <w:rPr>
                <w:sz w:val="24"/>
                <w:szCs w:val="24"/>
                <w:lang w:val="es-MX" w:eastAsia="es-MX"/>
              </w:rPr>
            </w:pPr>
            <w:r w:rsidRPr="009562D6">
              <w:rPr>
                <w:sz w:val="24"/>
                <w:szCs w:val="24"/>
                <w:lang w:val="es-MX" w:eastAsia="es-MX"/>
              </w:rPr>
              <w:t>-40,6%</w:t>
            </w:r>
          </w:p>
        </w:tc>
        <w:tc>
          <w:tcPr>
            <w:tcW w:w="1929" w:type="dxa"/>
            <w:tcBorders>
              <w:top w:val="nil"/>
              <w:left w:val="nil"/>
              <w:bottom w:val="single" w:sz="4" w:space="0" w:color="auto"/>
              <w:right w:val="single" w:sz="4" w:space="0" w:color="auto"/>
            </w:tcBorders>
            <w:shd w:val="clear" w:color="auto" w:fill="auto"/>
            <w:vAlign w:val="center"/>
            <w:hideMark/>
          </w:tcPr>
          <w:p w14:paraId="39364F1E" w14:textId="77777777" w:rsidR="00D30644" w:rsidRPr="009562D6" w:rsidRDefault="00D30644" w:rsidP="00D30644">
            <w:pPr>
              <w:jc w:val="center"/>
              <w:rPr>
                <w:color w:val="000000"/>
                <w:sz w:val="24"/>
                <w:szCs w:val="24"/>
                <w:lang w:val="es-MX" w:eastAsia="es-MX"/>
              </w:rPr>
            </w:pPr>
            <w:r w:rsidRPr="009562D6">
              <w:rPr>
                <w:color w:val="000000"/>
                <w:sz w:val="24"/>
                <w:szCs w:val="24"/>
                <w:lang w:val="es-MX" w:eastAsia="es-MX"/>
              </w:rPr>
              <w:t>Soft</w:t>
            </w:r>
          </w:p>
        </w:tc>
      </w:tr>
      <w:tr w:rsidR="00D30644" w:rsidRPr="009562D6" w14:paraId="4B4223D4" w14:textId="77777777" w:rsidTr="00D30644">
        <w:trPr>
          <w:trHeight w:val="390"/>
          <w:jc w:val="center"/>
        </w:trPr>
        <w:tc>
          <w:tcPr>
            <w:tcW w:w="4132" w:type="dxa"/>
            <w:tcBorders>
              <w:top w:val="nil"/>
              <w:left w:val="single" w:sz="4" w:space="0" w:color="auto"/>
              <w:bottom w:val="single" w:sz="4" w:space="0" w:color="auto"/>
              <w:right w:val="single" w:sz="4" w:space="0" w:color="auto"/>
            </w:tcBorders>
            <w:shd w:val="clear" w:color="auto" w:fill="auto"/>
            <w:vAlign w:val="center"/>
            <w:hideMark/>
          </w:tcPr>
          <w:p w14:paraId="76B9D7A2" w14:textId="77777777" w:rsidR="00D30644" w:rsidRPr="009562D6" w:rsidRDefault="00D30644" w:rsidP="00D30644">
            <w:pPr>
              <w:rPr>
                <w:color w:val="000000"/>
                <w:sz w:val="24"/>
                <w:szCs w:val="24"/>
                <w:lang w:val="es-MX" w:eastAsia="es-MX"/>
              </w:rPr>
            </w:pPr>
            <w:r w:rsidRPr="009562D6">
              <w:rPr>
                <w:color w:val="000000"/>
                <w:sz w:val="24"/>
                <w:szCs w:val="24"/>
                <w:lang w:val="es-MX" w:eastAsia="es-MX"/>
              </w:rPr>
              <w:t>Cacao</w:t>
            </w:r>
          </w:p>
        </w:tc>
        <w:tc>
          <w:tcPr>
            <w:tcW w:w="1573" w:type="dxa"/>
            <w:tcBorders>
              <w:top w:val="nil"/>
              <w:left w:val="nil"/>
              <w:bottom w:val="single" w:sz="4" w:space="0" w:color="auto"/>
              <w:right w:val="single" w:sz="4" w:space="0" w:color="auto"/>
            </w:tcBorders>
            <w:shd w:val="clear" w:color="auto" w:fill="auto"/>
            <w:vAlign w:val="center"/>
            <w:hideMark/>
          </w:tcPr>
          <w:p w14:paraId="52925C82" w14:textId="77777777" w:rsidR="00D30644" w:rsidRPr="009562D6" w:rsidRDefault="00D30644" w:rsidP="00D30644">
            <w:pPr>
              <w:jc w:val="right"/>
              <w:rPr>
                <w:sz w:val="24"/>
                <w:szCs w:val="24"/>
                <w:lang w:val="es-MX" w:eastAsia="es-MX"/>
              </w:rPr>
            </w:pPr>
            <w:r w:rsidRPr="009562D6">
              <w:rPr>
                <w:sz w:val="24"/>
                <w:szCs w:val="24"/>
                <w:lang w:val="es-MX" w:eastAsia="es-MX"/>
              </w:rPr>
              <w:t>-9,9%</w:t>
            </w:r>
          </w:p>
        </w:tc>
        <w:tc>
          <w:tcPr>
            <w:tcW w:w="1929" w:type="dxa"/>
            <w:tcBorders>
              <w:top w:val="nil"/>
              <w:left w:val="nil"/>
              <w:bottom w:val="single" w:sz="4" w:space="0" w:color="auto"/>
              <w:right w:val="single" w:sz="4" w:space="0" w:color="auto"/>
            </w:tcBorders>
            <w:shd w:val="clear" w:color="auto" w:fill="auto"/>
            <w:vAlign w:val="center"/>
            <w:hideMark/>
          </w:tcPr>
          <w:p w14:paraId="53F3CE67" w14:textId="77777777" w:rsidR="00D30644" w:rsidRPr="009562D6" w:rsidRDefault="00D30644" w:rsidP="00D30644">
            <w:pPr>
              <w:jc w:val="center"/>
              <w:rPr>
                <w:color w:val="000000"/>
                <w:sz w:val="24"/>
                <w:szCs w:val="24"/>
                <w:lang w:val="es-MX" w:eastAsia="es-MX"/>
              </w:rPr>
            </w:pPr>
            <w:r w:rsidRPr="009562D6">
              <w:rPr>
                <w:color w:val="000000"/>
                <w:sz w:val="24"/>
                <w:szCs w:val="24"/>
                <w:lang w:val="es-MX" w:eastAsia="es-MX"/>
              </w:rPr>
              <w:t>Soft</w:t>
            </w:r>
          </w:p>
        </w:tc>
      </w:tr>
    </w:tbl>
    <w:p w14:paraId="436550C2" w14:textId="77777777" w:rsidR="00D30644" w:rsidRPr="004707AB" w:rsidRDefault="00D30644" w:rsidP="00F7521C">
      <w:pPr>
        <w:ind w:left="708"/>
        <w:rPr>
          <w:rFonts w:eastAsia="OptimaLTStd"/>
          <w:color w:val="000000"/>
          <w:lang w:val="es-MX"/>
        </w:rPr>
      </w:pPr>
      <w:r w:rsidRPr="00F7521C">
        <w:rPr>
          <w:rFonts w:eastAsia="OptimaLTStd"/>
          <w:sz w:val="18"/>
          <w:szCs w:val="18"/>
          <w:lang w:val="es-MX"/>
        </w:rPr>
        <w:tab/>
        <w:t xml:space="preserve">  </w:t>
      </w:r>
      <w:r w:rsidRPr="004707AB">
        <w:rPr>
          <w:rFonts w:eastAsia="OptimaLTStd"/>
          <w:color w:val="000000"/>
          <w:lang w:val="es-MX"/>
        </w:rPr>
        <w:t xml:space="preserve">Fuente: Adaptado de Fernández &amp; Dirkmaat, UFM. 2020 </w:t>
      </w:r>
    </w:p>
    <w:p w14:paraId="20D80D07" w14:textId="145E07BF" w:rsidR="00D30644" w:rsidRPr="004707AB" w:rsidRDefault="00D30644" w:rsidP="00F7521C">
      <w:pPr>
        <w:ind w:left="708"/>
        <w:rPr>
          <w:rFonts w:eastAsia="OptimaLTStd"/>
          <w:color w:val="000000"/>
          <w:lang w:val="es-MX"/>
        </w:rPr>
      </w:pPr>
      <w:r w:rsidRPr="004707AB">
        <w:rPr>
          <w:rFonts w:eastAsia="OptimaLTStd"/>
          <w:color w:val="000000"/>
          <w:lang w:val="es-MX"/>
        </w:rPr>
        <w:t xml:space="preserve">     </w:t>
      </w:r>
      <w:r w:rsidRPr="004707AB">
        <w:rPr>
          <w:rFonts w:eastAsia="OptimaLTStd"/>
          <w:color w:val="000000"/>
          <w:lang w:val="es-MX"/>
        </w:rPr>
        <w:tab/>
        <w:t xml:space="preserve">  Disponible en: </w:t>
      </w:r>
      <w:hyperlink r:id="rId47" w:history="1">
        <w:r w:rsidR="004707AB" w:rsidRPr="00D201E6">
          <w:rPr>
            <w:rStyle w:val="Hipervnculo"/>
            <w:rFonts w:eastAsia="OptimaLTStd"/>
            <w:lang w:val="es-MX"/>
          </w:rPr>
          <w:t>https://trends</w:t>
        </w:r>
      </w:hyperlink>
      <w:r w:rsidRPr="004707AB">
        <w:rPr>
          <w:rFonts w:eastAsia="OptimaLTStd"/>
          <w:color w:val="000000"/>
          <w:lang w:val="es-MX"/>
        </w:rPr>
        <w:t>.ufm.edu/articulo/coronavirus-recesion-mundial-e-impacto-en-guatemala/</w:t>
      </w:r>
    </w:p>
    <w:p w14:paraId="1B788443" w14:textId="77777777" w:rsidR="00D30644" w:rsidRPr="009562D6" w:rsidRDefault="00D30644" w:rsidP="00D30644">
      <w:pPr>
        <w:autoSpaceDE w:val="0"/>
        <w:autoSpaceDN w:val="0"/>
        <w:adjustRightInd w:val="0"/>
        <w:spacing w:line="276" w:lineRule="auto"/>
        <w:jc w:val="both"/>
        <w:rPr>
          <w:rFonts w:eastAsia="OptimaLTStd"/>
          <w:color w:val="000000"/>
          <w:sz w:val="24"/>
          <w:szCs w:val="24"/>
          <w:lang w:val="es-MX"/>
        </w:rPr>
      </w:pPr>
    </w:p>
    <w:p w14:paraId="7976B316" w14:textId="77777777" w:rsidR="00D30644" w:rsidRPr="00E648CF" w:rsidRDefault="00D30644" w:rsidP="00E648CF">
      <w:pPr>
        <w:pStyle w:val="Sinespaciado"/>
        <w:ind w:left="567" w:right="49"/>
        <w:jc w:val="both"/>
        <w:rPr>
          <w:rFonts w:ascii="Times New Roman" w:hAnsi="Times New Roman"/>
          <w:sz w:val="24"/>
          <w:szCs w:val="24"/>
          <w:lang w:val="es-MX"/>
        </w:rPr>
      </w:pPr>
      <w:r w:rsidRPr="00E648CF">
        <w:rPr>
          <w:rFonts w:ascii="Times New Roman" w:hAnsi="Times New Roman"/>
          <w:sz w:val="24"/>
          <w:szCs w:val="24"/>
          <w:lang w:val="es-MX"/>
        </w:rPr>
        <w:t>Las fluctuaciones en los precios de commodities deberían preocupar al sector exportador guatemalteco, ya que como se observa, algunos de los productos que más exporta el país están cayendo de precio y es posible que esa tendencia continúe hasta que el periodo de crisis disminuya. Cuando la recesión económica llegue se espera que los precios de las exportaciones crezcan y el de las importaciones se mantenga o siga bajando (Fernández &amp; Dirkmaat, UFM. 2020).</w:t>
      </w:r>
    </w:p>
    <w:p w14:paraId="59C14E66" w14:textId="77777777" w:rsidR="00D30644" w:rsidRPr="00E648CF" w:rsidRDefault="00D30644" w:rsidP="00E648CF">
      <w:pPr>
        <w:pStyle w:val="Sinespaciado"/>
        <w:ind w:left="567" w:right="49"/>
        <w:jc w:val="both"/>
        <w:rPr>
          <w:rFonts w:ascii="Times New Roman" w:hAnsi="Times New Roman"/>
          <w:sz w:val="24"/>
          <w:szCs w:val="24"/>
          <w:lang w:val="es-MX"/>
        </w:rPr>
      </w:pPr>
    </w:p>
    <w:p w14:paraId="67E97F30" w14:textId="77777777" w:rsidR="00D30644" w:rsidRPr="00A86EFD" w:rsidRDefault="00D30644" w:rsidP="00A86EFD">
      <w:pPr>
        <w:pStyle w:val="Ttulo1"/>
        <w:widowControl/>
        <w:numPr>
          <w:ilvl w:val="3"/>
          <w:numId w:val="5"/>
        </w:numPr>
        <w:ind w:right="49"/>
        <w:jc w:val="left"/>
        <w:rPr>
          <w:color w:val="auto"/>
          <w:sz w:val="24"/>
          <w:szCs w:val="24"/>
        </w:rPr>
      </w:pPr>
      <w:bookmarkStart w:id="66" w:name="_Toc46851809"/>
      <w:bookmarkStart w:id="67" w:name="_Toc49939730"/>
      <w:r w:rsidRPr="00A86EFD">
        <w:rPr>
          <w:color w:val="auto"/>
          <w:sz w:val="24"/>
          <w:szCs w:val="24"/>
        </w:rPr>
        <w:t>Importaciones</w:t>
      </w:r>
      <w:bookmarkEnd w:id="66"/>
      <w:bookmarkEnd w:id="67"/>
      <w:r w:rsidRPr="00A86EFD">
        <w:rPr>
          <w:color w:val="auto"/>
          <w:sz w:val="24"/>
          <w:szCs w:val="24"/>
        </w:rPr>
        <w:t xml:space="preserve">  </w:t>
      </w:r>
    </w:p>
    <w:p w14:paraId="03C13001" w14:textId="77777777" w:rsidR="00D30644" w:rsidRPr="009562D6" w:rsidRDefault="00D30644" w:rsidP="00D30644">
      <w:pPr>
        <w:rPr>
          <w:sz w:val="24"/>
          <w:szCs w:val="24"/>
        </w:rPr>
      </w:pPr>
    </w:p>
    <w:p w14:paraId="255B487E" w14:textId="77777777" w:rsidR="00D30644" w:rsidRPr="00E648CF" w:rsidRDefault="00D30644" w:rsidP="00E648CF">
      <w:pPr>
        <w:pStyle w:val="Sinespaciado"/>
        <w:ind w:left="567" w:right="49"/>
        <w:jc w:val="both"/>
        <w:rPr>
          <w:rFonts w:ascii="Times New Roman" w:hAnsi="Times New Roman"/>
          <w:sz w:val="24"/>
          <w:szCs w:val="24"/>
          <w:lang w:val="es-MX"/>
        </w:rPr>
      </w:pPr>
      <w:r w:rsidRPr="00E648CF">
        <w:rPr>
          <w:rFonts w:ascii="Times New Roman" w:hAnsi="Times New Roman"/>
          <w:sz w:val="24"/>
          <w:szCs w:val="24"/>
          <w:lang w:val="es-MX"/>
        </w:rPr>
        <w:t>La estructura de las importaciones muestra para el 2019; que diez productos explican el 49.2% entre estos: Vehículos y material de transporte 8.3%; Máquinas y aparatos mecánicos para usos electrotécnicos 7.2%; Gasolina 5.7%; Materiales plásticos y sus manufacturas 5.6%.  El 37% de las importaciones provienen de Estados Unidos; el 11.2% de China; el 11% de México; mientras que El Salvador, Costa Rica; Panamá y Honduras proveen en conjunto el 14.5%. Esto podría representar una seria interrupción en la cadena de suministro, hacia diversos sectores productivos.</w:t>
      </w:r>
    </w:p>
    <w:p w14:paraId="39F8D11B" w14:textId="77777777" w:rsidR="00D30644" w:rsidRPr="009562D6" w:rsidRDefault="00D30644" w:rsidP="00D30644">
      <w:pPr>
        <w:jc w:val="both"/>
        <w:rPr>
          <w:rFonts w:eastAsia="OptimaLTStd"/>
          <w:color w:val="000000"/>
          <w:sz w:val="24"/>
          <w:szCs w:val="24"/>
          <w:lang w:val="es-MX"/>
        </w:rPr>
      </w:pPr>
    </w:p>
    <w:p w14:paraId="197ACFA7" w14:textId="77777777" w:rsidR="00D30644" w:rsidRPr="009562D6" w:rsidRDefault="00D30644" w:rsidP="00D30644">
      <w:pPr>
        <w:spacing w:after="200" w:line="276" w:lineRule="auto"/>
        <w:rPr>
          <w:rFonts w:eastAsia="OptimaLTStd"/>
          <w:color w:val="000000"/>
          <w:sz w:val="24"/>
          <w:szCs w:val="24"/>
          <w:lang w:val="es-MX"/>
        </w:rPr>
      </w:pPr>
      <w:r w:rsidRPr="009562D6">
        <w:rPr>
          <w:rFonts w:eastAsia="OptimaLTStd"/>
          <w:color w:val="000000"/>
          <w:sz w:val="24"/>
          <w:szCs w:val="24"/>
          <w:lang w:val="es-MX"/>
        </w:rPr>
        <w:br w:type="page"/>
      </w:r>
    </w:p>
    <w:p w14:paraId="177D0127" w14:textId="77E03853" w:rsidR="00D30644" w:rsidRPr="0033794E" w:rsidRDefault="0033794E" w:rsidP="0033794E">
      <w:pPr>
        <w:pStyle w:val="Epgrafe"/>
        <w:keepNext/>
        <w:ind w:left="567" w:right="49"/>
        <w:rPr>
          <w:color w:val="auto"/>
          <w:sz w:val="24"/>
          <w:szCs w:val="24"/>
        </w:rPr>
      </w:pPr>
      <w:r>
        <w:rPr>
          <w:color w:val="auto"/>
          <w:sz w:val="24"/>
          <w:szCs w:val="24"/>
        </w:rPr>
        <w:lastRenderedPageBreak/>
        <w:t>Tabla 6</w:t>
      </w:r>
    </w:p>
    <w:p w14:paraId="31A1F396" w14:textId="77777777" w:rsidR="00D30644" w:rsidRPr="0033794E" w:rsidRDefault="00D30644" w:rsidP="0033794E">
      <w:pPr>
        <w:pStyle w:val="Epgrafe"/>
        <w:keepNext/>
        <w:ind w:left="567" w:right="49"/>
        <w:rPr>
          <w:color w:val="auto"/>
          <w:sz w:val="24"/>
          <w:szCs w:val="24"/>
        </w:rPr>
      </w:pPr>
      <w:r w:rsidRPr="0033794E">
        <w:rPr>
          <w:color w:val="auto"/>
          <w:sz w:val="24"/>
          <w:szCs w:val="24"/>
        </w:rPr>
        <w:t xml:space="preserve">Principales diez productos importados por Guatemala </w:t>
      </w:r>
    </w:p>
    <w:p w14:paraId="2D0A80BC" w14:textId="77777777" w:rsidR="00D30644" w:rsidRPr="0033794E" w:rsidRDefault="00D30644" w:rsidP="0033794E">
      <w:pPr>
        <w:pStyle w:val="Epgrafe"/>
        <w:keepNext/>
        <w:ind w:left="567" w:right="49"/>
        <w:rPr>
          <w:color w:val="auto"/>
          <w:sz w:val="24"/>
          <w:szCs w:val="24"/>
        </w:rPr>
      </w:pPr>
      <w:r w:rsidRPr="0033794E">
        <w:rPr>
          <w:color w:val="auto"/>
          <w:sz w:val="24"/>
          <w:szCs w:val="24"/>
        </w:rPr>
        <w:t>Período 2015-2019</w:t>
      </w:r>
    </w:p>
    <w:p w14:paraId="06F96B77" w14:textId="77777777" w:rsidR="00D30644" w:rsidRPr="0033794E" w:rsidRDefault="00D30644" w:rsidP="0033794E">
      <w:pPr>
        <w:pStyle w:val="Epgrafe"/>
        <w:keepNext/>
        <w:ind w:left="567" w:right="49"/>
        <w:rPr>
          <w:color w:val="auto"/>
          <w:sz w:val="24"/>
          <w:szCs w:val="24"/>
        </w:rPr>
      </w:pPr>
      <w:r w:rsidRPr="0033794E">
        <w:rPr>
          <w:color w:val="auto"/>
          <w:sz w:val="24"/>
          <w:szCs w:val="24"/>
        </w:rPr>
        <w:t>Cifras en millones de U.S. Dólares y porcentajes</w:t>
      </w:r>
    </w:p>
    <w:p w14:paraId="299C6C6E" w14:textId="77777777" w:rsidR="00D30644" w:rsidRPr="009562D6" w:rsidRDefault="00D30644" w:rsidP="00D30644">
      <w:pPr>
        <w:autoSpaceDE w:val="0"/>
        <w:autoSpaceDN w:val="0"/>
        <w:adjustRightInd w:val="0"/>
        <w:jc w:val="center"/>
        <w:rPr>
          <w:rFonts w:eastAsia="OptimaLTStd"/>
          <w:color w:val="000000"/>
          <w:sz w:val="24"/>
          <w:szCs w:val="24"/>
          <w:lang w:val="es-MX"/>
        </w:rPr>
      </w:pPr>
    </w:p>
    <w:tbl>
      <w:tblPr>
        <w:tblW w:w="9774" w:type="dxa"/>
        <w:tblInd w:w="137" w:type="dxa"/>
        <w:tblCellMar>
          <w:left w:w="70" w:type="dxa"/>
          <w:right w:w="70" w:type="dxa"/>
        </w:tblCellMar>
        <w:tblLook w:val="04A0" w:firstRow="1" w:lastRow="0" w:firstColumn="1" w:lastColumn="0" w:noHBand="0" w:noVBand="1"/>
      </w:tblPr>
      <w:tblGrid>
        <w:gridCol w:w="844"/>
        <w:gridCol w:w="2972"/>
        <w:gridCol w:w="848"/>
        <w:gridCol w:w="707"/>
        <w:gridCol w:w="707"/>
        <w:gridCol w:w="635"/>
        <w:gridCol w:w="800"/>
        <w:gridCol w:w="1230"/>
        <w:gridCol w:w="1031"/>
      </w:tblGrid>
      <w:tr w:rsidR="00D30644" w:rsidRPr="00F7521C" w14:paraId="45675E57" w14:textId="77777777" w:rsidTr="00D30644">
        <w:trPr>
          <w:trHeight w:val="537"/>
        </w:trPr>
        <w:tc>
          <w:tcPr>
            <w:tcW w:w="844" w:type="dxa"/>
            <w:vMerge w:val="restart"/>
            <w:tcBorders>
              <w:top w:val="single" w:sz="4" w:space="0" w:color="auto"/>
              <w:left w:val="single" w:sz="4" w:space="0" w:color="auto"/>
              <w:bottom w:val="single" w:sz="4" w:space="0" w:color="auto"/>
              <w:right w:val="single" w:sz="4" w:space="0" w:color="auto"/>
            </w:tcBorders>
            <w:shd w:val="clear" w:color="000000" w:fill="D6DCE4"/>
            <w:noWrap/>
            <w:vAlign w:val="center"/>
            <w:hideMark/>
          </w:tcPr>
          <w:p w14:paraId="70F87447" w14:textId="77777777" w:rsidR="00D30644" w:rsidRPr="00F7521C" w:rsidRDefault="00D30644" w:rsidP="00D30644">
            <w:pPr>
              <w:jc w:val="center"/>
              <w:rPr>
                <w:b/>
                <w:bCs/>
                <w:sz w:val="18"/>
                <w:szCs w:val="18"/>
                <w:lang w:val="es-MX" w:eastAsia="es-MX"/>
              </w:rPr>
            </w:pPr>
            <w:r w:rsidRPr="00F7521C">
              <w:rPr>
                <w:b/>
                <w:bCs/>
                <w:sz w:val="18"/>
                <w:szCs w:val="18"/>
                <w:lang w:val="es-MX" w:eastAsia="es-MX"/>
              </w:rPr>
              <w:t xml:space="preserve">Posición </w:t>
            </w:r>
          </w:p>
        </w:tc>
        <w:tc>
          <w:tcPr>
            <w:tcW w:w="2972" w:type="dxa"/>
            <w:vMerge w:val="restart"/>
            <w:tcBorders>
              <w:top w:val="single" w:sz="4" w:space="0" w:color="auto"/>
              <w:left w:val="single" w:sz="4" w:space="0" w:color="auto"/>
              <w:bottom w:val="single" w:sz="4" w:space="0" w:color="auto"/>
              <w:right w:val="single" w:sz="4" w:space="0" w:color="auto"/>
            </w:tcBorders>
            <w:shd w:val="clear" w:color="000000" w:fill="D6DCE4"/>
            <w:noWrap/>
            <w:vAlign w:val="center"/>
            <w:hideMark/>
          </w:tcPr>
          <w:p w14:paraId="0691AA1A" w14:textId="77777777" w:rsidR="00D30644" w:rsidRPr="00F7521C" w:rsidRDefault="00D30644" w:rsidP="00D30644">
            <w:pPr>
              <w:jc w:val="center"/>
              <w:rPr>
                <w:b/>
                <w:bCs/>
                <w:sz w:val="18"/>
                <w:szCs w:val="18"/>
                <w:lang w:val="es-MX" w:eastAsia="es-MX"/>
              </w:rPr>
            </w:pPr>
            <w:r w:rsidRPr="00F7521C">
              <w:rPr>
                <w:b/>
                <w:bCs/>
                <w:sz w:val="18"/>
                <w:szCs w:val="18"/>
                <w:lang w:val="es-MX" w:eastAsia="es-MX"/>
              </w:rPr>
              <w:t xml:space="preserve">Importaciones Totales </w:t>
            </w:r>
          </w:p>
        </w:tc>
        <w:tc>
          <w:tcPr>
            <w:tcW w:w="848" w:type="dxa"/>
            <w:vMerge w:val="restart"/>
            <w:tcBorders>
              <w:top w:val="single" w:sz="4" w:space="0" w:color="auto"/>
              <w:left w:val="single" w:sz="4" w:space="0" w:color="auto"/>
              <w:bottom w:val="single" w:sz="4" w:space="0" w:color="auto"/>
              <w:right w:val="single" w:sz="4" w:space="0" w:color="auto"/>
            </w:tcBorders>
            <w:shd w:val="clear" w:color="000000" w:fill="D6DCE4"/>
            <w:noWrap/>
            <w:vAlign w:val="center"/>
            <w:hideMark/>
          </w:tcPr>
          <w:p w14:paraId="1D3766E9" w14:textId="77777777" w:rsidR="00D30644" w:rsidRPr="00F7521C" w:rsidRDefault="00D30644" w:rsidP="00D30644">
            <w:pPr>
              <w:jc w:val="center"/>
              <w:rPr>
                <w:b/>
                <w:bCs/>
                <w:sz w:val="18"/>
                <w:szCs w:val="18"/>
                <w:lang w:val="es-MX" w:eastAsia="es-MX"/>
              </w:rPr>
            </w:pPr>
            <w:r w:rsidRPr="00F7521C">
              <w:rPr>
                <w:b/>
                <w:bCs/>
                <w:sz w:val="18"/>
                <w:szCs w:val="18"/>
                <w:lang w:val="es-MX" w:eastAsia="es-MX"/>
              </w:rPr>
              <w:t>2015</w:t>
            </w:r>
          </w:p>
        </w:tc>
        <w:tc>
          <w:tcPr>
            <w:tcW w:w="707" w:type="dxa"/>
            <w:vMerge w:val="restart"/>
            <w:tcBorders>
              <w:top w:val="single" w:sz="4" w:space="0" w:color="auto"/>
              <w:left w:val="single" w:sz="4" w:space="0" w:color="auto"/>
              <w:bottom w:val="single" w:sz="4" w:space="0" w:color="auto"/>
              <w:right w:val="single" w:sz="4" w:space="0" w:color="auto"/>
            </w:tcBorders>
            <w:shd w:val="clear" w:color="000000" w:fill="D6DCE4"/>
            <w:noWrap/>
            <w:vAlign w:val="center"/>
            <w:hideMark/>
          </w:tcPr>
          <w:p w14:paraId="7173CCB6" w14:textId="77777777" w:rsidR="00D30644" w:rsidRPr="00F7521C" w:rsidRDefault="00D30644" w:rsidP="00D30644">
            <w:pPr>
              <w:jc w:val="center"/>
              <w:rPr>
                <w:b/>
                <w:bCs/>
                <w:sz w:val="18"/>
                <w:szCs w:val="18"/>
                <w:lang w:val="es-MX" w:eastAsia="es-MX"/>
              </w:rPr>
            </w:pPr>
            <w:r w:rsidRPr="00F7521C">
              <w:rPr>
                <w:b/>
                <w:bCs/>
                <w:sz w:val="18"/>
                <w:szCs w:val="18"/>
                <w:lang w:val="es-MX" w:eastAsia="es-MX"/>
              </w:rPr>
              <w:t>2016</w:t>
            </w:r>
          </w:p>
        </w:tc>
        <w:tc>
          <w:tcPr>
            <w:tcW w:w="707" w:type="dxa"/>
            <w:vMerge w:val="restart"/>
            <w:tcBorders>
              <w:top w:val="single" w:sz="4" w:space="0" w:color="auto"/>
              <w:left w:val="single" w:sz="4" w:space="0" w:color="auto"/>
              <w:bottom w:val="single" w:sz="4" w:space="0" w:color="auto"/>
              <w:right w:val="single" w:sz="4" w:space="0" w:color="auto"/>
            </w:tcBorders>
            <w:shd w:val="clear" w:color="000000" w:fill="D6DCE4"/>
            <w:noWrap/>
            <w:vAlign w:val="center"/>
            <w:hideMark/>
          </w:tcPr>
          <w:p w14:paraId="02815AAE" w14:textId="77777777" w:rsidR="00D30644" w:rsidRPr="00F7521C" w:rsidRDefault="00D30644" w:rsidP="00D30644">
            <w:pPr>
              <w:jc w:val="center"/>
              <w:rPr>
                <w:b/>
                <w:bCs/>
                <w:sz w:val="18"/>
                <w:szCs w:val="18"/>
                <w:lang w:val="es-MX" w:eastAsia="es-MX"/>
              </w:rPr>
            </w:pPr>
            <w:r w:rsidRPr="00F7521C">
              <w:rPr>
                <w:b/>
                <w:bCs/>
                <w:sz w:val="18"/>
                <w:szCs w:val="18"/>
                <w:lang w:val="es-MX" w:eastAsia="es-MX"/>
              </w:rPr>
              <w:t>2017</w:t>
            </w:r>
          </w:p>
        </w:tc>
        <w:tc>
          <w:tcPr>
            <w:tcW w:w="635" w:type="dxa"/>
            <w:vMerge w:val="restart"/>
            <w:tcBorders>
              <w:top w:val="single" w:sz="4" w:space="0" w:color="auto"/>
              <w:left w:val="single" w:sz="4" w:space="0" w:color="auto"/>
              <w:bottom w:val="single" w:sz="4" w:space="0" w:color="auto"/>
              <w:right w:val="single" w:sz="4" w:space="0" w:color="auto"/>
            </w:tcBorders>
            <w:shd w:val="clear" w:color="000000" w:fill="D6DCE4"/>
            <w:noWrap/>
            <w:vAlign w:val="center"/>
            <w:hideMark/>
          </w:tcPr>
          <w:p w14:paraId="378082BA" w14:textId="77777777" w:rsidR="00D30644" w:rsidRPr="00F7521C" w:rsidRDefault="00D30644" w:rsidP="00D30644">
            <w:pPr>
              <w:jc w:val="center"/>
              <w:rPr>
                <w:b/>
                <w:bCs/>
                <w:sz w:val="18"/>
                <w:szCs w:val="18"/>
                <w:lang w:val="es-MX" w:eastAsia="es-MX"/>
              </w:rPr>
            </w:pPr>
            <w:r w:rsidRPr="00F7521C">
              <w:rPr>
                <w:b/>
                <w:bCs/>
                <w:sz w:val="18"/>
                <w:szCs w:val="18"/>
                <w:lang w:val="es-MX" w:eastAsia="es-MX"/>
              </w:rPr>
              <w:t>2018</w:t>
            </w:r>
          </w:p>
        </w:tc>
        <w:tc>
          <w:tcPr>
            <w:tcW w:w="800" w:type="dxa"/>
            <w:vMerge w:val="restart"/>
            <w:tcBorders>
              <w:top w:val="single" w:sz="4" w:space="0" w:color="auto"/>
              <w:left w:val="single" w:sz="4" w:space="0" w:color="auto"/>
              <w:bottom w:val="single" w:sz="4" w:space="0" w:color="auto"/>
              <w:right w:val="single" w:sz="4" w:space="0" w:color="auto"/>
            </w:tcBorders>
            <w:shd w:val="clear" w:color="000000" w:fill="D6DCE4"/>
            <w:noWrap/>
            <w:vAlign w:val="center"/>
            <w:hideMark/>
          </w:tcPr>
          <w:p w14:paraId="5823F848" w14:textId="77777777" w:rsidR="00D30644" w:rsidRPr="00F7521C" w:rsidRDefault="00D30644" w:rsidP="00D30644">
            <w:pPr>
              <w:jc w:val="center"/>
              <w:rPr>
                <w:b/>
                <w:bCs/>
                <w:sz w:val="18"/>
                <w:szCs w:val="18"/>
                <w:lang w:val="es-MX" w:eastAsia="es-MX"/>
              </w:rPr>
            </w:pPr>
            <w:r w:rsidRPr="00F7521C">
              <w:rPr>
                <w:b/>
                <w:bCs/>
                <w:sz w:val="18"/>
                <w:szCs w:val="18"/>
                <w:lang w:val="es-MX" w:eastAsia="es-MX"/>
              </w:rPr>
              <w:t>2019 p/</w:t>
            </w:r>
          </w:p>
        </w:tc>
        <w:tc>
          <w:tcPr>
            <w:tcW w:w="1230" w:type="dxa"/>
            <w:vMerge w:val="restart"/>
            <w:tcBorders>
              <w:top w:val="single" w:sz="4" w:space="0" w:color="auto"/>
              <w:left w:val="single" w:sz="4" w:space="0" w:color="auto"/>
              <w:bottom w:val="single" w:sz="4" w:space="0" w:color="auto"/>
              <w:right w:val="single" w:sz="4" w:space="0" w:color="auto"/>
            </w:tcBorders>
            <w:shd w:val="clear" w:color="000000" w:fill="D6DCE4"/>
            <w:vAlign w:val="center"/>
            <w:hideMark/>
          </w:tcPr>
          <w:p w14:paraId="76F8C369" w14:textId="77777777" w:rsidR="00D30644" w:rsidRPr="00F7521C" w:rsidRDefault="00D30644" w:rsidP="00D30644">
            <w:pPr>
              <w:jc w:val="center"/>
              <w:rPr>
                <w:b/>
                <w:bCs/>
                <w:sz w:val="18"/>
                <w:szCs w:val="18"/>
                <w:lang w:val="es-MX" w:eastAsia="es-MX"/>
              </w:rPr>
            </w:pPr>
            <w:r w:rsidRPr="00F7521C">
              <w:rPr>
                <w:b/>
                <w:bCs/>
                <w:sz w:val="18"/>
                <w:szCs w:val="18"/>
                <w:lang w:val="es-MX" w:eastAsia="es-MX"/>
              </w:rPr>
              <w:t>Participación importaciones 2019</w:t>
            </w:r>
          </w:p>
        </w:tc>
        <w:tc>
          <w:tcPr>
            <w:tcW w:w="1031" w:type="dxa"/>
            <w:vMerge w:val="restart"/>
            <w:tcBorders>
              <w:top w:val="single" w:sz="4" w:space="0" w:color="auto"/>
              <w:left w:val="single" w:sz="4" w:space="0" w:color="auto"/>
              <w:bottom w:val="single" w:sz="4" w:space="0" w:color="auto"/>
              <w:right w:val="single" w:sz="4" w:space="0" w:color="auto"/>
            </w:tcBorders>
            <w:shd w:val="clear" w:color="000000" w:fill="D6DCE4"/>
            <w:vAlign w:val="center"/>
            <w:hideMark/>
          </w:tcPr>
          <w:p w14:paraId="406D8A81" w14:textId="77777777" w:rsidR="00D30644" w:rsidRPr="00F7521C" w:rsidRDefault="00D30644" w:rsidP="00D30644">
            <w:pPr>
              <w:jc w:val="center"/>
              <w:rPr>
                <w:b/>
                <w:bCs/>
                <w:sz w:val="18"/>
                <w:szCs w:val="18"/>
                <w:lang w:val="es-MX" w:eastAsia="es-MX"/>
              </w:rPr>
            </w:pPr>
            <w:r w:rsidRPr="00F7521C">
              <w:rPr>
                <w:b/>
                <w:bCs/>
                <w:sz w:val="18"/>
                <w:szCs w:val="18"/>
                <w:lang w:val="es-MX" w:eastAsia="es-MX"/>
              </w:rPr>
              <w:t>Acumulado %</w:t>
            </w:r>
          </w:p>
        </w:tc>
      </w:tr>
      <w:tr w:rsidR="00D30644" w:rsidRPr="00F7521C" w14:paraId="5B0267BA" w14:textId="77777777" w:rsidTr="00D30644">
        <w:trPr>
          <w:trHeight w:val="537"/>
        </w:trPr>
        <w:tc>
          <w:tcPr>
            <w:tcW w:w="844" w:type="dxa"/>
            <w:vMerge/>
            <w:tcBorders>
              <w:top w:val="single" w:sz="4" w:space="0" w:color="auto"/>
              <w:left w:val="single" w:sz="4" w:space="0" w:color="auto"/>
              <w:bottom w:val="single" w:sz="4" w:space="0" w:color="auto"/>
              <w:right w:val="single" w:sz="4" w:space="0" w:color="auto"/>
            </w:tcBorders>
            <w:vAlign w:val="center"/>
            <w:hideMark/>
          </w:tcPr>
          <w:p w14:paraId="299B0387" w14:textId="77777777" w:rsidR="00D30644" w:rsidRPr="00F7521C" w:rsidRDefault="00D30644" w:rsidP="00D30644">
            <w:pPr>
              <w:rPr>
                <w:b/>
                <w:bCs/>
                <w:sz w:val="18"/>
                <w:szCs w:val="18"/>
                <w:lang w:val="es-MX" w:eastAsia="es-MX"/>
              </w:rPr>
            </w:pPr>
          </w:p>
        </w:tc>
        <w:tc>
          <w:tcPr>
            <w:tcW w:w="2972" w:type="dxa"/>
            <w:vMerge/>
            <w:tcBorders>
              <w:top w:val="single" w:sz="4" w:space="0" w:color="auto"/>
              <w:left w:val="single" w:sz="4" w:space="0" w:color="auto"/>
              <w:bottom w:val="single" w:sz="4" w:space="0" w:color="auto"/>
              <w:right w:val="single" w:sz="4" w:space="0" w:color="auto"/>
            </w:tcBorders>
            <w:vAlign w:val="center"/>
            <w:hideMark/>
          </w:tcPr>
          <w:p w14:paraId="3AE3164E" w14:textId="77777777" w:rsidR="00D30644" w:rsidRPr="00F7521C" w:rsidRDefault="00D30644" w:rsidP="00D30644">
            <w:pPr>
              <w:rPr>
                <w:b/>
                <w:bCs/>
                <w:sz w:val="18"/>
                <w:szCs w:val="18"/>
                <w:lang w:val="es-MX" w:eastAsia="es-MX"/>
              </w:rPr>
            </w:pPr>
          </w:p>
        </w:tc>
        <w:tc>
          <w:tcPr>
            <w:tcW w:w="848" w:type="dxa"/>
            <w:vMerge/>
            <w:tcBorders>
              <w:top w:val="single" w:sz="4" w:space="0" w:color="auto"/>
              <w:left w:val="single" w:sz="4" w:space="0" w:color="auto"/>
              <w:bottom w:val="single" w:sz="4" w:space="0" w:color="auto"/>
              <w:right w:val="single" w:sz="4" w:space="0" w:color="auto"/>
            </w:tcBorders>
            <w:vAlign w:val="center"/>
            <w:hideMark/>
          </w:tcPr>
          <w:p w14:paraId="34DB7405" w14:textId="77777777" w:rsidR="00D30644" w:rsidRPr="00F7521C" w:rsidRDefault="00D30644" w:rsidP="00D30644">
            <w:pPr>
              <w:rPr>
                <w:b/>
                <w:bCs/>
                <w:sz w:val="18"/>
                <w:szCs w:val="18"/>
                <w:lang w:val="es-MX" w:eastAsia="es-MX"/>
              </w:rPr>
            </w:pPr>
          </w:p>
        </w:tc>
        <w:tc>
          <w:tcPr>
            <w:tcW w:w="707" w:type="dxa"/>
            <w:vMerge/>
            <w:tcBorders>
              <w:top w:val="single" w:sz="4" w:space="0" w:color="auto"/>
              <w:left w:val="single" w:sz="4" w:space="0" w:color="auto"/>
              <w:bottom w:val="single" w:sz="4" w:space="0" w:color="auto"/>
              <w:right w:val="single" w:sz="4" w:space="0" w:color="auto"/>
            </w:tcBorders>
            <w:vAlign w:val="center"/>
            <w:hideMark/>
          </w:tcPr>
          <w:p w14:paraId="61FEBACE" w14:textId="77777777" w:rsidR="00D30644" w:rsidRPr="00F7521C" w:rsidRDefault="00D30644" w:rsidP="00D30644">
            <w:pPr>
              <w:rPr>
                <w:b/>
                <w:bCs/>
                <w:sz w:val="18"/>
                <w:szCs w:val="18"/>
                <w:lang w:val="es-MX" w:eastAsia="es-MX"/>
              </w:rPr>
            </w:pPr>
          </w:p>
        </w:tc>
        <w:tc>
          <w:tcPr>
            <w:tcW w:w="707" w:type="dxa"/>
            <w:vMerge/>
            <w:tcBorders>
              <w:top w:val="single" w:sz="4" w:space="0" w:color="auto"/>
              <w:left w:val="single" w:sz="4" w:space="0" w:color="auto"/>
              <w:bottom w:val="single" w:sz="4" w:space="0" w:color="auto"/>
              <w:right w:val="single" w:sz="4" w:space="0" w:color="auto"/>
            </w:tcBorders>
            <w:vAlign w:val="center"/>
            <w:hideMark/>
          </w:tcPr>
          <w:p w14:paraId="04516C9F" w14:textId="77777777" w:rsidR="00D30644" w:rsidRPr="00F7521C" w:rsidRDefault="00D30644" w:rsidP="00D30644">
            <w:pPr>
              <w:rPr>
                <w:b/>
                <w:bCs/>
                <w:sz w:val="18"/>
                <w:szCs w:val="18"/>
                <w:lang w:val="es-MX" w:eastAsia="es-MX"/>
              </w:rPr>
            </w:pPr>
          </w:p>
        </w:tc>
        <w:tc>
          <w:tcPr>
            <w:tcW w:w="635" w:type="dxa"/>
            <w:vMerge/>
            <w:tcBorders>
              <w:top w:val="single" w:sz="4" w:space="0" w:color="auto"/>
              <w:left w:val="single" w:sz="4" w:space="0" w:color="auto"/>
              <w:bottom w:val="single" w:sz="4" w:space="0" w:color="auto"/>
              <w:right w:val="single" w:sz="4" w:space="0" w:color="auto"/>
            </w:tcBorders>
            <w:vAlign w:val="center"/>
            <w:hideMark/>
          </w:tcPr>
          <w:p w14:paraId="42C0C5EF" w14:textId="77777777" w:rsidR="00D30644" w:rsidRPr="00F7521C" w:rsidRDefault="00D30644" w:rsidP="00D30644">
            <w:pPr>
              <w:rPr>
                <w:b/>
                <w:bCs/>
                <w:sz w:val="18"/>
                <w:szCs w:val="18"/>
                <w:lang w:val="es-MX" w:eastAsia="es-MX"/>
              </w:rPr>
            </w:pPr>
          </w:p>
        </w:tc>
        <w:tc>
          <w:tcPr>
            <w:tcW w:w="800" w:type="dxa"/>
            <w:vMerge/>
            <w:tcBorders>
              <w:top w:val="single" w:sz="4" w:space="0" w:color="auto"/>
              <w:left w:val="single" w:sz="4" w:space="0" w:color="auto"/>
              <w:bottom w:val="single" w:sz="4" w:space="0" w:color="auto"/>
              <w:right w:val="single" w:sz="4" w:space="0" w:color="auto"/>
            </w:tcBorders>
            <w:vAlign w:val="center"/>
            <w:hideMark/>
          </w:tcPr>
          <w:p w14:paraId="7876482C" w14:textId="77777777" w:rsidR="00D30644" w:rsidRPr="00F7521C" w:rsidRDefault="00D30644" w:rsidP="00D30644">
            <w:pPr>
              <w:rPr>
                <w:b/>
                <w:bCs/>
                <w:sz w:val="18"/>
                <w:szCs w:val="18"/>
                <w:lang w:val="es-MX" w:eastAsia="es-MX"/>
              </w:rPr>
            </w:pPr>
          </w:p>
        </w:tc>
        <w:tc>
          <w:tcPr>
            <w:tcW w:w="1230" w:type="dxa"/>
            <w:vMerge/>
            <w:tcBorders>
              <w:top w:val="single" w:sz="4" w:space="0" w:color="auto"/>
              <w:left w:val="single" w:sz="4" w:space="0" w:color="auto"/>
              <w:bottom w:val="single" w:sz="4" w:space="0" w:color="auto"/>
              <w:right w:val="single" w:sz="4" w:space="0" w:color="auto"/>
            </w:tcBorders>
            <w:vAlign w:val="center"/>
            <w:hideMark/>
          </w:tcPr>
          <w:p w14:paraId="6CBBC4D4" w14:textId="77777777" w:rsidR="00D30644" w:rsidRPr="00F7521C" w:rsidRDefault="00D30644" w:rsidP="00D30644">
            <w:pPr>
              <w:rPr>
                <w:b/>
                <w:bCs/>
                <w:sz w:val="18"/>
                <w:szCs w:val="18"/>
                <w:lang w:val="es-MX" w:eastAsia="es-MX"/>
              </w:rPr>
            </w:pPr>
          </w:p>
        </w:tc>
        <w:tc>
          <w:tcPr>
            <w:tcW w:w="1031" w:type="dxa"/>
            <w:vMerge/>
            <w:tcBorders>
              <w:top w:val="single" w:sz="4" w:space="0" w:color="auto"/>
              <w:left w:val="single" w:sz="4" w:space="0" w:color="auto"/>
              <w:bottom w:val="single" w:sz="4" w:space="0" w:color="auto"/>
              <w:right w:val="single" w:sz="4" w:space="0" w:color="auto"/>
            </w:tcBorders>
            <w:vAlign w:val="center"/>
            <w:hideMark/>
          </w:tcPr>
          <w:p w14:paraId="7A7AFB2A" w14:textId="77777777" w:rsidR="00D30644" w:rsidRPr="00F7521C" w:rsidRDefault="00D30644" w:rsidP="00D30644">
            <w:pPr>
              <w:rPr>
                <w:b/>
                <w:bCs/>
                <w:sz w:val="18"/>
                <w:szCs w:val="18"/>
                <w:lang w:val="es-MX" w:eastAsia="es-MX"/>
              </w:rPr>
            </w:pPr>
          </w:p>
        </w:tc>
      </w:tr>
      <w:tr w:rsidR="00D30644" w:rsidRPr="00F7521C" w14:paraId="76AC682C" w14:textId="77777777" w:rsidTr="00D30644">
        <w:trPr>
          <w:trHeight w:val="205"/>
        </w:trPr>
        <w:tc>
          <w:tcPr>
            <w:tcW w:w="844" w:type="dxa"/>
            <w:vMerge/>
            <w:tcBorders>
              <w:top w:val="single" w:sz="4" w:space="0" w:color="auto"/>
              <w:left w:val="single" w:sz="4" w:space="0" w:color="auto"/>
              <w:bottom w:val="single" w:sz="4" w:space="0" w:color="auto"/>
              <w:right w:val="single" w:sz="4" w:space="0" w:color="auto"/>
            </w:tcBorders>
            <w:vAlign w:val="center"/>
            <w:hideMark/>
          </w:tcPr>
          <w:p w14:paraId="065232F3" w14:textId="77777777" w:rsidR="00D30644" w:rsidRPr="00F7521C" w:rsidRDefault="00D30644" w:rsidP="00D30644">
            <w:pPr>
              <w:rPr>
                <w:b/>
                <w:bCs/>
                <w:sz w:val="18"/>
                <w:szCs w:val="18"/>
                <w:lang w:val="es-MX" w:eastAsia="es-MX"/>
              </w:rPr>
            </w:pPr>
          </w:p>
        </w:tc>
        <w:tc>
          <w:tcPr>
            <w:tcW w:w="2972" w:type="dxa"/>
            <w:vMerge/>
            <w:tcBorders>
              <w:top w:val="single" w:sz="4" w:space="0" w:color="auto"/>
              <w:left w:val="single" w:sz="4" w:space="0" w:color="auto"/>
              <w:bottom w:val="single" w:sz="4" w:space="0" w:color="auto"/>
              <w:right w:val="single" w:sz="4" w:space="0" w:color="auto"/>
            </w:tcBorders>
            <w:vAlign w:val="center"/>
            <w:hideMark/>
          </w:tcPr>
          <w:p w14:paraId="1A7948BB" w14:textId="77777777" w:rsidR="00D30644" w:rsidRPr="00F7521C" w:rsidRDefault="00D30644" w:rsidP="00D30644">
            <w:pPr>
              <w:rPr>
                <w:b/>
                <w:bCs/>
                <w:sz w:val="18"/>
                <w:szCs w:val="18"/>
                <w:lang w:val="es-MX" w:eastAsia="es-MX"/>
              </w:rPr>
            </w:pPr>
          </w:p>
        </w:tc>
        <w:tc>
          <w:tcPr>
            <w:tcW w:w="848" w:type="dxa"/>
            <w:tcBorders>
              <w:top w:val="nil"/>
              <w:left w:val="nil"/>
              <w:bottom w:val="single" w:sz="4" w:space="0" w:color="auto"/>
              <w:right w:val="single" w:sz="4" w:space="0" w:color="auto"/>
            </w:tcBorders>
            <w:shd w:val="clear" w:color="000000" w:fill="BFBFBF"/>
            <w:noWrap/>
            <w:vAlign w:val="bottom"/>
            <w:hideMark/>
          </w:tcPr>
          <w:p w14:paraId="39E7E71B" w14:textId="77777777" w:rsidR="00D30644" w:rsidRPr="00F7521C" w:rsidRDefault="00D30644" w:rsidP="00D30644">
            <w:pPr>
              <w:jc w:val="right"/>
              <w:rPr>
                <w:sz w:val="18"/>
                <w:szCs w:val="18"/>
                <w:lang w:val="es-MX" w:eastAsia="es-MX"/>
              </w:rPr>
            </w:pPr>
            <w:r w:rsidRPr="00F7521C">
              <w:rPr>
                <w:sz w:val="18"/>
                <w:szCs w:val="18"/>
                <w:lang w:val="es-MX" w:eastAsia="es-MX"/>
              </w:rPr>
              <w:t>17,641</w:t>
            </w:r>
          </w:p>
        </w:tc>
        <w:tc>
          <w:tcPr>
            <w:tcW w:w="707" w:type="dxa"/>
            <w:tcBorders>
              <w:top w:val="nil"/>
              <w:left w:val="nil"/>
              <w:bottom w:val="single" w:sz="4" w:space="0" w:color="auto"/>
              <w:right w:val="single" w:sz="4" w:space="0" w:color="auto"/>
            </w:tcBorders>
            <w:shd w:val="clear" w:color="000000" w:fill="BFBFBF"/>
            <w:noWrap/>
            <w:vAlign w:val="bottom"/>
            <w:hideMark/>
          </w:tcPr>
          <w:p w14:paraId="1099C0FE" w14:textId="77777777" w:rsidR="00D30644" w:rsidRPr="00F7521C" w:rsidRDefault="00D30644" w:rsidP="00D30644">
            <w:pPr>
              <w:jc w:val="right"/>
              <w:rPr>
                <w:sz w:val="18"/>
                <w:szCs w:val="18"/>
                <w:lang w:val="es-MX" w:eastAsia="es-MX"/>
              </w:rPr>
            </w:pPr>
            <w:r w:rsidRPr="00F7521C">
              <w:rPr>
                <w:sz w:val="18"/>
                <w:szCs w:val="18"/>
                <w:lang w:val="es-MX" w:eastAsia="es-MX"/>
              </w:rPr>
              <w:t>17,003</w:t>
            </w:r>
          </w:p>
        </w:tc>
        <w:tc>
          <w:tcPr>
            <w:tcW w:w="707" w:type="dxa"/>
            <w:tcBorders>
              <w:top w:val="nil"/>
              <w:left w:val="nil"/>
              <w:bottom w:val="single" w:sz="4" w:space="0" w:color="auto"/>
              <w:right w:val="single" w:sz="4" w:space="0" w:color="auto"/>
            </w:tcBorders>
            <w:shd w:val="clear" w:color="000000" w:fill="BFBFBF"/>
            <w:noWrap/>
            <w:vAlign w:val="bottom"/>
            <w:hideMark/>
          </w:tcPr>
          <w:p w14:paraId="758D7D01" w14:textId="77777777" w:rsidR="00D30644" w:rsidRPr="00F7521C" w:rsidRDefault="00D30644" w:rsidP="00D30644">
            <w:pPr>
              <w:jc w:val="right"/>
              <w:rPr>
                <w:sz w:val="18"/>
                <w:szCs w:val="18"/>
                <w:lang w:val="es-MX" w:eastAsia="es-MX"/>
              </w:rPr>
            </w:pPr>
            <w:r w:rsidRPr="00F7521C">
              <w:rPr>
                <w:sz w:val="18"/>
                <w:szCs w:val="18"/>
                <w:lang w:val="es-MX" w:eastAsia="es-MX"/>
              </w:rPr>
              <w:t>18,390</w:t>
            </w:r>
          </w:p>
        </w:tc>
        <w:tc>
          <w:tcPr>
            <w:tcW w:w="635" w:type="dxa"/>
            <w:tcBorders>
              <w:top w:val="nil"/>
              <w:left w:val="nil"/>
              <w:bottom w:val="single" w:sz="4" w:space="0" w:color="auto"/>
              <w:right w:val="single" w:sz="4" w:space="0" w:color="auto"/>
            </w:tcBorders>
            <w:shd w:val="clear" w:color="000000" w:fill="BFBFBF"/>
            <w:noWrap/>
            <w:vAlign w:val="bottom"/>
            <w:hideMark/>
          </w:tcPr>
          <w:p w14:paraId="50017A0F" w14:textId="77777777" w:rsidR="00D30644" w:rsidRPr="00F7521C" w:rsidRDefault="00D30644" w:rsidP="00D30644">
            <w:pPr>
              <w:jc w:val="right"/>
              <w:rPr>
                <w:sz w:val="18"/>
                <w:szCs w:val="18"/>
                <w:lang w:val="es-MX" w:eastAsia="es-MX"/>
              </w:rPr>
            </w:pPr>
            <w:r w:rsidRPr="00F7521C">
              <w:rPr>
                <w:sz w:val="18"/>
                <w:szCs w:val="18"/>
                <w:lang w:val="es-MX" w:eastAsia="es-MX"/>
              </w:rPr>
              <w:t>19,674</w:t>
            </w:r>
          </w:p>
        </w:tc>
        <w:tc>
          <w:tcPr>
            <w:tcW w:w="800" w:type="dxa"/>
            <w:tcBorders>
              <w:top w:val="nil"/>
              <w:left w:val="nil"/>
              <w:bottom w:val="single" w:sz="4" w:space="0" w:color="auto"/>
              <w:right w:val="single" w:sz="4" w:space="0" w:color="auto"/>
            </w:tcBorders>
            <w:shd w:val="clear" w:color="000000" w:fill="BFBFBF"/>
            <w:noWrap/>
            <w:vAlign w:val="bottom"/>
            <w:hideMark/>
          </w:tcPr>
          <w:p w14:paraId="63B48476" w14:textId="77777777" w:rsidR="00D30644" w:rsidRPr="00F7521C" w:rsidRDefault="00D30644" w:rsidP="00D30644">
            <w:pPr>
              <w:jc w:val="right"/>
              <w:rPr>
                <w:sz w:val="18"/>
                <w:szCs w:val="18"/>
                <w:lang w:val="es-MX" w:eastAsia="es-MX"/>
              </w:rPr>
            </w:pPr>
            <w:r w:rsidRPr="00F7521C">
              <w:rPr>
                <w:sz w:val="18"/>
                <w:szCs w:val="18"/>
                <w:lang w:val="es-MX" w:eastAsia="es-MX"/>
              </w:rPr>
              <w:t>19,882</w:t>
            </w:r>
          </w:p>
        </w:tc>
        <w:tc>
          <w:tcPr>
            <w:tcW w:w="1230" w:type="dxa"/>
            <w:vMerge/>
            <w:tcBorders>
              <w:top w:val="single" w:sz="4" w:space="0" w:color="auto"/>
              <w:left w:val="single" w:sz="4" w:space="0" w:color="auto"/>
              <w:bottom w:val="single" w:sz="4" w:space="0" w:color="auto"/>
              <w:right w:val="single" w:sz="4" w:space="0" w:color="auto"/>
            </w:tcBorders>
            <w:vAlign w:val="center"/>
            <w:hideMark/>
          </w:tcPr>
          <w:p w14:paraId="1F4A9C1A" w14:textId="77777777" w:rsidR="00D30644" w:rsidRPr="00F7521C" w:rsidRDefault="00D30644" w:rsidP="00D30644">
            <w:pPr>
              <w:rPr>
                <w:b/>
                <w:bCs/>
                <w:sz w:val="18"/>
                <w:szCs w:val="18"/>
                <w:lang w:val="es-MX" w:eastAsia="es-MX"/>
              </w:rPr>
            </w:pPr>
          </w:p>
        </w:tc>
        <w:tc>
          <w:tcPr>
            <w:tcW w:w="1031" w:type="dxa"/>
            <w:vMerge/>
            <w:tcBorders>
              <w:top w:val="single" w:sz="4" w:space="0" w:color="auto"/>
              <w:left w:val="single" w:sz="4" w:space="0" w:color="auto"/>
              <w:bottom w:val="single" w:sz="4" w:space="0" w:color="auto"/>
              <w:right w:val="single" w:sz="4" w:space="0" w:color="auto"/>
            </w:tcBorders>
            <w:vAlign w:val="center"/>
            <w:hideMark/>
          </w:tcPr>
          <w:p w14:paraId="0C53673E" w14:textId="77777777" w:rsidR="00D30644" w:rsidRPr="00F7521C" w:rsidRDefault="00D30644" w:rsidP="00D30644">
            <w:pPr>
              <w:rPr>
                <w:b/>
                <w:bCs/>
                <w:sz w:val="18"/>
                <w:szCs w:val="18"/>
                <w:lang w:val="es-MX" w:eastAsia="es-MX"/>
              </w:rPr>
            </w:pPr>
          </w:p>
        </w:tc>
      </w:tr>
      <w:tr w:rsidR="00D30644" w:rsidRPr="00F7521C" w14:paraId="722D6E90" w14:textId="77777777" w:rsidTr="00D30644">
        <w:trPr>
          <w:trHeight w:val="205"/>
        </w:trPr>
        <w:tc>
          <w:tcPr>
            <w:tcW w:w="844" w:type="dxa"/>
            <w:tcBorders>
              <w:top w:val="nil"/>
              <w:left w:val="single" w:sz="4" w:space="0" w:color="auto"/>
              <w:bottom w:val="single" w:sz="4" w:space="0" w:color="auto"/>
              <w:right w:val="single" w:sz="4" w:space="0" w:color="auto"/>
            </w:tcBorders>
            <w:shd w:val="clear" w:color="auto" w:fill="auto"/>
            <w:noWrap/>
            <w:vAlign w:val="bottom"/>
            <w:hideMark/>
          </w:tcPr>
          <w:p w14:paraId="4F255818" w14:textId="77777777" w:rsidR="00D30644" w:rsidRPr="00F7521C" w:rsidRDefault="00D30644" w:rsidP="00D30644">
            <w:pPr>
              <w:jc w:val="center"/>
              <w:rPr>
                <w:sz w:val="18"/>
                <w:szCs w:val="18"/>
                <w:lang w:val="es-MX" w:eastAsia="es-MX"/>
              </w:rPr>
            </w:pPr>
            <w:r w:rsidRPr="00F7521C">
              <w:rPr>
                <w:sz w:val="18"/>
                <w:szCs w:val="18"/>
                <w:lang w:val="es-MX" w:eastAsia="es-MX"/>
              </w:rPr>
              <w:t>1</w:t>
            </w:r>
          </w:p>
        </w:tc>
        <w:tc>
          <w:tcPr>
            <w:tcW w:w="2972" w:type="dxa"/>
            <w:tcBorders>
              <w:top w:val="nil"/>
              <w:left w:val="nil"/>
              <w:bottom w:val="single" w:sz="4" w:space="0" w:color="auto"/>
              <w:right w:val="single" w:sz="4" w:space="0" w:color="auto"/>
            </w:tcBorders>
            <w:shd w:val="clear" w:color="auto" w:fill="auto"/>
            <w:noWrap/>
            <w:vAlign w:val="bottom"/>
            <w:hideMark/>
          </w:tcPr>
          <w:p w14:paraId="66B17126" w14:textId="77777777" w:rsidR="00D30644" w:rsidRPr="00F7521C" w:rsidRDefault="00D30644" w:rsidP="00D30644">
            <w:pPr>
              <w:rPr>
                <w:sz w:val="18"/>
                <w:szCs w:val="18"/>
                <w:lang w:val="es-MX" w:eastAsia="es-MX"/>
              </w:rPr>
            </w:pPr>
            <w:r w:rsidRPr="00F7521C">
              <w:rPr>
                <w:sz w:val="18"/>
                <w:szCs w:val="18"/>
                <w:lang w:val="es-MX" w:eastAsia="es-MX"/>
              </w:rPr>
              <w:t>Vehículos y material de transporte</w:t>
            </w:r>
          </w:p>
        </w:tc>
        <w:tc>
          <w:tcPr>
            <w:tcW w:w="848" w:type="dxa"/>
            <w:tcBorders>
              <w:top w:val="nil"/>
              <w:left w:val="nil"/>
              <w:bottom w:val="single" w:sz="4" w:space="0" w:color="auto"/>
              <w:right w:val="single" w:sz="4" w:space="0" w:color="auto"/>
            </w:tcBorders>
            <w:shd w:val="clear" w:color="auto" w:fill="auto"/>
            <w:noWrap/>
            <w:vAlign w:val="bottom"/>
            <w:hideMark/>
          </w:tcPr>
          <w:p w14:paraId="404EB63E" w14:textId="77777777" w:rsidR="00D30644" w:rsidRPr="00F7521C" w:rsidRDefault="00D30644" w:rsidP="00D30644">
            <w:pPr>
              <w:jc w:val="right"/>
              <w:rPr>
                <w:sz w:val="18"/>
                <w:szCs w:val="18"/>
                <w:lang w:val="es-MX" w:eastAsia="es-MX"/>
              </w:rPr>
            </w:pPr>
            <w:r w:rsidRPr="00F7521C">
              <w:rPr>
                <w:sz w:val="18"/>
                <w:szCs w:val="18"/>
                <w:lang w:val="es-MX" w:eastAsia="es-MX"/>
              </w:rPr>
              <w:t>1,461</w:t>
            </w:r>
          </w:p>
        </w:tc>
        <w:tc>
          <w:tcPr>
            <w:tcW w:w="707" w:type="dxa"/>
            <w:tcBorders>
              <w:top w:val="nil"/>
              <w:left w:val="nil"/>
              <w:bottom w:val="single" w:sz="4" w:space="0" w:color="auto"/>
              <w:right w:val="single" w:sz="4" w:space="0" w:color="auto"/>
            </w:tcBorders>
            <w:shd w:val="clear" w:color="auto" w:fill="auto"/>
            <w:noWrap/>
            <w:vAlign w:val="bottom"/>
            <w:hideMark/>
          </w:tcPr>
          <w:p w14:paraId="26B23088" w14:textId="77777777" w:rsidR="00D30644" w:rsidRPr="00F7521C" w:rsidRDefault="00D30644" w:rsidP="00D30644">
            <w:pPr>
              <w:jc w:val="right"/>
              <w:rPr>
                <w:sz w:val="18"/>
                <w:szCs w:val="18"/>
                <w:lang w:val="es-MX" w:eastAsia="es-MX"/>
              </w:rPr>
            </w:pPr>
            <w:r w:rsidRPr="00F7521C">
              <w:rPr>
                <w:sz w:val="18"/>
                <w:szCs w:val="18"/>
                <w:lang w:val="es-MX" w:eastAsia="es-MX"/>
              </w:rPr>
              <w:t>1,569</w:t>
            </w:r>
          </w:p>
        </w:tc>
        <w:tc>
          <w:tcPr>
            <w:tcW w:w="707" w:type="dxa"/>
            <w:tcBorders>
              <w:top w:val="nil"/>
              <w:left w:val="nil"/>
              <w:bottom w:val="single" w:sz="4" w:space="0" w:color="auto"/>
              <w:right w:val="single" w:sz="4" w:space="0" w:color="auto"/>
            </w:tcBorders>
            <w:shd w:val="clear" w:color="auto" w:fill="auto"/>
            <w:noWrap/>
            <w:vAlign w:val="bottom"/>
            <w:hideMark/>
          </w:tcPr>
          <w:p w14:paraId="1CFC9A3D" w14:textId="77777777" w:rsidR="00D30644" w:rsidRPr="00F7521C" w:rsidRDefault="00D30644" w:rsidP="00D30644">
            <w:pPr>
              <w:jc w:val="right"/>
              <w:rPr>
                <w:sz w:val="18"/>
                <w:szCs w:val="18"/>
                <w:lang w:val="es-MX" w:eastAsia="es-MX"/>
              </w:rPr>
            </w:pPr>
            <w:r w:rsidRPr="00F7521C">
              <w:rPr>
                <w:sz w:val="18"/>
                <w:szCs w:val="18"/>
                <w:lang w:val="es-MX" w:eastAsia="es-MX"/>
              </w:rPr>
              <w:t>1,738</w:t>
            </w:r>
          </w:p>
        </w:tc>
        <w:tc>
          <w:tcPr>
            <w:tcW w:w="635" w:type="dxa"/>
            <w:tcBorders>
              <w:top w:val="nil"/>
              <w:left w:val="nil"/>
              <w:bottom w:val="single" w:sz="4" w:space="0" w:color="auto"/>
              <w:right w:val="single" w:sz="4" w:space="0" w:color="auto"/>
            </w:tcBorders>
            <w:shd w:val="clear" w:color="auto" w:fill="auto"/>
            <w:noWrap/>
            <w:vAlign w:val="bottom"/>
            <w:hideMark/>
          </w:tcPr>
          <w:p w14:paraId="21B5DEEB" w14:textId="77777777" w:rsidR="00D30644" w:rsidRPr="00F7521C" w:rsidRDefault="00D30644" w:rsidP="00D30644">
            <w:pPr>
              <w:jc w:val="right"/>
              <w:rPr>
                <w:sz w:val="18"/>
                <w:szCs w:val="18"/>
                <w:lang w:val="es-MX" w:eastAsia="es-MX"/>
              </w:rPr>
            </w:pPr>
            <w:r w:rsidRPr="00F7521C">
              <w:rPr>
                <w:sz w:val="18"/>
                <w:szCs w:val="18"/>
                <w:lang w:val="es-MX" w:eastAsia="es-MX"/>
              </w:rPr>
              <w:t>1,621</w:t>
            </w:r>
          </w:p>
        </w:tc>
        <w:tc>
          <w:tcPr>
            <w:tcW w:w="800" w:type="dxa"/>
            <w:tcBorders>
              <w:top w:val="nil"/>
              <w:left w:val="nil"/>
              <w:bottom w:val="single" w:sz="4" w:space="0" w:color="auto"/>
              <w:right w:val="single" w:sz="4" w:space="0" w:color="auto"/>
            </w:tcBorders>
            <w:shd w:val="clear" w:color="auto" w:fill="auto"/>
            <w:noWrap/>
            <w:vAlign w:val="bottom"/>
            <w:hideMark/>
          </w:tcPr>
          <w:p w14:paraId="59359F28" w14:textId="77777777" w:rsidR="00D30644" w:rsidRPr="00F7521C" w:rsidRDefault="00D30644" w:rsidP="00D30644">
            <w:pPr>
              <w:jc w:val="right"/>
              <w:rPr>
                <w:sz w:val="18"/>
                <w:szCs w:val="18"/>
                <w:lang w:val="es-MX" w:eastAsia="es-MX"/>
              </w:rPr>
            </w:pPr>
            <w:r w:rsidRPr="00F7521C">
              <w:rPr>
                <w:sz w:val="18"/>
                <w:szCs w:val="18"/>
                <w:lang w:val="es-MX" w:eastAsia="es-MX"/>
              </w:rPr>
              <w:t>1,642</w:t>
            </w:r>
          </w:p>
        </w:tc>
        <w:tc>
          <w:tcPr>
            <w:tcW w:w="1230" w:type="dxa"/>
            <w:tcBorders>
              <w:top w:val="nil"/>
              <w:left w:val="nil"/>
              <w:bottom w:val="single" w:sz="4" w:space="0" w:color="auto"/>
              <w:right w:val="single" w:sz="4" w:space="0" w:color="auto"/>
            </w:tcBorders>
            <w:shd w:val="clear" w:color="auto" w:fill="auto"/>
            <w:noWrap/>
            <w:vAlign w:val="bottom"/>
            <w:hideMark/>
          </w:tcPr>
          <w:p w14:paraId="7927ADCD" w14:textId="77777777" w:rsidR="00D30644" w:rsidRPr="00F7521C" w:rsidRDefault="00D30644" w:rsidP="00D30644">
            <w:pPr>
              <w:jc w:val="right"/>
              <w:rPr>
                <w:sz w:val="18"/>
                <w:szCs w:val="18"/>
                <w:lang w:val="es-MX" w:eastAsia="es-MX"/>
              </w:rPr>
            </w:pPr>
            <w:r w:rsidRPr="00F7521C">
              <w:rPr>
                <w:sz w:val="18"/>
                <w:szCs w:val="18"/>
                <w:lang w:val="es-MX" w:eastAsia="es-MX"/>
              </w:rPr>
              <w:t>8.3%</w:t>
            </w:r>
          </w:p>
        </w:tc>
        <w:tc>
          <w:tcPr>
            <w:tcW w:w="1031" w:type="dxa"/>
            <w:tcBorders>
              <w:top w:val="nil"/>
              <w:left w:val="nil"/>
              <w:bottom w:val="single" w:sz="4" w:space="0" w:color="auto"/>
              <w:right w:val="single" w:sz="4" w:space="0" w:color="auto"/>
            </w:tcBorders>
            <w:shd w:val="clear" w:color="auto" w:fill="auto"/>
            <w:noWrap/>
            <w:vAlign w:val="bottom"/>
            <w:hideMark/>
          </w:tcPr>
          <w:p w14:paraId="02437D60" w14:textId="77777777" w:rsidR="00D30644" w:rsidRPr="00F7521C" w:rsidRDefault="00D30644" w:rsidP="00D30644">
            <w:pPr>
              <w:jc w:val="right"/>
              <w:rPr>
                <w:sz w:val="18"/>
                <w:szCs w:val="18"/>
                <w:lang w:val="es-MX" w:eastAsia="es-MX"/>
              </w:rPr>
            </w:pPr>
            <w:r w:rsidRPr="00F7521C">
              <w:rPr>
                <w:sz w:val="18"/>
                <w:szCs w:val="18"/>
                <w:lang w:val="es-MX" w:eastAsia="es-MX"/>
              </w:rPr>
              <w:t>8.3%</w:t>
            </w:r>
          </w:p>
        </w:tc>
      </w:tr>
      <w:tr w:rsidR="00D30644" w:rsidRPr="00F7521C" w14:paraId="5E4CCC72" w14:textId="77777777" w:rsidTr="00D30644">
        <w:trPr>
          <w:trHeight w:val="205"/>
        </w:trPr>
        <w:tc>
          <w:tcPr>
            <w:tcW w:w="844" w:type="dxa"/>
            <w:tcBorders>
              <w:top w:val="nil"/>
              <w:left w:val="single" w:sz="4" w:space="0" w:color="auto"/>
              <w:bottom w:val="single" w:sz="4" w:space="0" w:color="auto"/>
              <w:right w:val="single" w:sz="4" w:space="0" w:color="auto"/>
            </w:tcBorders>
            <w:shd w:val="clear" w:color="auto" w:fill="auto"/>
            <w:noWrap/>
            <w:vAlign w:val="bottom"/>
            <w:hideMark/>
          </w:tcPr>
          <w:p w14:paraId="53F78E56" w14:textId="77777777" w:rsidR="00D30644" w:rsidRPr="00F7521C" w:rsidRDefault="00D30644" w:rsidP="00D30644">
            <w:pPr>
              <w:jc w:val="center"/>
              <w:rPr>
                <w:sz w:val="18"/>
                <w:szCs w:val="18"/>
                <w:lang w:val="es-MX" w:eastAsia="es-MX"/>
              </w:rPr>
            </w:pPr>
            <w:r w:rsidRPr="00F7521C">
              <w:rPr>
                <w:sz w:val="18"/>
                <w:szCs w:val="18"/>
                <w:lang w:val="es-MX" w:eastAsia="es-MX"/>
              </w:rPr>
              <w:t>2</w:t>
            </w:r>
          </w:p>
        </w:tc>
        <w:tc>
          <w:tcPr>
            <w:tcW w:w="2972" w:type="dxa"/>
            <w:tcBorders>
              <w:top w:val="nil"/>
              <w:left w:val="nil"/>
              <w:bottom w:val="single" w:sz="4" w:space="0" w:color="auto"/>
              <w:right w:val="single" w:sz="4" w:space="0" w:color="auto"/>
            </w:tcBorders>
            <w:shd w:val="clear" w:color="auto" w:fill="auto"/>
            <w:noWrap/>
            <w:vAlign w:val="bottom"/>
            <w:hideMark/>
          </w:tcPr>
          <w:p w14:paraId="5B1C6C1B" w14:textId="77777777" w:rsidR="00D30644" w:rsidRPr="00F7521C" w:rsidRDefault="00D30644" w:rsidP="00D30644">
            <w:pPr>
              <w:rPr>
                <w:sz w:val="18"/>
                <w:szCs w:val="18"/>
                <w:lang w:val="es-MX" w:eastAsia="es-MX"/>
              </w:rPr>
            </w:pPr>
            <w:r w:rsidRPr="00F7521C">
              <w:rPr>
                <w:sz w:val="18"/>
                <w:szCs w:val="18"/>
                <w:lang w:val="es-MX" w:eastAsia="es-MX"/>
              </w:rPr>
              <w:t>Máquinas y aparatos mecánicos para usos electrotécnicos</w:t>
            </w:r>
          </w:p>
        </w:tc>
        <w:tc>
          <w:tcPr>
            <w:tcW w:w="848" w:type="dxa"/>
            <w:tcBorders>
              <w:top w:val="nil"/>
              <w:left w:val="nil"/>
              <w:bottom w:val="single" w:sz="4" w:space="0" w:color="auto"/>
              <w:right w:val="single" w:sz="4" w:space="0" w:color="auto"/>
            </w:tcBorders>
            <w:shd w:val="clear" w:color="auto" w:fill="auto"/>
            <w:noWrap/>
            <w:vAlign w:val="bottom"/>
            <w:hideMark/>
          </w:tcPr>
          <w:p w14:paraId="6C6C331B" w14:textId="77777777" w:rsidR="00D30644" w:rsidRPr="00F7521C" w:rsidRDefault="00D30644" w:rsidP="00D30644">
            <w:pPr>
              <w:jc w:val="right"/>
              <w:rPr>
                <w:sz w:val="18"/>
                <w:szCs w:val="18"/>
                <w:lang w:val="es-MX" w:eastAsia="es-MX"/>
              </w:rPr>
            </w:pPr>
            <w:r w:rsidRPr="00F7521C">
              <w:rPr>
                <w:sz w:val="18"/>
                <w:szCs w:val="18"/>
                <w:lang w:val="es-MX" w:eastAsia="es-MX"/>
              </w:rPr>
              <w:t>1,562</w:t>
            </w:r>
          </w:p>
        </w:tc>
        <w:tc>
          <w:tcPr>
            <w:tcW w:w="707" w:type="dxa"/>
            <w:tcBorders>
              <w:top w:val="nil"/>
              <w:left w:val="nil"/>
              <w:bottom w:val="single" w:sz="4" w:space="0" w:color="auto"/>
              <w:right w:val="single" w:sz="4" w:space="0" w:color="auto"/>
            </w:tcBorders>
            <w:shd w:val="clear" w:color="auto" w:fill="auto"/>
            <w:noWrap/>
            <w:vAlign w:val="bottom"/>
            <w:hideMark/>
          </w:tcPr>
          <w:p w14:paraId="0DF170D9" w14:textId="77777777" w:rsidR="00D30644" w:rsidRPr="00F7521C" w:rsidRDefault="00D30644" w:rsidP="00D30644">
            <w:pPr>
              <w:jc w:val="right"/>
              <w:rPr>
                <w:sz w:val="18"/>
                <w:szCs w:val="18"/>
                <w:lang w:val="es-MX" w:eastAsia="es-MX"/>
              </w:rPr>
            </w:pPr>
            <w:r w:rsidRPr="00F7521C">
              <w:rPr>
                <w:sz w:val="18"/>
                <w:szCs w:val="18"/>
                <w:lang w:val="es-MX" w:eastAsia="es-MX"/>
              </w:rPr>
              <w:t>1,365</w:t>
            </w:r>
          </w:p>
        </w:tc>
        <w:tc>
          <w:tcPr>
            <w:tcW w:w="707" w:type="dxa"/>
            <w:tcBorders>
              <w:top w:val="nil"/>
              <w:left w:val="nil"/>
              <w:bottom w:val="single" w:sz="4" w:space="0" w:color="auto"/>
              <w:right w:val="single" w:sz="4" w:space="0" w:color="auto"/>
            </w:tcBorders>
            <w:shd w:val="clear" w:color="auto" w:fill="auto"/>
            <w:noWrap/>
            <w:vAlign w:val="bottom"/>
            <w:hideMark/>
          </w:tcPr>
          <w:p w14:paraId="0282E6D0" w14:textId="77777777" w:rsidR="00D30644" w:rsidRPr="00F7521C" w:rsidRDefault="00D30644" w:rsidP="00D30644">
            <w:pPr>
              <w:jc w:val="right"/>
              <w:rPr>
                <w:sz w:val="18"/>
                <w:szCs w:val="18"/>
                <w:lang w:val="es-MX" w:eastAsia="es-MX"/>
              </w:rPr>
            </w:pPr>
            <w:r w:rsidRPr="00F7521C">
              <w:rPr>
                <w:sz w:val="18"/>
                <w:szCs w:val="18"/>
                <w:lang w:val="es-MX" w:eastAsia="es-MX"/>
              </w:rPr>
              <w:t>1,419</w:t>
            </w:r>
          </w:p>
        </w:tc>
        <w:tc>
          <w:tcPr>
            <w:tcW w:w="635" w:type="dxa"/>
            <w:tcBorders>
              <w:top w:val="nil"/>
              <w:left w:val="nil"/>
              <w:bottom w:val="single" w:sz="4" w:space="0" w:color="auto"/>
              <w:right w:val="single" w:sz="4" w:space="0" w:color="auto"/>
            </w:tcBorders>
            <w:shd w:val="clear" w:color="auto" w:fill="auto"/>
            <w:noWrap/>
            <w:vAlign w:val="bottom"/>
            <w:hideMark/>
          </w:tcPr>
          <w:p w14:paraId="72DD72F4" w14:textId="77777777" w:rsidR="00D30644" w:rsidRPr="00F7521C" w:rsidRDefault="00D30644" w:rsidP="00D30644">
            <w:pPr>
              <w:jc w:val="right"/>
              <w:rPr>
                <w:sz w:val="18"/>
                <w:szCs w:val="18"/>
                <w:lang w:val="es-MX" w:eastAsia="es-MX"/>
              </w:rPr>
            </w:pPr>
            <w:r w:rsidRPr="00F7521C">
              <w:rPr>
                <w:sz w:val="18"/>
                <w:szCs w:val="18"/>
                <w:lang w:val="es-MX" w:eastAsia="es-MX"/>
              </w:rPr>
              <w:t>1,390</w:t>
            </w:r>
          </w:p>
        </w:tc>
        <w:tc>
          <w:tcPr>
            <w:tcW w:w="800" w:type="dxa"/>
            <w:tcBorders>
              <w:top w:val="nil"/>
              <w:left w:val="nil"/>
              <w:bottom w:val="single" w:sz="4" w:space="0" w:color="auto"/>
              <w:right w:val="single" w:sz="4" w:space="0" w:color="auto"/>
            </w:tcBorders>
            <w:shd w:val="clear" w:color="auto" w:fill="auto"/>
            <w:noWrap/>
            <w:vAlign w:val="bottom"/>
            <w:hideMark/>
          </w:tcPr>
          <w:p w14:paraId="34900017" w14:textId="77777777" w:rsidR="00D30644" w:rsidRPr="00F7521C" w:rsidRDefault="00D30644" w:rsidP="00D30644">
            <w:pPr>
              <w:jc w:val="right"/>
              <w:rPr>
                <w:sz w:val="18"/>
                <w:szCs w:val="18"/>
                <w:lang w:val="es-MX" w:eastAsia="es-MX"/>
              </w:rPr>
            </w:pPr>
            <w:r w:rsidRPr="00F7521C">
              <w:rPr>
                <w:sz w:val="18"/>
                <w:szCs w:val="18"/>
                <w:lang w:val="es-MX" w:eastAsia="es-MX"/>
              </w:rPr>
              <w:t>1,435</w:t>
            </w:r>
          </w:p>
        </w:tc>
        <w:tc>
          <w:tcPr>
            <w:tcW w:w="1230" w:type="dxa"/>
            <w:tcBorders>
              <w:top w:val="nil"/>
              <w:left w:val="nil"/>
              <w:bottom w:val="single" w:sz="4" w:space="0" w:color="auto"/>
              <w:right w:val="single" w:sz="4" w:space="0" w:color="auto"/>
            </w:tcBorders>
            <w:shd w:val="clear" w:color="auto" w:fill="auto"/>
            <w:noWrap/>
            <w:vAlign w:val="bottom"/>
            <w:hideMark/>
          </w:tcPr>
          <w:p w14:paraId="13605018" w14:textId="77777777" w:rsidR="00D30644" w:rsidRPr="00F7521C" w:rsidRDefault="00D30644" w:rsidP="00D30644">
            <w:pPr>
              <w:jc w:val="right"/>
              <w:rPr>
                <w:sz w:val="18"/>
                <w:szCs w:val="18"/>
                <w:lang w:val="es-MX" w:eastAsia="es-MX"/>
              </w:rPr>
            </w:pPr>
            <w:r w:rsidRPr="00F7521C">
              <w:rPr>
                <w:sz w:val="18"/>
                <w:szCs w:val="18"/>
                <w:lang w:val="es-MX" w:eastAsia="es-MX"/>
              </w:rPr>
              <w:t>7.2%</w:t>
            </w:r>
          </w:p>
        </w:tc>
        <w:tc>
          <w:tcPr>
            <w:tcW w:w="1031" w:type="dxa"/>
            <w:tcBorders>
              <w:top w:val="nil"/>
              <w:left w:val="nil"/>
              <w:bottom w:val="single" w:sz="4" w:space="0" w:color="auto"/>
              <w:right w:val="single" w:sz="4" w:space="0" w:color="auto"/>
            </w:tcBorders>
            <w:shd w:val="clear" w:color="auto" w:fill="auto"/>
            <w:noWrap/>
            <w:vAlign w:val="bottom"/>
            <w:hideMark/>
          </w:tcPr>
          <w:p w14:paraId="70ED651C" w14:textId="77777777" w:rsidR="00D30644" w:rsidRPr="00F7521C" w:rsidRDefault="00D30644" w:rsidP="00D30644">
            <w:pPr>
              <w:jc w:val="right"/>
              <w:rPr>
                <w:sz w:val="18"/>
                <w:szCs w:val="18"/>
                <w:lang w:val="es-MX" w:eastAsia="es-MX"/>
              </w:rPr>
            </w:pPr>
            <w:r w:rsidRPr="00F7521C">
              <w:rPr>
                <w:sz w:val="18"/>
                <w:szCs w:val="18"/>
                <w:lang w:val="es-MX" w:eastAsia="es-MX"/>
              </w:rPr>
              <w:t>15.5%</w:t>
            </w:r>
          </w:p>
        </w:tc>
      </w:tr>
      <w:tr w:rsidR="00D30644" w:rsidRPr="00F7521C" w14:paraId="6F7C15E1" w14:textId="77777777" w:rsidTr="00D30644">
        <w:trPr>
          <w:trHeight w:val="205"/>
        </w:trPr>
        <w:tc>
          <w:tcPr>
            <w:tcW w:w="844" w:type="dxa"/>
            <w:tcBorders>
              <w:top w:val="nil"/>
              <w:left w:val="single" w:sz="4" w:space="0" w:color="auto"/>
              <w:bottom w:val="single" w:sz="4" w:space="0" w:color="auto"/>
              <w:right w:val="single" w:sz="4" w:space="0" w:color="auto"/>
            </w:tcBorders>
            <w:shd w:val="clear" w:color="auto" w:fill="auto"/>
            <w:noWrap/>
            <w:vAlign w:val="bottom"/>
            <w:hideMark/>
          </w:tcPr>
          <w:p w14:paraId="434C1332" w14:textId="77777777" w:rsidR="00D30644" w:rsidRPr="00F7521C" w:rsidRDefault="00D30644" w:rsidP="00D30644">
            <w:pPr>
              <w:jc w:val="center"/>
              <w:rPr>
                <w:sz w:val="18"/>
                <w:szCs w:val="18"/>
                <w:lang w:val="es-MX" w:eastAsia="es-MX"/>
              </w:rPr>
            </w:pPr>
            <w:r w:rsidRPr="00F7521C">
              <w:rPr>
                <w:sz w:val="18"/>
                <w:szCs w:val="18"/>
                <w:lang w:val="es-MX" w:eastAsia="es-MX"/>
              </w:rPr>
              <w:t>3</w:t>
            </w:r>
          </w:p>
        </w:tc>
        <w:tc>
          <w:tcPr>
            <w:tcW w:w="2972" w:type="dxa"/>
            <w:tcBorders>
              <w:top w:val="nil"/>
              <w:left w:val="nil"/>
              <w:bottom w:val="single" w:sz="4" w:space="0" w:color="auto"/>
              <w:right w:val="single" w:sz="4" w:space="0" w:color="auto"/>
            </w:tcBorders>
            <w:shd w:val="clear" w:color="auto" w:fill="auto"/>
            <w:noWrap/>
            <w:vAlign w:val="bottom"/>
            <w:hideMark/>
          </w:tcPr>
          <w:p w14:paraId="58894093" w14:textId="77777777" w:rsidR="00D30644" w:rsidRPr="00F7521C" w:rsidRDefault="00D30644" w:rsidP="00D30644">
            <w:pPr>
              <w:rPr>
                <w:sz w:val="18"/>
                <w:szCs w:val="18"/>
                <w:lang w:val="es-MX" w:eastAsia="es-MX"/>
              </w:rPr>
            </w:pPr>
            <w:r w:rsidRPr="00F7521C">
              <w:rPr>
                <w:sz w:val="18"/>
                <w:szCs w:val="18"/>
                <w:lang w:val="es-MX" w:eastAsia="es-MX"/>
              </w:rPr>
              <w:t>Gasolina</w:t>
            </w:r>
          </w:p>
        </w:tc>
        <w:tc>
          <w:tcPr>
            <w:tcW w:w="848" w:type="dxa"/>
            <w:tcBorders>
              <w:top w:val="nil"/>
              <w:left w:val="nil"/>
              <w:bottom w:val="single" w:sz="4" w:space="0" w:color="auto"/>
              <w:right w:val="single" w:sz="4" w:space="0" w:color="auto"/>
            </w:tcBorders>
            <w:shd w:val="clear" w:color="auto" w:fill="auto"/>
            <w:noWrap/>
            <w:vAlign w:val="bottom"/>
            <w:hideMark/>
          </w:tcPr>
          <w:p w14:paraId="247F3852" w14:textId="77777777" w:rsidR="00D30644" w:rsidRPr="00F7521C" w:rsidRDefault="00D30644" w:rsidP="00D30644">
            <w:pPr>
              <w:jc w:val="right"/>
              <w:rPr>
                <w:sz w:val="18"/>
                <w:szCs w:val="18"/>
                <w:lang w:val="es-MX" w:eastAsia="es-MX"/>
              </w:rPr>
            </w:pPr>
            <w:r w:rsidRPr="00F7521C">
              <w:rPr>
                <w:sz w:val="18"/>
                <w:szCs w:val="18"/>
                <w:lang w:val="es-MX" w:eastAsia="es-MX"/>
              </w:rPr>
              <w:t>845</w:t>
            </w:r>
          </w:p>
        </w:tc>
        <w:tc>
          <w:tcPr>
            <w:tcW w:w="707" w:type="dxa"/>
            <w:tcBorders>
              <w:top w:val="nil"/>
              <w:left w:val="nil"/>
              <w:bottom w:val="single" w:sz="4" w:space="0" w:color="auto"/>
              <w:right w:val="single" w:sz="4" w:space="0" w:color="auto"/>
            </w:tcBorders>
            <w:shd w:val="clear" w:color="auto" w:fill="auto"/>
            <w:noWrap/>
            <w:vAlign w:val="bottom"/>
            <w:hideMark/>
          </w:tcPr>
          <w:p w14:paraId="3FA0715D" w14:textId="77777777" w:rsidR="00D30644" w:rsidRPr="00F7521C" w:rsidRDefault="00D30644" w:rsidP="00D30644">
            <w:pPr>
              <w:jc w:val="right"/>
              <w:rPr>
                <w:sz w:val="18"/>
                <w:szCs w:val="18"/>
                <w:lang w:val="es-MX" w:eastAsia="es-MX"/>
              </w:rPr>
            </w:pPr>
            <w:r w:rsidRPr="00F7521C">
              <w:rPr>
                <w:sz w:val="18"/>
                <w:szCs w:val="18"/>
                <w:lang w:val="es-MX" w:eastAsia="es-MX"/>
              </w:rPr>
              <w:t>820</w:t>
            </w:r>
          </w:p>
        </w:tc>
        <w:tc>
          <w:tcPr>
            <w:tcW w:w="707" w:type="dxa"/>
            <w:tcBorders>
              <w:top w:val="nil"/>
              <w:left w:val="nil"/>
              <w:bottom w:val="single" w:sz="4" w:space="0" w:color="auto"/>
              <w:right w:val="single" w:sz="4" w:space="0" w:color="auto"/>
            </w:tcBorders>
            <w:shd w:val="clear" w:color="auto" w:fill="auto"/>
            <w:noWrap/>
            <w:vAlign w:val="bottom"/>
            <w:hideMark/>
          </w:tcPr>
          <w:p w14:paraId="0929D2E2" w14:textId="77777777" w:rsidR="00D30644" w:rsidRPr="00F7521C" w:rsidRDefault="00D30644" w:rsidP="00D30644">
            <w:pPr>
              <w:jc w:val="right"/>
              <w:rPr>
                <w:sz w:val="18"/>
                <w:szCs w:val="18"/>
                <w:lang w:val="es-MX" w:eastAsia="es-MX"/>
              </w:rPr>
            </w:pPr>
            <w:r w:rsidRPr="00F7521C">
              <w:rPr>
                <w:sz w:val="18"/>
                <w:szCs w:val="18"/>
                <w:lang w:val="es-MX" w:eastAsia="es-MX"/>
              </w:rPr>
              <w:t>982</w:t>
            </w:r>
          </w:p>
        </w:tc>
        <w:tc>
          <w:tcPr>
            <w:tcW w:w="635" w:type="dxa"/>
            <w:tcBorders>
              <w:top w:val="nil"/>
              <w:left w:val="nil"/>
              <w:bottom w:val="single" w:sz="4" w:space="0" w:color="auto"/>
              <w:right w:val="single" w:sz="4" w:space="0" w:color="auto"/>
            </w:tcBorders>
            <w:shd w:val="clear" w:color="auto" w:fill="auto"/>
            <w:noWrap/>
            <w:vAlign w:val="bottom"/>
            <w:hideMark/>
          </w:tcPr>
          <w:p w14:paraId="248BD044" w14:textId="77777777" w:rsidR="00D30644" w:rsidRPr="00F7521C" w:rsidRDefault="00D30644" w:rsidP="00D30644">
            <w:pPr>
              <w:jc w:val="right"/>
              <w:rPr>
                <w:sz w:val="18"/>
                <w:szCs w:val="18"/>
                <w:lang w:val="es-MX" w:eastAsia="es-MX"/>
              </w:rPr>
            </w:pPr>
            <w:r w:rsidRPr="00F7521C">
              <w:rPr>
                <w:sz w:val="18"/>
                <w:szCs w:val="18"/>
                <w:lang w:val="es-MX" w:eastAsia="es-MX"/>
              </w:rPr>
              <w:t>1,149</w:t>
            </w:r>
          </w:p>
        </w:tc>
        <w:tc>
          <w:tcPr>
            <w:tcW w:w="800" w:type="dxa"/>
            <w:tcBorders>
              <w:top w:val="nil"/>
              <w:left w:val="nil"/>
              <w:bottom w:val="single" w:sz="4" w:space="0" w:color="auto"/>
              <w:right w:val="single" w:sz="4" w:space="0" w:color="auto"/>
            </w:tcBorders>
            <w:shd w:val="clear" w:color="auto" w:fill="auto"/>
            <w:noWrap/>
            <w:vAlign w:val="bottom"/>
            <w:hideMark/>
          </w:tcPr>
          <w:p w14:paraId="22C181F8" w14:textId="77777777" w:rsidR="00D30644" w:rsidRPr="00F7521C" w:rsidRDefault="00D30644" w:rsidP="00D30644">
            <w:pPr>
              <w:jc w:val="right"/>
              <w:rPr>
                <w:sz w:val="18"/>
                <w:szCs w:val="18"/>
                <w:lang w:val="es-MX" w:eastAsia="es-MX"/>
              </w:rPr>
            </w:pPr>
            <w:r w:rsidRPr="00F7521C">
              <w:rPr>
                <w:sz w:val="18"/>
                <w:szCs w:val="18"/>
                <w:lang w:val="es-MX" w:eastAsia="es-MX"/>
              </w:rPr>
              <w:t>1,127</w:t>
            </w:r>
          </w:p>
        </w:tc>
        <w:tc>
          <w:tcPr>
            <w:tcW w:w="1230" w:type="dxa"/>
            <w:tcBorders>
              <w:top w:val="nil"/>
              <w:left w:val="nil"/>
              <w:bottom w:val="single" w:sz="4" w:space="0" w:color="auto"/>
              <w:right w:val="single" w:sz="4" w:space="0" w:color="auto"/>
            </w:tcBorders>
            <w:shd w:val="clear" w:color="auto" w:fill="auto"/>
            <w:noWrap/>
            <w:vAlign w:val="bottom"/>
            <w:hideMark/>
          </w:tcPr>
          <w:p w14:paraId="74A3C295" w14:textId="77777777" w:rsidR="00D30644" w:rsidRPr="00F7521C" w:rsidRDefault="00D30644" w:rsidP="00D30644">
            <w:pPr>
              <w:jc w:val="right"/>
              <w:rPr>
                <w:sz w:val="18"/>
                <w:szCs w:val="18"/>
                <w:lang w:val="es-MX" w:eastAsia="es-MX"/>
              </w:rPr>
            </w:pPr>
            <w:r w:rsidRPr="00F7521C">
              <w:rPr>
                <w:sz w:val="18"/>
                <w:szCs w:val="18"/>
                <w:lang w:val="es-MX" w:eastAsia="es-MX"/>
              </w:rPr>
              <w:t>5.7%</w:t>
            </w:r>
          </w:p>
        </w:tc>
        <w:tc>
          <w:tcPr>
            <w:tcW w:w="1031" w:type="dxa"/>
            <w:tcBorders>
              <w:top w:val="nil"/>
              <w:left w:val="nil"/>
              <w:bottom w:val="single" w:sz="4" w:space="0" w:color="auto"/>
              <w:right w:val="single" w:sz="4" w:space="0" w:color="auto"/>
            </w:tcBorders>
            <w:shd w:val="clear" w:color="auto" w:fill="auto"/>
            <w:noWrap/>
            <w:vAlign w:val="bottom"/>
            <w:hideMark/>
          </w:tcPr>
          <w:p w14:paraId="496CD6DF" w14:textId="77777777" w:rsidR="00D30644" w:rsidRPr="00F7521C" w:rsidRDefault="00D30644" w:rsidP="00D30644">
            <w:pPr>
              <w:jc w:val="right"/>
              <w:rPr>
                <w:sz w:val="18"/>
                <w:szCs w:val="18"/>
                <w:lang w:val="es-MX" w:eastAsia="es-MX"/>
              </w:rPr>
            </w:pPr>
            <w:r w:rsidRPr="00F7521C">
              <w:rPr>
                <w:sz w:val="18"/>
                <w:szCs w:val="18"/>
                <w:lang w:val="es-MX" w:eastAsia="es-MX"/>
              </w:rPr>
              <w:t>21.1%</w:t>
            </w:r>
          </w:p>
        </w:tc>
      </w:tr>
      <w:tr w:rsidR="00D30644" w:rsidRPr="00F7521C" w14:paraId="3997B3D0" w14:textId="77777777" w:rsidTr="00D30644">
        <w:trPr>
          <w:trHeight w:val="205"/>
        </w:trPr>
        <w:tc>
          <w:tcPr>
            <w:tcW w:w="844" w:type="dxa"/>
            <w:tcBorders>
              <w:top w:val="nil"/>
              <w:left w:val="single" w:sz="4" w:space="0" w:color="auto"/>
              <w:bottom w:val="single" w:sz="4" w:space="0" w:color="auto"/>
              <w:right w:val="single" w:sz="4" w:space="0" w:color="auto"/>
            </w:tcBorders>
            <w:shd w:val="clear" w:color="auto" w:fill="auto"/>
            <w:noWrap/>
            <w:vAlign w:val="bottom"/>
            <w:hideMark/>
          </w:tcPr>
          <w:p w14:paraId="06605606" w14:textId="77777777" w:rsidR="00D30644" w:rsidRPr="00F7521C" w:rsidRDefault="00D30644" w:rsidP="00D30644">
            <w:pPr>
              <w:jc w:val="center"/>
              <w:rPr>
                <w:sz w:val="18"/>
                <w:szCs w:val="18"/>
                <w:lang w:val="es-MX" w:eastAsia="es-MX"/>
              </w:rPr>
            </w:pPr>
            <w:r w:rsidRPr="00F7521C">
              <w:rPr>
                <w:sz w:val="18"/>
                <w:szCs w:val="18"/>
                <w:lang w:val="es-MX" w:eastAsia="es-MX"/>
              </w:rPr>
              <w:t>4</w:t>
            </w:r>
          </w:p>
        </w:tc>
        <w:tc>
          <w:tcPr>
            <w:tcW w:w="2972" w:type="dxa"/>
            <w:tcBorders>
              <w:top w:val="nil"/>
              <w:left w:val="nil"/>
              <w:bottom w:val="single" w:sz="4" w:space="0" w:color="auto"/>
              <w:right w:val="single" w:sz="4" w:space="0" w:color="auto"/>
            </w:tcBorders>
            <w:shd w:val="clear" w:color="auto" w:fill="auto"/>
            <w:noWrap/>
            <w:vAlign w:val="bottom"/>
            <w:hideMark/>
          </w:tcPr>
          <w:p w14:paraId="38D0CC44" w14:textId="77777777" w:rsidR="00D30644" w:rsidRPr="00F7521C" w:rsidRDefault="00D30644" w:rsidP="00D30644">
            <w:pPr>
              <w:rPr>
                <w:sz w:val="18"/>
                <w:szCs w:val="18"/>
                <w:lang w:val="es-MX" w:eastAsia="es-MX"/>
              </w:rPr>
            </w:pPr>
            <w:r w:rsidRPr="00F7521C">
              <w:rPr>
                <w:sz w:val="18"/>
                <w:szCs w:val="18"/>
                <w:lang w:val="es-MX" w:eastAsia="es-MX"/>
              </w:rPr>
              <w:t>Materiales plásticos y sus manufacturas</w:t>
            </w:r>
          </w:p>
        </w:tc>
        <w:tc>
          <w:tcPr>
            <w:tcW w:w="848" w:type="dxa"/>
            <w:tcBorders>
              <w:top w:val="nil"/>
              <w:left w:val="nil"/>
              <w:bottom w:val="single" w:sz="4" w:space="0" w:color="auto"/>
              <w:right w:val="single" w:sz="4" w:space="0" w:color="auto"/>
            </w:tcBorders>
            <w:shd w:val="clear" w:color="auto" w:fill="auto"/>
            <w:noWrap/>
            <w:vAlign w:val="bottom"/>
            <w:hideMark/>
          </w:tcPr>
          <w:p w14:paraId="3D392D5C" w14:textId="77777777" w:rsidR="00D30644" w:rsidRPr="00F7521C" w:rsidRDefault="00D30644" w:rsidP="00D30644">
            <w:pPr>
              <w:jc w:val="right"/>
              <w:rPr>
                <w:sz w:val="18"/>
                <w:szCs w:val="18"/>
                <w:lang w:val="es-MX" w:eastAsia="es-MX"/>
              </w:rPr>
            </w:pPr>
            <w:r w:rsidRPr="00F7521C">
              <w:rPr>
                <w:sz w:val="18"/>
                <w:szCs w:val="18"/>
                <w:lang w:val="es-MX" w:eastAsia="es-MX"/>
              </w:rPr>
              <w:t>1,055</w:t>
            </w:r>
          </w:p>
        </w:tc>
        <w:tc>
          <w:tcPr>
            <w:tcW w:w="707" w:type="dxa"/>
            <w:tcBorders>
              <w:top w:val="nil"/>
              <w:left w:val="nil"/>
              <w:bottom w:val="single" w:sz="4" w:space="0" w:color="auto"/>
              <w:right w:val="single" w:sz="4" w:space="0" w:color="auto"/>
            </w:tcBorders>
            <w:shd w:val="clear" w:color="auto" w:fill="auto"/>
            <w:noWrap/>
            <w:vAlign w:val="bottom"/>
            <w:hideMark/>
          </w:tcPr>
          <w:p w14:paraId="558E0866" w14:textId="77777777" w:rsidR="00D30644" w:rsidRPr="00F7521C" w:rsidRDefault="00D30644" w:rsidP="00D30644">
            <w:pPr>
              <w:jc w:val="right"/>
              <w:rPr>
                <w:sz w:val="18"/>
                <w:szCs w:val="18"/>
                <w:lang w:val="es-MX" w:eastAsia="es-MX"/>
              </w:rPr>
            </w:pPr>
            <w:r w:rsidRPr="00F7521C">
              <w:rPr>
                <w:sz w:val="18"/>
                <w:szCs w:val="18"/>
                <w:lang w:val="es-MX" w:eastAsia="es-MX"/>
              </w:rPr>
              <w:t>1,035</w:t>
            </w:r>
          </w:p>
        </w:tc>
        <w:tc>
          <w:tcPr>
            <w:tcW w:w="707" w:type="dxa"/>
            <w:tcBorders>
              <w:top w:val="nil"/>
              <w:left w:val="nil"/>
              <w:bottom w:val="single" w:sz="4" w:space="0" w:color="auto"/>
              <w:right w:val="single" w:sz="4" w:space="0" w:color="auto"/>
            </w:tcBorders>
            <w:shd w:val="clear" w:color="auto" w:fill="auto"/>
            <w:noWrap/>
            <w:vAlign w:val="bottom"/>
            <w:hideMark/>
          </w:tcPr>
          <w:p w14:paraId="44E51310" w14:textId="77777777" w:rsidR="00D30644" w:rsidRPr="00F7521C" w:rsidRDefault="00D30644" w:rsidP="00D30644">
            <w:pPr>
              <w:jc w:val="right"/>
              <w:rPr>
                <w:sz w:val="18"/>
                <w:szCs w:val="18"/>
                <w:lang w:val="es-MX" w:eastAsia="es-MX"/>
              </w:rPr>
            </w:pPr>
            <w:r w:rsidRPr="00F7521C">
              <w:rPr>
                <w:sz w:val="18"/>
                <w:szCs w:val="18"/>
                <w:lang w:val="es-MX" w:eastAsia="es-MX"/>
              </w:rPr>
              <w:t>1,079</w:t>
            </w:r>
          </w:p>
        </w:tc>
        <w:tc>
          <w:tcPr>
            <w:tcW w:w="635" w:type="dxa"/>
            <w:tcBorders>
              <w:top w:val="nil"/>
              <w:left w:val="nil"/>
              <w:bottom w:val="single" w:sz="4" w:space="0" w:color="auto"/>
              <w:right w:val="single" w:sz="4" w:space="0" w:color="auto"/>
            </w:tcBorders>
            <w:shd w:val="clear" w:color="auto" w:fill="auto"/>
            <w:noWrap/>
            <w:vAlign w:val="bottom"/>
            <w:hideMark/>
          </w:tcPr>
          <w:p w14:paraId="231916C5" w14:textId="77777777" w:rsidR="00D30644" w:rsidRPr="00F7521C" w:rsidRDefault="00D30644" w:rsidP="00D30644">
            <w:pPr>
              <w:jc w:val="right"/>
              <w:rPr>
                <w:sz w:val="18"/>
                <w:szCs w:val="18"/>
                <w:lang w:val="es-MX" w:eastAsia="es-MX"/>
              </w:rPr>
            </w:pPr>
            <w:r w:rsidRPr="00F7521C">
              <w:rPr>
                <w:sz w:val="18"/>
                <w:szCs w:val="18"/>
                <w:lang w:val="es-MX" w:eastAsia="es-MX"/>
              </w:rPr>
              <w:t>1,170</w:t>
            </w:r>
          </w:p>
        </w:tc>
        <w:tc>
          <w:tcPr>
            <w:tcW w:w="800" w:type="dxa"/>
            <w:tcBorders>
              <w:top w:val="nil"/>
              <w:left w:val="nil"/>
              <w:bottom w:val="single" w:sz="4" w:space="0" w:color="auto"/>
              <w:right w:val="single" w:sz="4" w:space="0" w:color="auto"/>
            </w:tcBorders>
            <w:shd w:val="clear" w:color="auto" w:fill="auto"/>
            <w:noWrap/>
            <w:vAlign w:val="bottom"/>
            <w:hideMark/>
          </w:tcPr>
          <w:p w14:paraId="148B41C3" w14:textId="77777777" w:rsidR="00D30644" w:rsidRPr="00F7521C" w:rsidRDefault="00D30644" w:rsidP="00D30644">
            <w:pPr>
              <w:jc w:val="right"/>
              <w:rPr>
                <w:sz w:val="18"/>
                <w:szCs w:val="18"/>
                <w:lang w:val="es-MX" w:eastAsia="es-MX"/>
              </w:rPr>
            </w:pPr>
            <w:r w:rsidRPr="00F7521C">
              <w:rPr>
                <w:sz w:val="18"/>
                <w:szCs w:val="18"/>
                <w:lang w:val="es-MX" w:eastAsia="es-MX"/>
              </w:rPr>
              <w:t>1,116</w:t>
            </w:r>
          </w:p>
        </w:tc>
        <w:tc>
          <w:tcPr>
            <w:tcW w:w="1230" w:type="dxa"/>
            <w:tcBorders>
              <w:top w:val="nil"/>
              <w:left w:val="nil"/>
              <w:bottom w:val="single" w:sz="4" w:space="0" w:color="auto"/>
              <w:right w:val="single" w:sz="4" w:space="0" w:color="auto"/>
            </w:tcBorders>
            <w:shd w:val="clear" w:color="auto" w:fill="auto"/>
            <w:noWrap/>
            <w:vAlign w:val="bottom"/>
            <w:hideMark/>
          </w:tcPr>
          <w:p w14:paraId="3D66802D" w14:textId="77777777" w:rsidR="00D30644" w:rsidRPr="00F7521C" w:rsidRDefault="00D30644" w:rsidP="00D30644">
            <w:pPr>
              <w:jc w:val="right"/>
              <w:rPr>
                <w:sz w:val="18"/>
                <w:szCs w:val="18"/>
                <w:lang w:val="es-MX" w:eastAsia="es-MX"/>
              </w:rPr>
            </w:pPr>
            <w:r w:rsidRPr="00F7521C">
              <w:rPr>
                <w:sz w:val="18"/>
                <w:szCs w:val="18"/>
                <w:lang w:val="es-MX" w:eastAsia="es-MX"/>
              </w:rPr>
              <w:t>5.6%</w:t>
            </w:r>
          </w:p>
        </w:tc>
        <w:tc>
          <w:tcPr>
            <w:tcW w:w="1031" w:type="dxa"/>
            <w:tcBorders>
              <w:top w:val="nil"/>
              <w:left w:val="nil"/>
              <w:bottom w:val="single" w:sz="4" w:space="0" w:color="auto"/>
              <w:right w:val="single" w:sz="4" w:space="0" w:color="auto"/>
            </w:tcBorders>
            <w:shd w:val="clear" w:color="auto" w:fill="auto"/>
            <w:noWrap/>
            <w:vAlign w:val="bottom"/>
            <w:hideMark/>
          </w:tcPr>
          <w:p w14:paraId="205009E1" w14:textId="77777777" w:rsidR="00D30644" w:rsidRPr="00F7521C" w:rsidRDefault="00D30644" w:rsidP="00D30644">
            <w:pPr>
              <w:jc w:val="right"/>
              <w:rPr>
                <w:sz w:val="18"/>
                <w:szCs w:val="18"/>
                <w:lang w:val="es-MX" w:eastAsia="es-MX"/>
              </w:rPr>
            </w:pPr>
            <w:r w:rsidRPr="00F7521C">
              <w:rPr>
                <w:sz w:val="18"/>
                <w:szCs w:val="18"/>
                <w:lang w:val="es-MX" w:eastAsia="es-MX"/>
              </w:rPr>
              <w:t>26.8%</w:t>
            </w:r>
          </w:p>
        </w:tc>
      </w:tr>
      <w:tr w:rsidR="00D30644" w:rsidRPr="00F7521C" w14:paraId="436776B1" w14:textId="77777777" w:rsidTr="00D30644">
        <w:trPr>
          <w:trHeight w:val="205"/>
        </w:trPr>
        <w:tc>
          <w:tcPr>
            <w:tcW w:w="844" w:type="dxa"/>
            <w:tcBorders>
              <w:top w:val="nil"/>
              <w:left w:val="single" w:sz="4" w:space="0" w:color="auto"/>
              <w:bottom w:val="single" w:sz="4" w:space="0" w:color="auto"/>
              <w:right w:val="single" w:sz="4" w:space="0" w:color="auto"/>
            </w:tcBorders>
            <w:shd w:val="clear" w:color="auto" w:fill="auto"/>
            <w:noWrap/>
            <w:vAlign w:val="bottom"/>
            <w:hideMark/>
          </w:tcPr>
          <w:p w14:paraId="0BD9F973" w14:textId="77777777" w:rsidR="00D30644" w:rsidRPr="00F7521C" w:rsidRDefault="00D30644" w:rsidP="00D30644">
            <w:pPr>
              <w:jc w:val="center"/>
              <w:rPr>
                <w:sz w:val="18"/>
                <w:szCs w:val="18"/>
                <w:lang w:val="es-MX" w:eastAsia="es-MX"/>
              </w:rPr>
            </w:pPr>
            <w:r w:rsidRPr="00F7521C">
              <w:rPr>
                <w:sz w:val="18"/>
                <w:szCs w:val="18"/>
                <w:lang w:val="es-MX" w:eastAsia="es-MX"/>
              </w:rPr>
              <w:t>5</w:t>
            </w:r>
          </w:p>
        </w:tc>
        <w:tc>
          <w:tcPr>
            <w:tcW w:w="2972" w:type="dxa"/>
            <w:tcBorders>
              <w:top w:val="nil"/>
              <w:left w:val="nil"/>
              <w:bottom w:val="single" w:sz="4" w:space="0" w:color="auto"/>
              <w:right w:val="single" w:sz="4" w:space="0" w:color="auto"/>
            </w:tcBorders>
            <w:shd w:val="clear" w:color="auto" w:fill="auto"/>
            <w:noWrap/>
            <w:vAlign w:val="bottom"/>
            <w:hideMark/>
          </w:tcPr>
          <w:p w14:paraId="44435DCF" w14:textId="77777777" w:rsidR="00D30644" w:rsidRPr="00F7521C" w:rsidRDefault="00D30644" w:rsidP="00D30644">
            <w:pPr>
              <w:rPr>
                <w:sz w:val="18"/>
                <w:szCs w:val="18"/>
                <w:lang w:val="es-MX" w:eastAsia="es-MX"/>
              </w:rPr>
            </w:pPr>
            <w:r w:rsidRPr="00F7521C">
              <w:rPr>
                <w:sz w:val="18"/>
                <w:szCs w:val="18"/>
                <w:lang w:val="es-MX" w:eastAsia="es-MX"/>
              </w:rPr>
              <w:t>Diesel</w:t>
            </w:r>
          </w:p>
        </w:tc>
        <w:tc>
          <w:tcPr>
            <w:tcW w:w="848" w:type="dxa"/>
            <w:tcBorders>
              <w:top w:val="nil"/>
              <w:left w:val="nil"/>
              <w:bottom w:val="single" w:sz="4" w:space="0" w:color="auto"/>
              <w:right w:val="single" w:sz="4" w:space="0" w:color="auto"/>
            </w:tcBorders>
            <w:shd w:val="clear" w:color="auto" w:fill="auto"/>
            <w:noWrap/>
            <w:vAlign w:val="bottom"/>
            <w:hideMark/>
          </w:tcPr>
          <w:p w14:paraId="6772AE68" w14:textId="77777777" w:rsidR="00D30644" w:rsidRPr="00F7521C" w:rsidRDefault="00D30644" w:rsidP="00D30644">
            <w:pPr>
              <w:jc w:val="right"/>
              <w:rPr>
                <w:sz w:val="18"/>
                <w:szCs w:val="18"/>
                <w:lang w:val="es-MX" w:eastAsia="es-MX"/>
              </w:rPr>
            </w:pPr>
            <w:r w:rsidRPr="00F7521C">
              <w:rPr>
                <w:sz w:val="18"/>
                <w:szCs w:val="18"/>
                <w:lang w:val="es-MX" w:eastAsia="es-MX"/>
              </w:rPr>
              <w:t>807</w:t>
            </w:r>
          </w:p>
        </w:tc>
        <w:tc>
          <w:tcPr>
            <w:tcW w:w="707" w:type="dxa"/>
            <w:tcBorders>
              <w:top w:val="nil"/>
              <w:left w:val="nil"/>
              <w:bottom w:val="single" w:sz="4" w:space="0" w:color="auto"/>
              <w:right w:val="single" w:sz="4" w:space="0" w:color="auto"/>
            </w:tcBorders>
            <w:shd w:val="clear" w:color="auto" w:fill="auto"/>
            <w:noWrap/>
            <w:vAlign w:val="bottom"/>
            <w:hideMark/>
          </w:tcPr>
          <w:p w14:paraId="3599AE50" w14:textId="77777777" w:rsidR="00D30644" w:rsidRPr="00F7521C" w:rsidRDefault="00D30644" w:rsidP="00D30644">
            <w:pPr>
              <w:jc w:val="right"/>
              <w:rPr>
                <w:sz w:val="18"/>
                <w:szCs w:val="18"/>
                <w:lang w:val="es-MX" w:eastAsia="es-MX"/>
              </w:rPr>
            </w:pPr>
            <w:r w:rsidRPr="00F7521C">
              <w:rPr>
                <w:sz w:val="18"/>
                <w:szCs w:val="18"/>
                <w:lang w:val="es-MX" w:eastAsia="es-MX"/>
              </w:rPr>
              <w:t>713</w:t>
            </w:r>
          </w:p>
        </w:tc>
        <w:tc>
          <w:tcPr>
            <w:tcW w:w="707" w:type="dxa"/>
            <w:tcBorders>
              <w:top w:val="nil"/>
              <w:left w:val="nil"/>
              <w:bottom w:val="single" w:sz="4" w:space="0" w:color="auto"/>
              <w:right w:val="single" w:sz="4" w:space="0" w:color="auto"/>
            </w:tcBorders>
            <w:shd w:val="clear" w:color="auto" w:fill="auto"/>
            <w:noWrap/>
            <w:vAlign w:val="bottom"/>
            <w:hideMark/>
          </w:tcPr>
          <w:p w14:paraId="63C1076E" w14:textId="77777777" w:rsidR="00D30644" w:rsidRPr="00F7521C" w:rsidRDefault="00D30644" w:rsidP="00D30644">
            <w:pPr>
              <w:jc w:val="right"/>
              <w:rPr>
                <w:sz w:val="18"/>
                <w:szCs w:val="18"/>
                <w:lang w:val="es-MX" w:eastAsia="es-MX"/>
              </w:rPr>
            </w:pPr>
            <w:r w:rsidRPr="00F7521C">
              <w:rPr>
                <w:sz w:val="18"/>
                <w:szCs w:val="18"/>
                <w:lang w:val="es-MX" w:eastAsia="es-MX"/>
              </w:rPr>
              <w:t>882</w:t>
            </w:r>
          </w:p>
        </w:tc>
        <w:tc>
          <w:tcPr>
            <w:tcW w:w="635" w:type="dxa"/>
            <w:tcBorders>
              <w:top w:val="nil"/>
              <w:left w:val="nil"/>
              <w:bottom w:val="single" w:sz="4" w:space="0" w:color="auto"/>
              <w:right w:val="single" w:sz="4" w:space="0" w:color="auto"/>
            </w:tcBorders>
            <w:shd w:val="clear" w:color="auto" w:fill="auto"/>
            <w:noWrap/>
            <w:vAlign w:val="bottom"/>
            <w:hideMark/>
          </w:tcPr>
          <w:p w14:paraId="7F46F507" w14:textId="77777777" w:rsidR="00D30644" w:rsidRPr="00F7521C" w:rsidRDefault="00D30644" w:rsidP="00D30644">
            <w:pPr>
              <w:jc w:val="right"/>
              <w:rPr>
                <w:sz w:val="18"/>
                <w:szCs w:val="18"/>
                <w:lang w:val="es-MX" w:eastAsia="es-MX"/>
              </w:rPr>
            </w:pPr>
            <w:r w:rsidRPr="00F7521C">
              <w:rPr>
                <w:sz w:val="18"/>
                <w:szCs w:val="18"/>
                <w:lang w:val="es-MX" w:eastAsia="es-MX"/>
              </w:rPr>
              <w:t>1,027</w:t>
            </w:r>
          </w:p>
        </w:tc>
        <w:tc>
          <w:tcPr>
            <w:tcW w:w="800" w:type="dxa"/>
            <w:tcBorders>
              <w:top w:val="nil"/>
              <w:left w:val="nil"/>
              <w:bottom w:val="single" w:sz="4" w:space="0" w:color="auto"/>
              <w:right w:val="single" w:sz="4" w:space="0" w:color="auto"/>
            </w:tcBorders>
            <w:shd w:val="clear" w:color="auto" w:fill="auto"/>
            <w:noWrap/>
            <w:vAlign w:val="bottom"/>
            <w:hideMark/>
          </w:tcPr>
          <w:p w14:paraId="6033073A" w14:textId="77777777" w:rsidR="00D30644" w:rsidRPr="00F7521C" w:rsidRDefault="00D30644" w:rsidP="00D30644">
            <w:pPr>
              <w:jc w:val="right"/>
              <w:rPr>
                <w:sz w:val="18"/>
                <w:szCs w:val="18"/>
                <w:lang w:val="es-MX" w:eastAsia="es-MX"/>
              </w:rPr>
            </w:pPr>
            <w:r w:rsidRPr="00F7521C">
              <w:rPr>
                <w:sz w:val="18"/>
                <w:szCs w:val="18"/>
                <w:lang w:val="es-MX" w:eastAsia="es-MX"/>
              </w:rPr>
              <w:t>1,066</w:t>
            </w:r>
          </w:p>
        </w:tc>
        <w:tc>
          <w:tcPr>
            <w:tcW w:w="1230" w:type="dxa"/>
            <w:tcBorders>
              <w:top w:val="nil"/>
              <w:left w:val="nil"/>
              <w:bottom w:val="single" w:sz="4" w:space="0" w:color="auto"/>
              <w:right w:val="single" w:sz="4" w:space="0" w:color="auto"/>
            </w:tcBorders>
            <w:shd w:val="clear" w:color="auto" w:fill="auto"/>
            <w:noWrap/>
            <w:vAlign w:val="bottom"/>
            <w:hideMark/>
          </w:tcPr>
          <w:p w14:paraId="20A91550" w14:textId="77777777" w:rsidR="00D30644" w:rsidRPr="00F7521C" w:rsidRDefault="00D30644" w:rsidP="00D30644">
            <w:pPr>
              <w:jc w:val="right"/>
              <w:rPr>
                <w:sz w:val="18"/>
                <w:szCs w:val="18"/>
                <w:lang w:val="es-MX" w:eastAsia="es-MX"/>
              </w:rPr>
            </w:pPr>
            <w:r w:rsidRPr="00F7521C">
              <w:rPr>
                <w:sz w:val="18"/>
                <w:szCs w:val="18"/>
                <w:lang w:val="es-MX" w:eastAsia="es-MX"/>
              </w:rPr>
              <w:t>5.4%</w:t>
            </w:r>
          </w:p>
        </w:tc>
        <w:tc>
          <w:tcPr>
            <w:tcW w:w="1031" w:type="dxa"/>
            <w:tcBorders>
              <w:top w:val="nil"/>
              <w:left w:val="nil"/>
              <w:bottom w:val="single" w:sz="4" w:space="0" w:color="auto"/>
              <w:right w:val="single" w:sz="4" w:space="0" w:color="auto"/>
            </w:tcBorders>
            <w:shd w:val="clear" w:color="auto" w:fill="auto"/>
            <w:noWrap/>
            <w:vAlign w:val="bottom"/>
            <w:hideMark/>
          </w:tcPr>
          <w:p w14:paraId="11A35E5B" w14:textId="77777777" w:rsidR="00D30644" w:rsidRPr="00F7521C" w:rsidRDefault="00D30644" w:rsidP="00D30644">
            <w:pPr>
              <w:jc w:val="right"/>
              <w:rPr>
                <w:sz w:val="18"/>
                <w:szCs w:val="18"/>
                <w:lang w:val="es-MX" w:eastAsia="es-MX"/>
              </w:rPr>
            </w:pPr>
            <w:r w:rsidRPr="00F7521C">
              <w:rPr>
                <w:sz w:val="18"/>
                <w:szCs w:val="18"/>
                <w:lang w:val="es-MX" w:eastAsia="es-MX"/>
              </w:rPr>
              <w:t>32.1%</w:t>
            </w:r>
          </w:p>
        </w:tc>
      </w:tr>
      <w:tr w:rsidR="00D30644" w:rsidRPr="00F7521C" w14:paraId="7DAECFD6" w14:textId="77777777" w:rsidTr="00D30644">
        <w:trPr>
          <w:trHeight w:val="205"/>
        </w:trPr>
        <w:tc>
          <w:tcPr>
            <w:tcW w:w="844" w:type="dxa"/>
            <w:tcBorders>
              <w:top w:val="nil"/>
              <w:left w:val="single" w:sz="4" w:space="0" w:color="auto"/>
              <w:bottom w:val="single" w:sz="4" w:space="0" w:color="auto"/>
              <w:right w:val="single" w:sz="4" w:space="0" w:color="auto"/>
            </w:tcBorders>
            <w:shd w:val="clear" w:color="auto" w:fill="auto"/>
            <w:noWrap/>
            <w:vAlign w:val="bottom"/>
            <w:hideMark/>
          </w:tcPr>
          <w:p w14:paraId="73412F87" w14:textId="77777777" w:rsidR="00D30644" w:rsidRPr="00F7521C" w:rsidRDefault="00D30644" w:rsidP="00D30644">
            <w:pPr>
              <w:jc w:val="center"/>
              <w:rPr>
                <w:sz w:val="18"/>
                <w:szCs w:val="18"/>
                <w:lang w:val="es-MX" w:eastAsia="es-MX"/>
              </w:rPr>
            </w:pPr>
            <w:r w:rsidRPr="00F7521C">
              <w:rPr>
                <w:sz w:val="18"/>
                <w:szCs w:val="18"/>
                <w:lang w:val="es-MX" w:eastAsia="es-MX"/>
              </w:rPr>
              <w:t>6</w:t>
            </w:r>
          </w:p>
        </w:tc>
        <w:tc>
          <w:tcPr>
            <w:tcW w:w="2972" w:type="dxa"/>
            <w:tcBorders>
              <w:top w:val="nil"/>
              <w:left w:val="nil"/>
              <w:bottom w:val="single" w:sz="4" w:space="0" w:color="auto"/>
              <w:right w:val="single" w:sz="4" w:space="0" w:color="auto"/>
            </w:tcBorders>
            <w:shd w:val="clear" w:color="auto" w:fill="auto"/>
            <w:noWrap/>
            <w:vAlign w:val="bottom"/>
            <w:hideMark/>
          </w:tcPr>
          <w:p w14:paraId="26C935F8" w14:textId="77777777" w:rsidR="00D30644" w:rsidRPr="00F7521C" w:rsidRDefault="00D30644" w:rsidP="00D30644">
            <w:pPr>
              <w:rPr>
                <w:sz w:val="18"/>
                <w:szCs w:val="18"/>
                <w:lang w:val="es-MX" w:eastAsia="es-MX"/>
              </w:rPr>
            </w:pPr>
            <w:r w:rsidRPr="00F7521C">
              <w:rPr>
                <w:sz w:val="18"/>
                <w:szCs w:val="18"/>
                <w:lang w:val="es-MX" w:eastAsia="es-MX"/>
              </w:rPr>
              <w:t>Productos diversos de la industria química</w:t>
            </w:r>
          </w:p>
        </w:tc>
        <w:tc>
          <w:tcPr>
            <w:tcW w:w="848" w:type="dxa"/>
            <w:tcBorders>
              <w:top w:val="nil"/>
              <w:left w:val="nil"/>
              <w:bottom w:val="single" w:sz="4" w:space="0" w:color="auto"/>
              <w:right w:val="single" w:sz="4" w:space="0" w:color="auto"/>
            </w:tcBorders>
            <w:shd w:val="clear" w:color="auto" w:fill="auto"/>
            <w:noWrap/>
            <w:vAlign w:val="bottom"/>
            <w:hideMark/>
          </w:tcPr>
          <w:p w14:paraId="1028428A" w14:textId="77777777" w:rsidR="00D30644" w:rsidRPr="00F7521C" w:rsidRDefault="00D30644" w:rsidP="00D30644">
            <w:pPr>
              <w:jc w:val="right"/>
              <w:rPr>
                <w:sz w:val="18"/>
                <w:szCs w:val="18"/>
                <w:lang w:val="es-MX" w:eastAsia="es-MX"/>
              </w:rPr>
            </w:pPr>
            <w:r w:rsidRPr="00F7521C">
              <w:rPr>
                <w:sz w:val="18"/>
                <w:szCs w:val="18"/>
                <w:lang w:val="es-MX" w:eastAsia="es-MX"/>
              </w:rPr>
              <w:t>737</w:t>
            </w:r>
          </w:p>
        </w:tc>
        <w:tc>
          <w:tcPr>
            <w:tcW w:w="707" w:type="dxa"/>
            <w:tcBorders>
              <w:top w:val="nil"/>
              <w:left w:val="nil"/>
              <w:bottom w:val="single" w:sz="4" w:space="0" w:color="auto"/>
              <w:right w:val="single" w:sz="4" w:space="0" w:color="auto"/>
            </w:tcBorders>
            <w:shd w:val="clear" w:color="auto" w:fill="auto"/>
            <w:noWrap/>
            <w:vAlign w:val="bottom"/>
            <w:hideMark/>
          </w:tcPr>
          <w:p w14:paraId="738D5AA2" w14:textId="77777777" w:rsidR="00D30644" w:rsidRPr="00F7521C" w:rsidRDefault="00D30644" w:rsidP="00D30644">
            <w:pPr>
              <w:jc w:val="right"/>
              <w:rPr>
                <w:sz w:val="18"/>
                <w:szCs w:val="18"/>
                <w:lang w:val="es-MX" w:eastAsia="es-MX"/>
              </w:rPr>
            </w:pPr>
            <w:r w:rsidRPr="00F7521C">
              <w:rPr>
                <w:sz w:val="18"/>
                <w:szCs w:val="18"/>
                <w:lang w:val="es-MX" w:eastAsia="es-MX"/>
              </w:rPr>
              <w:t>726</w:t>
            </w:r>
          </w:p>
        </w:tc>
        <w:tc>
          <w:tcPr>
            <w:tcW w:w="707" w:type="dxa"/>
            <w:tcBorders>
              <w:top w:val="nil"/>
              <w:left w:val="nil"/>
              <w:bottom w:val="single" w:sz="4" w:space="0" w:color="auto"/>
              <w:right w:val="single" w:sz="4" w:space="0" w:color="auto"/>
            </w:tcBorders>
            <w:shd w:val="clear" w:color="auto" w:fill="auto"/>
            <w:noWrap/>
            <w:vAlign w:val="bottom"/>
            <w:hideMark/>
          </w:tcPr>
          <w:p w14:paraId="10DAE307" w14:textId="77777777" w:rsidR="00D30644" w:rsidRPr="00F7521C" w:rsidRDefault="00D30644" w:rsidP="00D30644">
            <w:pPr>
              <w:jc w:val="right"/>
              <w:rPr>
                <w:sz w:val="18"/>
                <w:szCs w:val="18"/>
                <w:lang w:val="es-MX" w:eastAsia="es-MX"/>
              </w:rPr>
            </w:pPr>
            <w:r w:rsidRPr="00F7521C">
              <w:rPr>
                <w:sz w:val="18"/>
                <w:szCs w:val="18"/>
                <w:lang w:val="es-MX" w:eastAsia="es-MX"/>
              </w:rPr>
              <w:t>753</w:t>
            </w:r>
          </w:p>
        </w:tc>
        <w:tc>
          <w:tcPr>
            <w:tcW w:w="635" w:type="dxa"/>
            <w:tcBorders>
              <w:top w:val="nil"/>
              <w:left w:val="nil"/>
              <w:bottom w:val="single" w:sz="4" w:space="0" w:color="auto"/>
              <w:right w:val="single" w:sz="4" w:space="0" w:color="auto"/>
            </w:tcBorders>
            <w:shd w:val="clear" w:color="auto" w:fill="auto"/>
            <w:noWrap/>
            <w:vAlign w:val="bottom"/>
            <w:hideMark/>
          </w:tcPr>
          <w:p w14:paraId="384445DB" w14:textId="77777777" w:rsidR="00D30644" w:rsidRPr="00F7521C" w:rsidRDefault="00D30644" w:rsidP="00D30644">
            <w:pPr>
              <w:jc w:val="right"/>
              <w:rPr>
                <w:sz w:val="18"/>
                <w:szCs w:val="18"/>
                <w:lang w:val="es-MX" w:eastAsia="es-MX"/>
              </w:rPr>
            </w:pPr>
            <w:r w:rsidRPr="00F7521C">
              <w:rPr>
                <w:sz w:val="18"/>
                <w:szCs w:val="18"/>
                <w:lang w:val="es-MX" w:eastAsia="es-MX"/>
              </w:rPr>
              <w:t>823</w:t>
            </w:r>
          </w:p>
        </w:tc>
        <w:tc>
          <w:tcPr>
            <w:tcW w:w="800" w:type="dxa"/>
            <w:tcBorders>
              <w:top w:val="nil"/>
              <w:left w:val="nil"/>
              <w:bottom w:val="single" w:sz="4" w:space="0" w:color="auto"/>
              <w:right w:val="single" w:sz="4" w:space="0" w:color="auto"/>
            </w:tcBorders>
            <w:shd w:val="clear" w:color="auto" w:fill="auto"/>
            <w:noWrap/>
            <w:vAlign w:val="bottom"/>
            <w:hideMark/>
          </w:tcPr>
          <w:p w14:paraId="2E38B2E2" w14:textId="77777777" w:rsidR="00D30644" w:rsidRPr="00F7521C" w:rsidRDefault="00D30644" w:rsidP="00D30644">
            <w:pPr>
              <w:jc w:val="right"/>
              <w:rPr>
                <w:sz w:val="18"/>
                <w:szCs w:val="18"/>
                <w:lang w:val="es-MX" w:eastAsia="es-MX"/>
              </w:rPr>
            </w:pPr>
            <w:r w:rsidRPr="00F7521C">
              <w:rPr>
                <w:sz w:val="18"/>
                <w:szCs w:val="18"/>
                <w:lang w:val="es-MX" w:eastAsia="es-MX"/>
              </w:rPr>
              <w:t>787</w:t>
            </w:r>
          </w:p>
        </w:tc>
        <w:tc>
          <w:tcPr>
            <w:tcW w:w="1230" w:type="dxa"/>
            <w:tcBorders>
              <w:top w:val="nil"/>
              <w:left w:val="nil"/>
              <w:bottom w:val="single" w:sz="4" w:space="0" w:color="auto"/>
              <w:right w:val="single" w:sz="4" w:space="0" w:color="auto"/>
            </w:tcBorders>
            <w:shd w:val="clear" w:color="auto" w:fill="auto"/>
            <w:noWrap/>
            <w:vAlign w:val="bottom"/>
            <w:hideMark/>
          </w:tcPr>
          <w:p w14:paraId="50335726" w14:textId="77777777" w:rsidR="00D30644" w:rsidRPr="00F7521C" w:rsidRDefault="00D30644" w:rsidP="00D30644">
            <w:pPr>
              <w:jc w:val="right"/>
              <w:rPr>
                <w:sz w:val="18"/>
                <w:szCs w:val="18"/>
                <w:lang w:val="es-MX" w:eastAsia="es-MX"/>
              </w:rPr>
            </w:pPr>
            <w:r w:rsidRPr="00F7521C">
              <w:rPr>
                <w:sz w:val="18"/>
                <w:szCs w:val="18"/>
                <w:lang w:val="es-MX" w:eastAsia="es-MX"/>
              </w:rPr>
              <w:t>4.0%</w:t>
            </w:r>
          </w:p>
        </w:tc>
        <w:tc>
          <w:tcPr>
            <w:tcW w:w="1031" w:type="dxa"/>
            <w:tcBorders>
              <w:top w:val="nil"/>
              <w:left w:val="nil"/>
              <w:bottom w:val="single" w:sz="4" w:space="0" w:color="auto"/>
              <w:right w:val="single" w:sz="4" w:space="0" w:color="auto"/>
            </w:tcBorders>
            <w:shd w:val="clear" w:color="auto" w:fill="auto"/>
            <w:noWrap/>
            <w:vAlign w:val="bottom"/>
            <w:hideMark/>
          </w:tcPr>
          <w:p w14:paraId="5CA33ED8" w14:textId="77777777" w:rsidR="00D30644" w:rsidRPr="00F7521C" w:rsidRDefault="00D30644" w:rsidP="00D30644">
            <w:pPr>
              <w:jc w:val="right"/>
              <w:rPr>
                <w:sz w:val="18"/>
                <w:szCs w:val="18"/>
                <w:lang w:val="es-MX" w:eastAsia="es-MX"/>
              </w:rPr>
            </w:pPr>
            <w:r w:rsidRPr="00F7521C">
              <w:rPr>
                <w:sz w:val="18"/>
                <w:szCs w:val="18"/>
                <w:lang w:val="es-MX" w:eastAsia="es-MX"/>
              </w:rPr>
              <w:t>36.1%</w:t>
            </w:r>
          </w:p>
        </w:tc>
      </w:tr>
      <w:tr w:rsidR="00D30644" w:rsidRPr="00F7521C" w14:paraId="14CBBD25" w14:textId="77777777" w:rsidTr="00D30644">
        <w:trPr>
          <w:trHeight w:val="205"/>
        </w:trPr>
        <w:tc>
          <w:tcPr>
            <w:tcW w:w="844" w:type="dxa"/>
            <w:tcBorders>
              <w:top w:val="nil"/>
              <w:left w:val="single" w:sz="4" w:space="0" w:color="auto"/>
              <w:bottom w:val="single" w:sz="4" w:space="0" w:color="auto"/>
              <w:right w:val="single" w:sz="4" w:space="0" w:color="auto"/>
            </w:tcBorders>
            <w:shd w:val="clear" w:color="auto" w:fill="auto"/>
            <w:noWrap/>
            <w:vAlign w:val="bottom"/>
            <w:hideMark/>
          </w:tcPr>
          <w:p w14:paraId="3668501C" w14:textId="77777777" w:rsidR="00D30644" w:rsidRPr="00F7521C" w:rsidRDefault="00D30644" w:rsidP="00D30644">
            <w:pPr>
              <w:jc w:val="center"/>
              <w:rPr>
                <w:sz w:val="18"/>
                <w:szCs w:val="18"/>
                <w:lang w:val="es-MX" w:eastAsia="es-MX"/>
              </w:rPr>
            </w:pPr>
            <w:r w:rsidRPr="00F7521C">
              <w:rPr>
                <w:sz w:val="18"/>
                <w:szCs w:val="18"/>
                <w:lang w:val="es-MX" w:eastAsia="es-MX"/>
              </w:rPr>
              <w:t>7</w:t>
            </w:r>
          </w:p>
        </w:tc>
        <w:tc>
          <w:tcPr>
            <w:tcW w:w="2972" w:type="dxa"/>
            <w:tcBorders>
              <w:top w:val="nil"/>
              <w:left w:val="nil"/>
              <w:bottom w:val="single" w:sz="4" w:space="0" w:color="auto"/>
              <w:right w:val="single" w:sz="4" w:space="0" w:color="auto"/>
            </w:tcBorders>
            <w:shd w:val="clear" w:color="auto" w:fill="auto"/>
            <w:noWrap/>
            <w:vAlign w:val="bottom"/>
            <w:hideMark/>
          </w:tcPr>
          <w:p w14:paraId="5AD61651" w14:textId="77777777" w:rsidR="00D30644" w:rsidRPr="00F7521C" w:rsidRDefault="00D30644" w:rsidP="00D30644">
            <w:pPr>
              <w:rPr>
                <w:sz w:val="18"/>
                <w:szCs w:val="18"/>
                <w:lang w:val="es-MX" w:eastAsia="es-MX"/>
              </w:rPr>
            </w:pPr>
            <w:r w:rsidRPr="00F7521C">
              <w:rPr>
                <w:sz w:val="18"/>
                <w:szCs w:val="18"/>
                <w:lang w:val="es-MX" w:eastAsia="es-MX"/>
              </w:rPr>
              <w:t>Aparatos transmisores y receptores</w:t>
            </w:r>
          </w:p>
        </w:tc>
        <w:tc>
          <w:tcPr>
            <w:tcW w:w="848" w:type="dxa"/>
            <w:tcBorders>
              <w:top w:val="nil"/>
              <w:left w:val="nil"/>
              <w:bottom w:val="single" w:sz="4" w:space="0" w:color="auto"/>
              <w:right w:val="single" w:sz="4" w:space="0" w:color="auto"/>
            </w:tcBorders>
            <w:shd w:val="clear" w:color="auto" w:fill="auto"/>
            <w:noWrap/>
            <w:vAlign w:val="bottom"/>
            <w:hideMark/>
          </w:tcPr>
          <w:p w14:paraId="6222FA97" w14:textId="77777777" w:rsidR="00D30644" w:rsidRPr="00F7521C" w:rsidRDefault="00D30644" w:rsidP="00D30644">
            <w:pPr>
              <w:jc w:val="right"/>
              <w:rPr>
                <w:sz w:val="18"/>
                <w:szCs w:val="18"/>
                <w:lang w:val="es-MX" w:eastAsia="es-MX"/>
              </w:rPr>
            </w:pPr>
            <w:r w:rsidRPr="00F7521C">
              <w:rPr>
                <w:sz w:val="18"/>
                <w:szCs w:val="18"/>
                <w:lang w:val="es-MX" w:eastAsia="es-MX"/>
              </w:rPr>
              <w:t>589</w:t>
            </w:r>
          </w:p>
        </w:tc>
        <w:tc>
          <w:tcPr>
            <w:tcW w:w="707" w:type="dxa"/>
            <w:tcBorders>
              <w:top w:val="nil"/>
              <w:left w:val="nil"/>
              <w:bottom w:val="single" w:sz="4" w:space="0" w:color="auto"/>
              <w:right w:val="single" w:sz="4" w:space="0" w:color="auto"/>
            </w:tcBorders>
            <w:shd w:val="clear" w:color="auto" w:fill="auto"/>
            <w:noWrap/>
            <w:vAlign w:val="bottom"/>
            <w:hideMark/>
          </w:tcPr>
          <w:p w14:paraId="72F45289" w14:textId="77777777" w:rsidR="00D30644" w:rsidRPr="00F7521C" w:rsidRDefault="00D30644" w:rsidP="00D30644">
            <w:pPr>
              <w:jc w:val="right"/>
              <w:rPr>
                <w:sz w:val="18"/>
                <w:szCs w:val="18"/>
                <w:lang w:val="es-MX" w:eastAsia="es-MX"/>
              </w:rPr>
            </w:pPr>
            <w:r w:rsidRPr="00F7521C">
              <w:rPr>
                <w:sz w:val="18"/>
                <w:szCs w:val="18"/>
                <w:lang w:val="es-MX" w:eastAsia="es-MX"/>
              </w:rPr>
              <w:t>585</w:t>
            </w:r>
          </w:p>
        </w:tc>
        <w:tc>
          <w:tcPr>
            <w:tcW w:w="707" w:type="dxa"/>
            <w:tcBorders>
              <w:top w:val="nil"/>
              <w:left w:val="nil"/>
              <w:bottom w:val="single" w:sz="4" w:space="0" w:color="auto"/>
              <w:right w:val="single" w:sz="4" w:space="0" w:color="auto"/>
            </w:tcBorders>
            <w:shd w:val="clear" w:color="auto" w:fill="auto"/>
            <w:noWrap/>
            <w:vAlign w:val="bottom"/>
            <w:hideMark/>
          </w:tcPr>
          <w:p w14:paraId="220F5040" w14:textId="77777777" w:rsidR="00D30644" w:rsidRPr="00F7521C" w:rsidRDefault="00D30644" w:rsidP="00D30644">
            <w:pPr>
              <w:jc w:val="right"/>
              <w:rPr>
                <w:sz w:val="18"/>
                <w:szCs w:val="18"/>
                <w:lang w:val="es-MX" w:eastAsia="es-MX"/>
              </w:rPr>
            </w:pPr>
            <w:r w:rsidRPr="00F7521C">
              <w:rPr>
                <w:sz w:val="18"/>
                <w:szCs w:val="18"/>
                <w:lang w:val="es-MX" w:eastAsia="es-MX"/>
              </w:rPr>
              <w:t>666</w:t>
            </w:r>
          </w:p>
        </w:tc>
        <w:tc>
          <w:tcPr>
            <w:tcW w:w="635" w:type="dxa"/>
            <w:tcBorders>
              <w:top w:val="nil"/>
              <w:left w:val="nil"/>
              <w:bottom w:val="single" w:sz="4" w:space="0" w:color="auto"/>
              <w:right w:val="single" w:sz="4" w:space="0" w:color="auto"/>
            </w:tcBorders>
            <w:shd w:val="clear" w:color="auto" w:fill="auto"/>
            <w:noWrap/>
            <w:vAlign w:val="bottom"/>
            <w:hideMark/>
          </w:tcPr>
          <w:p w14:paraId="4086721B" w14:textId="77777777" w:rsidR="00D30644" w:rsidRPr="00F7521C" w:rsidRDefault="00D30644" w:rsidP="00D30644">
            <w:pPr>
              <w:jc w:val="right"/>
              <w:rPr>
                <w:sz w:val="18"/>
                <w:szCs w:val="18"/>
                <w:lang w:val="es-MX" w:eastAsia="es-MX"/>
              </w:rPr>
            </w:pPr>
            <w:r w:rsidRPr="00F7521C">
              <w:rPr>
                <w:sz w:val="18"/>
                <w:szCs w:val="18"/>
                <w:lang w:val="es-MX" w:eastAsia="es-MX"/>
              </w:rPr>
              <w:t>664</w:t>
            </w:r>
          </w:p>
        </w:tc>
        <w:tc>
          <w:tcPr>
            <w:tcW w:w="800" w:type="dxa"/>
            <w:tcBorders>
              <w:top w:val="nil"/>
              <w:left w:val="nil"/>
              <w:bottom w:val="single" w:sz="4" w:space="0" w:color="auto"/>
              <w:right w:val="single" w:sz="4" w:space="0" w:color="auto"/>
            </w:tcBorders>
            <w:shd w:val="clear" w:color="auto" w:fill="auto"/>
            <w:noWrap/>
            <w:vAlign w:val="bottom"/>
            <w:hideMark/>
          </w:tcPr>
          <w:p w14:paraId="00D43AE6" w14:textId="77777777" w:rsidR="00D30644" w:rsidRPr="00F7521C" w:rsidRDefault="00D30644" w:rsidP="00D30644">
            <w:pPr>
              <w:jc w:val="right"/>
              <w:rPr>
                <w:sz w:val="18"/>
                <w:szCs w:val="18"/>
                <w:lang w:val="es-MX" w:eastAsia="es-MX"/>
              </w:rPr>
            </w:pPr>
            <w:r w:rsidRPr="00F7521C">
              <w:rPr>
                <w:sz w:val="18"/>
                <w:szCs w:val="18"/>
                <w:lang w:val="es-MX" w:eastAsia="es-MX"/>
              </w:rPr>
              <w:t>756</w:t>
            </w:r>
          </w:p>
        </w:tc>
        <w:tc>
          <w:tcPr>
            <w:tcW w:w="1230" w:type="dxa"/>
            <w:tcBorders>
              <w:top w:val="nil"/>
              <w:left w:val="nil"/>
              <w:bottom w:val="single" w:sz="4" w:space="0" w:color="auto"/>
              <w:right w:val="single" w:sz="4" w:space="0" w:color="auto"/>
            </w:tcBorders>
            <w:shd w:val="clear" w:color="auto" w:fill="auto"/>
            <w:noWrap/>
            <w:vAlign w:val="bottom"/>
            <w:hideMark/>
          </w:tcPr>
          <w:p w14:paraId="68E428CC" w14:textId="77777777" w:rsidR="00D30644" w:rsidRPr="00F7521C" w:rsidRDefault="00D30644" w:rsidP="00D30644">
            <w:pPr>
              <w:jc w:val="right"/>
              <w:rPr>
                <w:sz w:val="18"/>
                <w:szCs w:val="18"/>
                <w:lang w:val="es-MX" w:eastAsia="es-MX"/>
              </w:rPr>
            </w:pPr>
            <w:r w:rsidRPr="00F7521C">
              <w:rPr>
                <w:sz w:val="18"/>
                <w:szCs w:val="18"/>
                <w:lang w:val="es-MX" w:eastAsia="es-MX"/>
              </w:rPr>
              <w:t>3.8%</w:t>
            </w:r>
          </w:p>
        </w:tc>
        <w:tc>
          <w:tcPr>
            <w:tcW w:w="1031" w:type="dxa"/>
            <w:tcBorders>
              <w:top w:val="nil"/>
              <w:left w:val="nil"/>
              <w:bottom w:val="single" w:sz="4" w:space="0" w:color="auto"/>
              <w:right w:val="single" w:sz="4" w:space="0" w:color="auto"/>
            </w:tcBorders>
            <w:shd w:val="clear" w:color="auto" w:fill="auto"/>
            <w:noWrap/>
            <w:vAlign w:val="bottom"/>
            <w:hideMark/>
          </w:tcPr>
          <w:p w14:paraId="13FE1080" w14:textId="77777777" w:rsidR="00D30644" w:rsidRPr="00F7521C" w:rsidRDefault="00D30644" w:rsidP="00D30644">
            <w:pPr>
              <w:jc w:val="right"/>
              <w:rPr>
                <w:sz w:val="18"/>
                <w:szCs w:val="18"/>
                <w:lang w:val="es-MX" w:eastAsia="es-MX"/>
              </w:rPr>
            </w:pPr>
            <w:r w:rsidRPr="00F7521C">
              <w:rPr>
                <w:sz w:val="18"/>
                <w:szCs w:val="18"/>
                <w:lang w:val="es-MX" w:eastAsia="es-MX"/>
              </w:rPr>
              <w:t>39.9%</w:t>
            </w:r>
          </w:p>
        </w:tc>
      </w:tr>
      <w:tr w:rsidR="00D30644" w:rsidRPr="00F7521C" w14:paraId="7172664A" w14:textId="77777777" w:rsidTr="00D30644">
        <w:trPr>
          <w:trHeight w:val="205"/>
        </w:trPr>
        <w:tc>
          <w:tcPr>
            <w:tcW w:w="844" w:type="dxa"/>
            <w:tcBorders>
              <w:top w:val="nil"/>
              <w:left w:val="single" w:sz="4" w:space="0" w:color="auto"/>
              <w:bottom w:val="single" w:sz="4" w:space="0" w:color="auto"/>
              <w:right w:val="single" w:sz="4" w:space="0" w:color="auto"/>
            </w:tcBorders>
            <w:shd w:val="clear" w:color="auto" w:fill="auto"/>
            <w:noWrap/>
            <w:vAlign w:val="bottom"/>
            <w:hideMark/>
          </w:tcPr>
          <w:p w14:paraId="6723E238" w14:textId="77777777" w:rsidR="00D30644" w:rsidRPr="00F7521C" w:rsidRDefault="00D30644" w:rsidP="00D30644">
            <w:pPr>
              <w:jc w:val="center"/>
              <w:rPr>
                <w:sz w:val="18"/>
                <w:szCs w:val="18"/>
                <w:lang w:val="es-MX" w:eastAsia="es-MX"/>
              </w:rPr>
            </w:pPr>
            <w:r w:rsidRPr="00F7521C">
              <w:rPr>
                <w:sz w:val="18"/>
                <w:szCs w:val="18"/>
                <w:lang w:val="es-MX" w:eastAsia="es-MX"/>
              </w:rPr>
              <w:t>8</w:t>
            </w:r>
          </w:p>
        </w:tc>
        <w:tc>
          <w:tcPr>
            <w:tcW w:w="2972" w:type="dxa"/>
            <w:tcBorders>
              <w:top w:val="nil"/>
              <w:left w:val="nil"/>
              <w:bottom w:val="single" w:sz="4" w:space="0" w:color="auto"/>
              <w:right w:val="single" w:sz="4" w:space="0" w:color="auto"/>
            </w:tcBorders>
            <w:shd w:val="clear" w:color="auto" w:fill="auto"/>
            <w:noWrap/>
            <w:vAlign w:val="bottom"/>
            <w:hideMark/>
          </w:tcPr>
          <w:p w14:paraId="66AA7DDF" w14:textId="77777777" w:rsidR="00D30644" w:rsidRPr="00F7521C" w:rsidRDefault="00D30644" w:rsidP="00D30644">
            <w:pPr>
              <w:rPr>
                <w:sz w:val="18"/>
                <w:szCs w:val="18"/>
                <w:lang w:val="es-MX" w:eastAsia="es-MX"/>
              </w:rPr>
            </w:pPr>
            <w:r w:rsidRPr="00F7521C">
              <w:rPr>
                <w:sz w:val="18"/>
                <w:szCs w:val="18"/>
                <w:lang w:val="es-MX" w:eastAsia="es-MX"/>
              </w:rPr>
              <w:t>Productos farmacéuticos</w:t>
            </w:r>
          </w:p>
        </w:tc>
        <w:tc>
          <w:tcPr>
            <w:tcW w:w="848" w:type="dxa"/>
            <w:tcBorders>
              <w:top w:val="nil"/>
              <w:left w:val="nil"/>
              <w:bottom w:val="single" w:sz="4" w:space="0" w:color="auto"/>
              <w:right w:val="single" w:sz="4" w:space="0" w:color="auto"/>
            </w:tcBorders>
            <w:shd w:val="clear" w:color="auto" w:fill="auto"/>
            <w:noWrap/>
            <w:vAlign w:val="bottom"/>
            <w:hideMark/>
          </w:tcPr>
          <w:p w14:paraId="35ABB3B2" w14:textId="77777777" w:rsidR="00D30644" w:rsidRPr="00F7521C" w:rsidRDefault="00D30644" w:rsidP="00D30644">
            <w:pPr>
              <w:jc w:val="right"/>
              <w:rPr>
                <w:sz w:val="18"/>
                <w:szCs w:val="18"/>
                <w:lang w:val="es-MX" w:eastAsia="es-MX"/>
              </w:rPr>
            </w:pPr>
            <w:r w:rsidRPr="00F7521C">
              <w:rPr>
                <w:sz w:val="18"/>
                <w:szCs w:val="18"/>
                <w:lang w:val="es-MX" w:eastAsia="es-MX"/>
              </w:rPr>
              <w:t>727</w:t>
            </w:r>
          </w:p>
        </w:tc>
        <w:tc>
          <w:tcPr>
            <w:tcW w:w="707" w:type="dxa"/>
            <w:tcBorders>
              <w:top w:val="nil"/>
              <w:left w:val="nil"/>
              <w:bottom w:val="single" w:sz="4" w:space="0" w:color="auto"/>
              <w:right w:val="single" w:sz="4" w:space="0" w:color="auto"/>
            </w:tcBorders>
            <w:shd w:val="clear" w:color="auto" w:fill="auto"/>
            <w:noWrap/>
            <w:vAlign w:val="bottom"/>
            <w:hideMark/>
          </w:tcPr>
          <w:p w14:paraId="17198BC8" w14:textId="77777777" w:rsidR="00D30644" w:rsidRPr="00F7521C" w:rsidRDefault="00D30644" w:rsidP="00D30644">
            <w:pPr>
              <w:jc w:val="right"/>
              <w:rPr>
                <w:sz w:val="18"/>
                <w:szCs w:val="18"/>
                <w:lang w:val="es-MX" w:eastAsia="es-MX"/>
              </w:rPr>
            </w:pPr>
            <w:r w:rsidRPr="00F7521C">
              <w:rPr>
                <w:sz w:val="18"/>
                <w:szCs w:val="18"/>
                <w:lang w:val="es-MX" w:eastAsia="es-MX"/>
              </w:rPr>
              <w:t>687</w:t>
            </w:r>
          </w:p>
        </w:tc>
        <w:tc>
          <w:tcPr>
            <w:tcW w:w="707" w:type="dxa"/>
            <w:tcBorders>
              <w:top w:val="nil"/>
              <w:left w:val="nil"/>
              <w:bottom w:val="single" w:sz="4" w:space="0" w:color="auto"/>
              <w:right w:val="single" w:sz="4" w:space="0" w:color="auto"/>
            </w:tcBorders>
            <w:shd w:val="clear" w:color="auto" w:fill="auto"/>
            <w:noWrap/>
            <w:vAlign w:val="bottom"/>
            <w:hideMark/>
          </w:tcPr>
          <w:p w14:paraId="4A144282" w14:textId="77777777" w:rsidR="00D30644" w:rsidRPr="00F7521C" w:rsidRDefault="00D30644" w:rsidP="00D30644">
            <w:pPr>
              <w:jc w:val="right"/>
              <w:rPr>
                <w:sz w:val="18"/>
                <w:szCs w:val="18"/>
                <w:lang w:val="es-MX" w:eastAsia="es-MX"/>
              </w:rPr>
            </w:pPr>
            <w:r w:rsidRPr="00F7521C">
              <w:rPr>
                <w:sz w:val="18"/>
                <w:szCs w:val="18"/>
                <w:lang w:val="es-MX" w:eastAsia="es-MX"/>
              </w:rPr>
              <w:t>675</w:t>
            </w:r>
          </w:p>
        </w:tc>
        <w:tc>
          <w:tcPr>
            <w:tcW w:w="635" w:type="dxa"/>
            <w:tcBorders>
              <w:top w:val="nil"/>
              <w:left w:val="nil"/>
              <w:bottom w:val="single" w:sz="4" w:space="0" w:color="auto"/>
              <w:right w:val="single" w:sz="4" w:space="0" w:color="auto"/>
            </w:tcBorders>
            <w:shd w:val="clear" w:color="auto" w:fill="auto"/>
            <w:noWrap/>
            <w:vAlign w:val="bottom"/>
            <w:hideMark/>
          </w:tcPr>
          <w:p w14:paraId="064860AD" w14:textId="77777777" w:rsidR="00D30644" w:rsidRPr="00F7521C" w:rsidRDefault="00D30644" w:rsidP="00D30644">
            <w:pPr>
              <w:jc w:val="right"/>
              <w:rPr>
                <w:sz w:val="18"/>
                <w:szCs w:val="18"/>
                <w:lang w:val="es-MX" w:eastAsia="es-MX"/>
              </w:rPr>
            </w:pPr>
            <w:r w:rsidRPr="00F7521C">
              <w:rPr>
                <w:sz w:val="18"/>
                <w:szCs w:val="18"/>
                <w:lang w:val="es-MX" w:eastAsia="es-MX"/>
              </w:rPr>
              <w:t>724</w:t>
            </w:r>
          </w:p>
        </w:tc>
        <w:tc>
          <w:tcPr>
            <w:tcW w:w="800" w:type="dxa"/>
            <w:tcBorders>
              <w:top w:val="nil"/>
              <w:left w:val="nil"/>
              <w:bottom w:val="single" w:sz="4" w:space="0" w:color="auto"/>
              <w:right w:val="single" w:sz="4" w:space="0" w:color="auto"/>
            </w:tcBorders>
            <w:shd w:val="clear" w:color="auto" w:fill="auto"/>
            <w:noWrap/>
            <w:vAlign w:val="bottom"/>
            <w:hideMark/>
          </w:tcPr>
          <w:p w14:paraId="21B19275" w14:textId="77777777" w:rsidR="00D30644" w:rsidRPr="00F7521C" w:rsidRDefault="00D30644" w:rsidP="00D30644">
            <w:pPr>
              <w:jc w:val="right"/>
              <w:rPr>
                <w:sz w:val="18"/>
                <w:szCs w:val="18"/>
                <w:lang w:val="es-MX" w:eastAsia="es-MX"/>
              </w:rPr>
            </w:pPr>
            <w:r w:rsidRPr="00F7521C">
              <w:rPr>
                <w:sz w:val="18"/>
                <w:szCs w:val="18"/>
                <w:lang w:val="es-MX" w:eastAsia="es-MX"/>
              </w:rPr>
              <w:t>725</w:t>
            </w:r>
          </w:p>
        </w:tc>
        <w:tc>
          <w:tcPr>
            <w:tcW w:w="1230" w:type="dxa"/>
            <w:tcBorders>
              <w:top w:val="nil"/>
              <w:left w:val="nil"/>
              <w:bottom w:val="single" w:sz="4" w:space="0" w:color="auto"/>
              <w:right w:val="single" w:sz="4" w:space="0" w:color="auto"/>
            </w:tcBorders>
            <w:shd w:val="clear" w:color="auto" w:fill="auto"/>
            <w:noWrap/>
            <w:vAlign w:val="bottom"/>
            <w:hideMark/>
          </w:tcPr>
          <w:p w14:paraId="344C6287" w14:textId="77777777" w:rsidR="00D30644" w:rsidRPr="00F7521C" w:rsidRDefault="00D30644" w:rsidP="00D30644">
            <w:pPr>
              <w:jc w:val="right"/>
              <w:rPr>
                <w:sz w:val="18"/>
                <w:szCs w:val="18"/>
                <w:lang w:val="es-MX" w:eastAsia="es-MX"/>
              </w:rPr>
            </w:pPr>
            <w:r w:rsidRPr="00F7521C">
              <w:rPr>
                <w:sz w:val="18"/>
                <w:szCs w:val="18"/>
                <w:lang w:val="es-MX" w:eastAsia="es-MX"/>
              </w:rPr>
              <w:t>3.6%</w:t>
            </w:r>
          </w:p>
        </w:tc>
        <w:tc>
          <w:tcPr>
            <w:tcW w:w="1031" w:type="dxa"/>
            <w:tcBorders>
              <w:top w:val="nil"/>
              <w:left w:val="nil"/>
              <w:bottom w:val="single" w:sz="4" w:space="0" w:color="auto"/>
              <w:right w:val="single" w:sz="4" w:space="0" w:color="auto"/>
            </w:tcBorders>
            <w:shd w:val="clear" w:color="auto" w:fill="auto"/>
            <w:noWrap/>
            <w:vAlign w:val="bottom"/>
            <w:hideMark/>
          </w:tcPr>
          <w:p w14:paraId="716CAE94" w14:textId="77777777" w:rsidR="00D30644" w:rsidRPr="00F7521C" w:rsidRDefault="00D30644" w:rsidP="00D30644">
            <w:pPr>
              <w:jc w:val="right"/>
              <w:rPr>
                <w:sz w:val="18"/>
                <w:szCs w:val="18"/>
                <w:lang w:val="es-MX" w:eastAsia="es-MX"/>
              </w:rPr>
            </w:pPr>
            <w:r w:rsidRPr="00F7521C">
              <w:rPr>
                <w:sz w:val="18"/>
                <w:szCs w:val="18"/>
                <w:lang w:val="es-MX" w:eastAsia="es-MX"/>
              </w:rPr>
              <w:t>43.5%</w:t>
            </w:r>
          </w:p>
        </w:tc>
      </w:tr>
      <w:tr w:rsidR="00D30644" w:rsidRPr="00F7521C" w14:paraId="3C01D95E" w14:textId="77777777" w:rsidTr="00D30644">
        <w:trPr>
          <w:trHeight w:val="205"/>
        </w:trPr>
        <w:tc>
          <w:tcPr>
            <w:tcW w:w="844" w:type="dxa"/>
            <w:tcBorders>
              <w:top w:val="nil"/>
              <w:left w:val="single" w:sz="4" w:space="0" w:color="auto"/>
              <w:bottom w:val="single" w:sz="4" w:space="0" w:color="auto"/>
              <w:right w:val="single" w:sz="4" w:space="0" w:color="auto"/>
            </w:tcBorders>
            <w:shd w:val="clear" w:color="auto" w:fill="auto"/>
            <w:noWrap/>
            <w:vAlign w:val="bottom"/>
            <w:hideMark/>
          </w:tcPr>
          <w:p w14:paraId="4CCB0EE8" w14:textId="77777777" w:rsidR="00D30644" w:rsidRPr="00F7521C" w:rsidRDefault="00D30644" w:rsidP="00D30644">
            <w:pPr>
              <w:jc w:val="center"/>
              <w:rPr>
                <w:sz w:val="18"/>
                <w:szCs w:val="18"/>
                <w:lang w:val="es-MX" w:eastAsia="es-MX"/>
              </w:rPr>
            </w:pPr>
            <w:r w:rsidRPr="00F7521C">
              <w:rPr>
                <w:sz w:val="18"/>
                <w:szCs w:val="18"/>
                <w:lang w:val="es-MX" w:eastAsia="es-MX"/>
              </w:rPr>
              <w:t>9</w:t>
            </w:r>
          </w:p>
        </w:tc>
        <w:tc>
          <w:tcPr>
            <w:tcW w:w="2972" w:type="dxa"/>
            <w:tcBorders>
              <w:top w:val="nil"/>
              <w:left w:val="nil"/>
              <w:bottom w:val="single" w:sz="4" w:space="0" w:color="auto"/>
              <w:right w:val="single" w:sz="4" w:space="0" w:color="auto"/>
            </w:tcBorders>
            <w:shd w:val="clear" w:color="auto" w:fill="auto"/>
            <w:noWrap/>
            <w:vAlign w:val="bottom"/>
            <w:hideMark/>
          </w:tcPr>
          <w:p w14:paraId="2507B505" w14:textId="77777777" w:rsidR="00D30644" w:rsidRPr="00F7521C" w:rsidRDefault="00D30644" w:rsidP="00D30644">
            <w:pPr>
              <w:rPr>
                <w:sz w:val="18"/>
                <w:szCs w:val="18"/>
                <w:lang w:val="es-MX" w:eastAsia="es-MX"/>
              </w:rPr>
            </w:pPr>
            <w:r w:rsidRPr="00F7521C">
              <w:rPr>
                <w:sz w:val="18"/>
                <w:szCs w:val="18"/>
                <w:lang w:val="es-MX" w:eastAsia="es-MX"/>
              </w:rPr>
              <w:t>Materiales textiles (tejidos o telas)</w:t>
            </w:r>
          </w:p>
        </w:tc>
        <w:tc>
          <w:tcPr>
            <w:tcW w:w="848" w:type="dxa"/>
            <w:tcBorders>
              <w:top w:val="nil"/>
              <w:left w:val="nil"/>
              <w:bottom w:val="single" w:sz="4" w:space="0" w:color="auto"/>
              <w:right w:val="single" w:sz="4" w:space="0" w:color="auto"/>
            </w:tcBorders>
            <w:shd w:val="clear" w:color="auto" w:fill="auto"/>
            <w:noWrap/>
            <w:vAlign w:val="bottom"/>
            <w:hideMark/>
          </w:tcPr>
          <w:p w14:paraId="33B85962" w14:textId="77777777" w:rsidR="00D30644" w:rsidRPr="00F7521C" w:rsidRDefault="00D30644" w:rsidP="00D30644">
            <w:pPr>
              <w:jc w:val="right"/>
              <w:rPr>
                <w:sz w:val="18"/>
                <w:szCs w:val="18"/>
                <w:lang w:val="es-MX" w:eastAsia="es-MX"/>
              </w:rPr>
            </w:pPr>
            <w:r w:rsidRPr="00F7521C">
              <w:rPr>
                <w:sz w:val="18"/>
                <w:szCs w:val="18"/>
                <w:lang w:val="es-MX" w:eastAsia="es-MX"/>
              </w:rPr>
              <w:t>673</w:t>
            </w:r>
          </w:p>
        </w:tc>
        <w:tc>
          <w:tcPr>
            <w:tcW w:w="707" w:type="dxa"/>
            <w:tcBorders>
              <w:top w:val="nil"/>
              <w:left w:val="nil"/>
              <w:bottom w:val="single" w:sz="4" w:space="0" w:color="auto"/>
              <w:right w:val="single" w:sz="4" w:space="0" w:color="auto"/>
            </w:tcBorders>
            <w:shd w:val="clear" w:color="auto" w:fill="auto"/>
            <w:noWrap/>
            <w:vAlign w:val="bottom"/>
            <w:hideMark/>
          </w:tcPr>
          <w:p w14:paraId="4249D2E7" w14:textId="77777777" w:rsidR="00D30644" w:rsidRPr="00F7521C" w:rsidRDefault="00D30644" w:rsidP="00D30644">
            <w:pPr>
              <w:jc w:val="right"/>
              <w:rPr>
                <w:sz w:val="18"/>
                <w:szCs w:val="18"/>
                <w:lang w:val="es-MX" w:eastAsia="es-MX"/>
              </w:rPr>
            </w:pPr>
            <w:r w:rsidRPr="00F7521C">
              <w:rPr>
                <w:sz w:val="18"/>
                <w:szCs w:val="18"/>
                <w:lang w:val="es-MX" w:eastAsia="es-MX"/>
              </w:rPr>
              <w:t>605</w:t>
            </w:r>
          </w:p>
        </w:tc>
        <w:tc>
          <w:tcPr>
            <w:tcW w:w="707" w:type="dxa"/>
            <w:tcBorders>
              <w:top w:val="nil"/>
              <w:left w:val="nil"/>
              <w:bottom w:val="single" w:sz="4" w:space="0" w:color="auto"/>
              <w:right w:val="single" w:sz="4" w:space="0" w:color="auto"/>
            </w:tcBorders>
            <w:shd w:val="clear" w:color="auto" w:fill="auto"/>
            <w:noWrap/>
            <w:vAlign w:val="bottom"/>
            <w:hideMark/>
          </w:tcPr>
          <w:p w14:paraId="252CBAA4" w14:textId="77777777" w:rsidR="00D30644" w:rsidRPr="00F7521C" w:rsidRDefault="00D30644" w:rsidP="00D30644">
            <w:pPr>
              <w:jc w:val="right"/>
              <w:rPr>
                <w:sz w:val="18"/>
                <w:szCs w:val="18"/>
                <w:lang w:val="es-MX" w:eastAsia="es-MX"/>
              </w:rPr>
            </w:pPr>
            <w:r w:rsidRPr="00F7521C">
              <w:rPr>
                <w:sz w:val="18"/>
                <w:szCs w:val="18"/>
                <w:lang w:val="es-MX" w:eastAsia="es-MX"/>
              </w:rPr>
              <w:t>581</w:t>
            </w:r>
          </w:p>
        </w:tc>
        <w:tc>
          <w:tcPr>
            <w:tcW w:w="635" w:type="dxa"/>
            <w:tcBorders>
              <w:top w:val="nil"/>
              <w:left w:val="nil"/>
              <w:bottom w:val="single" w:sz="4" w:space="0" w:color="auto"/>
              <w:right w:val="single" w:sz="4" w:space="0" w:color="auto"/>
            </w:tcBorders>
            <w:shd w:val="clear" w:color="auto" w:fill="auto"/>
            <w:noWrap/>
            <w:vAlign w:val="bottom"/>
            <w:hideMark/>
          </w:tcPr>
          <w:p w14:paraId="4000ED6F" w14:textId="77777777" w:rsidR="00D30644" w:rsidRPr="00F7521C" w:rsidRDefault="00D30644" w:rsidP="00D30644">
            <w:pPr>
              <w:jc w:val="right"/>
              <w:rPr>
                <w:sz w:val="18"/>
                <w:szCs w:val="18"/>
                <w:lang w:val="es-MX" w:eastAsia="es-MX"/>
              </w:rPr>
            </w:pPr>
            <w:r w:rsidRPr="00F7521C">
              <w:rPr>
                <w:sz w:val="18"/>
                <w:szCs w:val="18"/>
                <w:lang w:val="es-MX" w:eastAsia="es-MX"/>
              </w:rPr>
              <w:t>605</w:t>
            </w:r>
          </w:p>
        </w:tc>
        <w:tc>
          <w:tcPr>
            <w:tcW w:w="800" w:type="dxa"/>
            <w:tcBorders>
              <w:top w:val="nil"/>
              <w:left w:val="nil"/>
              <w:bottom w:val="single" w:sz="4" w:space="0" w:color="auto"/>
              <w:right w:val="single" w:sz="4" w:space="0" w:color="auto"/>
            </w:tcBorders>
            <w:shd w:val="clear" w:color="auto" w:fill="auto"/>
            <w:noWrap/>
            <w:vAlign w:val="bottom"/>
            <w:hideMark/>
          </w:tcPr>
          <w:p w14:paraId="7EA19C94" w14:textId="77777777" w:rsidR="00D30644" w:rsidRPr="00F7521C" w:rsidRDefault="00D30644" w:rsidP="00D30644">
            <w:pPr>
              <w:jc w:val="right"/>
              <w:rPr>
                <w:sz w:val="18"/>
                <w:szCs w:val="18"/>
                <w:lang w:val="es-MX" w:eastAsia="es-MX"/>
              </w:rPr>
            </w:pPr>
            <w:r w:rsidRPr="00F7521C">
              <w:rPr>
                <w:sz w:val="18"/>
                <w:szCs w:val="18"/>
                <w:lang w:val="es-MX" w:eastAsia="es-MX"/>
              </w:rPr>
              <w:t>582</w:t>
            </w:r>
          </w:p>
        </w:tc>
        <w:tc>
          <w:tcPr>
            <w:tcW w:w="1230" w:type="dxa"/>
            <w:tcBorders>
              <w:top w:val="nil"/>
              <w:left w:val="nil"/>
              <w:bottom w:val="single" w:sz="4" w:space="0" w:color="auto"/>
              <w:right w:val="single" w:sz="4" w:space="0" w:color="auto"/>
            </w:tcBorders>
            <w:shd w:val="clear" w:color="auto" w:fill="auto"/>
            <w:noWrap/>
            <w:vAlign w:val="bottom"/>
            <w:hideMark/>
          </w:tcPr>
          <w:p w14:paraId="1900D121" w14:textId="77777777" w:rsidR="00D30644" w:rsidRPr="00F7521C" w:rsidRDefault="00D30644" w:rsidP="00D30644">
            <w:pPr>
              <w:jc w:val="right"/>
              <w:rPr>
                <w:sz w:val="18"/>
                <w:szCs w:val="18"/>
                <w:lang w:val="es-MX" w:eastAsia="es-MX"/>
              </w:rPr>
            </w:pPr>
            <w:r w:rsidRPr="00F7521C">
              <w:rPr>
                <w:sz w:val="18"/>
                <w:szCs w:val="18"/>
                <w:lang w:val="es-MX" w:eastAsia="es-MX"/>
              </w:rPr>
              <w:t>2.9%</w:t>
            </w:r>
          </w:p>
        </w:tc>
        <w:tc>
          <w:tcPr>
            <w:tcW w:w="1031" w:type="dxa"/>
            <w:tcBorders>
              <w:top w:val="nil"/>
              <w:left w:val="nil"/>
              <w:bottom w:val="single" w:sz="4" w:space="0" w:color="auto"/>
              <w:right w:val="single" w:sz="4" w:space="0" w:color="auto"/>
            </w:tcBorders>
            <w:shd w:val="clear" w:color="auto" w:fill="auto"/>
            <w:noWrap/>
            <w:vAlign w:val="bottom"/>
            <w:hideMark/>
          </w:tcPr>
          <w:p w14:paraId="4F63A01A" w14:textId="77777777" w:rsidR="00D30644" w:rsidRPr="00F7521C" w:rsidRDefault="00D30644" w:rsidP="00D30644">
            <w:pPr>
              <w:jc w:val="right"/>
              <w:rPr>
                <w:sz w:val="18"/>
                <w:szCs w:val="18"/>
                <w:lang w:val="es-MX" w:eastAsia="es-MX"/>
              </w:rPr>
            </w:pPr>
            <w:r w:rsidRPr="00F7521C">
              <w:rPr>
                <w:sz w:val="18"/>
                <w:szCs w:val="18"/>
                <w:lang w:val="es-MX" w:eastAsia="es-MX"/>
              </w:rPr>
              <w:t>46.5%</w:t>
            </w:r>
          </w:p>
        </w:tc>
      </w:tr>
      <w:tr w:rsidR="00D30644" w:rsidRPr="00F7521C" w14:paraId="69D9B34A" w14:textId="77777777" w:rsidTr="00D30644">
        <w:trPr>
          <w:trHeight w:val="205"/>
        </w:trPr>
        <w:tc>
          <w:tcPr>
            <w:tcW w:w="844" w:type="dxa"/>
            <w:tcBorders>
              <w:top w:val="nil"/>
              <w:left w:val="single" w:sz="4" w:space="0" w:color="auto"/>
              <w:bottom w:val="single" w:sz="4" w:space="0" w:color="auto"/>
              <w:right w:val="single" w:sz="4" w:space="0" w:color="auto"/>
            </w:tcBorders>
            <w:shd w:val="clear" w:color="auto" w:fill="auto"/>
            <w:noWrap/>
            <w:vAlign w:val="bottom"/>
            <w:hideMark/>
          </w:tcPr>
          <w:p w14:paraId="2DFCAF69" w14:textId="77777777" w:rsidR="00D30644" w:rsidRPr="00F7521C" w:rsidRDefault="00D30644" w:rsidP="00D30644">
            <w:pPr>
              <w:jc w:val="center"/>
              <w:rPr>
                <w:sz w:val="18"/>
                <w:szCs w:val="18"/>
                <w:lang w:val="es-MX" w:eastAsia="es-MX"/>
              </w:rPr>
            </w:pPr>
            <w:r w:rsidRPr="00F7521C">
              <w:rPr>
                <w:sz w:val="18"/>
                <w:szCs w:val="18"/>
                <w:lang w:val="es-MX" w:eastAsia="es-MX"/>
              </w:rPr>
              <w:t>10</w:t>
            </w:r>
          </w:p>
        </w:tc>
        <w:tc>
          <w:tcPr>
            <w:tcW w:w="2972" w:type="dxa"/>
            <w:tcBorders>
              <w:top w:val="nil"/>
              <w:left w:val="nil"/>
              <w:bottom w:val="single" w:sz="4" w:space="0" w:color="auto"/>
              <w:right w:val="single" w:sz="4" w:space="0" w:color="auto"/>
            </w:tcBorders>
            <w:shd w:val="clear" w:color="auto" w:fill="auto"/>
            <w:noWrap/>
            <w:vAlign w:val="bottom"/>
            <w:hideMark/>
          </w:tcPr>
          <w:p w14:paraId="51E214D4" w14:textId="77777777" w:rsidR="00D30644" w:rsidRPr="00F7521C" w:rsidRDefault="00D30644" w:rsidP="00D30644">
            <w:pPr>
              <w:rPr>
                <w:sz w:val="18"/>
                <w:szCs w:val="18"/>
                <w:lang w:val="es-MX" w:eastAsia="es-MX"/>
              </w:rPr>
            </w:pPr>
            <w:r w:rsidRPr="00F7521C">
              <w:rPr>
                <w:sz w:val="18"/>
                <w:szCs w:val="18"/>
                <w:lang w:val="es-MX" w:eastAsia="es-MX"/>
              </w:rPr>
              <w:t>Hierro y acero</w:t>
            </w:r>
          </w:p>
        </w:tc>
        <w:tc>
          <w:tcPr>
            <w:tcW w:w="848" w:type="dxa"/>
            <w:tcBorders>
              <w:top w:val="nil"/>
              <w:left w:val="nil"/>
              <w:bottom w:val="single" w:sz="4" w:space="0" w:color="auto"/>
              <w:right w:val="single" w:sz="4" w:space="0" w:color="auto"/>
            </w:tcBorders>
            <w:shd w:val="clear" w:color="auto" w:fill="auto"/>
            <w:noWrap/>
            <w:vAlign w:val="bottom"/>
            <w:hideMark/>
          </w:tcPr>
          <w:p w14:paraId="6945E001" w14:textId="77777777" w:rsidR="00D30644" w:rsidRPr="00F7521C" w:rsidRDefault="00D30644" w:rsidP="00D30644">
            <w:pPr>
              <w:jc w:val="right"/>
              <w:rPr>
                <w:sz w:val="18"/>
                <w:szCs w:val="18"/>
                <w:lang w:val="es-MX" w:eastAsia="es-MX"/>
              </w:rPr>
            </w:pPr>
            <w:r w:rsidRPr="00F7521C">
              <w:rPr>
                <w:sz w:val="18"/>
                <w:szCs w:val="18"/>
                <w:lang w:val="es-MX" w:eastAsia="es-MX"/>
              </w:rPr>
              <w:t>462</w:t>
            </w:r>
          </w:p>
        </w:tc>
        <w:tc>
          <w:tcPr>
            <w:tcW w:w="707" w:type="dxa"/>
            <w:tcBorders>
              <w:top w:val="nil"/>
              <w:left w:val="nil"/>
              <w:bottom w:val="single" w:sz="4" w:space="0" w:color="auto"/>
              <w:right w:val="single" w:sz="4" w:space="0" w:color="auto"/>
            </w:tcBorders>
            <w:shd w:val="clear" w:color="auto" w:fill="auto"/>
            <w:noWrap/>
            <w:vAlign w:val="bottom"/>
            <w:hideMark/>
          </w:tcPr>
          <w:p w14:paraId="38AF8225" w14:textId="77777777" w:rsidR="00D30644" w:rsidRPr="00F7521C" w:rsidRDefault="00D30644" w:rsidP="00D30644">
            <w:pPr>
              <w:jc w:val="right"/>
              <w:rPr>
                <w:sz w:val="18"/>
                <w:szCs w:val="18"/>
                <w:lang w:val="es-MX" w:eastAsia="es-MX"/>
              </w:rPr>
            </w:pPr>
            <w:r w:rsidRPr="00F7521C">
              <w:rPr>
                <w:sz w:val="18"/>
                <w:szCs w:val="18"/>
                <w:lang w:val="es-MX" w:eastAsia="es-MX"/>
              </w:rPr>
              <w:t>430</w:t>
            </w:r>
          </w:p>
        </w:tc>
        <w:tc>
          <w:tcPr>
            <w:tcW w:w="707" w:type="dxa"/>
            <w:tcBorders>
              <w:top w:val="nil"/>
              <w:left w:val="nil"/>
              <w:bottom w:val="single" w:sz="4" w:space="0" w:color="auto"/>
              <w:right w:val="single" w:sz="4" w:space="0" w:color="auto"/>
            </w:tcBorders>
            <w:shd w:val="clear" w:color="auto" w:fill="auto"/>
            <w:noWrap/>
            <w:vAlign w:val="bottom"/>
            <w:hideMark/>
          </w:tcPr>
          <w:p w14:paraId="4020A1FA" w14:textId="77777777" w:rsidR="00D30644" w:rsidRPr="00F7521C" w:rsidRDefault="00D30644" w:rsidP="00D30644">
            <w:pPr>
              <w:jc w:val="right"/>
              <w:rPr>
                <w:sz w:val="18"/>
                <w:szCs w:val="18"/>
                <w:lang w:val="es-MX" w:eastAsia="es-MX"/>
              </w:rPr>
            </w:pPr>
            <w:r w:rsidRPr="00F7521C">
              <w:rPr>
                <w:sz w:val="18"/>
                <w:szCs w:val="18"/>
                <w:lang w:val="es-MX" w:eastAsia="es-MX"/>
              </w:rPr>
              <w:t>503</w:t>
            </w:r>
          </w:p>
        </w:tc>
        <w:tc>
          <w:tcPr>
            <w:tcW w:w="635" w:type="dxa"/>
            <w:tcBorders>
              <w:top w:val="nil"/>
              <w:left w:val="nil"/>
              <w:bottom w:val="single" w:sz="4" w:space="0" w:color="auto"/>
              <w:right w:val="single" w:sz="4" w:space="0" w:color="auto"/>
            </w:tcBorders>
            <w:shd w:val="clear" w:color="auto" w:fill="auto"/>
            <w:noWrap/>
            <w:vAlign w:val="bottom"/>
            <w:hideMark/>
          </w:tcPr>
          <w:p w14:paraId="3EF2DA2C" w14:textId="77777777" w:rsidR="00D30644" w:rsidRPr="00F7521C" w:rsidRDefault="00D30644" w:rsidP="00D30644">
            <w:pPr>
              <w:jc w:val="right"/>
              <w:rPr>
                <w:sz w:val="18"/>
                <w:szCs w:val="18"/>
                <w:lang w:val="es-MX" w:eastAsia="es-MX"/>
              </w:rPr>
            </w:pPr>
            <w:r w:rsidRPr="00F7521C">
              <w:rPr>
                <w:sz w:val="18"/>
                <w:szCs w:val="18"/>
                <w:lang w:val="es-MX" w:eastAsia="es-MX"/>
              </w:rPr>
              <w:t>580</w:t>
            </w:r>
          </w:p>
        </w:tc>
        <w:tc>
          <w:tcPr>
            <w:tcW w:w="800" w:type="dxa"/>
            <w:tcBorders>
              <w:top w:val="nil"/>
              <w:left w:val="nil"/>
              <w:bottom w:val="single" w:sz="4" w:space="0" w:color="auto"/>
              <w:right w:val="single" w:sz="4" w:space="0" w:color="auto"/>
            </w:tcBorders>
            <w:shd w:val="clear" w:color="auto" w:fill="auto"/>
            <w:noWrap/>
            <w:vAlign w:val="bottom"/>
            <w:hideMark/>
          </w:tcPr>
          <w:p w14:paraId="05A8A879" w14:textId="77777777" w:rsidR="00D30644" w:rsidRPr="00F7521C" w:rsidRDefault="00D30644" w:rsidP="00D30644">
            <w:pPr>
              <w:jc w:val="right"/>
              <w:rPr>
                <w:sz w:val="18"/>
                <w:szCs w:val="18"/>
                <w:lang w:val="es-MX" w:eastAsia="es-MX"/>
              </w:rPr>
            </w:pPr>
            <w:r w:rsidRPr="00F7521C">
              <w:rPr>
                <w:sz w:val="18"/>
                <w:szCs w:val="18"/>
                <w:lang w:val="es-MX" w:eastAsia="es-MX"/>
              </w:rPr>
              <w:t>552</w:t>
            </w:r>
          </w:p>
        </w:tc>
        <w:tc>
          <w:tcPr>
            <w:tcW w:w="1230" w:type="dxa"/>
            <w:tcBorders>
              <w:top w:val="nil"/>
              <w:left w:val="nil"/>
              <w:bottom w:val="single" w:sz="4" w:space="0" w:color="auto"/>
              <w:right w:val="single" w:sz="4" w:space="0" w:color="auto"/>
            </w:tcBorders>
            <w:shd w:val="clear" w:color="auto" w:fill="auto"/>
            <w:noWrap/>
            <w:vAlign w:val="bottom"/>
            <w:hideMark/>
          </w:tcPr>
          <w:p w14:paraId="3253DF4F" w14:textId="77777777" w:rsidR="00D30644" w:rsidRPr="00F7521C" w:rsidRDefault="00D30644" w:rsidP="00D30644">
            <w:pPr>
              <w:jc w:val="right"/>
              <w:rPr>
                <w:sz w:val="18"/>
                <w:szCs w:val="18"/>
                <w:lang w:val="es-MX" w:eastAsia="es-MX"/>
              </w:rPr>
            </w:pPr>
            <w:r w:rsidRPr="00F7521C">
              <w:rPr>
                <w:sz w:val="18"/>
                <w:szCs w:val="18"/>
                <w:lang w:val="es-MX" w:eastAsia="es-MX"/>
              </w:rPr>
              <w:t>2.8%</w:t>
            </w:r>
          </w:p>
        </w:tc>
        <w:tc>
          <w:tcPr>
            <w:tcW w:w="1031" w:type="dxa"/>
            <w:tcBorders>
              <w:top w:val="nil"/>
              <w:left w:val="nil"/>
              <w:bottom w:val="single" w:sz="4" w:space="0" w:color="auto"/>
              <w:right w:val="single" w:sz="4" w:space="0" w:color="auto"/>
            </w:tcBorders>
            <w:shd w:val="clear" w:color="auto" w:fill="auto"/>
            <w:noWrap/>
            <w:vAlign w:val="bottom"/>
            <w:hideMark/>
          </w:tcPr>
          <w:p w14:paraId="56AA99C3" w14:textId="77777777" w:rsidR="00D30644" w:rsidRPr="00F7521C" w:rsidRDefault="00D30644" w:rsidP="00D30644">
            <w:pPr>
              <w:jc w:val="right"/>
              <w:rPr>
                <w:sz w:val="18"/>
                <w:szCs w:val="18"/>
                <w:lang w:val="es-MX" w:eastAsia="es-MX"/>
              </w:rPr>
            </w:pPr>
            <w:r w:rsidRPr="00F7521C">
              <w:rPr>
                <w:sz w:val="18"/>
                <w:szCs w:val="18"/>
                <w:lang w:val="es-MX" w:eastAsia="es-MX"/>
              </w:rPr>
              <w:t>49.2%</w:t>
            </w:r>
          </w:p>
        </w:tc>
      </w:tr>
    </w:tbl>
    <w:p w14:paraId="5FC01BD6" w14:textId="77777777" w:rsidR="00D30644" w:rsidRPr="004707AB" w:rsidRDefault="00D30644" w:rsidP="00F7521C">
      <w:pPr>
        <w:autoSpaceDE w:val="0"/>
        <w:autoSpaceDN w:val="0"/>
        <w:adjustRightInd w:val="0"/>
        <w:spacing w:line="276" w:lineRule="auto"/>
        <w:ind w:left="708"/>
        <w:jc w:val="both"/>
        <w:rPr>
          <w:rFonts w:eastAsia="OptimaLTStd"/>
          <w:color w:val="000000"/>
          <w:lang w:val="es-MX"/>
        </w:rPr>
      </w:pPr>
      <w:r w:rsidRPr="004707AB">
        <w:rPr>
          <w:rFonts w:eastAsia="OptimaLTStd"/>
          <w:color w:val="000000"/>
          <w:lang w:val="es-MX"/>
        </w:rPr>
        <w:t xml:space="preserve">   Fuente: Minfin, Dirección de Transparencia Fiscal, Cifras Banco de Guatemala.</w:t>
      </w:r>
    </w:p>
    <w:p w14:paraId="67F8C78B" w14:textId="77777777" w:rsidR="00D30644" w:rsidRPr="009562D6" w:rsidRDefault="00D30644" w:rsidP="00D30644">
      <w:pPr>
        <w:rPr>
          <w:sz w:val="24"/>
          <w:szCs w:val="24"/>
        </w:rPr>
      </w:pPr>
    </w:p>
    <w:p w14:paraId="4E0C016D" w14:textId="2F80423A" w:rsidR="00D30644" w:rsidRPr="0033794E" w:rsidRDefault="0033794E" w:rsidP="0033794E">
      <w:pPr>
        <w:pStyle w:val="Epgrafe"/>
        <w:keepNext/>
        <w:ind w:left="567" w:right="49"/>
        <w:rPr>
          <w:color w:val="auto"/>
          <w:sz w:val="24"/>
          <w:szCs w:val="24"/>
        </w:rPr>
      </w:pPr>
      <w:r w:rsidRPr="0033794E">
        <w:rPr>
          <w:color w:val="auto"/>
          <w:sz w:val="24"/>
          <w:szCs w:val="24"/>
        </w:rPr>
        <w:t>Gráfico 36</w:t>
      </w:r>
    </w:p>
    <w:p w14:paraId="3D9F9BF3" w14:textId="77777777" w:rsidR="00D30644" w:rsidRPr="0033794E" w:rsidRDefault="00D30644" w:rsidP="0033794E">
      <w:pPr>
        <w:pStyle w:val="Epgrafe"/>
        <w:keepNext/>
        <w:ind w:left="567" w:right="49"/>
        <w:rPr>
          <w:color w:val="auto"/>
          <w:sz w:val="24"/>
          <w:szCs w:val="24"/>
        </w:rPr>
      </w:pPr>
      <w:r w:rsidRPr="0033794E">
        <w:rPr>
          <w:color w:val="auto"/>
          <w:sz w:val="24"/>
          <w:szCs w:val="24"/>
        </w:rPr>
        <w:t>Importaciones desde los 10 principales países de origen en 2019</w:t>
      </w:r>
    </w:p>
    <w:p w14:paraId="2F2E7B97" w14:textId="77777777" w:rsidR="00D30644" w:rsidRPr="0033794E" w:rsidRDefault="00D30644" w:rsidP="0033794E">
      <w:pPr>
        <w:pStyle w:val="Epgrafe"/>
        <w:keepNext/>
        <w:ind w:left="567" w:right="49"/>
        <w:rPr>
          <w:color w:val="auto"/>
          <w:sz w:val="24"/>
          <w:szCs w:val="24"/>
        </w:rPr>
      </w:pPr>
      <w:r w:rsidRPr="0033794E">
        <w:rPr>
          <w:color w:val="auto"/>
          <w:sz w:val="24"/>
          <w:szCs w:val="24"/>
        </w:rPr>
        <w:t>Cifras en millones de U.S. Dólares y porcentajes</w:t>
      </w:r>
    </w:p>
    <w:p w14:paraId="2548202E" w14:textId="77777777" w:rsidR="00D30644" w:rsidRPr="009562D6" w:rsidRDefault="00D30644" w:rsidP="00D30644">
      <w:pPr>
        <w:spacing w:after="200" w:line="276" w:lineRule="auto"/>
        <w:rPr>
          <w:rFonts w:eastAsia="OptimaLTStd"/>
          <w:b/>
          <w:bCs/>
          <w:noProof/>
          <w:sz w:val="24"/>
          <w:szCs w:val="24"/>
          <w:lang w:val="es-MX"/>
        </w:rPr>
      </w:pPr>
      <w:r w:rsidRPr="009562D6">
        <w:rPr>
          <w:noProof/>
          <w:sz w:val="24"/>
          <w:szCs w:val="24"/>
          <w:lang w:val="es-ES"/>
        </w:rPr>
        <w:drawing>
          <wp:anchor distT="0" distB="0" distL="114300" distR="114300" simplePos="0" relativeHeight="251665408" behindDoc="0" locked="0" layoutInCell="1" allowOverlap="1" wp14:anchorId="70298F7B" wp14:editId="389E3660">
            <wp:simplePos x="0" y="0"/>
            <wp:positionH relativeFrom="column">
              <wp:posOffset>2814320</wp:posOffset>
            </wp:positionH>
            <wp:positionV relativeFrom="paragraph">
              <wp:posOffset>419100</wp:posOffset>
            </wp:positionV>
            <wp:extent cx="3514725" cy="2695575"/>
            <wp:effectExtent l="0" t="0" r="0" b="0"/>
            <wp:wrapNone/>
            <wp:docPr id="49" name="Gráfico 49">
              <a:extLst xmlns:a="http://schemas.openxmlformats.org/drawingml/2006/main">
                <a:ext uri="{FF2B5EF4-FFF2-40B4-BE49-F238E27FC236}">
                  <a16:creationId xmlns:a16="http://schemas.microsoft.com/office/drawing/2014/main" xmlns:w16se="http://schemas.microsoft.com/office/word/2015/wordml/symex" xmlns:w15="http://schemas.microsoft.com/office/word/2012/wordml" xmlns:w="http://schemas.openxmlformats.org/wordprocessingml/2006/main" xmlns:w10="urn:schemas-microsoft-com:office:word" xmlns:v="urn:schemas-microsoft-com:vml" xmlns:o="urn:schemas-microsoft-com:office:office" xmlns:cx="http://schemas.microsoft.com/office/drawing/2014/chartex" xmlns="" id="{0006F757-2654-40C7-8EBC-C3D1EB02B6A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14:sizeRelH relativeFrom="page">
              <wp14:pctWidth>0</wp14:pctWidth>
            </wp14:sizeRelH>
            <wp14:sizeRelV relativeFrom="page">
              <wp14:pctHeight>0</wp14:pctHeight>
            </wp14:sizeRelV>
          </wp:anchor>
        </w:drawing>
      </w:r>
      <w:r w:rsidRPr="009562D6">
        <w:rPr>
          <w:noProof/>
          <w:sz w:val="24"/>
          <w:szCs w:val="24"/>
          <w:lang w:val="es-ES"/>
        </w:rPr>
        <w:drawing>
          <wp:inline distT="0" distB="0" distL="0" distR="0" wp14:anchorId="105E706D" wp14:editId="120BAED0">
            <wp:extent cx="5971540" cy="3438525"/>
            <wp:effectExtent l="0" t="0" r="0" b="0"/>
            <wp:docPr id="17" name="Gráfico 17">
              <a:extLst xmlns:a="http://schemas.openxmlformats.org/drawingml/2006/main">
                <a:ext uri="{FF2B5EF4-FFF2-40B4-BE49-F238E27FC236}">
                  <a16:creationId xmlns:a16="http://schemas.microsoft.com/office/drawing/2014/main" xmlns:w16se="http://schemas.microsoft.com/office/word/2015/wordml/symex" xmlns:w15="http://schemas.microsoft.com/office/word/2012/wordml" xmlns:w="http://schemas.openxmlformats.org/wordprocessingml/2006/main" xmlns:w10="urn:schemas-microsoft-com:office:word" xmlns:v="urn:schemas-microsoft-com:vml" xmlns:o="urn:schemas-microsoft-com:office:office" xmlns:cx="http://schemas.microsoft.com/office/drawing/2014/chartex" xmlns="" id="{85176796-9506-4A44-B266-35CB831DF97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p w14:paraId="5B0753C2" w14:textId="77777777" w:rsidR="00D30644" w:rsidRPr="004707AB" w:rsidRDefault="00D30644" w:rsidP="00F7521C">
      <w:pPr>
        <w:spacing w:after="200" w:line="276" w:lineRule="auto"/>
        <w:ind w:left="708"/>
        <w:rPr>
          <w:rFonts w:eastAsia="OptimaLTStd"/>
          <w:color w:val="000000"/>
          <w:lang w:val="es-MX"/>
        </w:rPr>
      </w:pPr>
      <w:r w:rsidRPr="00F7521C">
        <w:rPr>
          <w:rFonts w:eastAsia="OptimaLTStd"/>
          <w:color w:val="000000"/>
          <w:sz w:val="18"/>
          <w:szCs w:val="18"/>
          <w:lang w:val="es-MX"/>
        </w:rPr>
        <w:t xml:space="preserve">   </w:t>
      </w:r>
      <w:r w:rsidRPr="004707AB">
        <w:rPr>
          <w:rFonts w:eastAsia="OptimaLTStd"/>
          <w:color w:val="000000"/>
          <w:lang w:val="es-MX"/>
        </w:rPr>
        <w:t>Fuente: Minfin, Dirección de Transparencia Fiscal, Cifras Banco de Guatemala.</w:t>
      </w:r>
    </w:p>
    <w:p w14:paraId="04035254" w14:textId="4E76017D" w:rsidR="00D30644" w:rsidRPr="00F7521C" w:rsidRDefault="00D30644" w:rsidP="00A86EFD">
      <w:pPr>
        <w:pStyle w:val="Ttulo1"/>
        <w:widowControl/>
        <w:numPr>
          <w:ilvl w:val="3"/>
          <w:numId w:val="5"/>
        </w:numPr>
        <w:ind w:right="49"/>
        <w:jc w:val="left"/>
        <w:rPr>
          <w:rFonts w:eastAsia="OptimaLTStd"/>
          <w:bCs/>
          <w:sz w:val="24"/>
          <w:szCs w:val="24"/>
          <w:lang w:val="es-MX"/>
        </w:rPr>
      </w:pPr>
      <w:r w:rsidRPr="009562D6">
        <w:rPr>
          <w:rFonts w:eastAsia="OptimaLTStd"/>
          <w:b w:val="0"/>
          <w:bCs/>
          <w:sz w:val="24"/>
          <w:szCs w:val="24"/>
          <w:lang w:val="es-MX"/>
        </w:rPr>
        <w:br w:type="page"/>
      </w:r>
      <w:bookmarkStart w:id="68" w:name="_Toc46851810"/>
      <w:bookmarkStart w:id="69" w:name="_Toc49939731"/>
      <w:r w:rsidRPr="00A86EFD">
        <w:rPr>
          <w:color w:val="auto"/>
          <w:sz w:val="24"/>
          <w:szCs w:val="24"/>
        </w:rPr>
        <w:lastRenderedPageBreak/>
        <w:t>Remesas</w:t>
      </w:r>
      <w:r w:rsidRPr="00F7521C">
        <w:rPr>
          <w:rFonts w:eastAsia="OptimaLTStd"/>
          <w:bCs/>
          <w:sz w:val="24"/>
          <w:szCs w:val="24"/>
          <w:lang w:val="es-MX"/>
        </w:rPr>
        <w:t xml:space="preserve"> familiares</w:t>
      </w:r>
      <w:bookmarkEnd w:id="68"/>
      <w:bookmarkEnd w:id="69"/>
    </w:p>
    <w:p w14:paraId="0E7A1F29" w14:textId="77777777" w:rsidR="00D30644" w:rsidRPr="009562D6" w:rsidRDefault="00D30644" w:rsidP="00D30644">
      <w:pPr>
        <w:rPr>
          <w:sz w:val="24"/>
          <w:szCs w:val="24"/>
          <w:lang w:val="es-MX"/>
        </w:rPr>
      </w:pPr>
    </w:p>
    <w:p w14:paraId="7E0A15AC" w14:textId="77777777" w:rsidR="00D30644" w:rsidRPr="00E648CF" w:rsidRDefault="00D30644" w:rsidP="00E648CF">
      <w:pPr>
        <w:pStyle w:val="Sinespaciado"/>
        <w:ind w:left="567" w:right="49"/>
        <w:jc w:val="both"/>
        <w:rPr>
          <w:rFonts w:ascii="Times New Roman" w:hAnsi="Times New Roman"/>
          <w:sz w:val="24"/>
          <w:szCs w:val="24"/>
          <w:lang w:val="es-MX"/>
        </w:rPr>
      </w:pPr>
      <w:r w:rsidRPr="00E648CF">
        <w:rPr>
          <w:rFonts w:ascii="Times New Roman" w:hAnsi="Times New Roman"/>
          <w:sz w:val="24"/>
          <w:szCs w:val="24"/>
          <w:lang w:val="es-MX"/>
        </w:rPr>
        <w:t>Los flujos de capital provenientes de las remesas familiares se han constituido en una de las fuentes de ingresos de divisas más importantes del país, además constituyen el financiamiento de un porcentaje importante del consumo e inversión. Se estima que en la actualidad 1.5 millones de guatemaltecos, viven y trabajan en los Estados Unidos. Las poblaciones de migrantes guatemaltecos son mayores en California, Florida y Nueva York. Producto de esta población migrante, las remesas durante el 2019 representaron un ingreso de divisas de U.S. Dólares 10,508.3 millones; equivalentes al 13.8% del PIB.</w:t>
      </w:r>
    </w:p>
    <w:p w14:paraId="63EE6703" w14:textId="77777777" w:rsidR="00D30644" w:rsidRPr="00E648CF" w:rsidRDefault="00D30644" w:rsidP="00E648CF">
      <w:pPr>
        <w:pStyle w:val="Sinespaciado"/>
        <w:ind w:left="567" w:right="49"/>
        <w:jc w:val="both"/>
        <w:rPr>
          <w:rFonts w:ascii="Times New Roman" w:hAnsi="Times New Roman"/>
          <w:sz w:val="24"/>
          <w:szCs w:val="24"/>
          <w:lang w:val="es-MX"/>
        </w:rPr>
      </w:pPr>
    </w:p>
    <w:p w14:paraId="4BF2BDEC" w14:textId="18C14585" w:rsidR="00D30644" w:rsidRPr="00E648CF" w:rsidRDefault="00D30644" w:rsidP="00E648CF">
      <w:pPr>
        <w:pStyle w:val="Sinespaciado"/>
        <w:ind w:left="567" w:right="49"/>
        <w:jc w:val="both"/>
        <w:rPr>
          <w:rFonts w:ascii="Times New Roman" w:hAnsi="Times New Roman"/>
          <w:sz w:val="24"/>
          <w:szCs w:val="24"/>
          <w:lang w:val="es-MX"/>
        </w:rPr>
      </w:pPr>
      <w:r w:rsidRPr="00E648CF">
        <w:rPr>
          <w:rFonts w:ascii="Times New Roman" w:hAnsi="Times New Roman"/>
          <w:sz w:val="24"/>
          <w:szCs w:val="24"/>
          <w:lang w:val="es-MX"/>
        </w:rPr>
        <w:t xml:space="preserve">De acuerdo con el Banco Mundial, las remesas son cruciales no solo para el consumo sino también para invertir en capital humano y físico. La mayoría de quienes las reciben son mujeres relativamente jóvenes que viven en áreas rurales. En aproximadamente </w:t>
      </w:r>
      <w:r w:rsidR="00F7521C" w:rsidRPr="00E648CF">
        <w:rPr>
          <w:rFonts w:ascii="Times New Roman" w:hAnsi="Times New Roman"/>
          <w:sz w:val="24"/>
          <w:szCs w:val="24"/>
          <w:lang w:val="es-MX"/>
        </w:rPr>
        <w:t xml:space="preserve">el </w:t>
      </w:r>
      <w:r w:rsidRPr="00E648CF">
        <w:rPr>
          <w:rFonts w:ascii="Times New Roman" w:hAnsi="Times New Roman"/>
          <w:sz w:val="24"/>
          <w:szCs w:val="24"/>
          <w:lang w:val="es-MX"/>
        </w:rPr>
        <w:t>60% de los casos, las remesas mantienen a miembros desempleados de familias</w:t>
      </w:r>
      <w:r w:rsidR="00F7521C" w:rsidRPr="00E648CF">
        <w:rPr>
          <w:rFonts w:ascii="Times New Roman" w:hAnsi="Times New Roman"/>
          <w:sz w:val="24"/>
          <w:szCs w:val="24"/>
          <w:lang w:val="es-MX"/>
        </w:rPr>
        <w:t>, lo que incide en que las</w:t>
      </w:r>
      <w:r w:rsidRPr="00E648CF">
        <w:rPr>
          <w:rFonts w:ascii="Times New Roman" w:hAnsi="Times New Roman"/>
          <w:sz w:val="24"/>
          <w:szCs w:val="24"/>
          <w:lang w:val="es-MX"/>
        </w:rPr>
        <w:t xml:space="preserve"> familias de migrantes no se encuentran entre las más pobres del país.</w:t>
      </w:r>
    </w:p>
    <w:p w14:paraId="3A6CECCA" w14:textId="77777777" w:rsidR="00D30644" w:rsidRPr="00E648CF" w:rsidRDefault="00D30644" w:rsidP="00E648CF">
      <w:pPr>
        <w:pStyle w:val="Sinespaciado"/>
        <w:ind w:left="567" w:right="49"/>
        <w:jc w:val="both"/>
        <w:rPr>
          <w:rFonts w:ascii="Times New Roman" w:hAnsi="Times New Roman"/>
          <w:sz w:val="24"/>
          <w:szCs w:val="24"/>
          <w:lang w:val="es-MX"/>
        </w:rPr>
      </w:pPr>
    </w:p>
    <w:p w14:paraId="7FC4C3FE" w14:textId="77777777" w:rsidR="00D30644" w:rsidRPr="00E648CF" w:rsidRDefault="00D30644" w:rsidP="00E648CF">
      <w:pPr>
        <w:pStyle w:val="Sinespaciado"/>
        <w:ind w:left="567" w:right="49"/>
        <w:jc w:val="both"/>
        <w:rPr>
          <w:rFonts w:ascii="Times New Roman" w:hAnsi="Times New Roman"/>
          <w:sz w:val="24"/>
          <w:szCs w:val="24"/>
          <w:lang w:val="es-MX"/>
        </w:rPr>
      </w:pPr>
      <w:r w:rsidRPr="00E648CF">
        <w:rPr>
          <w:rFonts w:ascii="Times New Roman" w:hAnsi="Times New Roman"/>
          <w:sz w:val="24"/>
          <w:szCs w:val="24"/>
          <w:lang w:val="es-MX"/>
        </w:rPr>
        <w:t>La evolución del mercado laboral en los Estados Unidos tiene un impacto directo en las remesas por lo que el creciente desempleo ligado a las medidas de contención social aplicadas, ocasionaron durante los primeros meses del 2020 una disminución en el flujo de remesas, los puntos más bajos se observaron en abril y mayo con variaciones interanuales en el orden de -20.2% y -14.1. Para junio se observó una considerable recuperación, sin embargo, en el acumulado se estima una disminución del 1% respecto del mismo periodo en 2019. Dentro de los escenarios proyectados, de mantenerse la tendencia, el Banco de Guatemala estima una contracción en el flujo anual de remesas en el orden del 6.5%.</w:t>
      </w:r>
    </w:p>
    <w:p w14:paraId="3A9FD378" w14:textId="77777777" w:rsidR="00D30644" w:rsidRPr="009562D6" w:rsidRDefault="00D30644" w:rsidP="00D30644">
      <w:pPr>
        <w:jc w:val="both"/>
        <w:rPr>
          <w:rFonts w:eastAsia="OptimaLTStd"/>
          <w:color w:val="000000"/>
          <w:sz w:val="24"/>
          <w:szCs w:val="24"/>
          <w:lang w:val="es-MX"/>
        </w:rPr>
      </w:pPr>
    </w:p>
    <w:p w14:paraId="20808786" w14:textId="2E3DF103" w:rsidR="00D30644" w:rsidRPr="00FC54C1" w:rsidRDefault="00FC54C1" w:rsidP="00FC54C1">
      <w:pPr>
        <w:pStyle w:val="Epgrafe"/>
        <w:keepNext/>
        <w:ind w:left="567" w:right="49"/>
        <w:rPr>
          <w:color w:val="auto"/>
          <w:sz w:val="24"/>
          <w:szCs w:val="24"/>
        </w:rPr>
      </w:pPr>
      <w:r>
        <w:rPr>
          <w:color w:val="auto"/>
          <w:sz w:val="24"/>
          <w:szCs w:val="24"/>
        </w:rPr>
        <w:t>Gráfico 37</w:t>
      </w:r>
    </w:p>
    <w:p w14:paraId="7DDBECDA" w14:textId="77777777" w:rsidR="00D30644" w:rsidRPr="00FC54C1" w:rsidRDefault="00D30644" w:rsidP="00FC54C1">
      <w:pPr>
        <w:pStyle w:val="Epgrafe"/>
        <w:keepNext/>
        <w:ind w:left="567" w:right="49"/>
        <w:rPr>
          <w:color w:val="auto"/>
          <w:sz w:val="24"/>
          <w:szCs w:val="24"/>
        </w:rPr>
      </w:pPr>
      <w:r w:rsidRPr="00FC54C1">
        <w:rPr>
          <w:color w:val="auto"/>
          <w:sz w:val="24"/>
          <w:szCs w:val="24"/>
        </w:rPr>
        <w:t xml:space="preserve">Remesas Familiares </w:t>
      </w:r>
    </w:p>
    <w:p w14:paraId="791A6AD7" w14:textId="77777777" w:rsidR="00D30644" w:rsidRPr="00FC54C1" w:rsidRDefault="00D30644" w:rsidP="00FC54C1">
      <w:pPr>
        <w:pStyle w:val="Epgrafe"/>
        <w:keepNext/>
        <w:ind w:left="567" w:right="49"/>
        <w:rPr>
          <w:color w:val="auto"/>
          <w:sz w:val="24"/>
          <w:szCs w:val="24"/>
        </w:rPr>
      </w:pPr>
      <w:r w:rsidRPr="00FC54C1">
        <w:rPr>
          <w:color w:val="auto"/>
          <w:sz w:val="24"/>
          <w:szCs w:val="24"/>
        </w:rPr>
        <w:t xml:space="preserve">Variación interanual </w:t>
      </w:r>
    </w:p>
    <w:p w14:paraId="0581BFDB" w14:textId="77777777" w:rsidR="00D30644" w:rsidRPr="00FC54C1" w:rsidRDefault="00D30644" w:rsidP="00FC54C1">
      <w:pPr>
        <w:pStyle w:val="Epgrafe"/>
        <w:keepNext/>
        <w:ind w:left="567" w:right="49"/>
        <w:rPr>
          <w:color w:val="auto"/>
          <w:sz w:val="24"/>
          <w:szCs w:val="24"/>
        </w:rPr>
      </w:pPr>
      <w:r w:rsidRPr="00FC54C1">
        <w:rPr>
          <w:color w:val="auto"/>
          <w:sz w:val="24"/>
          <w:szCs w:val="24"/>
        </w:rPr>
        <w:t>Cifras en porcentajes</w:t>
      </w:r>
    </w:p>
    <w:p w14:paraId="5DA9F0E0" w14:textId="77777777" w:rsidR="00D30644" w:rsidRPr="009562D6" w:rsidRDefault="00D30644" w:rsidP="00D30644">
      <w:pPr>
        <w:rPr>
          <w:sz w:val="24"/>
          <w:szCs w:val="24"/>
          <w:lang w:val="es-MX"/>
        </w:rPr>
      </w:pPr>
    </w:p>
    <w:p w14:paraId="5B8AA3AE" w14:textId="77777777" w:rsidR="00D30644" w:rsidRPr="009562D6" w:rsidRDefault="00D30644" w:rsidP="00E648CF">
      <w:pPr>
        <w:spacing w:after="200" w:line="276" w:lineRule="auto"/>
        <w:jc w:val="center"/>
        <w:rPr>
          <w:rFonts w:eastAsia="OptimaLTStd"/>
          <w:color w:val="000000"/>
          <w:sz w:val="24"/>
          <w:szCs w:val="24"/>
          <w:lang w:val="es-MX"/>
        </w:rPr>
      </w:pPr>
      <w:r w:rsidRPr="009562D6">
        <w:rPr>
          <w:noProof/>
          <w:sz w:val="24"/>
          <w:szCs w:val="24"/>
          <w:lang w:val="es-ES"/>
        </w:rPr>
        <w:drawing>
          <wp:inline distT="0" distB="0" distL="0" distR="0" wp14:anchorId="653E114A" wp14:editId="2CC1844D">
            <wp:extent cx="5062269" cy="2162908"/>
            <wp:effectExtent l="0" t="0" r="5080" b="8890"/>
            <wp:docPr id="1" name="Gráfico 1">
              <a:extLst xmlns:a="http://schemas.openxmlformats.org/drawingml/2006/main">
                <a:ext uri="{FF2B5EF4-FFF2-40B4-BE49-F238E27FC236}">
                  <a16:creationId xmlns:a16="http://schemas.microsoft.com/office/drawing/2014/main" xmlns:w16se="http://schemas.microsoft.com/office/word/2015/wordml/symex" xmlns:w15="http://schemas.microsoft.com/office/word/2012/wordml" xmlns:w="http://schemas.openxmlformats.org/wordprocessingml/2006/main" xmlns:w10="urn:schemas-microsoft-com:office:word" xmlns:v="urn:schemas-microsoft-com:vml" xmlns:o="urn:schemas-microsoft-com:office:office" xmlns:cx="http://schemas.microsoft.com/office/drawing/2014/chartex" xmlns="" id="{F2C05005-D9C5-4846-B12D-C3DD6099DFE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p w14:paraId="70B63009" w14:textId="77777777" w:rsidR="00D30644" w:rsidRPr="00F7521C" w:rsidRDefault="00D30644" w:rsidP="00F7521C">
      <w:pPr>
        <w:spacing w:after="200" w:line="276" w:lineRule="auto"/>
        <w:ind w:left="708"/>
        <w:rPr>
          <w:rFonts w:eastAsia="OptimaLTStd"/>
          <w:color w:val="000000"/>
          <w:sz w:val="18"/>
          <w:szCs w:val="18"/>
          <w:lang w:val="es-MX"/>
        </w:rPr>
      </w:pPr>
      <w:r w:rsidRPr="004707AB">
        <w:rPr>
          <w:rFonts w:eastAsia="OptimaLTStd"/>
          <w:color w:val="000000"/>
          <w:lang w:val="es-MX"/>
        </w:rPr>
        <w:t>Fuente: Minfin, Dirección de Transparencia Fiscal, Cifras Banco de Guatemala</w:t>
      </w:r>
      <w:r w:rsidRPr="00F7521C">
        <w:rPr>
          <w:rFonts w:eastAsia="OptimaLTStd"/>
          <w:color w:val="000000"/>
          <w:sz w:val="18"/>
          <w:szCs w:val="18"/>
          <w:lang w:val="es-MX"/>
        </w:rPr>
        <w:t>.</w:t>
      </w:r>
    </w:p>
    <w:p w14:paraId="185DC3B5" w14:textId="77777777" w:rsidR="00D30644" w:rsidRPr="00E648CF" w:rsidRDefault="00D30644" w:rsidP="00E648CF">
      <w:pPr>
        <w:pStyle w:val="Sinespaciado"/>
        <w:ind w:left="567" w:right="49"/>
        <w:jc w:val="both"/>
        <w:rPr>
          <w:rFonts w:ascii="Times New Roman" w:eastAsia="OptimaLTStd" w:hAnsi="Times New Roman"/>
          <w:color w:val="000000"/>
          <w:sz w:val="24"/>
          <w:szCs w:val="24"/>
          <w:lang w:val="es-MX"/>
        </w:rPr>
      </w:pPr>
      <w:r w:rsidRPr="009562D6">
        <w:rPr>
          <w:rFonts w:eastAsia="OptimaLTStd"/>
          <w:color w:val="000000"/>
          <w:sz w:val="24"/>
          <w:szCs w:val="24"/>
          <w:lang w:val="es-MX"/>
        </w:rPr>
        <w:br w:type="page"/>
      </w:r>
      <w:r w:rsidRPr="00E648CF">
        <w:rPr>
          <w:rFonts w:ascii="Times New Roman" w:eastAsia="OptimaLTStd" w:hAnsi="Times New Roman"/>
          <w:color w:val="000000"/>
          <w:sz w:val="24"/>
          <w:szCs w:val="24"/>
          <w:lang w:val="es-MX"/>
        </w:rPr>
        <w:lastRenderedPageBreak/>
        <w:t xml:space="preserve">Un </w:t>
      </w:r>
      <w:r w:rsidRPr="00E648CF">
        <w:rPr>
          <w:rFonts w:ascii="Times New Roman" w:hAnsi="Times New Roman"/>
          <w:sz w:val="24"/>
          <w:szCs w:val="24"/>
          <w:lang w:val="es-MX"/>
        </w:rPr>
        <w:t>estudio</w:t>
      </w:r>
      <w:r w:rsidRPr="00E648CF">
        <w:rPr>
          <w:rFonts w:ascii="Times New Roman" w:eastAsia="OptimaLTStd" w:hAnsi="Times New Roman"/>
          <w:color w:val="000000"/>
          <w:sz w:val="24"/>
          <w:szCs w:val="24"/>
          <w:lang w:val="es-MX"/>
        </w:rPr>
        <w:t xml:space="preserve"> reciente del Banco Mundial muestra los posibles canales de transmisión e impactos que tendría en el país, la disminución de las remesas. Los resultados señalan: </w:t>
      </w:r>
    </w:p>
    <w:p w14:paraId="6029A2BC" w14:textId="77777777" w:rsidR="00D30644" w:rsidRPr="00E648CF" w:rsidRDefault="00D30644" w:rsidP="00D30644">
      <w:pPr>
        <w:jc w:val="both"/>
        <w:rPr>
          <w:rFonts w:eastAsia="OptimaLTStd"/>
          <w:color w:val="000000"/>
          <w:sz w:val="24"/>
          <w:szCs w:val="24"/>
          <w:lang w:val="es-MX"/>
        </w:rPr>
      </w:pPr>
    </w:p>
    <w:p w14:paraId="3854F80A" w14:textId="77777777" w:rsidR="00D30644" w:rsidRPr="009562D6" w:rsidRDefault="00D30644" w:rsidP="00D30644">
      <w:pPr>
        <w:pStyle w:val="Prrafodelista"/>
        <w:widowControl/>
        <w:numPr>
          <w:ilvl w:val="0"/>
          <w:numId w:val="21"/>
        </w:numPr>
        <w:jc w:val="both"/>
        <w:rPr>
          <w:rFonts w:eastAsia="OptimaLTStd"/>
          <w:color w:val="000000"/>
          <w:sz w:val="24"/>
          <w:szCs w:val="24"/>
          <w:lang w:val="es-MX"/>
        </w:rPr>
      </w:pPr>
      <w:r w:rsidRPr="009562D6">
        <w:rPr>
          <w:rFonts w:eastAsia="OptimaLTStd"/>
          <w:color w:val="000000"/>
          <w:sz w:val="24"/>
          <w:szCs w:val="24"/>
          <w:lang w:val="es-MX"/>
        </w:rPr>
        <w:t xml:space="preserve">Reducción de la renta disponible de los hogares receptores, lo aminora el gasto en bienes de consumo, tanto duraderos como no duraderos. </w:t>
      </w:r>
    </w:p>
    <w:p w14:paraId="2EBC6722" w14:textId="77777777" w:rsidR="00D30644" w:rsidRPr="009562D6" w:rsidRDefault="00D30644" w:rsidP="00D30644">
      <w:pPr>
        <w:pStyle w:val="Prrafodelista"/>
        <w:jc w:val="both"/>
        <w:rPr>
          <w:rFonts w:eastAsia="OptimaLTStd"/>
          <w:color w:val="000000"/>
          <w:sz w:val="24"/>
          <w:szCs w:val="24"/>
          <w:lang w:val="es-MX"/>
        </w:rPr>
      </w:pPr>
    </w:p>
    <w:p w14:paraId="0CCD527B" w14:textId="77777777" w:rsidR="00D30644" w:rsidRPr="009562D6" w:rsidRDefault="00D30644" w:rsidP="00D30644">
      <w:pPr>
        <w:pStyle w:val="Prrafodelista"/>
        <w:widowControl/>
        <w:numPr>
          <w:ilvl w:val="0"/>
          <w:numId w:val="21"/>
        </w:numPr>
        <w:jc w:val="both"/>
        <w:rPr>
          <w:rFonts w:eastAsia="OptimaLTStd"/>
          <w:color w:val="000000"/>
          <w:sz w:val="24"/>
          <w:szCs w:val="24"/>
          <w:lang w:val="es-MX"/>
        </w:rPr>
      </w:pPr>
      <w:r w:rsidRPr="009562D6">
        <w:rPr>
          <w:rFonts w:eastAsia="OptimaLTStd"/>
          <w:color w:val="000000"/>
          <w:sz w:val="24"/>
          <w:szCs w:val="24"/>
          <w:lang w:val="es-MX"/>
        </w:rPr>
        <w:t>Reducción de la inversión privada, inversiones en capital humano y físico, a través de educación, o el establecimiento de nuevos negocios.</w:t>
      </w:r>
    </w:p>
    <w:p w14:paraId="765BD6BE" w14:textId="77777777" w:rsidR="004707AB" w:rsidRDefault="004707AB" w:rsidP="004707AB">
      <w:pPr>
        <w:pStyle w:val="Prrafodelista"/>
        <w:rPr>
          <w:rFonts w:eastAsia="OptimaLTStd"/>
          <w:color w:val="000000"/>
          <w:sz w:val="24"/>
          <w:szCs w:val="24"/>
          <w:lang w:val="es-MX"/>
        </w:rPr>
      </w:pPr>
    </w:p>
    <w:p w14:paraId="3BE1E4F7" w14:textId="77777777" w:rsidR="00D30644" w:rsidRPr="009562D6" w:rsidRDefault="00D30644" w:rsidP="00D30644">
      <w:pPr>
        <w:pStyle w:val="Prrafodelista"/>
        <w:rPr>
          <w:rFonts w:eastAsia="OptimaLTStd"/>
          <w:color w:val="000000"/>
          <w:sz w:val="24"/>
          <w:szCs w:val="24"/>
          <w:lang w:val="es-MX"/>
        </w:rPr>
      </w:pPr>
    </w:p>
    <w:p w14:paraId="6419BEFB" w14:textId="77777777" w:rsidR="00D30644" w:rsidRPr="009562D6" w:rsidRDefault="00D30644" w:rsidP="00D30644">
      <w:pPr>
        <w:pStyle w:val="Prrafodelista"/>
        <w:widowControl/>
        <w:numPr>
          <w:ilvl w:val="0"/>
          <w:numId w:val="21"/>
        </w:numPr>
        <w:jc w:val="both"/>
        <w:rPr>
          <w:rFonts w:eastAsia="OptimaLTStd"/>
          <w:color w:val="000000"/>
          <w:sz w:val="24"/>
          <w:szCs w:val="24"/>
          <w:lang w:val="es-MX"/>
        </w:rPr>
      </w:pPr>
      <w:r w:rsidRPr="009562D6">
        <w:rPr>
          <w:rFonts w:eastAsia="OptimaLTStd"/>
          <w:color w:val="000000"/>
          <w:sz w:val="24"/>
          <w:szCs w:val="24"/>
          <w:lang w:val="es-MX"/>
        </w:rPr>
        <w:t xml:space="preserve">Disminución en la actividad de la construcción, ya que muchos hogares emplean las remesas para financiar nuevas viviendas, o para renovar viviendas existentes. </w:t>
      </w:r>
    </w:p>
    <w:p w14:paraId="3C4A253E" w14:textId="77777777" w:rsidR="004707AB" w:rsidRDefault="004707AB" w:rsidP="004707AB">
      <w:pPr>
        <w:pStyle w:val="Prrafodelista"/>
        <w:rPr>
          <w:rFonts w:eastAsia="OptimaLTStd"/>
          <w:color w:val="000000"/>
          <w:sz w:val="24"/>
          <w:szCs w:val="24"/>
          <w:lang w:val="es-MX"/>
        </w:rPr>
      </w:pPr>
    </w:p>
    <w:p w14:paraId="4AC08890" w14:textId="77777777" w:rsidR="00D30644" w:rsidRPr="009562D6" w:rsidRDefault="00D30644" w:rsidP="00D30644">
      <w:pPr>
        <w:pStyle w:val="Prrafodelista"/>
        <w:rPr>
          <w:rFonts w:eastAsia="OptimaLTStd"/>
          <w:color w:val="000000"/>
          <w:sz w:val="24"/>
          <w:szCs w:val="24"/>
          <w:lang w:val="es-MX"/>
        </w:rPr>
      </w:pPr>
    </w:p>
    <w:p w14:paraId="5743CCEF" w14:textId="77777777" w:rsidR="00D30644" w:rsidRPr="009562D6" w:rsidRDefault="00D30644" w:rsidP="00D30644">
      <w:pPr>
        <w:pStyle w:val="Prrafodelista"/>
        <w:widowControl/>
        <w:numPr>
          <w:ilvl w:val="0"/>
          <w:numId w:val="21"/>
        </w:numPr>
        <w:jc w:val="both"/>
        <w:rPr>
          <w:rFonts w:eastAsia="OptimaLTStd"/>
          <w:color w:val="000000"/>
          <w:sz w:val="24"/>
          <w:szCs w:val="24"/>
          <w:lang w:val="es-MX"/>
        </w:rPr>
      </w:pPr>
      <w:r w:rsidRPr="009562D6">
        <w:rPr>
          <w:rFonts w:eastAsia="OptimaLTStd"/>
          <w:color w:val="000000"/>
          <w:sz w:val="24"/>
          <w:szCs w:val="24"/>
          <w:lang w:val="es-MX"/>
        </w:rPr>
        <w:t>En general, menos remesas se traducirían en una menor actividad económica por un consumo e inversión más débiles.</w:t>
      </w:r>
    </w:p>
    <w:p w14:paraId="03839CDC" w14:textId="77777777" w:rsidR="004707AB" w:rsidRDefault="004707AB" w:rsidP="004707AB">
      <w:pPr>
        <w:pStyle w:val="Prrafodelista"/>
        <w:rPr>
          <w:rFonts w:eastAsia="OptimaLTStd"/>
          <w:color w:val="000000"/>
          <w:sz w:val="24"/>
          <w:szCs w:val="24"/>
          <w:lang w:val="es-MX"/>
        </w:rPr>
      </w:pPr>
    </w:p>
    <w:p w14:paraId="5F19D7BF" w14:textId="77777777" w:rsidR="00D30644" w:rsidRPr="009562D6" w:rsidRDefault="00D30644" w:rsidP="00D30644">
      <w:pPr>
        <w:pStyle w:val="Prrafodelista"/>
        <w:rPr>
          <w:rFonts w:eastAsia="OptimaLTStd"/>
          <w:color w:val="000000"/>
          <w:sz w:val="24"/>
          <w:szCs w:val="24"/>
          <w:lang w:val="es-MX"/>
        </w:rPr>
      </w:pPr>
    </w:p>
    <w:p w14:paraId="7D769BF1" w14:textId="77777777" w:rsidR="00D30644" w:rsidRPr="009562D6" w:rsidRDefault="00D30644" w:rsidP="00D30644">
      <w:pPr>
        <w:pStyle w:val="Prrafodelista"/>
        <w:widowControl/>
        <w:numPr>
          <w:ilvl w:val="0"/>
          <w:numId w:val="21"/>
        </w:numPr>
        <w:jc w:val="both"/>
        <w:rPr>
          <w:rFonts w:eastAsia="OptimaLTStd"/>
          <w:color w:val="000000"/>
          <w:sz w:val="24"/>
          <w:szCs w:val="24"/>
          <w:lang w:val="es-MX"/>
        </w:rPr>
      </w:pPr>
      <w:r w:rsidRPr="009562D6">
        <w:rPr>
          <w:rFonts w:eastAsia="OptimaLTStd"/>
          <w:color w:val="000000"/>
          <w:sz w:val="24"/>
          <w:szCs w:val="24"/>
          <w:lang w:val="es-MX"/>
        </w:rPr>
        <w:t>Se debilita el saldo de cuenta corriente, reducción de las transferencias corrientes, que desempeñan un papel importante en el financiamiento del déficit de la balanza comercial.</w:t>
      </w:r>
    </w:p>
    <w:p w14:paraId="6B255586" w14:textId="77777777" w:rsidR="004707AB" w:rsidRDefault="004707AB" w:rsidP="004707AB">
      <w:pPr>
        <w:pStyle w:val="Prrafodelista"/>
        <w:rPr>
          <w:rFonts w:eastAsia="OptimaLTStd"/>
          <w:color w:val="000000"/>
          <w:sz w:val="24"/>
          <w:szCs w:val="24"/>
          <w:lang w:val="es-MX"/>
        </w:rPr>
      </w:pPr>
    </w:p>
    <w:p w14:paraId="4A49596C" w14:textId="77777777" w:rsidR="00D30644" w:rsidRPr="009562D6" w:rsidRDefault="00D30644" w:rsidP="00D30644">
      <w:pPr>
        <w:pStyle w:val="Prrafodelista"/>
        <w:rPr>
          <w:rFonts w:eastAsia="OptimaLTStd"/>
          <w:color w:val="000000"/>
          <w:sz w:val="24"/>
          <w:szCs w:val="24"/>
          <w:lang w:val="es-MX"/>
        </w:rPr>
      </w:pPr>
    </w:p>
    <w:p w14:paraId="7AF85B39" w14:textId="77777777" w:rsidR="00D30644" w:rsidRPr="009562D6" w:rsidRDefault="00D30644" w:rsidP="00D30644">
      <w:pPr>
        <w:pStyle w:val="Prrafodelista"/>
        <w:widowControl/>
        <w:numPr>
          <w:ilvl w:val="0"/>
          <w:numId w:val="21"/>
        </w:numPr>
        <w:jc w:val="both"/>
        <w:rPr>
          <w:rFonts w:eastAsia="OptimaLTStd"/>
          <w:color w:val="000000"/>
          <w:sz w:val="24"/>
          <w:szCs w:val="24"/>
          <w:lang w:val="es-MX"/>
        </w:rPr>
      </w:pPr>
      <w:r w:rsidRPr="009562D6">
        <w:rPr>
          <w:rFonts w:eastAsia="OptimaLTStd"/>
          <w:color w:val="000000"/>
          <w:sz w:val="24"/>
          <w:szCs w:val="24"/>
          <w:lang w:val="es-MX"/>
        </w:rPr>
        <w:t>Reducción de los ingresos tributarios por la reducción en el consumo y demanda agregada.</w:t>
      </w:r>
    </w:p>
    <w:p w14:paraId="124ED8F6" w14:textId="77777777" w:rsidR="004707AB" w:rsidRDefault="004707AB" w:rsidP="004707AB">
      <w:pPr>
        <w:pStyle w:val="Prrafodelista"/>
        <w:rPr>
          <w:rFonts w:eastAsia="OptimaLTStd"/>
          <w:color w:val="000000"/>
          <w:sz w:val="24"/>
          <w:szCs w:val="24"/>
          <w:lang w:val="es-MX"/>
        </w:rPr>
      </w:pPr>
    </w:p>
    <w:p w14:paraId="24D0957E" w14:textId="77777777" w:rsidR="00D30644" w:rsidRPr="009562D6" w:rsidRDefault="00D30644" w:rsidP="00D30644">
      <w:pPr>
        <w:pStyle w:val="Prrafodelista"/>
        <w:rPr>
          <w:rFonts w:eastAsia="OptimaLTStd"/>
          <w:color w:val="000000"/>
          <w:sz w:val="24"/>
          <w:szCs w:val="24"/>
          <w:lang w:val="es-MX"/>
        </w:rPr>
      </w:pPr>
    </w:p>
    <w:p w14:paraId="7103B8F2" w14:textId="77777777" w:rsidR="00D30644" w:rsidRPr="009562D6" w:rsidRDefault="00D30644" w:rsidP="00D30644">
      <w:pPr>
        <w:pStyle w:val="Prrafodelista"/>
        <w:widowControl/>
        <w:numPr>
          <w:ilvl w:val="0"/>
          <w:numId w:val="21"/>
        </w:numPr>
        <w:jc w:val="both"/>
        <w:rPr>
          <w:rFonts w:eastAsia="OptimaLTStd"/>
          <w:color w:val="000000"/>
          <w:sz w:val="24"/>
          <w:szCs w:val="24"/>
          <w:lang w:val="es-MX"/>
        </w:rPr>
      </w:pPr>
      <w:r w:rsidRPr="009562D6">
        <w:rPr>
          <w:rFonts w:eastAsia="OptimaLTStd"/>
          <w:color w:val="000000"/>
          <w:sz w:val="24"/>
          <w:szCs w:val="24"/>
          <w:lang w:val="es-MX"/>
        </w:rPr>
        <w:t>Incremento en el déficit o reducción del gasto social por la reducción en ingresos fiscales.</w:t>
      </w:r>
    </w:p>
    <w:p w14:paraId="75E622C4" w14:textId="77777777" w:rsidR="004707AB" w:rsidRDefault="004707AB" w:rsidP="004707AB">
      <w:pPr>
        <w:pStyle w:val="Prrafodelista"/>
        <w:rPr>
          <w:rFonts w:eastAsia="OptimaLTStd"/>
          <w:color w:val="000000"/>
          <w:sz w:val="24"/>
          <w:szCs w:val="24"/>
          <w:lang w:val="es-MX"/>
        </w:rPr>
      </w:pPr>
    </w:p>
    <w:p w14:paraId="36DB0244" w14:textId="77777777" w:rsidR="00D30644" w:rsidRPr="009562D6" w:rsidRDefault="00D30644" w:rsidP="00D30644">
      <w:pPr>
        <w:pStyle w:val="Prrafodelista"/>
        <w:rPr>
          <w:rFonts w:eastAsia="OptimaLTStd"/>
          <w:color w:val="000000"/>
          <w:sz w:val="24"/>
          <w:szCs w:val="24"/>
          <w:lang w:val="es-MX"/>
        </w:rPr>
      </w:pPr>
    </w:p>
    <w:p w14:paraId="0AF2C957" w14:textId="77777777" w:rsidR="00D30644" w:rsidRPr="009562D6" w:rsidRDefault="00D30644" w:rsidP="00D30644">
      <w:pPr>
        <w:pStyle w:val="Prrafodelista"/>
        <w:widowControl/>
        <w:numPr>
          <w:ilvl w:val="0"/>
          <w:numId w:val="21"/>
        </w:numPr>
        <w:jc w:val="both"/>
        <w:rPr>
          <w:rFonts w:eastAsia="OptimaLTStd"/>
          <w:color w:val="000000"/>
          <w:sz w:val="24"/>
          <w:szCs w:val="24"/>
          <w:lang w:val="es-MX"/>
        </w:rPr>
      </w:pPr>
      <w:r w:rsidRPr="009562D6">
        <w:rPr>
          <w:rFonts w:eastAsia="OptimaLTStd"/>
          <w:color w:val="000000"/>
          <w:sz w:val="24"/>
          <w:szCs w:val="24"/>
          <w:lang w:val="es-MX"/>
        </w:rPr>
        <w:t>Presiones de depreciación sobre el quetzal, intervención del Banguat para sostener el valor de la moneda, lo que impactaría negativamente en las reservas internacionales.</w:t>
      </w:r>
    </w:p>
    <w:p w14:paraId="18D0AB66" w14:textId="77777777" w:rsidR="004707AB" w:rsidRDefault="004707AB" w:rsidP="004707AB">
      <w:pPr>
        <w:pStyle w:val="Prrafodelista"/>
        <w:rPr>
          <w:rFonts w:eastAsia="OptimaLTStd"/>
          <w:color w:val="000000"/>
          <w:sz w:val="24"/>
          <w:szCs w:val="24"/>
          <w:lang w:val="es-MX"/>
        </w:rPr>
      </w:pPr>
    </w:p>
    <w:p w14:paraId="1F22D1E5" w14:textId="77777777" w:rsidR="00D30644" w:rsidRPr="009562D6" w:rsidRDefault="00D30644" w:rsidP="00D30644">
      <w:pPr>
        <w:jc w:val="both"/>
        <w:rPr>
          <w:rFonts w:eastAsia="OptimaLTStd"/>
          <w:color w:val="000000"/>
          <w:sz w:val="24"/>
          <w:szCs w:val="24"/>
          <w:lang w:val="es-MX"/>
        </w:rPr>
      </w:pPr>
    </w:p>
    <w:p w14:paraId="4B856D8C" w14:textId="77777777" w:rsidR="00F7521C" w:rsidRDefault="00F7521C">
      <w:pPr>
        <w:widowControl/>
        <w:spacing w:after="200" w:line="276" w:lineRule="auto"/>
        <w:rPr>
          <w:rFonts w:eastAsia="OptimaLTStd"/>
          <w:color w:val="000000"/>
          <w:sz w:val="24"/>
          <w:szCs w:val="24"/>
          <w:lang w:val="es-MX"/>
        </w:rPr>
      </w:pPr>
      <w:r>
        <w:rPr>
          <w:rFonts w:eastAsia="OptimaLTStd"/>
          <w:color w:val="000000"/>
          <w:sz w:val="24"/>
          <w:szCs w:val="24"/>
          <w:lang w:val="es-MX"/>
        </w:rPr>
        <w:br w:type="page"/>
      </w:r>
    </w:p>
    <w:p w14:paraId="79A7B3D1" w14:textId="77777777" w:rsidR="00FC54C1" w:rsidRDefault="00FC54C1" w:rsidP="00FC54C1">
      <w:pPr>
        <w:pStyle w:val="Epgrafe"/>
        <w:keepNext/>
        <w:ind w:left="567" w:right="49"/>
        <w:rPr>
          <w:color w:val="auto"/>
          <w:sz w:val="24"/>
          <w:szCs w:val="24"/>
        </w:rPr>
      </w:pPr>
    </w:p>
    <w:p w14:paraId="15DAF604" w14:textId="2DA04C9B" w:rsidR="00D30644" w:rsidRPr="00FC54C1" w:rsidRDefault="00FC54C1" w:rsidP="00FC54C1">
      <w:pPr>
        <w:pStyle w:val="Epgrafe"/>
        <w:keepNext/>
        <w:ind w:left="567" w:right="49"/>
        <w:rPr>
          <w:color w:val="auto"/>
          <w:sz w:val="24"/>
          <w:szCs w:val="24"/>
        </w:rPr>
      </w:pPr>
      <w:r>
        <w:rPr>
          <w:color w:val="auto"/>
          <w:sz w:val="24"/>
          <w:szCs w:val="24"/>
        </w:rPr>
        <w:t>Gráfico 38</w:t>
      </w:r>
    </w:p>
    <w:p w14:paraId="0C1CB74C" w14:textId="1960BD9C" w:rsidR="00D30644" w:rsidRDefault="00D30644" w:rsidP="00FC54C1">
      <w:pPr>
        <w:pStyle w:val="Epgrafe"/>
        <w:keepNext/>
        <w:ind w:left="567" w:right="49"/>
        <w:rPr>
          <w:color w:val="auto"/>
          <w:sz w:val="24"/>
          <w:szCs w:val="24"/>
        </w:rPr>
      </w:pPr>
      <w:r w:rsidRPr="00FC54C1">
        <w:rPr>
          <w:color w:val="auto"/>
          <w:sz w:val="24"/>
          <w:szCs w:val="24"/>
        </w:rPr>
        <w:t>Canales de transmisión de una caída en las remesas</w:t>
      </w:r>
    </w:p>
    <w:p w14:paraId="2F56BD13" w14:textId="77777777" w:rsidR="00FC54C1" w:rsidRPr="00FC54C1" w:rsidRDefault="00FC54C1" w:rsidP="00FC54C1">
      <w:pPr>
        <w:rPr>
          <w:rFonts w:eastAsia="OptimaLTStd"/>
        </w:rPr>
      </w:pPr>
    </w:p>
    <w:p w14:paraId="44B088CB" w14:textId="77777777" w:rsidR="00D30644" w:rsidRPr="009562D6" w:rsidRDefault="00D30644" w:rsidP="00F7521C">
      <w:pPr>
        <w:jc w:val="right"/>
        <w:rPr>
          <w:rFonts w:eastAsia="OptimaLTStd"/>
          <w:color w:val="000000"/>
          <w:sz w:val="24"/>
          <w:szCs w:val="24"/>
          <w:lang w:val="es-MX"/>
        </w:rPr>
      </w:pPr>
      <w:r w:rsidRPr="009562D6">
        <w:rPr>
          <w:noProof/>
          <w:sz w:val="24"/>
          <w:szCs w:val="24"/>
          <w:lang w:val="es-ES"/>
        </w:rPr>
        <w:drawing>
          <wp:inline distT="0" distB="0" distL="0" distR="0" wp14:anchorId="03D0C532" wp14:editId="0B515A78">
            <wp:extent cx="5880051" cy="3146862"/>
            <wp:effectExtent l="0" t="0" r="6985" b="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
                    <a:srcRect l="29687" t="29417" r="16531" b="16547"/>
                    <a:stretch/>
                  </pic:blipFill>
                  <pic:spPr bwMode="auto">
                    <a:xfrm>
                      <a:off x="0" y="0"/>
                      <a:ext cx="5995721" cy="3208766"/>
                    </a:xfrm>
                    <a:prstGeom prst="rect">
                      <a:avLst/>
                    </a:prstGeom>
                    <a:ln>
                      <a:noFill/>
                    </a:ln>
                    <a:extLst>
                      <a:ext uri="{53640926-AAD7-44D8-BBD7-CCE9431645EC}">
                        <a14:shadowObscured xmlns:a14="http://schemas.microsoft.com/office/drawing/2010/main"/>
                      </a:ext>
                    </a:extLst>
                  </pic:spPr>
                </pic:pic>
              </a:graphicData>
            </a:graphic>
          </wp:inline>
        </w:drawing>
      </w:r>
    </w:p>
    <w:p w14:paraId="437CB7B3" w14:textId="77777777" w:rsidR="00D30644" w:rsidRPr="00F7521C" w:rsidRDefault="00D30644" w:rsidP="00D30644">
      <w:pPr>
        <w:spacing w:after="200" w:line="276" w:lineRule="auto"/>
        <w:rPr>
          <w:rFonts w:eastAsia="OptimaLTStd"/>
          <w:color w:val="000000"/>
          <w:sz w:val="18"/>
          <w:szCs w:val="18"/>
          <w:lang w:val="es-MX"/>
        </w:rPr>
      </w:pPr>
      <w:r w:rsidRPr="00F7521C">
        <w:rPr>
          <w:rFonts w:eastAsia="OptimaLTStd"/>
          <w:color w:val="000000"/>
          <w:sz w:val="18"/>
          <w:szCs w:val="18"/>
          <w:lang w:val="es-MX"/>
        </w:rPr>
        <w:t xml:space="preserve">            </w:t>
      </w:r>
      <w:r w:rsidRPr="004707AB">
        <w:rPr>
          <w:rFonts w:eastAsia="OptimaLTStd"/>
          <w:color w:val="000000"/>
          <w:lang w:val="es-MX"/>
        </w:rPr>
        <w:t>Fuente: Adaptado de Banco Mundial, 2014</w:t>
      </w:r>
      <w:r w:rsidRPr="00F7521C">
        <w:rPr>
          <w:rFonts w:eastAsia="OptimaLTStd"/>
          <w:color w:val="000000"/>
          <w:sz w:val="18"/>
          <w:szCs w:val="18"/>
          <w:lang w:val="es-MX"/>
        </w:rPr>
        <w:t>.</w:t>
      </w:r>
    </w:p>
    <w:p w14:paraId="22A033B5" w14:textId="77777777" w:rsidR="00D30644" w:rsidRPr="00F7521C" w:rsidRDefault="00D30644" w:rsidP="00A86EFD">
      <w:pPr>
        <w:pStyle w:val="Ttulo1"/>
        <w:widowControl/>
        <w:numPr>
          <w:ilvl w:val="3"/>
          <w:numId w:val="5"/>
        </w:numPr>
        <w:ind w:right="49"/>
        <w:jc w:val="left"/>
        <w:rPr>
          <w:rFonts w:eastAsia="OptimaLTStd"/>
          <w:b w:val="0"/>
          <w:bCs/>
          <w:sz w:val="24"/>
          <w:szCs w:val="24"/>
          <w:lang w:val="es-MX"/>
        </w:rPr>
      </w:pPr>
      <w:bookmarkStart w:id="70" w:name="_Toc46851811"/>
      <w:bookmarkStart w:id="71" w:name="_Toc49939732"/>
      <w:r w:rsidRPr="00A86EFD">
        <w:rPr>
          <w:color w:val="auto"/>
          <w:sz w:val="24"/>
          <w:szCs w:val="24"/>
        </w:rPr>
        <w:t>Turismo</w:t>
      </w:r>
      <w:r w:rsidRPr="00F7521C">
        <w:rPr>
          <w:rFonts w:eastAsia="OptimaLTStd"/>
          <w:bCs/>
          <w:sz w:val="24"/>
          <w:szCs w:val="24"/>
          <w:lang w:val="es-MX"/>
        </w:rPr>
        <w:t xml:space="preserve"> y Viajes</w:t>
      </w:r>
      <w:bookmarkEnd w:id="70"/>
      <w:bookmarkEnd w:id="71"/>
    </w:p>
    <w:p w14:paraId="76EC6CE2" w14:textId="25736771" w:rsidR="00D30644" w:rsidRDefault="00D30644" w:rsidP="00D30644">
      <w:pPr>
        <w:rPr>
          <w:sz w:val="24"/>
          <w:szCs w:val="24"/>
          <w:lang w:val="es-MX"/>
        </w:rPr>
      </w:pPr>
    </w:p>
    <w:p w14:paraId="4912C940" w14:textId="6EEF5DB0" w:rsidR="00B832E1" w:rsidRPr="00E648CF" w:rsidRDefault="00B832E1" w:rsidP="00E648CF">
      <w:pPr>
        <w:pStyle w:val="Sinespaciado"/>
        <w:ind w:left="567" w:right="49"/>
        <w:jc w:val="both"/>
        <w:rPr>
          <w:rFonts w:ascii="Times New Roman" w:hAnsi="Times New Roman"/>
          <w:sz w:val="24"/>
          <w:szCs w:val="24"/>
          <w:lang w:val="es-MX"/>
        </w:rPr>
      </w:pPr>
      <w:r w:rsidRPr="00E648CF">
        <w:rPr>
          <w:rFonts w:ascii="Times New Roman" w:hAnsi="Times New Roman"/>
          <w:sz w:val="24"/>
          <w:szCs w:val="24"/>
          <w:lang w:val="es-MX"/>
        </w:rPr>
        <w:t>La pandemia del coronavirus debido al cierre de fronteras y las restricciones internas de movilidad ha paralizado sectores clave como el turismo. Este sector es uno de los primeros y más afectados de la economía. Según la Organización Mundial del Turismo (OMT, 2020), las llegadas de turistas internacionales para América Latina, pueden disminuir entre un 58% y un 78% en 2020.</w:t>
      </w:r>
    </w:p>
    <w:p w14:paraId="1E38E368" w14:textId="77777777" w:rsidR="00B832E1" w:rsidRPr="00E648CF" w:rsidRDefault="00B832E1" w:rsidP="00E648CF">
      <w:pPr>
        <w:pStyle w:val="Sinespaciado"/>
        <w:ind w:left="567" w:right="49"/>
        <w:jc w:val="both"/>
        <w:rPr>
          <w:rFonts w:ascii="Times New Roman" w:hAnsi="Times New Roman"/>
          <w:sz w:val="24"/>
          <w:szCs w:val="24"/>
          <w:lang w:val="es-MX"/>
        </w:rPr>
      </w:pPr>
    </w:p>
    <w:p w14:paraId="02490B76" w14:textId="31005626" w:rsidR="00B832E1" w:rsidRPr="00E648CF" w:rsidRDefault="00B832E1" w:rsidP="00E648CF">
      <w:pPr>
        <w:pStyle w:val="Sinespaciado"/>
        <w:ind w:left="567" w:right="49"/>
        <w:jc w:val="both"/>
        <w:rPr>
          <w:rFonts w:ascii="Times New Roman" w:hAnsi="Times New Roman"/>
          <w:sz w:val="24"/>
          <w:szCs w:val="24"/>
          <w:lang w:val="es-MX"/>
        </w:rPr>
      </w:pPr>
      <w:r w:rsidRPr="00E648CF">
        <w:rPr>
          <w:rFonts w:ascii="Times New Roman" w:hAnsi="Times New Roman"/>
          <w:sz w:val="24"/>
          <w:szCs w:val="24"/>
          <w:lang w:val="es-MX"/>
        </w:rPr>
        <w:t xml:space="preserve">El turismo es un generador clave de divisas, ingresos y empleo directo e indirecto en toda la región, además de aportar un porcentaje importante de las exportaciones totales (bienes y servicios). </w:t>
      </w:r>
    </w:p>
    <w:p w14:paraId="0954FAD8" w14:textId="1C27DC9B" w:rsidR="00B832E1" w:rsidRPr="00E648CF" w:rsidRDefault="00B832E1" w:rsidP="00E648CF">
      <w:pPr>
        <w:pStyle w:val="Sinespaciado"/>
        <w:ind w:left="567" w:right="49"/>
        <w:jc w:val="both"/>
        <w:rPr>
          <w:rFonts w:ascii="Times New Roman" w:hAnsi="Times New Roman"/>
          <w:sz w:val="24"/>
          <w:szCs w:val="24"/>
          <w:lang w:val="es-MX"/>
        </w:rPr>
      </w:pPr>
    </w:p>
    <w:p w14:paraId="52184A48" w14:textId="77777777" w:rsidR="00B832E1" w:rsidRPr="00E648CF" w:rsidRDefault="00B832E1" w:rsidP="00E648CF">
      <w:pPr>
        <w:pStyle w:val="Sinespaciado"/>
        <w:ind w:left="567" w:right="49"/>
        <w:jc w:val="both"/>
        <w:rPr>
          <w:rFonts w:ascii="Times New Roman" w:hAnsi="Times New Roman"/>
          <w:sz w:val="24"/>
          <w:szCs w:val="24"/>
          <w:lang w:val="es-MX"/>
        </w:rPr>
      </w:pPr>
      <w:r w:rsidRPr="00E648CF">
        <w:rPr>
          <w:rFonts w:ascii="Times New Roman" w:hAnsi="Times New Roman"/>
          <w:sz w:val="24"/>
          <w:szCs w:val="24"/>
          <w:lang w:val="es-MX"/>
        </w:rPr>
        <w:t>La OMT, publicó una evaluación a marzo 2020 sobre el impacto de la COVID-19 en el turismo internacional, en la cual toma en consideración que nunca se habían introducido restricciones de viaje en todo el mundo simultáneamente, previendo que las llegadas de turistas internacionales podrían reducirse hasta en un 30% en 2020, en comparación con las cifras de 2019, destacando que se trata de estimaciones que deben interpretarse con cautela a la luz de la magnitud de la crisis, la inestabilidad y la falta de precedentes.</w:t>
      </w:r>
    </w:p>
    <w:p w14:paraId="4046D943" w14:textId="77777777" w:rsidR="00B832E1" w:rsidRPr="00E648CF" w:rsidRDefault="00B832E1" w:rsidP="00E648CF">
      <w:pPr>
        <w:pStyle w:val="Sinespaciado"/>
        <w:ind w:left="567" w:right="49"/>
        <w:jc w:val="both"/>
        <w:rPr>
          <w:rFonts w:ascii="Times New Roman" w:hAnsi="Times New Roman"/>
          <w:sz w:val="24"/>
          <w:szCs w:val="24"/>
          <w:lang w:val="es-MX"/>
        </w:rPr>
      </w:pPr>
    </w:p>
    <w:p w14:paraId="671A1AE7" w14:textId="10070180" w:rsidR="00D30644" w:rsidRPr="00E648CF" w:rsidRDefault="00D30644" w:rsidP="00E648CF">
      <w:pPr>
        <w:pStyle w:val="Sinespaciado"/>
        <w:ind w:left="567" w:right="49"/>
        <w:jc w:val="both"/>
        <w:rPr>
          <w:rFonts w:ascii="Times New Roman" w:hAnsi="Times New Roman"/>
          <w:sz w:val="24"/>
          <w:szCs w:val="24"/>
          <w:lang w:val="es-MX"/>
        </w:rPr>
      </w:pPr>
      <w:r w:rsidRPr="00E648CF">
        <w:rPr>
          <w:rFonts w:ascii="Times New Roman" w:hAnsi="Times New Roman"/>
          <w:sz w:val="24"/>
          <w:szCs w:val="24"/>
          <w:lang w:val="es-MX"/>
        </w:rPr>
        <w:t xml:space="preserve">De acuerdo con la Cámara de Turismo CAMTUR, la Semana Santa es una de las épocas donde más se dinamiza la economía formal e informal y también representa uno de los picos altos del turismo en el país. Debido al cierre de fronteras y la restricción de la movilidad interna en el </w:t>
      </w:r>
      <w:r w:rsidRPr="00E648CF">
        <w:rPr>
          <w:rFonts w:ascii="Times New Roman" w:hAnsi="Times New Roman"/>
          <w:sz w:val="24"/>
          <w:szCs w:val="24"/>
          <w:lang w:val="es-MX"/>
        </w:rPr>
        <w:lastRenderedPageBreak/>
        <w:t>país, CAMTUR estim</w:t>
      </w:r>
      <w:r w:rsidR="00F7521C" w:rsidRPr="00E648CF">
        <w:rPr>
          <w:rFonts w:ascii="Times New Roman" w:hAnsi="Times New Roman"/>
          <w:sz w:val="24"/>
          <w:szCs w:val="24"/>
          <w:lang w:val="es-MX"/>
        </w:rPr>
        <w:t>ó</w:t>
      </w:r>
      <w:r w:rsidRPr="00E648CF">
        <w:rPr>
          <w:rFonts w:ascii="Times New Roman" w:hAnsi="Times New Roman"/>
          <w:sz w:val="24"/>
          <w:szCs w:val="24"/>
          <w:lang w:val="es-MX"/>
        </w:rPr>
        <w:t xml:space="preserve"> que en abril se dejar</w:t>
      </w:r>
      <w:r w:rsidR="00F7521C" w:rsidRPr="00E648CF">
        <w:rPr>
          <w:rFonts w:ascii="Times New Roman" w:hAnsi="Times New Roman"/>
          <w:sz w:val="24"/>
          <w:szCs w:val="24"/>
          <w:lang w:val="es-MX"/>
        </w:rPr>
        <w:t>on</w:t>
      </w:r>
      <w:r w:rsidRPr="00E648CF">
        <w:rPr>
          <w:rFonts w:ascii="Times New Roman" w:hAnsi="Times New Roman"/>
          <w:sz w:val="24"/>
          <w:szCs w:val="24"/>
          <w:lang w:val="es-MX"/>
        </w:rPr>
        <w:t xml:space="preserve"> de percibir cerca de 200 millones de U.S.</w:t>
      </w:r>
      <w:r w:rsidR="00B832E1" w:rsidRPr="00E648CF">
        <w:rPr>
          <w:rFonts w:ascii="Times New Roman" w:hAnsi="Times New Roman"/>
          <w:sz w:val="24"/>
          <w:szCs w:val="24"/>
          <w:lang w:val="es-MX"/>
        </w:rPr>
        <w:t xml:space="preserve"> </w:t>
      </w:r>
      <w:r w:rsidRPr="00E648CF">
        <w:rPr>
          <w:rFonts w:ascii="Times New Roman" w:hAnsi="Times New Roman"/>
          <w:sz w:val="24"/>
          <w:szCs w:val="24"/>
          <w:lang w:val="es-MX"/>
        </w:rPr>
        <w:t>Dólares.</w:t>
      </w:r>
    </w:p>
    <w:p w14:paraId="77D155C0" w14:textId="77777777" w:rsidR="00B832E1" w:rsidRPr="00E648CF" w:rsidRDefault="00B832E1" w:rsidP="00E648CF">
      <w:pPr>
        <w:pStyle w:val="Sinespaciado"/>
        <w:ind w:left="567" w:right="49"/>
        <w:jc w:val="both"/>
        <w:rPr>
          <w:rFonts w:ascii="Times New Roman" w:hAnsi="Times New Roman"/>
          <w:sz w:val="24"/>
          <w:szCs w:val="24"/>
          <w:lang w:val="es-MX"/>
        </w:rPr>
      </w:pPr>
    </w:p>
    <w:p w14:paraId="6F86F30C" w14:textId="77777777" w:rsidR="00D30644" w:rsidRPr="00E648CF" w:rsidRDefault="00D30644" w:rsidP="00E648CF">
      <w:pPr>
        <w:pStyle w:val="Sinespaciado"/>
        <w:ind w:left="567" w:right="49"/>
        <w:jc w:val="both"/>
        <w:rPr>
          <w:rFonts w:ascii="Times New Roman" w:hAnsi="Times New Roman"/>
          <w:sz w:val="24"/>
          <w:szCs w:val="24"/>
          <w:lang w:val="es-MX"/>
        </w:rPr>
      </w:pPr>
    </w:p>
    <w:p w14:paraId="2726F91D" w14:textId="34D3A72E" w:rsidR="00D30644" w:rsidRPr="00E648CF" w:rsidRDefault="00D30644" w:rsidP="00E648CF">
      <w:pPr>
        <w:pStyle w:val="Sinespaciado"/>
        <w:ind w:left="567" w:right="49"/>
        <w:jc w:val="both"/>
        <w:rPr>
          <w:rFonts w:ascii="Times New Roman" w:hAnsi="Times New Roman"/>
          <w:sz w:val="24"/>
          <w:szCs w:val="24"/>
          <w:lang w:val="es-MX"/>
        </w:rPr>
      </w:pPr>
      <w:r w:rsidRPr="00E648CF">
        <w:rPr>
          <w:rFonts w:ascii="Times New Roman" w:hAnsi="Times New Roman"/>
          <w:sz w:val="24"/>
          <w:szCs w:val="24"/>
          <w:lang w:val="es-MX"/>
        </w:rPr>
        <w:t>Por su parte, la Comisión de Turismo Sostenible de la Asociación de Exportadores de Guatemala (Agexport), indic</w:t>
      </w:r>
      <w:r w:rsidR="00F7521C" w:rsidRPr="00E648CF">
        <w:rPr>
          <w:rFonts w:ascii="Times New Roman" w:hAnsi="Times New Roman"/>
          <w:sz w:val="24"/>
          <w:szCs w:val="24"/>
          <w:lang w:val="es-MX"/>
        </w:rPr>
        <w:t>ó</w:t>
      </w:r>
      <w:r w:rsidRPr="00E648CF">
        <w:rPr>
          <w:rFonts w:ascii="Times New Roman" w:hAnsi="Times New Roman"/>
          <w:sz w:val="24"/>
          <w:szCs w:val="24"/>
          <w:lang w:val="es-MX"/>
        </w:rPr>
        <w:t xml:space="preserve"> que </w:t>
      </w:r>
      <w:r w:rsidR="00F7521C" w:rsidRPr="00E648CF">
        <w:rPr>
          <w:rFonts w:ascii="Times New Roman" w:hAnsi="Times New Roman"/>
          <w:sz w:val="24"/>
          <w:szCs w:val="24"/>
          <w:lang w:val="es-MX"/>
        </w:rPr>
        <w:t>se realizaron</w:t>
      </w:r>
      <w:r w:rsidRPr="00E648CF">
        <w:rPr>
          <w:rFonts w:ascii="Times New Roman" w:hAnsi="Times New Roman"/>
          <w:sz w:val="24"/>
          <w:szCs w:val="24"/>
          <w:lang w:val="es-MX"/>
        </w:rPr>
        <w:t xml:space="preserve"> encuestas que revelan que tres de cada cinco hoteles han cerrado sus puertas. Si la condición prevalece, para finales de abril se estima una caída del 60% en comparación a 2019. </w:t>
      </w:r>
    </w:p>
    <w:p w14:paraId="36C15013" w14:textId="77777777" w:rsidR="00B832E1" w:rsidRPr="00E648CF" w:rsidRDefault="00B832E1" w:rsidP="00E648CF">
      <w:pPr>
        <w:pStyle w:val="Sinespaciado"/>
        <w:ind w:left="567" w:right="49"/>
        <w:jc w:val="both"/>
        <w:rPr>
          <w:rFonts w:ascii="Times New Roman" w:hAnsi="Times New Roman"/>
          <w:sz w:val="24"/>
          <w:szCs w:val="24"/>
          <w:lang w:val="es-MX"/>
        </w:rPr>
      </w:pPr>
    </w:p>
    <w:p w14:paraId="1D2F9ACA" w14:textId="5CE5478E" w:rsidR="00D30644" w:rsidRPr="00E648CF" w:rsidRDefault="00B832E1" w:rsidP="00E648CF">
      <w:pPr>
        <w:pStyle w:val="Sinespaciado"/>
        <w:ind w:left="567" w:right="49"/>
        <w:jc w:val="both"/>
        <w:rPr>
          <w:rFonts w:ascii="Times New Roman" w:hAnsi="Times New Roman"/>
          <w:sz w:val="24"/>
          <w:szCs w:val="24"/>
          <w:lang w:val="es-MX"/>
        </w:rPr>
      </w:pPr>
      <w:r w:rsidRPr="00E648CF">
        <w:rPr>
          <w:rFonts w:ascii="Times New Roman" w:hAnsi="Times New Roman"/>
          <w:sz w:val="24"/>
          <w:szCs w:val="24"/>
          <w:lang w:val="es-MX"/>
        </w:rPr>
        <w:t>En encuestas recientes elaboradas por ASIES al sector turismo, se evidencia que la crisis ha afectado de manera directa y fuerte tanto a las empresas como a las personas que dependen de esta actividad económica. Muchas empresas han cerrado sus operaciones, ha habido un número de despidos importante y la percepción de los empresarios y trabajadores del sector, de mantenerse la situación actual, es negativa, dado que las empresas han expresado que de mantenerse la situación tendrán que prescindir de cientos de empleos y se verán obligadas a cerrar definitivamente (ASIES, 2020, Turismo y Covid-19 en Guatemala).</w:t>
      </w:r>
    </w:p>
    <w:p w14:paraId="26E5A9E2" w14:textId="77777777" w:rsidR="00B832E1" w:rsidRPr="00E648CF" w:rsidRDefault="00B832E1" w:rsidP="00E648CF">
      <w:pPr>
        <w:pStyle w:val="Sinespaciado"/>
        <w:ind w:left="567" w:right="49"/>
        <w:jc w:val="both"/>
        <w:rPr>
          <w:rFonts w:ascii="Times New Roman" w:hAnsi="Times New Roman"/>
          <w:sz w:val="24"/>
          <w:szCs w:val="24"/>
          <w:lang w:val="es-MX"/>
        </w:rPr>
      </w:pPr>
    </w:p>
    <w:p w14:paraId="6CE9DE68" w14:textId="77777777" w:rsidR="00D30644" w:rsidRPr="00E648CF" w:rsidRDefault="00D30644" w:rsidP="00E648CF">
      <w:pPr>
        <w:pStyle w:val="Sinespaciado"/>
        <w:ind w:left="567" w:right="49"/>
        <w:jc w:val="both"/>
        <w:rPr>
          <w:rFonts w:ascii="Times New Roman" w:hAnsi="Times New Roman"/>
          <w:sz w:val="24"/>
          <w:szCs w:val="24"/>
          <w:lang w:val="es-MX"/>
        </w:rPr>
      </w:pPr>
      <w:r w:rsidRPr="00E648CF">
        <w:rPr>
          <w:rFonts w:ascii="Times New Roman" w:hAnsi="Times New Roman"/>
          <w:sz w:val="24"/>
          <w:szCs w:val="24"/>
          <w:lang w:val="es-MX"/>
        </w:rPr>
        <w:t>Para estimar los posibles impactos a nivel nacional, se tomó como escenario 2020 (sin crisis), el crecimiento promedio de los últimos cinco años, en el número de visitantes no residentes y en la generación de divisas por turismo y viajes. Se prevén dos escenarios de contracción del 30% y 40% en los que se observa un declive en el número de visitantes de 0.9 y 1.1 millones respectivamente, que equivale a una reducción en la generación de divisas por turismo y viajes de entre 283.1 y 377.5 millones de U.S. Dólares respecto del escenario tendencial estimado para 2020.</w:t>
      </w:r>
    </w:p>
    <w:p w14:paraId="63063E14" w14:textId="77777777" w:rsidR="00D30644" w:rsidRPr="009562D6" w:rsidRDefault="00D30644" w:rsidP="00D30644">
      <w:pPr>
        <w:jc w:val="both"/>
        <w:rPr>
          <w:rFonts w:eastAsia="OptimaLTStd"/>
          <w:color w:val="000000"/>
          <w:sz w:val="24"/>
          <w:szCs w:val="24"/>
          <w:lang w:val="es-MX"/>
        </w:rPr>
      </w:pPr>
    </w:p>
    <w:p w14:paraId="018880AD" w14:textId="77777777" w:rsidR="00D30644" w:rsidRPr="009562D6" w:rsidRDefault="00D30644" w:rsidP="00D30644">
      <w:pPr>
        <w:autoSpaceDE w:val="0"/>
        <w:autoSpaceDN w:val="0"/>
        <w:adjustRightInd w:val="0"/>
        <w:jc w:val="center"/>
        <w:rPr>
          <w:rFonts w:eastAsia="OptimaLTStd"/>
          <w:color w:val="000000"/>
          <w:sz w:val="24"/>
          <w:szCs w:val="24"/>
          <w:lang w:val="es-MX"/>
        </w:rPr>
      </w:pPr>
    </w:p>
    <w:p w14:paraId="6CBD268A" w14:textId="73B1C928" w:rsidR="00D30644" w:rsidRPr="00FC54C1" w:rsidRDefault="00FC54C1" w:rsidP="00FC54C1">
      <w:pPr>
        <w:pStyle w:val="Epgrafe"/>
        <w:keepNext/>
        <w:ind w:left="567" w:right="49"/>
        <w:rPr>
          <w:color w:val="auto"/>
          <w:sz w:val="24"/>
          <w:szCs w:val="24"/>
        </w:rPr>
      </w:pPr>
      <w:r>
        <w:rPr>
          <w:color w:val="auto"/>
          <w:sz w:val="24"/>
          <w:szCs w:val="24"/>
        </w:rPr>
        <w:t>Gráfico 39</w:t>
      </w:r>
      <w:r w:rsidR="00D30644" w:rsidRPr="00FC54C1">
        <w:rPr>
          <w:color w:val="auto"/>
          <w:sz w:val="24"/>
          <w:szCs w:val="24"/>
        </w:rPr>
        <w:t xml:space="preserve"> </w:t>
      </w:r>
      <w:r w:rsidR="00915C30" w:rsidRPr="00FC54C1">
        <w:rPr>
          <w:color w:val="auto"/>
          <w:sz w:val="24"/>
          <w:szCs w:val="24"/>
        </w:rPr>
        <w:t xml:space="preserve"> </w:t>
      </w:r>
    </w:p>
    <w:p w14:paraId="2F7C7718" w14:textId="77777777" w:rsidR="00D30644" w:rsidRPr="00FC54C1" w:rsidRDefault="00D30644" w:rsidP="00FC54C1">
      <w:pPr>
        <w:pStyle w:val="Epgrafe"/>
        <w:keepNext/>
        <w:ind w:left="567" w:right="49"/>
        <w:rPr>
          <w:color w:val="auto"/>
          <w:sz w:val="24"/>
          <w:szCs w:val="24"/>
        </w:rPr>
      </w:pPr>
      <w:r w:rsidRPr="00FC54C1">
        <w:rPr>
          <w:color w:val="auto"/>
          <w:sz w:val="24"/>
          <w:szCs w:val="24"/>
        </w:rPr>
        <w:t>Escenarios de caída en el sector turístico nacional</w:t>
      </w:r>
    </w:p>
    <w:p w14:paraId="54F19594" w14:textId="77777777" w:rsidR="00D30644" w:rsidRPr="00FC54C1" w:rsidRDefault="00D30644" w:rsidP="00FC54C1">
      <w:pPr>
        <w:pStyle w:val="Epgrafe"/>
        <w:keepNext/>
        <w:ind w:left="567" w:right="49"/>
        <w:rPr>
          <w:color w:val="auto"/>
          <w:sz w:val="24"/>
          <w:szCs w:val="24"/>
        </w:rPr>
      </w:pPr>
      <w:r w:rsidRPr="00FC54C1">
        <w:rPr>
          <w:color w:val="auto"/>
          <w:sz w:val="24"/>
          <w:szCs w:val="24"/>
        </w:rPr>
        <w:t xml:space="preserve">Cifras en millones </w:t>
      </w:r>
    </w:p>
    <w:tbl>
      <w:tblPr>
        <w:tblStyle w:val="Tablaconcuadrcula"/>
        <w:tblW w:w="934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70" w:type="dxa"/>
          <w:right w:w="70" w:type="dxa"/>
        </w:tblCellMar>
        <w:tblLook w:val="04A0" w:firstRow="1" w:lastRow="0" w:firstColumn="1" w:lastColumn="0" w:noHBand="0" w:noVBand="1"/>
      </w:tblPr>
      <w:tblGrid>
        <w:gridCol w:w="4820"/>
        <w:gridCol w:w="4529"/>
      </w:tblGrid>
      <w:tr w:rsidR="00D30644" w:rsidRPr="009562D6" w14:paraId="19CED9A8" w14:textId="77777777" w:rsidTr="00D30644">
        <w:trPr>
          <w:trHeight w:val="3916"/>
        </w:trPr>
        <w:tc>
          <w:tcPr>
            <w:tcW w:w="4820" w:type="dxa"/>
          </w:tcPr>
          <w:p w14:paraId="53044201" w14:textId="77777777" w:rsidR="00D30644" w:rsidRPr="009562D6" w:rsidRDefault="00D30644" w:rsidP="00D30644">
            <w:pPr>
              <w:jc w:val="both"/>
              <w:rPr>
                <w:rFonts w:eastAsia="OptimaLTStd"/>
                <w:color w:val="000000"/>
                <w:sz w:val="24"/>
                <w:szCs w:val="24"/>
                <w:lang w:val="es-MX"/>
              </w:rPr>
            </w:pPr>
          </w:p>
          <w:p w14:paraId="65650823" w14:textId="77777777" w:rsidR="00D30644" w:rsidRPr="009562D6" w:rsidRDefault="00D30644" w:rsidP="00D30644">
            <w:pPr>
              <w:jc w:val="both"/>
              <w:rPr>
                <w:rFonts w:eastAsia="OptimaLTStd"/>
                <w:color w:val="000000"/>
                <w:sz w:val="24"/>
                <w:szCs w:val="24"/>
                <w:lang w:val="es-MX"/>
              </w:rPr>
            </w:pPr>
            <w:r w:rsidRPr="009562D6">
              <w:rPr>
                <w:noProof/>
                <w:sz w:val="24"/>
                <w:szCs w:val="24"/>
                <w:lang w:val="es-ES"/>
              </w:rPr>
              <w:drawing>
                <wp:inline distT="0" distB="0" distL="0" distR="0" wp14:anchorId="0D50716A" wp14:editId="621BB603">
                  <wp:extent cx="2991917" cy="2230120"/>
                  <wp:effectExtent l="0" t="0" r="0" b="0"/>
                  <wp:docPr id="20" name="Gráfico 20">
                    <a:extLst xmlns:a="http://schemas.openxmlformats.org/drawingml/2006/main">
                      <a:ext uri="{FF2B5EF4-FFF2-40B4-BE49-F238E27FC236}">
                        <a16:creationId xmlns:a16="http://schemas.microsoft.com/office/drawing/2014/main" xmlns:w16se="http://schemas.microsoft.com/office/word/2015/wordml/symex" xmlns:w15="http://schemas.microsoft.com/office/word/2012/wordml" xmlns:w="http://schemas.openxmlformats.org/wordprocessingml/2006/main" xmlns:w10="urn:schemas-microsoft-com:office:word" xmlns:v="urn:schemas-microsoft-com:vml" xmlns:o="urn:schemas-microsoft-com:office:office" xmlns:cx="http://schemas.microsoft.com/office/drawing/2014/chartex" xmlns="" id="{1303B642-6AA4-4E9F-81C0-26AC3E83CD7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p w14:paraId="6FF61681" w14:textId="77777777" w:rsidR="00D30644" w:rsidRPr="009562D6" w:rsidRDefault="00D30644" w:rsidP="00D30644">
            <w:pPr>
              <w:jc w:val="both"/>
              <w:rPr>
                <w:rFonts w:eastAsia="OptimaLTStd"/>
                <w:color w:val="000000"/>
                <w:sz w:val="24"/>
                <w:szCs w:val="24"/>
                <w:lang w:val="es-MX"/>
              </w:rPr>
            </w:pPr>
          </w:p>
        </w:tc>
        <w:tc>
          <w:tcPr>
            <w:tcW w:w="4529" w:type="dxa"/>
          </w:tcPr>
          <w:p w14:paraId="4ECA535D" w14:textId="77777777" w:rsidR="00D30644" w:rsidRPr="009562D6" w:rsidRDefault="00D30644" w:rsidP="00D30644">
            <w:pPr>
              <w:jc w:val="both"/>
              <w:rPr>
                <w:noProof/>
                <w:sz w:val="24"/>
                <w:szCs w:val="24"/>
              </w:rPr>
            </w:pPr>
          </w:p>
          <w:p w14:paraId="42ED0468" w14:textId="77777777" w:rsidR="00D30644" w:rsidRPr="009562D6" w:rsidRDefault="00D30644" w:rsidP="00D30644">
            <w:pPr>
              <w:jc w:val="both"/>
              <w:rPr>
                <w:rFonts w:eastAsia="OptimaLTStd"/>
                <w:color w:val="000000"/>
                <w:sz w:val="24"/>
                <w:szCs w:val="24"/>
                <w:lang w:val="es-MX"/>
              </w:rPr>
            </w:pPr>
            <w:r w:rsidRPr="009562D6">
              <w:rPr>
                <w:noProof/>
                <w:sz w:val="24"/>
                <w:szCs w:val="24"/>
                <w:lang w:val="es-ES"/>
              </w:rPr>
              <w:drawing>
                <wp:inline distT="0" distB="0" distL="0" distR="0" wp14:anchorId="5C228E5E" wp14:editId="34BCA0F6">
                  <wp:extent cx="2787015" cy="2223135"/>
                  <wp:effectExtent l="0" t="0" r="0" b="5715"/>
                  <wp:docPr id="28" name="Gráfico 28">
                    <a:extLst xmlns:a="http://schemas.openxmlformats.org/drawingml/2006/main">
                      <a:ext uri="{FF2B5EF4-FFF2-40B4-BE49-F238E27FC236}">
                        <a16:creationId xmlns:a16="http://schemas.microsoft.com/office/drawing/2014/main" xmlns:w16se="http://schemas.microsoft.com/office/word/2015/wordml/symex" xmlns:w15="http://schemas.microsoft.com/office/word/2012/wordml" xmlns:w="http://schemas.openxmlformats.org/wordprocessingml/2006/main" xmlns:w10="urn:schemas-microsoft-com:office:word" xmlns:v="urn:schemas-microsoft-com:vml" xmlns:o="urn:schemas-microsoft-com:office:office" xmlns:cx="http://schemas.microsoft.com/office/drawing/2014/chartex" xmlns="" id="{EFF960B5-3072-4721-99E7-AF613AA7469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tc>
      </w:tr>
    </w:tbl>
    <w:p w14:paraId="2F80CDA3" w14:textId="77777777" w:rsidR="00D30644" w:rsidRPr="004707AB" w:rsidRDefault="00D30644" w:rsidP="00915C30">
      <w:pPr>
        <w:ind w:left="708"/>
        <w:jc w:val="both"/>
        <w:rPr>
          <w:rFonts w:eastAsia="OptimaLTStd"/>
          <w:color w:val="000000"/>
          <w:lang w:val="es-MX"/>
        </w:rPr>
      </w:pPr>
      <w:r w:rsidRPr="004707AB">
        <w:rPr>
          <w:rFonts w:eastAsia="OptimaLTStd"/>
          <w:color w:val="000000"/>
          <w:lang w:val="es-MX"/>
        </w:rPr>
        <w:t>Fuente: Estimaciones DTF MINFIN, con cifras del Boletín Estadístico del Departamento de Investigación y Análisis de Mercados, (INGUAT) y Mercado Institucional de Divisas (BANGUAT).</w:t>
      </w:r>
    </w:p>
    <w:p w14:paraId="34C98308" w14:textId="77777777" w:rsidR="00B832E1" w:rsidRDefault="00B832E1" w:rsidP="00B832E1">
      <w:pPr>
        <w:pStyle w:val="Ttulo1"/>
        <w:jc w:val="left"/>
        <w:rPr>
          <w:color w:val="auto"/>
          <w:sz w:val="24"/>
          <w:szCs w:val="24"/>
        </w:rPr>
      </w:pPr>
    </w:p>
    <w:p w14:paraId="435E8C2D" w14:textId="77777777" w:rsidR="00C42AA3" w:rsidRDefault="00C42AA3">
      <w:pPr>
        <w:widowControl/>
        <w:spacing w:after="200" w:line="276" w:lineRule="auto"/>
        <w:rPr>
          <w:b/>
          <w:color w:val="000000"/>
          <w:sz w:val="24"/>
          <w:szCs w:val="24"/>
        </w:rPr>
      </w:pPr>
      <w:r>
        <w:rPr>
          <w:sz w:val="24"/>
          <w:szCs w:val="24"/>
        </w:rPr>
        <w:br w:type="page"/>
      </w:r>
    </w:p>
    <w:p w14:paraId="483B1DA0" w14:textId="1D348174" w:rsidR="00C42AA3" w:rsidRPr="005A4BBD" w:rsidRDefault="00D30644" w:rsidP="00D95BA3">
      <w:pPr>
        <w:pStyle w:val="Ttulo1"/>
        <w:widowControl/>
        <w:numPr>
          <w:ilvl w:val="2"/>
          <w:numId w:val="5"/>
        </w:numPr>
        <w:ind w:right="49"/>
        <w:jc w:val="left"/>
        <w:rPr>
          <w:color w:val="auto"/>
          <w:sz w:val="24"/>
          <w:szCs w:val="24"/>
        </w:rPr>
      </w:pPr>
      <w:r w:rsidRPr="005A4BBD">
        <w:rPr>
          <w:color w:val="auto"/>
          <w:sz w:val="24"/>
          <w:szCs w:val="24"/>
        </w:rPr>
        <w:lastRenderedPageBreak/>
        <w:t xml:space="preserve"> </w:t>
      </w:r>
      <w:bookmarkStart w:id="72" w:name="_Toc46851812"/>
      <w:bookmarkStart w:id="73" w:name="_Toc47433636"/>
      <w:bookmarkStart w:id="74" w:name="_Toc49939733"/>
      <w:r w:rsidR="00C42AA3" w:rsidRPr="005A4BBD">
        <w:rPr>
          <w:color w:val="auto"/>
          <w:sz w:val="24"/>
          <w:szCs w:val="24"/>
        </w:rPr>
        <w:t>Sector Real</w:t>
      </w:r>
      <w:bookmarkEnd w:id="72"/>
      <w:bookmarkEnd w:id="73"/>
      <w:bookmarkEnd w:id="74"/>
      <w:r w:rsidR="00C42AA3" w:rsidRPr="005A4BBD">
        <w:rPr>
          <w:color w:val="auto"/>
          <w:sz w:val="24"/>
          <w:szCs w:val="24"/>
        </w:rPr>
        <w:t xml:space="preserve"> </w:t>
      </w:r>
    </w:p>
    <w:p w14:paraId="1EEC571F" w14:textId="77777777" w:rsidR="00C42AA3" w:rsidRPr="009562D6" w:rsidRDefault="00C42AA3" w:rsidP="00C42AA3">
      <w:pPr>
        <w:autoSpaceDE w:val="0"/>
        <w:autoSpaceDN w:val="0"/>
        <w:adjustRightInd w:val="0"/>
        <w:rPr>
          <w:color w:val="221E1F"/>
          <w:sz w:val="24"/>
          <w:szCs w:val="24"/>
        </w:rPr>
      </w:pPr>
    </w:p>
    <w:p w14:paraId="6BD70B7D" w14:textId="77777777" w:rsidR="00C42AA3" w:rsidRPr="003C60DB" w:rsidRDefault="00C42AA3" w:rsidP="00E648CF">
      <w:pPr>
        <w:pStyle w:val="Sinespaciado"/>
        <w:ind w:left="567" w:right="49"/>
        <w:jc w:val="both"/>
        <w:rPr>
          <w:rFonts w:ascii="Times New Roman" w:eastAsia="OptimaLTStd" w:hAnsi="Times New Roman"/>
        </w:rPr>
      </w:pPr>
      <w:r w:rsidRPr="00E420AA">
        <w:rPr>
          <w:rFonts w:ascii="Times New Roman" w:eastAsia="OptimaLTStd" w:hAnsi="Times New Roman"/>
          <w:sz w:val="24"/>
          <w:szCs w:val="24"/>
        </w:rPr>
        <w:t xml:space="preserve">Las variables </w:t>
      </w:r>
      <w:r w:rsidRPr="00E648CF">
        <w:rPr>
          <w:rFonts w:ascii="Times New Roman" w:hAnsi="Times New Roman"/>
          <w:sz w:val="24"/>
          <w:szCs w:val="24"/>
          <w:lang w:val="es-MX"/>
        </w:rPr>
        <w:t>incluidas</w:t>
      </w:r>
      <w:r w:rsidRPr="00E420AA">
        <w:rPr>
          <w:rFonts w:ascii="Times New Roman" w:eastAsia="OptimaLTStd" w:hAnsi="Times New Roman"/>
          <w:sz w:val="24"/>
          <w:szCs w:val="24"/>
        </w:rPr>
        <w:t xml:space="preserve"> en el Sector Real, en el análisis preliminar son Producto Interno Bruto, Índice de Precios al Consumidor e Ingresos y consumo privado</w:t>
      </w:r>
      <w:r w:rsidRPr="003C60DB">
        <w:rPr>
          <w:rFonts w:ascii="Times New Roman" w:eastAsia="OptimaLTStd" w:hAnsi="Times New Roman"/>
        </w:rPr>
        <w:t>.</w:t>
      </w:r>
    </w:p>
    <w:p w14:paraId="33E0A256" w14:textId="77777777" w:rsidR="00C42AA3" w:rsidRPr="009562D6" w:rsidRDefault="00C42AA3" w:rsidP="00C42AA3">
      <w:pPr>
        <w:autoSpaceDE w:val="0"/>
        <w:autoSpaceDN w:val="0"/>
        <w:adjustRightInd w:val="0"/>
        <w:rPr>
          <w:color w:val="221E1F"/>
          <w:sz w:val="24"/>
          <w:szCs w:val="24"/>
        </w:rPr>
      </w:pPr>
    </w:p>
    <w:p w14:paraId="4BC094AF" w14:textId="77777777" w:rsidR="00C42AA3" w:rsidRPr="00850D6F" w:rsidRDefault="00C42AA3" w:rsidP="00A86EFD">
      <w:pPr>
        <w:pStyle w:val="Ttulo1"/>
        <w:widowControl/>
        <w:numPr>
          <w:ilvl w:val="3"/>
          <w:numId w:val="5"/>
        </w:numPr>
        <w:ind w:right="49"/>
        <w:jc w:val="left"/>
        <w:rPr>
          <w:rFonts w:eastAsia="OptimaLTStd"/>
          <w:b w:val="0"/>
          <w:bCs/>
          <w:sz w:val="24"/>
          <w:szCs w:val="24"/>
          <w:lang w:val="es-MX"/>
        </w:rPr>
      </w:pPr>
      <w:bookmarkStart w:id="75" w:name="_Toc46851813"/>
      <w:bookmarkStart w:id="76" w:name="_Toc47433637"/>
      <w:bookmarkStart w:id="77" w:name="_Toc49939734"/>
      <w:r w:rsidRPr="00850D6F">
        <w:rPr>
          <w:rFonts w:eastAsia="OptimaLTStd"/>
          <w:bCs/>
          <w:sz w:val="24"/>
          <w:szCs w:val="24"/>
          <w:lang w:val="es-MX"/>
        </w:rPr>
        <w:t xml:space="preserve">Producto </w:t>
      </w:r>
      <w:r w:rsidRPr="00A86EFD">
        <w:rPr>
          <w:color w:val="auto"/>
          <w:sz w:val="24"/>
          <w:szCs w:val="24"/>
        </w:rPr>
        <w:t>Interno</w:t>
      </w:r>
      <w:r w:rsidRPr="00850D6F">
        <w:rPr>
          <w:rFonts w:eastAsia="OptimaLTStd"/>
          <w:bCs/>
          <w:sz w:val="24"/>
          <w:szCs w:val="24"/>
          <w:lang w:val="es-MX"/>
        </w:rPr>
        <w:t xml:space="preserve"> Bruto</w:t>
      </w:r>
      <w:bookmarkEnd w:id="75"/>
      <w:bookmarkEnd w:id="76"/>
      <w:bookmarkEnd w:id="77"/>
    </w:p>
    <w:p w14:paraId="3614D671" w14:textId="77777777" w:rsidR="00C42AA3" w:rsidRPr="009562D6" w:rsidRDefault="00C42AA3" w:rsidP="00C42AA3">
      <w:pPr>
        <w:rPr>
          <w:sz w:val="24"/>
          <w:szCs w:val="24"/>
          <w:lang w:val="es-MX"/>
        </w:rPr>
      </w:pPr>
    </w:p>
    <w:p w14:paraId="587370DC" w14:textId="77777777" w:rsidR="00C42AA3" w:rsidRPr="00E420AA" w:rsidRDefault="00C42AA3" w:rsidP="00E648CF">
      <w:pPr>
        <w:pStyle w:val="Sinespaciado"/>
        <w:ind w:left="567" w:right="49"/>
        <w:jc w:val="both"/>
        <w:rPr>
          <w:rFonts w:ascii="Times New Roman" w:eastAsia="OptimaLTStd" w:hAnsi="Times New Roman"/>
          <w:sz w:val="24"/>
          <w:szCs w:val="24"/>
        </w:rPr>
      </w:pPr>
      <w:r w:rsidRPr="00E420AA">
        <w:rPr>
          <w:rFonts w:ascii="Times New Roman" w:eastAsia="OptimaLTStd" w:hAnsi="Times New Roman"/>
          <w:sz w:val="24"/>
          <w:szCs w:val="24"/>
        </w:rPr>
        <w:t xml:space="preserve">La actividad económica medida en función del Producto Interno Bruto en términos reales mostró para el 2019 un crecimiento de 3.5% superior en 0.4% al registrado en 2018 y dentro del rango establecido en las </w:t>
      </w:r>
      <w:r w:rsidRPr="00E648CF">
        <w:rPr>
          <w:rFonts w:ascii="Times New Roman" w:hAnsi="Times New Roman"/>
          <w:sz w:val="24"/>
          <w:szCs w:val="24"/>
          <w:lang w:val="es-MX"/>
        </w:rPr>
        <w:t>proyecciones</w:t>
      </w:r>
      <w:r w:rsidRPr="00E420AA">
        <w:rPr>
          <w:rFonts w:ascii="Times New Roman" w:eastAsia="OptimaLTStd" w:hAnsi="Times New Roman"/>
          <w:sz w:val="24"/>
          <w:szCs w:val="24"/>
        </w:rPr>
        <w:t xml:space="preserve"> de crecimiento.  De acuerdo con ese comportamiento se esperaba un crecimiento medio cercano a 3.6%; en la estimación se esperaba un desempeño positivo en las actividades económicas. (Banco de Guatemala, enero 2020 “Desempeño Macroeconómico 2019; Perspectivas 2020”).</w:t>
      </w:r>
    </w:p>
    <w:p w14:paraId="5FBD9085" w14:textId="77777777" w:rsidR="00C42AA3" w:rsidRPr="00E420AA" w:rsidRDefault="00C42AA3" w:rsidP="00C42AA3">
      <w:pPr>
        <w:autoSpaceDE w:val="0"/>
        <w:autoSpaceDN w:val="0"/>
        <w:adjustRightInd w:val="0"/>
        <w:spacing w:line="276" w:lineRule="auto"/>
        <w:jc w:val="both"/>
        <w:rPr>
          <w:rFonts w:eastAsia="OptimaLTStd"/>
          <w:color w:val="000000"/>
          <w:sz w:val="28"/>
          <w:szCs w:val="28"/>
          <w:lang w:val="es-MX"/>
        </w:rPr>
      </w:pPr>
    </w:p>
    <w:p w14:paraId="065E2E0A" w14:textId="77777777" w:rsidR="00C42AA3" w:rsidRPr="00E420AA" w:rsidRDefault="00C42AA3" w:rsidP="00E648CF">
      <w:pPr>
        <w:pStyle w:val="Sinespaciado"/>
        <w:ind w:left="567" w:right="49"/>
        <w:jc w:val="both"/>
        <w:rPr>
          <w:rFonts w:ascii="Times New Roman" w:eastAsia="OptimaLTStd" w:hAnsi="Times New Roman"/>
          <w:sz w:val="24"/>
          <w:szCs w:val="24"/>
        </w:rPr>
      </w:pPr>
      <w:r w:rsidRPr="00E420AA">
        <w:rPr>
          <w:rFonts w:ascii="Times New Roman" w:eastAsia="OptimaLTStd" w:hAnsi="Times New Roman"/>
          <w:sz w:val="24"/>
          <w:szCs w:val="24"/>
        </w:rPr>
        <w:t>A raíz de la crisis epidemiológica, el Banco de Guatemala, prevé que la tasa de crecimiento de la economía para el 2020, podría presentar tres escenarios el primero un escenario alto que plantea con un crecimiento de -1.5%; un escenario medio de -2.5% y un escenario bajo en el orden de -3.5%. El Banco de Guatemala, plantea en su revisión a la baja un impacto en prácticamente todas las actividades económicas, sin embargo, prevé que estas registrarían una significativa recuperación en 2021, por lo que estima el crecimiento en el orden del 4.0%.</w:t>
      </w:r>
    </w:p>
    <w:p w14:paraId="6618E270" w14:textId="77777777" w:rsidR="00C42AA3" w:rsidRPr="009562D6" w:rsidRDefault="00C42AA3" w:rsidP="00C42AA3">
      <w:pPr>
        <w:autoSpaceDE w:val="0"/>
        <w:autoSpaceDN w:val="0"/>
        <w:adjustRightInd w:val="0"/>
        <w:jc w:val="center"/>
        <w:rPr>
          <w:rFonts w:eastAsia="OptimaLTStd"/>
          <w:color w:val="000000"/>
          <w:sz w:val="24"/>
          <w:szCs w:val="24"/>
          <w:lang w:val="es-MX"/>
        </w:rPr>
      </w:pPr>
    </w:p>
    <w:p w14:paraId="63B3D45A" w14:textId="052C3B7A" w:rsidR="00C42AA3" w:rsidRPr="00C42AA3" w:rsidRDefault="003C60DB" w:rsidP="00C42AA3">
      <w:pPr>
        <w:pStyle w:val="Epgrafe"/>
        <w:keepNext/>
        <w:ind w:left="567" w:right="49"/>
        <w:rPr>
          <w:color w:val="auto"/>
          <w:sz w:val="24"/>
          <w:szCs w:val="24"/>
        </w:rPr>
      </w:pPr>
      <w:r>
        <w:rPr>
          <w:color w:val="auto"/>
          <w:sz w:val="24"/>
          <w:szCs w:val="24"/>
        </w:rPr>
        <w:t>Gráfico 40</w:t>
      </w:r>
    </w:p>
    <w:p w14:paraId="04E66F98" w14:textId="77777777" w:rsidR="00C42AA3" w:rsidRPr="00C42AA3" w:rsidRDefault="00C42AA3" w:rsidP="00C42AA3">
      <w:pPr>
        <w:pStyle w:val="Epgrafe"/>
        <w:keepNext/>
        <w:ind w:left="567" w:right="49"/>
        <w:rPr>
          <w:color w:val="auto"/>
          <w:sz w:val="24"/>
          <w:szCs w:val="24"/>
        </w:rPr>
      </w:pPr>
      <w:r w:rsidRPr="00C42AA3">
        <w:rPr>
          <w:color w:val="auto"/>
          <w:sz w:val="24"/>
          <w:szCs w:val="24"/>
        </w:rPr>
        <w:t>Escenarios de choque en el Producto Interno Bruto</w:t>
      </w:r>
    </w:p>
    <w:p w14:paraId="1753C71B" w14:textId="77777777" w:rsidR="00C42AA3" w:rsidRPr="00C42AA3" w:rsidRDefault="00C42AA3" w:rsidP="00C42AA3">
      <w:pPr>
        <w:pStyle w:val="Epgrafe"/>
        <w:keepNext/>
        <w:ind w:left="567" w:right="49"/>
        <w:rPr>
          <w:color w:val="auto"/>
          <w:sz w:val="24"/>
          <w:szCs w:val="24"/>
        </w:rPr>
      </w:pPr>
      <w:r w:rsidRPr="00C42AA3">
        <w:rPr>
          <w:color w:val="auto"/>
          <w:sz w:val="24"/>
          <w:szCs w:val="24"/>
        </w:rPr>
        <w:t>Cifras en porcentajes</w:t>
      </w:r>
    </w:p>
    <w:p w14:paraId="040A02B8" w14:textId="77777777" w:rsidR="00C42AA3" w:rsidRPr="009562D6" w:rsidRDefault="00C42AA3" w:rsidP="00C42AA3">
      <w:pPr>
        <w:jc w:val="center"/>
        <w:rPr>
          <w:sz w:val="24"/>
          <w:szCs w:val="24"/>
          <w:lang w:val="es-MX"/>
        </w:rPr>
      </w:pPr>
      <w:r w:rsidRPr="009562D6">
        <w:rPr>
          <w:noProof/>
          <w:sz w:val="24"/>
          <w:szCs w:val="24"/>
          <w:lang w:val="es-ES"/>
        </w:rPr>
        <w:drawing>
          <wp:inline distT="0" distB="0" distL="0" distR="0" wp14:anchorId="319844DA" wp14:editId="63909DFF">
            <wp:extent cx="5971540" cy="3293110"/>
            <wp:effectExtent l="0" t="0" r="0" b="2540"/>
            <wp:docPr id="16" name="Gráfico 16">
              <a:extLst xmlns:a="http://schemas.openxmlformats.org/drawingml/2006/main">
                <a:ext uri="{FF2B5EF4-FFF2-40B4-BE49-F238E27FC236}">
                  <a16:creationId xmlns:a16="http://schemas.microsoft.com/office/drawing/2014/main" xmlns:w16se="http://schemas.microsoft.com/office/word/2015/wordml/symex" xmlns:w15="http://schemas.microsoft.com/office/word/2012/wordml" xmlns:w="http://schemas.openxmlformats.org/wordprocessingml/2006/main" xmlns:w10="urn:schemas-microsoft-com:office:word" xmlns:v="urn:schemas-microsoft-com:vml" xmlns:o="urn:schemas-microsoft-com:office:office" xmlns:cx="http://schemas.microsoft.com/office/drawing/2014/chartex" xmlns="" id="{5BBE1DE5-6F0D-43E7-A10B-0263948D0A7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p w14:paraId="02FDBE3D" w14:textId="77777777" w:rsidR="00C42AA3" w:rsidRPr="004707AB" w:rsidRDefault="00C42AA3" w:rsidP="00C42AA3">
      <w:pPr>
        <w:ind w:left="708"/>
        <w:jc w:val="both"/>
        <w:rPr>
          <w:rFonts w:eastAsia="OptimaLTStd"/>
          <w:color w:val="000000"/>
          <w:lang w:val="es-MX"/>
        </w:rPr>
      </w:pPr>
      <w:r w:rsidRPr="004707AB">
        <w:rPr>
          <w:rFonts w:eastAsia="OptimaLTStd"/>
          <w:color w:val="000000"/>
          <w:lang w:val="es-MX"/>
        </w:rPr>
        <w:t>Fuente: Cifras de pronósticos del BANGUAT y Banco Mundial.</w:t>
      </w:r>
    </w:p>
    <w:p w14:paraId="5B77D28C" w14:textId="18674B5D" w:rsidR="00C42AA3" w:rsidRDefault="00C42AA3" w:rsidP="00C42AA3">
      <w:pPr>
        <w:rPr>
          <w:sz w:val="24"/>
          <w:szCs w:val="24"/>
          <w:lang w:val="es-MX"/>
        </w:rPr>
      </w:pPr>
    </w:p>
    <w:p w14:paraId="4DC30015" w14:textId="77777777" w:rsidR="004707AB" w:rsidRPr="009562D6" w:rsidRDefault="004707AB" w:rsidP="00C42AA3">
      <w:pPr>
        <w:rPr>
          <w:sz w:val="24"/>
          <w:szCs w:val="24"/>
          <w:lang w:val="es-MX"/>
        </w:rPr>
      </w:pPr>
    </w:p>
    <w:p w14:paraId="1ED51B08" w14:textId="77777777" w:rsidR="00C42AA3" w:rsidRPr="00E420AA" w:rsidRDefault="00C42AA3" w:rsidP="00E648CF">
      <w:pPr>
        <w:pStyle w:val="Sinespaciado"/>
        <w:ind w:left="567" w:right="49"/>
        <w:jc w:val="both"/>
        <w:rPr>
          <w:rFonts w:ascii="Times New Roman" w:eastAsia="OptimaLTStd" w:hAnsi="Times New Roman"/>
          <w:sz w:val="24"/>
          <w:szCs w:val="24"/>
        </w:rPr>
      </w:pPr>
      <w:r w:rsidRPr="00E420AA">
        <w:rPr>
          <w:rFonts w:ascii="Times New Roman" w:eastAsia="OptimaLTStd" w:hAnsi="Times New Roman"/>
          <w:sz w:val="24"/>
          <w:szCs w:val="24"/>
        </w:rPr>
        <w:lastRenderedPageBreak/>
        <w:t>El escenario alto del Banco de Guatemala es cercano al pronóstico de crecimiento realizado por el Banco Mundial que estima un choque en el crecimiento ubicándolo en -1.8%. La estimación se basa en la contracción de la actividad económica en los Estados Unidos, la disminución en el flujo de remesas que debilita el consumo y la demanda interna, además de la duración de las medidas de distanciamiento social introducidas que reducen la actividad económica; y el tiempo de recuperación.</w:t>
      </w:r>
    </w:p>
    <w:p w14:paraId="707AC809" w14:textId="77777777" w:rsidR="00C42AA3" w:rsidRPr="009562D6" w:rsidRDefault="00C42AA3" w:rsidP="00C42AA3">
      <w:pPr>
        <w:rPr>
          <w:sz w:val="24"/>
          <w:szCs w:val="24"/>
          <w:lang w:val="es-MX"/>
        </w:rPr>
      </w:pPr>
    </w:p>
    <w:p w14:paraId="31590213" w14:textId="77777777" w:rsidR="00C42AA3" w:rsidRPr="00915C30" w:rsidRDefault="00C42AA3" w:rsidP="00A86EFD">
      <w:pPr>
        <w:pStyle w:val="Ttulo1"/>
        <w:widowControl/>
        <w:numPr>
          <w:ilvl w:val="3"/>
          <w:numId w:val="5"/>
        </w:numPr>
        <w:ind w:right="49"/>
        <w:jc w:val="left"/>
        <w:rPr>
          <w:rFonts w:eastAsia="OptimaLTStd"/>
          <w:b w:val="0"/>
          <w:bCs/>
          <w:sz w:val="24"/>
          <w:szCs w:val="24"/>
          <w:lang w:val="es-MX"/>
        </w:rPr>
      </w:pPr>
      <w:bookmarkStart w:id="78" w:name="_Toc46851814"/>
      <w:bookmarkStart w:id="79" w:name="_Toc47433638"/>
      <w:bookmarkStart w:id="80" w:name="_Toc49939735"/>
      <w:r w:rsidRPr="00915C30">
        <w:rPr>
          <w:rFonts w:eastAsia="OptimaLTStd"/>
          <w:bCs/>
          <w:sz w:val="24"/>
          <w:szCs w:val="24"/>
          <w:lang w:val="es-MX"/>
        </w:rPr>
        <w:t>Índice de Precios al Consumidor</w:t>
      </w:r>
      <w:bookmarkEnd w:id="78"/>
      <w:bookmarkEnd w:id="79"/>
      <w:bookmarkEnd w:id="80"/>
    </w:p>
    <w:p w14:paraId="3EB14FAB" w14:textId="77777777" w:rsidR="00C42AA3" w:rsidRPr="009562D6" w:rsidRDefault="00C42AA3" w:rsidP="00C42AA3">
      <w:pPr>
        <w:rPr>
          <w:sz w:val="24"/>
          <w:szCs w:val="24"/>
          <w:lang w:val="es-MX"/>
        </w:rPr>
      </w:pPr>
    </w:p>
    <w:p w14:paraId="334A38E0" w14:textId="77777777" w:rsidR="00C42AA3" w:rsidRPr="00E420AA" w:rsidRDefault="00C42AA3" w:rsidP="00E648CF">
      <w:pPr>
        <w:pStyle w:val="Sinespaciado"/>
        <w:ind w:left="567" w:right="49"/>
        <w:jc w:val="both"/>
        <w:rPr>
          <w:rFonts w:ascii="Times New Roman" w:eastAsia="OptimaLTStd" w:hAnsi="Times New Roman"/>
          <w:sz w:val="24"/>
          <w:szCs w:val="24"/>
        </w:rPr>
      </w:pPr>
      <w:r w:rsidRPr="00E420AA">
        <w:rPr>
          <w:rFonts w:ascii="Times New Roman" w:eastAsia="OptimaLTStd" w:hAnsi="Times New Roman"/>
          <w:sz w:val="24"/>
          <w:szCs w:val="24"/>
        </w:rPr>
        <w:t>El Índice de Precios al Consumidor (IPC) presentó a junio 2020 una variación interanual de 2.39%, inferior en 2.41% al ritmo inflacionario registrado en junio 2019 (4.80%), se mantiene por debajo del rango previsto por la Junta Monetaria para 2020 de entre 3% y 5%.</w:t>
      </w:r>
    </w:p>
    <w:p w14:paraId="4174B67A" w14:textId="77777777" w:rsidR="00C42AA3" w:rsidRPr="00E420AA" w:rsidRDefault="00C42AA3" w:rsidP="002426C8">
      <w:pPr>
        <w:pStyle w:val="Sinespaciado"/>
        <w:jc w:val="both"/>
        <w:rPr>
          <w:rFonts w:ascii="Times New Roman" w:eastAsia="OptimaLTStd" w:hAnsi="Times New Roman"/>
          <w:sz w:val="24"/>
          <w:szCs w:val="24"/>
        </w:rPr>
      </w:pPr>
    </w:p>
    <w:p w14:paraId="1F9FC135" w14:textId="51EDEEA2" w:rsidR="00C42AA3" w:rsidRPr="00E420AA" w:rsidRDefault="00C42AA3" w:rsidP="00E648CF">
      <w:pPr>
        <w:pStyle w:val="Sinespaciado"/>
        <w:ind w:left="567" w:right="49"/>
        <w:jc w:val="both"/>
        <w:rPr>
          <w:rFonts w:ascii="Times New Roman" w:eastAsia="OptimaLTStd" w:hAnsi="Times New Roman"/>
          <w:sz w:val="24"/>
          <w:szCs w:val="24"/>
        </w:rPr>
      </w:pPr>
      <w:r w:rsidRPr="00E420AA">
        <w:rPr>
          <w:rFonts w:ascii="Times New Roman" w:eastAsia="OptimaLTStd" w:hAnsi="Times New Roman"/>
          <w:sz w:val="24"/>
          <w:szCs w:val="24"/>
        </w:rPr>
        <w:t>El nivel de inflación que se registró durante junio se debe principalmente a un incremento en el nivel general de precios, pero especialmente en las divisiones de alimentos (2.90%) y transporte (1.86%), aunque también se registraron disminuciones leves en las divisiones de bienes y servicios diversos   (-0.05%), y comunicaciones (-0.01%).</w:t>
      </w:r>
      <w:r w:rsidR="002426C8" w:rsidRPr="00E420AA">
        <w:rPr>
          <w:rFonts w:ascii="Times New Roman" w:eastAsia="OptimaLTStd" w:hAnsi="Times New Roman"/>
          <w:sz w:val="24"/>
          <w:szCs w:val="24"/>
        </w:rPr>
        <w:t xml:space="preserve">  </w:t>
      </w:r>
      <w:r w:rsidRPr="00E420AA">
        <w:rPr>
          <w:rFonts w:ascii="Times New Roman" w:eastAsia="OptimaLTStd" w:hAnsi="Times New Roman"/>
          <w:sz w:val="24"/>
          <w:szCs w:val="24"/>
        </w:rPr>
        <w:t>Los niveles registrados, no evidencian al momento alzas considerables en los precios de los bienes de las divisiones de gasto de alimentos y bebidas no alcohólicas, de transporte y de vivienda, agua, electricidad, gas y otros combustibles, las cuales han explicado las presiones inflacionarias en años anteriores, por lo que, no es posible establecer un impacto negativo respecto de la emergencia sanitaria; sin embargo, en una futura revisión del índice, se podrá establecer si existió presión sobre el nivel de precios provocada por la pandemia.</w:t>
      </w:r>
    </w:p>
    <w:p w14:paraId="4EC3CB05" w14:textId="77777777" w:rsidR="00C42AA3" w:rsidRPr="00E420AA" w:rsidRDefault="00C42AA3" w:rsidP="002426C8">
      <w:pPr>
        <w:pStyle w:val="Sinespaciado"/>
        <w:jc w:val="both"/>
        <w:rPr>
          <w:rFonts w:ascii="Times New Roman" w:eastAsia="OptimaLTStd" w:hAnsi="Times New Roman"/>
          <w:sz w:val="24"/>
          <w:szCs w:val="24"/>
        </w:rPr>
      </w:pPr>
    </w:p>
    <w:p w14:paraId="48506492" w14:textId="77777777" w:rsidR="00C42AA3" w:rsidRPr="00E420AA" w:rsidRDefault="00C42AA3" w:rsidP="00E648CF">
      <w:pPr>
        <w:pStyle w:val="Sinespaciado"/>
        <w:ind w:left="567" w:right="49"/>
        <w:jc w:val="both"/>
        <w:rPr>
          <w:rFonts w:ascii="Times New Roman" w:eastAsia="OptimaLTStd" w:hAnsi="Times New Roman"/>
          <w:sz w:val="24"/>
          <w:szCs w:val="24"/>
        </w:rPr>
      </w:pPr>
      <w:r w:rsidRPr="00E420AA">
        <w:rPr>
          <w:rFonts w:ascii="Times New Roman" w:eastAsia="OptimaLTStd" w:hAnsi="Times New Roman"/>
          <w:sz w:val="24"/>
          <w:szCs w:val="24"/>
        </w:rPr>
        <w:t>Para evitar actividades de acaparamiento y especulación con los productos de la Canasta Básica de Alimentos y otros productos esenciales para la población, la Dirección de Atención y Asistencia al Consumidor DIACO la Superintendencia de Administración Tributaria SAT y el Ministerio Público MP en el ámbito de sus competencias realizan acciones conjuntas contra la especulación, acaparamiento y defraudación aduanera.</w:t>
      </w:r>
    </w:p>
    <w:p w14:paraId="03E00720" w14:textId="4DE5D139" w:rsidR="00C42AA3" w:rsidRPr="003C60DB" w:rsidRDefault="002426C8" w:rsidP="003C60DB">
      <w:pPr>
        <w:pStyle w:val="Epgrafe"/>
        <w:keepNext/>
        <w:ind w:left="567" w:right="49"/>
        <w:rPr>
          <w:color w:val="auto"/>
          <w:sz w:val="24"/>
          <w:szCs w:val="24"/>
        </w:rPr>
      </w:pPr>
      <w:r>
        <w:rPr>
          <w:color w:val="auto"/>
          <w:sz w:val="24"/>
          <w:szCs w:val="24"/>
        </w:rPr>
        <w:t>Gráfico 41</w:t>
      </w:r>
    </w:p>
    <w:p w14:paraId="447E0B86" w14:textId="77777777" w:rsidR="00C42AA3" w:rsidRPr="003C60DB" w:rsidRDefault="00C42AA3" w:rsidP="003C60DB">
      <w:pPr>
        <w:pStyle w:val="Epgrafe"/>
        <w:keepNext/>
        <w:ind w:left="567" w:right="49"/>
        <w:rPr>
          <w:color w:val="auto"/>
          <w:sz w:val="24"/>
          <w:szCs w:val="24"/>
        </w:rPr>
      </w:pPr>
      <w:r w:rsidRPr="003C60DB">
        <w:rPr>
          <w:color w:val="auto"/>
          <w:sz w:val="24"/>
          <w:szCs w:val="24"/>
        </w:rPr>
        <w:t>Índice de Precios al Consumidor</w:t>
      </w:r>
    </w:p>
    <w:p w14:paraId="328CF6A9" w14:textId="77777777" w:rsidR="00C42AA3" w:rsidRPr="003C60DB" w:rsidRDefault="00C42AA3" w:rsidP="003C60DB">
      <w:pPr>
        <w:pStyle w:val="Epgrafe"/>
        <w:keepNext/>
        <w:ind w:left="567" w:right="49"/>
        <w:rPr>
          <w:color w:val="auto"/>
          <w:sz w:val="24"/>
          <w:szCs w:val="24"/>
        </w:rPr>
      </w:pPr>
      <w:r w:rsidRPr="003C60DB">
        <w:rPr>
          <w:color w:val="auto"/>
          <w:sz w:val="24"/>
          <w:szCs w:val="24"/>
        </w:rPr>
        <w:t>Variación interanual (ritmo inflacionario)</w:t>
      </w:r>
    </w:p>
    <w:p w14:paraId="64DF8935" w14:textId="77777777" w:rsidR="00C42AA3" w:rsidRPr="009562D6" w:rsidRDefault="00C42AA3" w:rsidP="00C42AA3">
      <w:pPr>
        <w:jc w:val="center"/>
        <w:rPr>
          <w:sz w:val="24"/>
          <w:szCs w:val="24"/>
          <w:lang w:val="es-MX"/>
        </w:rPr>
      </w:pPr>
      <w:r w:rsidRPr="009562D6">
        <w:rPr>
          <w:noProof/>
          <w:sz w:val="24"/>
          <w:szCs w:val="24"/>
          <w:lang w:val="es-ES"/>
        </w:rPr>
        <w:drawing>
          <wp:inline distT="0" distB="0" distL="0" distR="0" wp14:anchorId="503FA0A9" wp14:editId="6C5ACA5D">
            <wp:extent cx="5069205" cy="2262554"/>
            <wp:effectExtent l="0" t="0" r="0" b="4445"/>
            <wp:docPr id="41" name="Gráfico 41">
              <a:extLst xmlns:a="http://schemas.openxmlformats.org/drawingml/2006/main">
                <a:ext uri="{FF2B5EF4-FFF2-40B4-BE49-F238E27FC236}">
                  <a16:creationId xmlns:a16="http://schemas.microsoft.com/office/drawing/2014/main" xmlns:w16se="http://schemas.microsoft.com/office/word/2015/wordml/symex" xmlns:w15="http://schemas.microsoft.com/office/word/2012/wordml" xmlns:w="http://schemas.openxmlformats.org/wordprocessingml/2006/main" xmlns:w10="urn:schemas-microsoft-com:office:word" xmlns:v="urn:schemas-microsoft-com:vml" xmlns:o="urn:schemas-microsoft-com:office:office" xmlns:cx="http://schemas.microsoft.com/office/drawing/2014/chartex" xmlns="" id="{3A34857F-1A37-440E-8664-29870E32D54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p>
    <w:p w14:paraId="6E9FB1F5" w14:textId="04984C28" w:rsidR="00C42AA3" w:rsidRPr="004707AB" w:rsidRDefault="00C42AA3" w:rsidP="00C42AA3">
      <w:pPr>
        <w:ind w:left="708"/>
        <w:jc w:val="both"/>
        <w:rPr>
          <w:rFonts w:eastAsia="OptimaLTStd"/>
          <w:color w:val="000000"/>
          <w:lang w:val="es-MX"/>
        </w:rPr>
      </w:pPr>
      <w:r w:rsidRPr="004707AB">
        <w:rPr>
          <w:rFonts w:eastAsia="OptimaLTStd"/>
          <w:color w:val="000000"/>
          <w:lang w:val="es-MX"/>
        </w:rPr>
        <w:t>Fuente: Banco de Guatemala, Índice de Precios al Consumidor nivel República, julio 2020.</w:t>
      </w:r>
    </w:p>
    <w:p w14:paraId="61AE42D7" w14:textId="77777777" w:rsidR="002426C8" w:rsidRPr="00915C30" w:rsidRDefault="002426C8" w:rsidP="00C42AA3">
      <w:pPr>
        <w:ind w:left="708"/>
        <w:jc w:val="both"/>
        <w:rPr>
          <w:rFonts w:eastAsia="OptimaLTStd"/>
          <w:color w:val="000000"/>
          <w:sz w:val="18"/>
          <w:szCs w:val="18"/>
          <w:lang w:val="es-MX"/>
        </w:rPr>
      </w:pPr>
    </w:p>
    <w:p w14:paraId="7F7AFFEF" w14:textId="77777777" w:rsidR="00C42AA3" w:rsidRPr="009562D6" w:rsidRDefault="00C42AA3" w:rsidP="00C42AA3">
      <w:pPr>
        <w:rPr>
          <w:sz w:val="24"/>
          <w:szCs w:val="24"/>
          <w:lang w:val="es-MX"/>
        </w:rPr>
      </w:pPr>
    </w:p>
    <w:p w14:paraId="2CB95E73" w14:textId="77777777" w:rsidR="00C42AA3" w:rsidRPr="00915C30" w:rsidRDefault="00C42AA3" w:rsidP="00A86EFD">
      <w:pPr>
        <w:pStyle w:val="Ttulo1"/>
        <w:widowControl/>
        <w:numPr>
          <w:ilvl w:val="3"/>
          <w:numId w:val="5"/>
        </w:numPr>
        <w:ind w:right="49"/>
        <w:jc w:val="left"/>
        <w:rPr>
          <w:rFonts w:eastAsia="OptimaLTStd"/>
          <w:b w:val="0"/>
          <w:bCs/>
          <w:sz w:val="24"/>
          <w:szCs w:val="24"/>
          <w:lang w:val="es-MX"/>
        </w:rPr>
      </w:pPr>
      <w:bookmarkStart w:id="81" w:name="_Toc46851815"/>
      <w:bookmarkStart w:id="82" w:name="_Toc47433639"/>
      <w:bookmarkStart w:id="83" w:name="_Toc49939736"/>
      <w:r w:rsidRPr="00915C30">
        <w:rPr>
          <w:rFonts w:eastAsia="OptimaLTStd"/>
          <w:bCs/>
          <w:sz w:val="24"/>
          <w:szCs w:val="24"/>
          <w:lang w:val="es-MX"/>
        </w:rPr>
        <w:t>Ingresos Familiares y consumo privado</w:t>
      </w:r>
      <w:bookmarkEnd w:id="81"/>
      <w:bookmarkEnd w:id="82"/>
      <w:bookmarkEnd w:id="83"/>
    </w:p>
    <w:p w14:paraId="5E692789" w14:textId="77777777" w:rsidR="00C42AA3" w:rsidRPr="009562D6" w:rsidRDefault="00C42AA3" w:rsidP="00C42AA3">
      <w:pPr>
        <w:rPr>
          <w:sz w:val="24"/>
          <w:szCs w:val="24"/>
          <w:lang w:val="es-MX"/>
        </w:rPr>
      </w:pPr>
    </w:p>
    <w:p w14:paraId="031E90BC" w14:textId="77777777" w:rsidR="00C42AA3" w:rsidRPr="00E420AA" w:rsidRDefault="00C42AA3" w:rsidP="00E648CF">
      <w:pPr>
        <w:pStyle w:val="Sinespaciado"/>
        <w:ind w:left="567" w:right="49"/>
        <w:jc w:val="both"/>
        <w:rPr>
          <w:rFonts w:ascii="Times New Roman" w:eastAsia="OptimaLTStd" w:hAnsi="Times New Roman"/>
          <w:sz w:val="24"/>
          <w:szCs w:val="24"/>
        </w:rPr>
      </w:pPr>
      <w:r w:rsidRPr="00E420AA">
        <w:rPr>
          <w:rFonts w:ascii="Times New Roman" w:eastAsia="OptimaLTStd" w:hAnsi="Times New Roman"/>
          <w:sz w:val="24"/>
          <w:szCs w:val="24"/>
        </w:rPr>
        <w:t>Las proyecciones originales de crecimiento para 2020 preveían un crecimiento en la demanda interna en el rango de 3.9%, impulsada por la evolución positiva del consumo privado, el crecimiento de las remesas familiares, las remuneraciones de los hogares, el mantenimiento de condiciones crediticias favorables y la estabilidad en el nivel general de precios.</w:t>
      </w:r>
    </w:p>
    <w:p w14:paraId="46A3273B" w14:textId="77777777" w:rsidR="00C42AA3" w:rsidRPr="00E420AA" w:rsidRDefault="00C42AA3" w:rsidP="00C42AA3">
      <w:pPr>
        <w:jc w:val="both"/>
        <w:rPr>
          <w:rFonts w:eastAsia="OptimaLTStd"/>
          <w:color w:val="000000"/>
          <w:sz w:val="28"/>
          <w:szCs w:val="28"/>
          <w:lang w:val="es-MX"/>
        </w:rPr>
      </w:pPr>
    </w:p>
    <w:p w14:paraId="7C24DF58" w14:textId="77777777" w:rsidR="00C42AA3" w:rsidRPr="00E420AA" w:rsidRDefault="00C42AA3" w:rsidP="00E648CF">
      <w:pPr>
        <w:pStyle w:val="Sinespaciado"/>
        <w:ind w:left="567" w:right="49"/>
        <w:jc w:val="both"/>
        <w:rPr>
          <w:rFonts w:ascii="Times New Roman" w:eastAsia="OptimaLTStd" w:hAnsi="Times New Roman"/>
          <w:sz w:val="24"/>
          <w:szCs w:val="24"/>
        </w:rPr>
      </w:pPr>
      <w:r w:rsidRPr="00E420AA">
        <w:rPr>
          <w:rFonts w:ascii="Times New Roman" w:eastAsia="OptimaLTStd" w:hAnsi="Times New Roman"/>
          <w:sz w:val="24"/>
          <w:szCs w:val="24"/>
        </w:rPr>
        <w:t>Las variables anteriores, sumadas a la posibilidad de una reducción temporal en el nivel de empleo, por la desaceleración de la producción e incluso su interrupción, podrían provocar una contracción en el nivel de consumo interno, al momento no se cuenta con cifras e información que sustenten o contradigan este argumento. La magnitud del choque, debido a la reducción de la demanda de bienes y servicios (incluidos el turismo y los servicios de entretenimiento) dependerá tanto de la duración de las medidas de contención impuestas por el gobierno, como la cuarentena y las restricciones de movilidad, así como de la respuesta de los individuos y su reacción a las circunstancias, particularmente las relacionadas con decisiones de consumo, en tormo a una potencial contracción en sus ingresos.</w:t>
      </w:r>
    </w:p>
    <w:p w14:paraId="2D992CCE" w14:textId="77777777" w:rsidR="00C42AA3" w:rsidRPr="00E420AA" w:rsidRDefault="00C42AA3" w:rsidP="00C42AA3">
      <w:pPr>
        <w:autoSpaceDE w:val="0"/>
        <w:autoSpaceDN w:val="0"/>
        <w:adjustRightInd w:val="0"/>
        <w:spacing w:line="276" w:lineRule="auto"/>
        <w:jc w:val="both"/>
        <w:rPr>
          <w:rFonts w:eastAsia="OptimaLTStd"/>
          <w:color w:val="000000"/>
          <w:sz w:val="28"/>
          <w:szCs w:val="28"/>
          <w:lang w:val="es-MX"/>
        </w:rPr>
      </w:pPr>
    </w:p>
    <w:p w14:paraId="68589BCC" w14:textId="1ED15846" w:rsidR="00E420AA" w:rsidRPr="00E420AA" w:rsidRDefault="00C42AA3" w:rsidP="00E648CF">
      <w:pPr>
        <w:pStyle w:val="Sinespaciado"/>
        <w:ind w:left="567" w:right="49"/>
        <w:jc w:val="both"/>
        <w:rPr>
          <w:rFonts w:ascii="Times New Roman" w:eastAsia="OptimaLTStd" w:hAnsi="Times New Roman"/>
          <w:sz w:val="24"/>
          <w:szCs w:val="24"/>
        </w:rPr>
      </w:pPr>
      <w:r w:rsidRPr="00E420AA">
        <w:rPr>
          <w:rFonts w:ascii="Times New Roman" w:eastAsia="OptimaLTStd" w:hAnsi="Times New Roman"/>
          <w:sz w:val="24"/>
          <w:szCs w:val="24"/>
        </w:rPr>
        <w:t>El Decreto Número 12-2020 del Congreso de la República. estableció la prohibición de cobro de multas, mora, gastos administrativos o intereses, por atrasos en el pago de cuotas correspondientes a centros educativos, incluye universidades, las cuotas dejadas de pagar durante los 60 días siguientes al inicio de la vigencia de la Ley (25 de marzo 2020) se distribuirán proporcionalmente en los meses restantes del año.</w:t>
      </w:r>
    </w:p>
    <w:p w14:paraId="60343A23" w14:textId="049E8957" w:rsidR="00E420AA" w:rsidRDefault="00E420AA">
      <w:pPr>
        <w:widowControl/>
        <w:spacing w:after="200" w:line="276" w:lineRule="auto"/>
        <w:rPr>
          <w:rFonts w:eastAsia="OptimaLTStd"/>
          <w:sz w:val="22"/>
          <w:szCs w:val="22"/>
          <w:lang w:val="es-ES" w:eastAsia="en-US"/>
        </w:rPr>
      </w:pPr>
    </w:p>
    <w:p w14:paraId="2A5DCD75" w14:textId="77777777" w:rsidR="00C42AA3" w:rsidRPr="005A4BBD" w:rsidRDefault="00C42AA3" w:rsidP="00D95BA3">
      <w:pPr>
        <w:pStyle w:val="Ttulo1"/>
        <w:widowControl/>
        <w:numPr>
          <w:ilvl w:val="2"/>
          <w:numId w:val="5"/>
        </w:numPr>
        <w:ind w:right="49"/>
        <w:jc w:val="left"/>
        <w:rPr>
          <w:color w:val="auto"/>
          <w:sz w:val="24"/>
          <w:szCs w:val="24"/>
        </w:rPr>
      </w:pPr>
      <w:bookmarkStart w:id="84" w:name="_Toc46851816"/>
      <w:bookmarkStart w:id="85" w:name="_Toc47433640"/>
      <w:bookmarkStart w:id="86" w:name="_Toc49939737"/>
      <w:r w:rsidRPr="005A4BBD">
        <w:rPr>
          <w:color w:val="auto"/>
          <w:sz w:val="24"/>
          <w:szCs w:val="24"/>
        </w:rPr>
        <w:t>Sector Fiscal</w:t>
      </w:r>
      <w:bookmarkEnd w:id="84"/>
      <w:bookmarkEnd w:id="85"/>
      <w:bookmarkEnd w:id="86"/>
    </w:p>
    <w:p w14:paraId="6B9FCE01" w14:textId="77777777" w:rsidR="00C42AA3" w:rsidRPr="009562D6" w:rsidRDefault="00C42AA3" w:rsidP="00C42AA3">
      <w:pPr>
        <w:rPr>
          <w:sz w:val="24"/>
          <w:szCs w:val="24"/>
        </w:rPr>
      </w:pPr>
    </w:p>
    <w:p w14:paraId="6CAEE7A8" w14:textId="77777777" w:rsidR="00C42AA3" w:rsidRPr="00E420AA" w:rsidRDefault="00C42AA3" w:rsidP="00E648CF">
      <w:pPr>
        <w:pStyle w:val="Sinespaciado"/>
        <w:ind w:left="567" w:right="49"/>
        <w:jc w:val="both"/>
        <w:rPr>
          <w:rFonts w:ascii="Times New Roman" w:eastAsia="OptimaLTStd" w:hAnsi="Times New Roman"/>
          <w:sz w:val="24"/>
          <w:szCs w:val="24"/>
        </w:rPr>
      </w:pPr>
      <w:r w:rsidRPr="00E420AA">
        <w:rPr>
          <w:rFonts w:ascii="Times New Roman" w:eastAsia="OptimaLTStd" w:hAnsi="Times New Roman"/>
          <w:sz w:val="24"/>
          <w:szCs w:val="24"/>
        </w:rPr>
        <w:t xml:space="preserve">En términos fiscales la crisis sanitaria derivada de COVID-19, tendrá múltiples efectos a partir de 2020, por una parte, la asignación de recursos presupuestarios para atender las necesidades de atención médica a la población, enfrentar las actividades de prevención mediante distanciamiento social e higiene, y para facilitar la recuperación de la actividad en sectores seleccionados de la economía, representará un incremento considerable en el gasto público; por la otra, el impacto sobre los ingresos tributarios tanto de origen interno como los relacionados con el comercio exterior, será muy fuerte. </w:t>
      </w:r>
    </w:p>
    <w:p w14:paraId="0CFA1C6F" w14:textId="77777777" w:rsidR="00C42AA3" w:rsidRPr="00E420AA" w:rsidRDefault="00C42AA3" w:rsidP="002426C8">
      <w:pPr>
        <w:pStyle w:val="Sinespaciado"/>
        <w:jc w:val="both"/>
        <w:rPr>
          <w:rFonts w:ascii="Times New Roman" w:eastAsia="OptimaLTStd" w:hAnsi="Times New Roman"/>
          <w:sz w:val="24"/>
          <w:szCs w:val="24"/>
        </w:rPr>
      </w:pPr>
    </w:p>
    <w:p w14:paraId="7221804C" w14:textId="77777777" w:rsidR="00C42AA3" w:rsidRPr="00E420AA" w:rsidRDefault="00C42AA3" w:rsidP="00E648CF">
      <w:pPr>
        <w:pStyle w:val="Sinespaciado"/>
        <w:ind w:left="567" w:right="49"/>
        <w:jc w:val="both"/>
        <w:rPr>
          <w:rFonts w:ascii="Times New Roman" w:eastAsia="OptimaLTStd" w:hAnsi="Times New Roman"/>
          <w:sz w:val="24"/>
          <w:szCs w:val="24"/>
        </w:rPr>
      </w:pPr>
      <w:r w:rsidRPr="00E420AA">
        <w:rPr>
          <w:rFonts w:ascii="Times New Roman" w:eastAsia="OptimaLTStd" w:hAnsi="Times New Roman"/>
          <w:sz w:val="24"/>
          <w:szCs w:val="24"/>
        </w:rPr>
        <w:t>Para la atención de la pandemia, el Gobierno de la República de Guatemala ha diseñado el Plan Nacional de Emergencia y Recuperación Económica, el cual, si bien está orientado a atenuar los efectos económicos en la etapa de control y mitigación de la emergencia, también contiene acciones cuyo efecto podría rebasar dicho período de emergencia y propiciar una recuperación económica que vuelva a ubicar al país en una senda de crecimiento como la observada previo a la crisis por Covid-19.</w:t>
      </w:r>
    </w:p>
    <w:p w14:paraId="0A43E9BC" w14:textId="77777777" w:rsidR="00C42AA3" w:rsidRPr="00E420AA" w:rsidRDefault="00C42AA3" w:rsidP="002426C8">
      <w:pPr>
        <w:pStyle w:val="Sinespaciado"/>
        <w:jc w:val="both"/>
        <w:rPr>
          <w:rFonts w:ascii="Times New Roman" w:eastAsia="OptimaLTStd" w:hAnsi="Times New Roman"/>
          <w:sz w:val="24"/>
          <w:szCs w:val="24"/>
        </w:rPr>
      </w:pPr>
    </w:p>
    <w:p w14:paraId="6A6A8A2A" w14:textId="77777777" w:rsidR="00C42AA3" w:rsidRPr="00E420AA" w:rsidRDefault="00C42AA3" w:rsidP="00E648CF">
      <w:pPr>
        <w:pStyle w:val="Sinespaciado"/>
        <w:ind w:left="567" w:right="49"/>
        <w:jc w:val="both"/>
        <w:rPr>
          <w:rFonts w:ascii="Times New Roman" w:eastAsia="OptimaLTStd" w:hAnsi="Times New Roman"/>
          <w:sz w:val="24"/>
          <w:szCs w:val="24"/>
        </w:rPr>
      </w:pPr>
      <w:r w:rsidRPr="00E420AA">
        <w:rPr>
          <w:rFonts w:ascii="Times New Roman" w:eastAsia="OptimaLTStd" w:hAnsi="Times New Roman"/>
          <w:sz w:val="24"/>
          <w:szCs w:val="24"/>
        </w:rPr>
        <w:t xml:space="preserve">Dado lo anterior, el desafío de la política fiscal será encontrar el balance entre la disminución de ingresos y el aumento del gasto, que le obligan inevitablemente, a la utilización de recursos provenientes del endeudamiento interno y externo y al incremento del déficit fiscal para asegurar </w:t>
      </w:r>
      <w:r w:rsidRPr="00E420AA">
        <w:rPr>
          <w:rFonts w:ascii="Times New Roman" w:eastAsia="OptimaLTStd" w:hAnsi="Times New Roman"/>
          <w:sz w:val="24"/>
          <w:szCs w:val="24"/>
        </w:rPr>
        <w:lastRenderedPageBreak/>
        <w:t>los fondos necesarios para combatir la pandemia; y la búsqueda de mecanismos para minimizar efectos sobre el crecimiento y la sostenibilidad fiscal. </w:t>
      </w:r>
    </w:p>
    <w:p w14:paraId="1443684B" w14:textId="77777777" w:rsidR="00C42AA3" w:rsidRPr="00E420AA" w:rsidRDefault="00C42AA3" w:rsidP="002426C8">
      <w:pPr>
        <w:pStyle w:val="Sinespaciado"/>
        <w:jc w:val="both"/>
        <w:rPr>
          <w:rFonts w:ascii="Times New Roman" w:eastAsia="OptimaLTStd" w:hAnsi="Times New Roman"/>
          <w:sz w:val="24"/>
          <w:szCs w:val="24"/>
        </w:rPr>
      </w:pPr>
    </w:p>
    <w:p w14:paraId="4EDA3F6E" w14:textId="77777777" w:rsidR="00C42AA3" w:rsidRDefault="00C42AA3" w:rsidP="00C42AA3">
      <w:pPr>
        <w:pStyle w:val="Ttulo2"/>
        <w:rPr>
          <w:color w:val="000000" w:themeColor="text1"/>
          <w:sz w:val="24"/>
          <w:szCs w:val="24"/>
        </w:rPr>
      </w:pPr>
      <w:bookmarkStart w:id="87" w:name="_Toc46851817"/>
    </w:p>
    <w:p w14:paraId="45B2F0EA" w14:textId="77777777" w:rsidR="00C42AA3" w:rsidRPr="009562D6" w:rsidRDefault="00C42AA3" w:rsidP="00A86EFD">
      <w:pPr>
        <w:pStyle w:val="Ttulo1"/>
        <w:widowControl/>
        <w:numPr>
          <w:ilvl w:val="3"/>
          <w:numId w:val="5"/>
        </w:numPr>
        <w:ind w:right="49"/>
        <w:jc w:val="left"/>
        <w:rPr>
          <w:color w:val="000000" w:themeColor="text1"/>
          <w:sz w:val="24"/>
          <w:szCs w:val="24"/>
        </w:rPr>
      </w:pPr>
      <w:bookmarkStart w:id="88" w:name="_Toc47433641"/>
      <w:bookmarkStart w:id="89" w:name="_Toc49939738"/>
      <w:r w:rsidRPr="009562D6">
        <w:rPr>
          <w:color w:val="000000" w:themeColor="text1"/>
          <w:sz w:val="24"/>
          <w:szCs w:val="24"/>
        </w:rPr>
        <w:t xml:space="preserve">Estrategia </w:t>
      </w:r>
      <w:r w:rsidRPr="00A86EFD">
        <w:rPr>
          <w:rFonts w:eastAsia="OptimaLTStd"/>
          <w:bCs/>
          <w:sz w:val="24"/>
          <w:szCs w:val="24"/>
          <w:lang w:val="es-MX"/>
        </w:rPr>
        <w:t>Financiera</w:t>
      </w:r>
      <w:r w:rsidRPr="009562D6">
        <w:rPr>
          <w:color w:val="000000" w:themeColor="text1"/>
          <w:sz w:val="24"/>
          <w:szCs w:val="24"/>
        </w:rPr>
        <w:t xml:space="preserve"> para la atención de la Emergencia</w:t>
      </w:r>
      <w:bookmarkEnd w:id="87"/>
      <w:bookmarkEnd w:id="88"/>
      <w:bookmarkEnd w:id="89"/>
    </w:p>
    <w:p w14:paraId="7CD11992" w14:textId="77777777" w:rsidR="00C42AA3" w:rsidRPr="009562D6" w:rsidRDefault="00C42AA3" w:rsidP="00C42AA3">
      <w:pPr>
        <w:rPr>
          <w:sz w:val="24"/>
          <w:szCs w:val="24"/>
          <w:lang w:val="es-MX"/>
        </w:rPr>
      </w:pPr>
    </w:p>
    <w:p w14:paraId="7CCEEAB3" w14:textId="77777777" w:rsidR="00C42AA3" w:rsidRPr="00E420AA" w:rsidRDefault="00C42AA3" w:rsidP="00E648CF">
      <w:pPr>
        <w:pStyle w:val="Sinespaciado"/>
        <w:ind w:left="567" w:right="49"/>
        <w:jc w:val="both"/>
        <w:rPr>
          <w:rFonts w:ascii="Times New Roman" w:eastAsia="OptimaLTStd" w:hAnsi="Times New Roman"/>
          <w:sz w:val="24"/>
          <w:szCs w:val="24"/>
        </w:rPr>
      </w:pPr>
      <w:r w:rsidRPr="00E420AA">
        <w:rPr>
          <w:rFonts w:ascii="Times New Roman" w:eastAsia="OptimaLTStd" w:hAnsi="Times New Roman"/>
          <w:sz w:val="24"/>
          <w:szCs w:val="24"/>
        </w:rPr>
        <w:t>La atención de la emergencia provocada por el COVID-19 coronavirus, en la fase de contingencia y atención, enfoca los esfuerzos en aplanar la curva epidemiológica; sin embargo, las medidas necesarias para lograr este objetivo reducen la actividad económica. De esta forma, la recesión resultante, es una medida necesaria de salud pública. Mantener a los trabajadores lejos del trabajo y a los consumidores lejos del consumo reduce la actividad económica. (Baldwin &amp; Weder di Mauro, 2020).</w:t>
      </w:r>
    </w:p>
    <w:p w14:paraId="290ECE30" w14:textId="77777777" w:rsidR="00C42AA3" w:rsidRPr="00E648CF" w:rsidRDefault="00C42AA3" w:rsidP="00E648CF">
      <w:pPr>
        <w:pStyle w:val="Sinespaciado"/>
        <w:ind w:left="567" w:right="49"/>
        <w:jc w:val="both"/>
        <w:rPr>
          <w:rFonts w:ascii="Times New Roman" w:eastAsia="OptimaLTStd" w:hAnsi="Times New Roman"/>
          <w:sz w:val="24"/>
          <w:szCs w:val="24"/>
        </w:rPr>
      </w:pPr>
    </w:p>
    <w:p w14:paraId="3808D656" w14:textId="77777777" w:rsidR="00C42AA3" w:rsidRPr="00E420AA" w:rsidRDefault="00C42AA3" w:rsidP="00E648CF">
      <w:pPr>
        <w:pStyle w:val="Sinespaciado"/>
        <w:ind w:left="567" w:right="49"/>
        <w:jc w:val="both"/>
        <w:rPr>
          <w:rFonts w:ascii="Times New Roman" w:eastAsia="OptimaLTStd" w:hAnsi="Times New Roman"/>
          <w:sz w:val="24"/>
          <w:szCs w:val="24"/>
        </w:rPr>
      </w:pPr>
      <w:r w:rsidRPr="00E420AA">
        <w:rPr>
          <w:rFonts w:ascii="Times New Roman" w:eastAsia="OptimaLTStd" w:hAnsi="Times New Roman"/>
          <w:sz w:val="24"/>
          <w:szCs w:val="24"/>
        </w:rPr>
        <w:t>Para reducir y mitigar estos efectos es necesaria la coordinación entre la política de salud orientada a contener el contagio, atender la emergencia sanitaria y la política económica para contener la recesión y atender los efectos e impactos económicos resultantes de la crisis.</w:t>
      </w:r>
    </w:p>
    <w:p w14:paraId="46138559" w14:textId="77777777" w:rsidR="00C42AA3" w:rsidRPr="00E648CF" w:rsidRDefault="00C42AA3" w:rsidP="00E648CF">
      <w:pPr>
        <w:pStyle w:val="Sinespaciado"/>
        <w:ind w:left="567" w:right="49"/>
        <w:jc w:val="both"/>
        <w:rPr>
          <w:rFonts w:ascii="Times New Roman" w:eastAsia="OptimaLTStd" w:hAnsi="Times New Roman"/>
          <w:sz w:val="24"/>
          <w:szCs w:val="24"/>
        </w:rPr>
      </w:pPr>
    </w:p>
    <w:p w14:paraId="75EF7495" w14:textId="77777777" w:rsidR="00C42AA3" w:rsidRPr="00E420AA" w:rsidRDefault="00C42AA3" w:rsidP="00E648CF">
      <w:pPr>
        <w:pStyle w:val="Sinespaciado"/>
        <w:ind w:left="567" w:right="49"/>
        <w:jc w:val="both"/>
        <w:rPr>
          <w:rFonts w:ascii="Times New Roman" w:eastAsia="OptimaLTStd" w:hAnsi="Times New Roman"/>
          <w:sz w:val="24"/>
          <w:szCs w:val="24"/>
        </w:rPr>
      </w:pPr>
      <w:r w:rsidRPr="00E420AA">
        <w:rPr>
          <w:rFonts w:ascii="Times New Roman" w:eastAsia="OptimaLTStd" w:hAnsi="Times New Roman"/>
          <w:sz w:val="24"/>
          <w:szCs w:val="24"/>
        </w:rPr>
        <w:t>En la siguiente figura, esquemáticamente se tiene un panel superior (médico) y un panel inferior (económico).  En el panel superior (el resultado médico), la curva roja sugiere lo que la curva epidemiológica sin políticas de contención (política pública de salud); la curva celeste punteada, sugiere los resultados de las políticas de contención en aplanar la curva.</w:t>
      </w:r>
    </w:p>
    <w:p w14:paraId="7E585C61" w14:textId="77777777" w:rsidR="00C42AA3" w:rsidRPr="00E648CF" w:rsidRDefault="00C42AA3" w:rsidP="00E648CF">
      <w:pPr>
        <w:pStyle w:val="Sinespaciado"/>
        <w:ind w:left="567" w:right="49"/>
        <w:jc w:val="both"/>
        <w:rPr>
          <w:rFonts w:ascii="Times New Roman" w:eastAsia="OptimaLTStd" w:hAnsi="Times New Roman"/>
          <w:sz w:val="24"/>
          <w:szCs w:val="24"/>
        </w:rPr>
      </w:pPr>
    </w:p>
    <w:p w14:paraId="1EDCF6F1" w14:textId="503BDCE8" w:rsidR="00C42AA3" w:rsidRPr="002426C8" w:rsidRDefault="002426C8" w:rsidP="002426C8">
      <w:pPr>
        <w:pStyle w:val="Epgrafe"/>
        <w:keepNext/>
        <w:ind w:left="567" w:right="49"/>
        <w:rPr>
          <w:color w:val="auto"/>
          <w:sz w:val="24"/>
          <w:szCs w:val="24"/>
        </w:rPr>
      </w:pPr>
      <w:r>
        <w:rPr>
          <w:color w:val="auto"/>
          <w:sz w:val="24"/>
          <w:szCs w:val="24"/>
        </w:rPr>
        <w:t>Gráfico 42</w:t>
      </w:r>
    </w:p>
    <w:p w14:paraId="1DFA3F37" w14:textId="77777777" w:rsidR="00C42AA3" w:rsidRPr="002426C8" w:rsidRDefault="00C42AA3" w:rsidP="002426C8">
      <w:pPr>
        <w:pStyle w:val="Epgrafe"/>
        <w:keepNext/>
        <w:ind w:left="567" w:right="49"/>
        <w:rPr>
          <w:color w:val="auto"/>
          <w:sz w:val="24"/>
          <w:szCs w:val="24"/>
        </w:rPr>
      </w:pPr>
      <w:r w:rsidRPr="002426C8">
        <w:rPr>
          <w:color w:val="auto"/>
          <w:sz w:val="24"/>
          <w:szCs w:val="24"/>
        </w:rPr>
        <w:t>Aplanar la curva epidemiológica y aplanar la profundidad de la recesión económica</w:t>
      </w:r>
    </w:p>
    <w:p w14:paraId="2457D548" w14:textId="77777777" w:rsidR="00C42AA3" w:rsidRPr="009562D6" w:rsidRDefault="00C42AA3" w:rsidP="00C42AA3">
      <w:pPr>
        <w:autoSpaceDE w:val="0"/>
        <w:autoSpaceDN w:val="0"/>
        <w:adjustRightInd w:val="0"/>
        <w:jc w:val="center"/>
        <w:rPr>
          <w:rFonts w:eastAsia="OptimaLTStd"/>
          <w:color w:val="000000"/>
          <w:sz w:val="24"/>
          <w:szCs w:val="24"/>
          <w:lang w:val="es-MX"/>
        </w:rPr>
      </w:pPr>
    </w:p>
    <w:p w14:paraId="589DFCC1" w14:textId="77777777" w:rsidR="00C42AA3" w:rsidRPr="009562D6" w:rsidRDefault="00C42AA3" w:rsidP="00C42AA3">
      <w:pPr>
        <w:jc w:val="center"/>
        <w:rPr>
          <w:sz w:val="24"/>
          <w:szCs w:val="24"/>
          <w:lang w:val="es-GT"/>
        </w:rPr>
      </w:pPr>
      <w:r w:rsidRPr="009562D6">
        <w:rPr>
          <w:noProof/>
          <w:sz w:val="24"/>
          <w:szCs w:val="24"/>
          <w:lang w:val="es-ES"/>
        </w:rPr>
        <w:drawing>
          <wp:inline distT="0" distB="0" distL="0" distR="0" wp14:anchorId="7EAB1D79" wp14:editId="13307424">
            <wp:extent cx="4776235" cy="3086472"/>
            <wp:effectExtent l="0" t="0" r="5715" b="0"/>
            <wp:docPr id="33" name="Imagen 3">
              <a:extLst xmlns:a="http://schemas.openxmlformats.org/drawingml/2006/main">
                <a:ext uri="{FF2B5EF4-FFF2-40B4-BE49-F238E27FC236}">
                  <a16:creationId xmlns:a16="http://schemas.microsoft.com/office/drawing/2014/main" xmlns:w16se="http://schemas.microsoft.com/office/word/2015/wordml/symex" xmlns:w15="http://schemas.microsoft.com/office/word/2012/wordml" xmlns:w="http://schemas.openxmlformats.org/wordprocessingml/2006/main" xmlns:w10="urn:schemas-microsoft-com:office:word" xmlns:v="urn:schemas-microsoft-com:vml" xmlns:o="urn:schemas-microsoft-com:office:office" xmlns:cx="http://schemas.microsoft.com/office/drawing/2014/chartex" xmlns="" id="{D9A6455B-F153-4181-9CC9-CCBC773C054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3">
                      <a:extLst>
                        <a:ext uri="{FF2B5EF4-FFF2-40B4-BE49-F238E27FC236}">
                          <a16:creationId xmlns:a16="http://schemas.microsoft.com/office/drawing/2014/main" xmlns:w16se="http://schemas.microsoft.com/office/word/2015/wordml/symex" xmlns:w15="http://schemas.microsoft.com/office/word/2012/wordml" xmlns:w="http://schemas.openxmlformats.org/wordprocessingml/2006/main" xmlns:w10="urn:schemas-microsoft-com:office:word" xmlns:v="urn:schemas-microsoft-com:vml" xmlns:o="urn:schemas-microsoft-com:office:office" xmlns:cx="http://schemas.microsoft.com/office/drawing/2014/chartex" xmlns="" id="{D9A6455B-F153-4181-9CC9-CCBC773C054F}"/>
                        </a:ext>
                      </a:extLst>
                    </pic:cNvPr>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4843651" cy="3130037"/>
                    </a:xfrm>
                    <a:prstGeom prst="rect">
                      <a:avLst/>
                    </a:prstGeom>
                    <a:noFill/>
                  </pic:spPr>
                </pic:pic>
              </a:graphicData>
            </a:graphic>
          </wp:inline>
        </w:drawing>
      </w:r>
    </w:p>
    <w:p w14:paraId="3FF64A89" w14:textId="77777777" w:rsidR="00C42AA3" w:rsidRPr="009562D6" w:rsidRDefault="00C42AA3" w:rsidP="00C42AA3">
      <w:pPr>
        <w:jc w:val="both"/>
        <w:rPr>
          <w:rFonts w:eastAsia="OptimaLTStd"/>
          <w:color w:val="000000"/>
          <w:sz w:val="24"/>
          <w:szCs w:val="24"/>
          <w:lang w:val="es-MX"/>
        </w:rPr>
      </w:pPr>
    </w:p>
    <w:p w14:paraId="66963C1D" w14:textId="77777777" w:rsidR="00C42AA3" w:rsidRPr="004707AB" w:rsidRDefault="00C42AA3" w:rsidP="00C42AA3">
      <w:pPr>
        <w:ind w:left="708"/>
        <w:jc w:val="both"/>
        <w:rPr>
          <w:rFonts w:eastAsia="OptimaLTStd"/>
          <w:color w:val="000000"/>
          <w:lang w:val="es-MX"/>
        </w:rPr>
      </w:pPr>
      <w:r w:rsidRPr="004707AB">
        <w:rPr>
          <w:rFonts w:eastAsia="OptimaLTStd"/>
          <w:color w:val="000000"/>
          <w:lang w:val="es-MX"/>
        </w:rPr>
        <w:t>Fuente: FUSADES, 2020</w:t>
      </w:r>
    </w:p>
    <w:p w14:paraId="2C8D1647" w14:textId="77777777" w:rsidR="00C42AA3" w:rsidRPr="009562D6" w:rsidRDefault="00C42AA3" w:rsidP="00C42AA3">
      <w:pPr>
        <w:rPr>
          <w:sz w:val="24"/>
          <w:szCs w:val="24"/>
          <w:lang w:val="es-GT"/>
        </w:rPr>
      </w:pPr>
    </w:p>
    <w:p w14:paraId="3B9C714B" w14:textId="46849353" w:rsidR="00C42AA3" w:rsidRPr="00E420AA" w:rsidRDefault="00C42AA3" w:rsidP="00E648CF">
      <w:pPr>
        <w:pStyle w:val="Sinespaciado"/>
        <w:ind w:left="567" w:right="49"/>
        <w:jc w:val="both"/>
        <w:rPr>
          <w:rFonts w:ascii="Times New Roman" w:eastAsia="OptimaLTStd" w:hAnsi="Times New Roman"/>
          <w:sz w:val="24"/>
          <w:szCs w:val="24"/>
        </w:rPr>
      </w:pPr>
      <w:r w:rsidRPr="00E420AA">
        <w:rPr>
          <w:rFonts w:ascii="Times New Roman" w:eastAsia="OptimaLTStd" w:hAnsi="Times New Roman"/>
          <w:sz w:val="24"/>
          <w:szCs w:val="24"/>
        </w:rPr>
        <w:lastRenderedPageBreak/>
        <w:t xml:space="preserve">En el panel inferior (el resultado económico), la curva celeste, ilustra los impactos económicos de la crisis y las medidas para contenerlas (recesión profunda) sin política económica contra cíclica; mientras que la curva amarilla sugiere la evolución de la recesión al emplear políticas de contención. Lo que muestra que el objetivo de aplanar la curva </w:t>
      </w:r>
      <w:r w:rsidR="002426C8" w:rsidRPr="00E420AA">
        <w:rPr>
          <w:rFonts w:ascii="Times New Roman" w:eastAsia="OptimaLTStd" w:hAnsi="Times New Roman"/>
          <w:sz w:val="24"/>
          <w:szCs w:val="24"/>
        </w:rPr>
        <w:t>epidemiológica</w:t>
      </w:r>
      <w:r w:rsidRPr="00E420AA">
        <w:rPr>
          <w:rFonts w:ascii="Times New Roman" w:eastAsia="OptimaLTStd" w:hAnsi="Times New Roman"/>
          <w:sz w:val="24"/>
          <w:szCs w:val="24"/>
        </w:rPr>
        <w:t xml:space="preserve"> inevitablemente aumenta la curva de recesión macroeconómica (Baldwin &amp; Weder di Mauro, op. cit.).</w:t>
      </w:r>
    </w:p>
    <w:p w14:paraId="7BB3195E" w14:textId="77777777" w:rsidR="00C42AA3" w:rsidRPr="00E420AA" w:rsidRDefault="00C42AA3" w:rsidP="00E648CF">
      <w:pPr>
        <w:pStyle w:val="Sinespaciado"/>
        <w:ind w:left="567" w:right="49"/>
        <w:jc w:val="both"/>
        <w:rPr>
          <w:rFonts w:ascii="Times New Roman" w:eastAsia="OptimaLTStd" w:hAnsi="Times New Roman"/>
          <w:sz w:val="24"/>
          <w:szCs w:val="24"/>
        </w:rPr>
      </w:pPr>
    </w:p>
    <w:p w14:paraId="20E12429" w14:textId="77777777" w:rsidR="00C42AA3" w:rsidRPr="00E420AA" w:rsidRDefault="00C42AA3" w:rsidP="00E648CF">
      <w:pPr>
        <w:pStyle w:val="Sinespaciado"/>
        <w:ind w:left="567" w:right="49"/>
        <w:jc w:val="both"/>
        <w:rPr>
          <w:rFonts w:ascii="Times New Roman" w:eastAsia="OptimaLTStd" w:hAnsi="Times New Roman"/>
          <w:sz w:val="24"/>
          <w:szCs w:val="24"/>
        </w:rPr>
      </w:pPr>
      <w:r w:rsidRPr="00E420AA">
        <w:rPr>
          <w:rFonts w:ascii="Times New Roman" w:eastAsia="OptimaLTStd" w:hAnsi="Times New Roman"/>
          <w:sz w:val="24"/>
          <w:szCs w:val="24"/>
        </w:rPr>
        <w:t>Aplanar la caída de la recesión, estará determinado por el conjunto de políticas macroeconómicas que permitan contrarrestar la caída y promover la recuperación, desde la óptica de la política fiscal, el margen estará limitado por la capacidad de endeudamiento sostenible del país (Fusades, 2020).</w:t>
      </w:r>
    </w:p>
    <w:p w14:paraId="7834F9DB" w14:textId="77777777" w:rsidR="00C42AA3" w:rsidRPr="00E420AA" w:rsidRDefault="00C42AA3" w:rsidP="00E648CF">
      <w:pPr>
        <w:pStyle w:val="Sinespaciado"/>
        <w:ind w:left="567" w:right="49"/>
        <w:jc w:val="both"/>
        <w:rPr>
          <w:rFonts w:ascii="Times New Roman" w:eastAsia="OptimaLTStd" w:hAnsi="Times New Roman"/>
          <w:sz w:val="24"/>
          <w:szCs w:val="24"/>
        </w:rPr>
      </w:pPr>
    </w:p>
    <w:p w14:paraId="236232E8" w14:textId="77777777" w:rsidR="00C42AA3" w:rsidRPr="00E420AA" w:rsidRDefault="00C42AA3" w:rsidP="00E648CF">
      <w:pPr>
        <w:pStyle w:val="Sinespaciado"/>
        <w:ind w:left="567" w:right="49"/>
        <w:jc w:val="both"/>
        <w:rPr>
          <w:rFonts w:ascii="Times New Roman" w:eastAsia="OptimaLTStd" w:hAnsi="Times New Roman"/>
          <w:sz w:val="24"/>
          <w:szCs w:val="24"/>
        </w:rPr>
      </w:pPr>
      <w:r w:rsidRPr="00E420AA">
        <w:rPr>
          <w:rFonts w:ascii="Times New Roman" w:eastAsia="OptimaLTStd" w:hAnsi="Times New Roman"/>
          <w:sz w:val="24"/>
          <w:szCs w:val="24"/>
        </w:rPr>
        <w:t>Para financiar el conjunto de medidas en el sector salud, atendiendo simultáneamente los aspectos económicos y financieros, la estrategia financiera que se utiliza, considera la implementación de diversos instrumentos, atendiendo la dimensión temporal de la necesidad de recursos, el costo asociado al uso de cada instrumento y su disponibilidad, en las etapas de atención incluida en la Estrategia Financiera ante el Riesgo de Desastres, que implementa el MINFIN.</w:t>
      </w:r>
    </w:p>
    <w:p w14:paraId="0947BAF0" w14:textId="77777777" w:rsidR="00C42AA3" w:rsidRPr="009562D6" w:rsidRDefault="00C42AA3" w:rsidP="00C42AA3">
      <w:pPr>
        <w:jc w:val="both"/>
        <w:rPr>
          <w:rFonts w:eastAsia="OptimaLTStd"/>
          <w:color w:val="000000"/>
          <w:sz w:val="24"/>
          <w:szCs w:val="24"/>
          <w:lang w:val="es-MX"/>
        </w:rPr>
      </w:pPr>
    </w:p>
    <w:p w14:paraId="37A7C375" w14:textId="23CC1322" w:rsidR="00C42AA3" w:rsidRPr="00115F29" w:rsidRDefault="00C42AA3" w:rsidP="00115F29">
      <w:pPr>
        <w:pStyle w:val="Epgrafe"/>
        <w:keepNext/>
        <w:ind w:left="567" w:right="49"/>
        <w:rPr>
          <w:color w:val="auto"/>
          <w:sz w:val="24"/>
          <w:szCs w:val="24"/>
        </w:rPr>
      </w:pPr>
      <w:r w:rsidRPr="00115F29">
        <w:rPr>
          <w:color w:val="auto"/>
          <w:sz w:val="24"/>
          <w:szCs w:val="24"/>
        </w:rPr>
        <w:t>Figura</w:t>
      </w:r>
      <w:r w:rsidR="002426C8" w:rsidRPr="00115F29">
        <w:rPr>
          <w:color w:val="auto"/>
          <w:sz w:val="24"/>
          <w:szCs w:val="24"/>
        </w:rPr>
        <w:t xml:space="preserve"> 1</w:t>
      </w:r>
    </w:p>
    <w:p w14:paraId="3A023885" w14:textId="77777777" w:rsidR="00C42AA3" w:rsidRPr="00115F29" w:rsidRDefault="00C42AA3" w:rsidP="00115F29">
      <w:pPr>
        <w:pStyle w:val="Epgrafe"/>
        <w:keepNext/>
        <w:ind w:left="567" w:right="49"/>
        <w:rPr>
          <w:color w:val="auto"/>
          <w:sz w:val="24"/>
          <w:szCs w:val="24"/>
        </w:rPr>
      </w:pPr>
      <w:r w:rsidRPr="00115F29">
        <w:rPr>
          <w:color w:val="auto"/>
          <w:sz w:val="24"/>
          <w:szCs w:val="24"/>
        </w:rPr>
        <w:t>Dimensión Temporal de las Necesidades de Recursos ante desastres</w:t>
      </w:r>
    </w:p>
    <w:p w14:paraId="023F1811" w14:textId="77777777" w:rsidR="00C42AA3" w:rsidRPr="00657666" w:rsidRDefault="00C42AA3" w:rsidP="00C42AA3">
      <w:pPr>
        <w:autoSpaceDE w:val="0"/>
        <w:autoSpaceDN w:val="0"/>
        <w:adjustRightInd w:val="0"/>
        <w:spacing w:line="276" w:lineRule="auto"/>
        <w:jc w:val="center"/>
        <w:rPr>
          <w:rFonts w:eastAsia="OptimaLTStd"/>
          <w:b/>
          <w:bCs/>
          <w:color w:val="000000"/>
        </w:rPr>
      </w:pPr>
    </w:p>
    <w:p w14:paraId="498AFE2C" w14:textId="77777777" w:rsidR="00C42AA3" w:rsidRPr="009562D6" w:rsidRDefault="00C42AA3" w:rsidP="00C42AA3">
      <w:pPr>
        <w:jc w:val="both"/>
        <w:rPr>
          <w:rFonts w:eastAsia="OptimaLTStd"/>
          <w:color w:val="000000"/>
          <w:sz w:val="24"/>
          <w:szCs w:val="24"/>
          <w:lang w:val="es-MX"/>
        </w:rPr>
      </w:pPr>
      <w:r w:rsidRPr="009562D6">
        <w:rPr>
          <w:noProof/>
          <w:sz w:val="24"/>
          <w:szCs w:val="24"/>
          <w:lang w:val="es-ES"/>
        </w:rPr>
        <w:drawing>
          <wp:inline distT="0" distB="0" distL="0" distR="0" wp14:anchorId="7F5F3F27" wp14:editId="0B8175A7">
            <wp:extent cx="5971540" cy="3790950"/>
            <wp:effectExtent l="0" t="0" r="10160" b="0"/>
            <wp:docPr id="35" name="Diagrama 35">
              <a:extLst xmlns:a="http://schemas.openxmlformats.org/drawingml/2006/main">
                <a:ext uri="{FF2B5EF4-FFF2-40B4-BE49-F238E27FC236}">
                  <a16:creationId xmlns:a16="http://schemas.microsoft.com/office/drawing/2014/main" xmlns:w16se="http://schemas.microsoft.com/office/word/2015/wordml/symex" xmlns:w15="http://schemas.microsoft.com/office/word/2012/wordml" xmlns:w="http://schemas.openxmlformats.org/wordprocessingml/2006/main" xmlns:w10="urn:schemas-microsoft-com:office:word" xmlns:v="urn:schemas-microsoft-com:vml" xmlns:o="urn:schemas-microsoft-com:office:office" xmlns:cx="http://schemas.microsoft.com/office/drawing/2014/chartex" xmlns="" id="{7D7C516C-08FA-465B-BE88-654D9CC67549}"/>
                </a:ext>
              </a:extLst>
            </wp:docPr>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7" r:lo="rId58" r:qs="rId59" r:cs="rId60"/>
              </a:graphicData>
            </a:graphic>
          </wp:inline>
        </w:drawing>
      </w:r>
    </w:p>
    <w:p w14:paraId="7445A817" w14:textId="77777777" w:rsidR="00C42AA3" w:rsidRPr="004707AB" w:rsidRDefault="00C42AA3" w:rsidP="00C42AA3">
      <w:pPr>
        <w:ind w:left="708"/>
        <w:jc w:val="both"/>
        <w:rPr>
          <w:rFonts w:eastAsia="OptimaLTStd"/>
          <w:color w:val="000000"/>
          <w:lang w:val="es-MX"/>
        </w:rPr>
      </w:pPr>
      <w:r w:rsidRPr="004707AB">
        <w:rPr>
          <w:rFonts w:eastAsia="OptimaLTStd"/>
          <w:color w:val="000000"/>
          <w:lang w:val="es-MX"/>
        </w:rPr>
        <w:t xml:space="preserve">Fuente: DTF MINFIN, con base en:  </w:t>
      </w:r>
      <w:r w:rsidRPr="004707AB">
        <w:rPr>
          <w:rFonts w:eastAsia="OptimaLTStd"/>
          <w:color w:val="000000"/>
          <w:lang w:val="es-GT"/>
        </w:rPr>
        <w:t xml:space="preserve">MINFIN, 2018. </w:t>
      </w:r>
      <w:r w:rsidRPr="004707AB">
        <w:rPr>
          <w:rFonts w:eastAsia="OptimaLTStd"/>
          <w:color w:val="000000"/>
          <w:lang w:val="es-MX"/>
        </w:rPr>
        <w:t xml:space="preserve">Estrategia Financiera ante el Riesgo de Desastres; OCDE. 2020. </w:t>
      </w:r>
      <w:r w:rsidRPr="004707AB">
        <w:rPr>
          <w:rFonts w:eastAsia="OptimaLTStd"/>
          <w:color w:val="000000"/>
          <w:lang w:val="es-GT"/>
        </w:rPr>
        <w:t>Covid-19 and fiscal relations across levels of Government</w:t>
      </w:r>
      <w:r w:rsidRPr="004707AB">
        <w:rPr>
          <w:rFonts w:eastAsia="OptimaLTStd"/>
          <w:color w:val="000000"/>
          <w:lang w:val="es-MX"/>
        </w:rPr>
        <w:t xml:space="preserve">. </w:t>
      </w:r>
    </w:p>
    <w:p w14:paraId="2F4E5D7D" w14:textId="77777777" w:rsidR="00C42AA3" w:rsidRPr="009562D6" w:rsidRDefault="00C42AA3" w:rsidP="00C42AA3">
      <w:pPr>
        <w:jc w:val="both"/>
        <w:rPr>
          <w:rFonts w:eastAsia="OptimaLTStd"/>
          <w:color w:val="000000"/>
          <w:sz w:val="24"/>
          <w:szCs w:val="24"/>
          <w:lang w:val="es-MX"/>
        </w:rPr>
      </w:pPr>
    </w:p>
    <w:p w14:paraId="4364087E" w14:textId="77777777" w:rsidR="007330D0" w:rsidRDefault="007330D0">
      <w:pPr>
        <w:widowControl/>
        <w:spacing w:after="200" w:line="276" w:lineRule="auto"/>
        <w:rPr>
          <w:rFonts w:eastAsia="OptimaLTStd"/>
          <w:sz w:val="24"/>
          <w:szCs w:val="24"/>
          <w:lang w:val="es-ES" w:eastAsia="en-US"/>
        </w:rPr>
      </w:pPr>
      <w:r>
        <w:rPr>
          <w:rFonts w:eastAsia="OptimaLTStd"/>
          <w:sz w:val="24"/>
          <w:szCs w:val="24"/>
        </w:rPr>
        <w:br w:type="page"/>
      </w:r>
    </w:p>
    <w:p w14:paraId="6C6543DF" w14:textId="10F5DE76" w:rsidR="00C42AA3" w:rsidRPr="00115F29" w:rsidRDefault="00C42AA3" w:rsidP="00E648CF">
      <w:pPr>
        <w:pStyle w:val="Sinespaciado"/>
        <w:ind w:left="567" w:right="49"/>
        <w:jc w:val="both"/>
        <w:rPr>
          <w:rFonts w:ascii="Times New Roman" w:eastAsia="OptimaLTStd" w:hAnsi="Times New Roman"/>
          <w:sz w:val="24"/>
          <w:szCs w:val="24"/>
        </w:rPr>
      </w:pPr>
      <w:r w:rsidRPr="00115F29">
        <w:rPr>
          <w:rFonts w:ascii="Times New Roman" w:eastAsia="OptimaLTStd" w:hAnsi="Times New Roman"/>
          <w:sz w:val="24"/>
          <w:szCs w:val="24"/>
        </w:rPr>
        <w:lastRenderedPageBreak/>
        <w:t>Así, la etapa de respuesta involucra acciones de asistencia humanitaria a la población afectada, que comprenden la atención de necesidades básicas como alimentación, atención médica; que requieren una rápida movilización de recursos, mientras que la etapa de rehabilitación se enfoca principalmente en mantener la inversión en infraestructura y equipamiento en salud, la protección del empleo y la coordinación del restablecimiento de la actividad económica, a la vez que se garantiza contar con los recursos necesarios para el funcionamiento de los programas establecidos para la emergencia. La etapa de reconstrucción involucra acciones estructurales para la recuperación de las finanzas públicas y el apoyo a la estrategia de recuperación económica, mediante revisión del gasto público y el fortalecimiento de los ingresos tributarios.</w:t>
      </w:r>
    </w:p>
    <w:p w14:paraId="62935892" w14:textId="77777777" w:rsidR="002426C8" w:rsidRPr="00115F29" w:rsidRDefault="002426C8" w:rsidP="002426C8">
      <w:pPr>
        <w:pStyle w:val="Sinespaciado"/>
        <w:jc w:val="both"/>
        <w:rPr>
          <w:rFonts w:ascii="Times New Roman" w:eastAsia="OptimaLTStd" w:hAnsi="Times New Roman"/>
          <w:sz w:val="24"/>
          <w:szCs w:val="24"/>
        </w:rPr>
      </w:pPr>
    </w:p>
    <w:p w14:paraId="03E9BC73" w14:textId="77777777" w:rsidR="00C42AA3" w:rsidRPr="00115F29" w:rsidRDefault="00C42AA3" w:rsidP="00E648CF">
      <w:pPr>
        <w:pStyle w:val="Sinespaciado"/>
        <w:ind w:left="567" w:right="49"/>
        <w:jc w:val="both"/>
        <w:rPr>
          <w:rFonts w:eastAsia="OptimaLTStd"/>
          <w:color w:val="000000"/>
          <w:sz w:val="28"/>
          <w:szCs w:val="28"/>
          <w:lang w:val="es-MX"/>
        </w:rPr>
      </w:pPr>
      <w:r w:rsidRPr="00115F29">
        <w:rPr>
          <w:rFonts w:ascii="Times New Roman" w:eastAsia="OptimaLTStd" w:hAnsi="Times New Roman"/>
          <w:sz w:val="24"/>
          <w:szCs w:val="24"/>
        </w:rPr>
        <w:t>El país cuenta con solidas variables macroeconómicas que le han provisto en el pasado de resiliencia para afrontar diversos shocks extraeconómicos, sin embargo, dada la envergadura de la crisis del COVID-19 y sus potenciales efectos económicos, se espera que dicha solidez macroeconómica, apoyada en una política fiscal prudente reflejada en bajos niveles de déficit fiscal y deuda pública en niveles manejables, brinden el espacio fiscal óptimo para realizar acciones de política económica para afrontar los posibles efectos del COVID-19 sin comprometer la sostenibilidad de las finanzas públicas y la estabilidad macroeconómica del país en el mediano y largo plazo.</w:t>
      </w:r>
    </w:p>
    <w:p w14:paraId="38EF33C3" w14:textId="77777777" w:rsidR="00C42AA3" w:rsidRPr="009562D6" w:rsidRDefault="00C42AA3" w:rsidP="00C42AA3">
      <w:pPr>
        <w:pStyle w:val="Ttulo2"/>
        <w:rPr>
          <w:color w:val="000000" w:themeColor="text1"/>
          <w:sz w:val="24"/>
          <w:szCs w:val="24"/>
        </w:rPr>
      </w:pPr>
    </w:p>
    <w:p w14:paraId="4BA18B38" w14:textId="77777777" w:rsidR="00C42AA3" w:rsidRPr="00BA455B" w:rsidRDefault="00C42AA3" w:rsidP="00A86EFD">
      <w:pPr>
        <w:pStyle w:val="Ttulo1"/>
        <w:widowControl/>
        <w:numPr>
          <w:ilvl w:val="3"/>
          <w:numId w:val="5"/>
        </w:numPr>
        <w:ind w:right="49"/>
        <w:jc w:val="left"/>
        <w:rPr>
          <w:color w:val="000000" w:themeColor="text1"/>
          <w:sz w:val="24"/>
          <w:szCs w:val="24"/>
        </w:rPr>
      </w:pPr>
      <w:bookmarkStart w:id="90" w:name="_Toc46851822"/>
      <w:bookmarkStart w:id="91" w:name="_Toc47433642"/>
      <w:bookmarkStart w:id="92" w:name="_Toc49939739"/>
      <w:bookmarkStart w:id="93" w:name="_Toc46851818"/>
      <w:r w:rsidRPr="00BA455B">
        <w:rPr>
          <w:color w:val="000000" w:themeColor="text1"/>
          <w:sz w:val="24"/>
          <w:szCs w:val="24"/>
        </w:rPr>
        <w:t xml:space="preserve">Ampliaciones </w:t>
      </w:r>
      <w:r w:rsidRPr="00A86EFD">
        <w:rPr>
          <w:rFonts w:eastAsia="OptimaLTStd"/>
          <w:bCs/>
          <w:sz w:val="24"/>
          <w:szCs w:val="24"/>
          <w:lang w:val="es-MX"/>
        </w:rPr>
        <w:t>presupuestarias</w:t>
      </w:r>
      <w:r w:rsidRPr="00BA455B">
        <w:rPr>
          <w:color w:val="000000" w:themeColor="text1"/>
          <w:sz w:val="24"/>
          <w:szCs w:val="24"/>
        </w:rPr>
        <w:t xml:space="preserve"> Ejercicio Fiscal 2020</w:t>
      </w:r>
      <w:bookmarkEnd w:id="90"/>
      <w:bookmarkEnd w:id="91"/>
      <w:bookmarkEnd w:id="92"/>
    </w:p>
    <w:p w14:paraId="0F66B2D9" w14:textId="77777777" w:rsidR="00C42AA3" w:rsidRPr="00BA455B" w:rsidRDefault="00C42AA3" w:rsidP="00C42AA3">
      <w:pPr>
        <w:pStyle w:val="Ttulo2"/>
        <w:rPr>
          <w:color w:val="000000" w:themeColor="text1"/>
          <w:sz w:val="24"/>
          <w:szCs w:val="24"/>
        </w:rPr>
      </w:pPr>
    </w:p>
    <w:p w14:paraId="71E7D797" w14:textId="64881536" w:rsidR="00C42AA3" w:rsidRPr="00115F29" w:rsidRDefault="00C42AA3" w:rsidP="00E648CF">
      <w:pPr>
        <w:pStyle w:val="Sinespaciado"/>
        <w:ind w:left="567" w:right="49"/>
        <w:jc w:val="both"/>
        <w:rPr>
          <w:rFonts w:ascii="Times New Roman" w:eastAsia="OptimaLTStd" w:hAnsi="Times New Roman"/>
          <w:sz w:val="24"/>
          <w:szCs w:val="24"/>
        </w:rPr>
      </w:pPr>
      <w:r w:rsidRPr="00115F29">
        <w:rPr>
          <w:rFonts w:ascii="Times New Roman" w:eastAsia="OptimaLTStd" w:hAnsi="Times New Roman"/>
          <w:sz w:val="24"/>
          <w:szCs w:val="24"/>
        </w:rPr>
        <w:t>Ante la no aprobación del Proyecto de Presupuesto General de Ingresos y Egresos del Estado para el Ejercicio Fiscal 2020, continúa en vigencia el Presupuesto 2019 por un monto inicial de Q.87,715.06 millones.  Sin embargo, aun sin la emergencia sanitaria, dicho presupuesto era insuficiente para atender los compromisos de diversas entidades, lo que imposibilitaba el cumplimiento de los planes operativos institucionales, contenidos en el Plan Nacional de Innovación y Desarrollo, que constituye la base para la Política General de Gobierno 2020-2024 por lo cual, era necesaria una ampliación presupuestaria.</w:t>
      </w:r>
    </w:p>
    <w:p w14:paraId="53A2AF74" w14:textId="77777777" w:rsidR="002426C8" w:rsidRPr="00115F29" w:rsidRDefault="002426C8" w:rsidP="002426C8">
      <w:pPr>
        <w:pStyle w:val="Sinespaciado"/>
        <w:jc w:val="both"/>
        <w:rPr>
          <w:rFonts w:ascii="Times New Roman" w:eastAsia="OptimaLTStd" w:hAnsi="Times New Roman"/>
          <w:sz w:val="24"/>
          <w:szCs w:val="24"/>
        </w:rPr>
      </w:pPr>
    </w:p>
    <w:p w14:paraId="6646B4DD" w14:textId="2331D221" w:rsidR="00C42AA3" w:rsidRPr="00115F29" w:rsidRDefault="00C42AA3" w:rsidP="00E648CF">
      <w:pPr>
        <w:pStyle w:val="Sinespaciado"/>
        <w:ind w:left="567" w:right="49"/>
        <w:jc w:val="both"/>
        <w:rPr>
          <w:rFonts w:ascii="Times New Roman" w:eastAsia="OptimaLTStd" w:hAnsi="Times New Roman"/>
          <w:sz w:val="24"/>
          <w:szCs w:val="24"/>
        </w:rPr>
      </w:pPr>
      <w:r w:rsidRPr="00115F29">
        <w:rPr>
          <w:rFonts w:ascii="Times New Roman" w:eastAsia="OptimaLTStd" w:hAnsi="Times New Roman"/>
          <w:sz w:val="24"/>
          <w:szCs w:val="24"/>
        </w:rPr>
        <w:t>Como consecuencia del pronunciamiento de la Organización Mundial de la Salud sobre la emergencia sanitaria, y con el propósito de crear la medidas sanitarias, económicas, financieras y sociales necesarias para atender la crisis derivada de las medidas adoptadas para contener y mitigar los efectos de la pandemia en el territorio nacional, se presentaron tres solicitudes de ampliación presupuestaria para su aprobación por parte del Congreso de la República.</w:t>
      </w:r>
    </w:p>
    <w:p w14:paraId="4956FF6C" w14:textId="77777777" w:rsidR="002426C8" w:rsidRPr="00115F29" w:rsidRDefault="002426C8" w:rsidP="002426C8">
      <w:pPr>
        <w:pStyle w:val="Sinespaciado"/>
        <w:jc w:val="both"/>
        <w:rPr>
          <w:rFonts w:ascii="Times New Roman" w:eastAsia="OptimaLTStd" w:hAnsi="Times New Roman"/>
          <w:sz w:val="24"/>
          <w:szCs w:val="24"/>
        </w:rPr>
      </w:pPr>
    </w:p>
    <w:p w14:paraId="4195699D" w14:textId="2991BE5C" w:rsidR="00C42AA3" w:rsidRPr="00115F29" w:rsidRDefault="00C42AA3" w:rsidP="00E648CF">
      <w:pPr>
        <w:pStyle w:val="Sinespaciado"/>
        <w:ind w:left="567" w:right="49"/>
        <w:jc w:val="both"/>
        <w:rPr>
          <w:rFonts w:ascii="Times New Roman" w:eastAsia="OptimaLTStd" w:hAnsi="Times New Roman"/>
          <w:sz w:val="24"/>
          <w:szCs w:val="24"/>
        </w:rPr>
      </w:pPr>
      <w:r w:rsidRPr="00115F29">
        <w:rPr>
          <w:rFonts w:ascii="Times New Roman" w:eastAsia="OptimaLTStd" w:hAnsi="Times New Roman"/>
          <w:sz w:val="24"/>
          <w:szCs w:val="24"/>
        </w:rPr>
        <w:t>Mediante el Decreto Número 12-220, se emitió la Ley de Emergencia para proteger a los guatemaltecos de los efectos causados por la pandemia Coronavirus COVID-19. El artículo 13 de la referida ley, incluye una ampliación al Presupuesto General de Ingresos y Egresos del Estado para el Ejercicio Fiscal 2020 por un monto de Q3,667.50 millones.</w:t>
      </w:r>
    </w:p>
    <w:p w14:paraId="57408704" w14:textId="77777777" w:rsidR="002426C8" w:rsidRPr="00115F29" w:rsidRDefault="002426C8" w:rsidP="00E648CF">
      <w:pPr>
        <w:pStyle w:val="Sinespaciado"/>
        <w:ind w:left="567" w:right="49"/>
        <w:jc w:val="both"/>
        <w:rPr>
          <w:rFonts w:ascii="Times New Roman" w:eastAsia="OptimaLTStd" w:hAnsi="Times New Roman"/>
          <w:sz w:val="24"/>
          <w:szCs w:val="24"/>
        </w:rPr>
      </w:pPr>
    </w:p>
    <w:p w14:paraId="1C017205" w14:textId="61889C1D" w:rsidR="00C42AA3" w:rsidRPr="00115F29" w:rsidRDefault="00C42AA3" w:rsidP="00E648CF">
      <w:pPr>
        <w:pStyle w:val="Sinespaciado"/>
        <w:ind w:left="567" w:right="49"/>
        <w:jc w:val="both"/>
        <w:rPr>
          <w:rFonts w:ascii="Times New Roman" w:eastAsia="OptimaLTStd" w:hAnsi="Times New Roman"/>
          <w:sz w:val="24"/>
          <w:szCs w:val="24"/>
        </w:rPr>
      </w:pPr>
      <w:r w:rsidRPr="00115F29">
        <w:rPr>
          <w:rFonts w:ascii="Times New Roman" w:eastAsia="OptimaLTStd" w:hAnsi="Times New Roman"/>
          <w:sz w:val="24"/>
          <w:szCs w:val="24"/>
        </w:rPr>
        <w:t>El Decreto Número 13-2020 crea la Ley de Rescate Económico a las familias por los efectos causados por el COVID-19; para mitigar la crisis económica ante la presencia de la pandemia en el territorio nacional, mediante la aplicación de medidas de compensación social, orientadas a la población más vulnerable. El artículo 6 de la referida ley, aprueba una ampliación al Presupuesto General de Ingresos y Egresos del Estado para el Ejercicio Fiscal 2020 por un monto de Q11,000.00 millones.</w:t>
      </w:r>
    </w:p>
    <w:p w14:paraId="50D9E172" w14:textId="77777777" w:rsidR="002426C8" w:rsidRPr="00115F29" w:rsidRDefault="002426C8" w:rsidP="00E648CF">
      <w:pPr>
        <w:pStyle w:val="Sinespaciado"/>
        <w:ind w:left="567" w:right="49"/>
        <w:jc w:val="both"/>
        <w:rPr>
          <w:rFonts w:ascii="Times New Roman" w:eastAsia="OptimaLTStd" w:hAnsi="Times New Roman"/>
          <w:sz w:val="24"/>
          <w:szCs w:val="24"/>
        </w:rPr>
      </w:pPr>
    </w:p>
    <w:p w14:paraId="1CF7FBC5" w14:textId="70826BC9" w:rsidR="002426C8" w:rsidRPr="00115F29" w:rsidRDefault="00C42AA3" w:rsidP="00E648CF">
      <w:pPr>
        <w:pStyle w:val="Sinespaciado"/>
        <w:ind w:left="567" w:right="49"/>
        <w:jc w:val="both"/>
        <w:rPr>
          <w:rFonts w:ascii="Times New Roman" w:eastAsia="OptimaLTStd" w:hAnsi="Times New Roman"/>
          <w:sz w:val="24"/>
          <w:szCs w:val="24"/>
        </w:rPr>
      </w:pPr>
      <w:r w:rsidRPr="00115F29">
        <w:rPr>
          <w:rFonts w:ascii="Times New Roman" w:eastAsia="OptimaLTStd" w:hAnsi="Times New Roman"/>
          <w:sz w:val="24"/>
          <w:szCs w:val="24"/>
        </w:rPr>
        <w:t>El Decreto Número 20-2020, aprueba una ampliación al Presupuesto General de Ingresos y Egresos del Estado para el Ejercicio Fiscal 2020 por un monto de Q5,138.90 millones.</w:t>
      </w:r>
    </w:p>
    <w:p w14:paraId="7E7FF651" w14:textId="51AAB53E" w:rsidR="00C42AA3" w:rsidRPr="00115F29" w:rsidRDefault="00C42AA3" w:rsidP="00E648CF">
      <w:pPr>
        <w:pStyle w:val="Sinespaciado"/>
        <w:ind w:left="567" w:right="49"/>
        <w:jc w:val="both"/>
        <w:rPr>
          <w:rFonts w:ascii="Times New Roman" w:eastAsia="OptimaLTStd" w:hAnsi="Times New Roman"/>
          <w:sz w:val="24"/>
          <w:szCs w:val="24"/>
        </w:rPr>
      </w:pPr>
      <w:r w:rsidRPr="00115F29">
        <w:rPr>
          <w:rFonts w:ascii="Times New Roman" w:eastAsia="OptimaLTStd" w:hAnsi="Times New Roman"/>
          <w:sz w:val="24"/>
          <w:szCs w:val="24"/>
        </w:rPr>
        <w:t xml:space="preserve"> </w:t>
      </w:r>
    </w:p>
    <w:p w14:paraId="0E196CBA" w14:textId="77777777" w:rsidR="00C42AA3" w:rsidRPr="00E648CF" w:rsidRDefault="00C42AA3" w:rsidP="00E648CF">
      <w:pPr>
        <w:pStyle w:val="Sinespaciado"/>
        <w:ind w:left="567" w:right="49"/>
        <w:jc w:val="both"/>
        <w:rPr>
          <w:rFonts w:ascii="Times New Roman" w:eastAsia="OptimaLTStd" w:hAnsi="Times New Roman"/>
          <w:sz w:val="24"/>
          <w:szCs w:val="24"/>
        </w:rPr>
      </w:pPr>
      <w:r w:rsidRPr="00115F29">
        <w:rPr>
          <w:rFonts w:ascii="Times New Roman" w:eastAsia="OptimaLTStd" w:hAnsi="Times New Roman"/>
          <w:sz w:val="24"/>
          <w:szCs w:val="24"/>
        </w:rPr>
        <w:t>Mediante las ampliaciones aprobadas, el prepuesto vigente para el Ejercicio Fiscal 2020 se sitúa en Q 107,721.9 millones, lo que equivale a una ampliación del 22.8%.</w:t>
      </w:r>
    </w:p>
    <w:p w14:paraId="54C6C5CC" w14:textId="77777777" w:rsidR="007330D0" w:rsidRPr="00E648CF" w:rsidRDefault="007330D0" w:rsidP="00E648CF">
      <w:pPr>
        <w:pStyle w:val="Sinespaciado"/>
        <w:ind w:left="567" w:right="49"/>
        <w:jc w:val="both"/>
        <w:rPr>
          <w:rFonts w:ascii="Times New Roman" w:eastAsia="OptimaLTStd" w:hAnsi="Times New Roman"/>
          <w:sz w:val="24"/>
          <w:szCs w:val="24"/>
        </w:rPr>
      </w:pPr>
    </w:p>
    <w:p w14:paraId="69F0C9C9" w14:textId="67BCE5BF" w:rsidR="00C42AA3" w:rsidRPr="00115F29" w:rsidRDefault="00115F29" w:rsidP="00115F29">
      <w:pPr>
        <w:pStyle w:val="Epgrafe"/>
        <w:keepNext/>
        <w:ind w:left="567" w:right="49"/>
        <w:rPr>
          <w:color w:val="auto"/>
          <w:sz w:val="24"/>
          <w:szCs w:val="24"/>
        </w:rPr>
      </w:pPr>
      <w:r>
        <w:rPr>
          <w:color w:val="auto"/>
          <w:sz w:val="24"/>
          <w:szCs w:val="24"/>
        </w:rPr>
        <w:t>Tabla 7</w:t>
      </w:r>
      <w:r w:rsidR="00C42AA3" w:rsidRPr="00115F29">
        <w:rPr>
          <w:color w:val="auto"/>
          <w:sz w:val="24"/>
          <w:szCs w:val="24"/>
        </w:rPr>
        <w:t xml:space="preserve"> </w:t>
      </w:r>
    </w:p>
    <w:p w14:paraId="557A232C" w14:textId="77777777" w:rsidR="00C42AA3" w:rsidRPr="00115F29" w:rsidRDefault="00C42AA3" w:rsidP="00115F29">
      <w:pPr>
        <w:pStyle w:val="Epgrafe"/>
        <w:keepNext/>
        <w:ind w:left="567" w:right="49"/>
        <w:rPr>
          <w:color w:val="auto"/>
          <w:sz w:val="24"/>
          <w:szCs w:val="24"/>
        </w:rPr>
      </w:pPr>
      <w:r w:rsidRPr="00115F29">
        <w:rPr>
          <w:color w:val="auto"/>
          <w:sz w:val="24"/>
          <w:szCs w:val="24"/>
        </w:rPr>
        <w:t>Ampliaciones presupuestarias aprobadas</w:t>
      </w:r>
    </w:p>
    <w:p w14:paraId="49A43DA7" w14:textId="77777777" w:rsidR="00C42AA3" w:rsidRPr="00115F29" w:rsidRDefault="00C42AA3" w:rsidP="00115F29">
      <w:pPr>
        <w:pStyle w:val="Epgrafe"/>
        <w:keepNext/>
        <w:ind w:left="567" w:right="49"/>
        <w:rPr>
          <w:color w:val="auto"/>
          <w:sz w:val="24"/>
          <w:szCs w:val="24"/>
        </w:rPr>
      </w:pPr>
      <w:r w:rsidRPr="00115F29">
        <w:rPr>
          <w:color w:val="auto"/>
          <w:sz w:val="24"/>
          <w:szCs w:val="24"/>
        </w:rPr>
        <w:t>Ejercicio Fiscal 2020</w:t>
      </w:r>
    </w:p>
    <w:p w14:paraId="3CDE145F" w14:textId="77777777" w:rsidR="00C42AA3" w:rsidRPr="00115F29" w:rsidRDefault="00C42AA3" w:rsidP="00115F29">
      <w:pPr>
        <w:pStyle w:val="Epgrafe"/>
        <w:keepNext/>
        <w:ind w:left="567" w:right="49"/>
        <w:rPr>
          <w:color w:val="auto"/>
          <w:sz w:val="24"/>
          <w:szCs w:val="24"/>
        </w:rPr>
      </w:pPr>
      <w:r w:rsidRPr="00115F29">
        <w:rPr>
          <w:color w:val="auto"/>
          <w:sz w:val="24"/>
          <w:szCs w:val="24"/>
        </w:rPr>
        <w:t>Cifras en millones de Quetzales</w:t>
      </w:r>
    </w:p>
    <w:p w14:paraId="2EC05F26" w14:textId="77777777" w:rsidR="00C42AA3" w:rsidRPr="009562D6" w:rsidRDefault="00C42AA3" w:rsidP="00C42AA3">
      <w:pPr>
        <w:autoSpaceDE w:val="0"/>
        <w:autoSpaceDN w:val="0"/>
        <w:adjustRightInd w:val="0"/>
        <w:jc w:val="both"/>
        <w:rPr>
          <w:rFonts w:eastAsia="OptimaLTStd"/>
          <w:color w:val="000000"/>
          <w:sz w:val="24"/>
          <w:szCs w:val="24"/>
          <w:lang w:val="es-MX"/>
        </w:rPr>
      </w:pPr>
    </w:p>
    <w:tbl>
      <w:tblPr>
        <w:tblW w:w="9309" w:type="dxa"/>
        <w:jc w:val="center"/>
        <w:tblCellMar>
          <w:left w:w="70" w:type="dxa"/>
          <w:right w:w="70" w:type="dxa"/>
        </w:tblCellMar>
        <w:tblLook w:val="04A0" w:firstRow="1" w:lastRow="0" w:firstColumn="1" w:lastColumn="0" w:noHBand="0" w:noVBand="1"/>
      </w:tblPr>
      <w:tblGrid>
        <w:gridCol w:w="2913"/>
        <w:gridCol w:w="1776"/>
        <w:gridCol w:w="2937"/>
        <w:gridCol w:w="1664"/>
        <w:gridCol w:w="19"/>
      </w:tblGrid>
      <w:tr w:rsidR="00C42AA3" w:rsidRPr="00D1261C" w14:paraId="4A50688A" w14:textId="77777777" w:rsidTr="00FA0039">
        <w:trPr>
          <w:trHeight w:val="119"/>
          <w:jc w:val="center"/>
        </w:trPr>
        <w:tc>
          <w:tcPr>
            <w:tcW w:w="9309" w:type="dxa"/>
            <w:gridSpan w:val="5"/>
            <w:tcBorders>
              <w:top w:val="single" w:sz="4" w:space="0" w:color="auto"/>
              <w:left w:val="single" w:sz="4" w:space="0" w:color="auto"/>
              <w:bottom w:val="single" w:sz="4" w:space="0" w:color="auto"/>
              <w:right w:val="single" w:sz="4" w:space="0" w:color="000000"/>
            </w:tcBorders>
            <w:shd w:val="clear" w:color="000000" w:fill="DDEBF7"/>
            <w:noWrap/>
            <w:vAlign w:val="bottom"/>
            <w:hideMark/>
          </w:tcPr>
          <w:p w14:paraId="250EF818" w14:textId="77777777" w:rsidR="00C42AA3" w:rsidRPr="00D1261C" w:rsidRDefault="00C42AA3" w:rsidP="003C60DB">
            <w:pPr>
              <w:jc w:val="center"/>
              <w:rPr>
                <w:b/>
                <w:bCs/>
                <w:color w:val="000000"/>
                <w:lang w:val="es-MX" w:eastAsia="es-MX"/>
              </w:rPr>
            </w:pPr>
            <w:r w:rsidRPr="00D1261C">
              <w:rPr>
                <w:b/>
                <w:bCs/>
                <w:color w:val="000000"/>
                <w:lang w:val="es-MX" w:eastAsia="es-MX"/>
              </w:rPr>
              <w:t>Ampliaciones Presupuestarias</w:t>
            </w:r>
          </w:p>
        </w:tc>
      </w:tr>
      <w:tr w:rsidR="00C42AA3" w:rsidRPr="00D1261C" w14:paraId="668497DD" w14:textId="77777777" w:rsidTr="00FA0039">
        <w:trPr>
          <w:gridAfter w:val="1"/>
          <w:wAfter w:w="19" w:type="dxa"/>
          <w:trHeight w:val="444"/>
          <w:jc w:val="center"/>
        </w:trPr>
        <w:tc>
          <w:tcPr>
            <w:tcW w:w="2913" w:type="dxa"/>
            <w:tcBorders>
              <w:top w:val="nil"/>
              <w:left w:val="single" w:sz="4" w:space="0" w:color="auto"/>
              <w:bottom w:val="single" w:sz="4" w:space="0" w:color="auto"/>
              <w:right w:val="single" w:sz="4" w:space="0" w:color="auto"/>
            </w:tcBorders>
            <w:shd w:val="clear" w:color="000000" w:fill="DDEBF7"/>
            <w:noWrap/>
            <w:vAlign w:val="center"/>
            <w:hideMark/>
          </w:tcPr>
          <w:p w14:paraId="09C75C57" w14:textId="77777777" w:rsidR="00C42AA3" w:rsidRPr="00D1261C" w:rsidRDefault="00C42AA3" w:rsidP="003C60DB">
            <w:pPr>
              <w:jc w:val="center"/>
              <w:rPr>
                <w:b/>
                <w:bCs/>
                <w:color w:val="000000"/>
                <w:lang w:val="es-MX" w:eastAsia="es-MX"/>
              </w:rPr>
            </w:pPr>
            <w:r w:rsidRPr="00D1261C">
              <w:rPr>
                <w:b/>
                <w:bCs/>
                <w:color w:val="000000"/>
                <w:lang w:val="es-MX" w:eastAsia="es-MX"/>
              </w:rPr>
              <w:t>Decreto No. 12-2020</w:t>
            </w:r>
          </w:p>
        </w:tc>
        <w:tc>
          <w:tcPr>
            <w:tcW w:w="1776" w:type="dxa"/>
            <w:tcBorders>
              <w:top w:val="nil"/>
              <w:left w:val="nil"/>
              <w:bottom w:val="single" w:sz="4" w:space="0" w:color="auto"/>
              <w:right w:val="single" w:sz="4" w:space="0" w:color="auto"/>
            </w:tcBorders>
            <w:shd w:val="clear" w:color="000000" w:fill="DDEBF7"/>
            <w:vAlign w:val="center"/>
            <w:hideMark/>
          </w:tcPr>
          <w:p w14:paraId="402E1FCA" w14:textId="77777777" w:rsidR="00C42AA3" w:rsidRPr="00D1261C" w:rsidRDefault="00C42AA3" w:rsidP="003C60DB">
            <w:pPr>
              <w:jc w:val="center"/>
              <w:rPr>
                <w:b/>
                <w:bCs/>
                <w:color w:val="000000"/>
                <w:lang w:val="es-MX" w:eastAsia="es-MX"/>
              </w:rPr>
            </w:pPr>
            <w:r w:rsidRPr="00D1261C">
              <w:rPr>
                <w:b/>
                <w:bCs/>
                <w:color w:val="000000"/>
                <w:lang w:val="es-MX" w:eastAsia="es-MX"/>
              </w:rPr>
              <w:t>Millones</w:t>
            </w:r>
          </w:p>
        </w:tc>
        <w:tc>
          <w:tcPr>
            <w:tcW w:w="2937" w:type="dxa"/>
            <w:tcBorders>
              <w:top w:val="nil"/>
              <w:left w:val="nil"/>
              <w:bottom w:val="single" w:sz="4" w:space="0" w:color="auto"/>
              <w:right w:val="single" w:sz="4" w:space="0" w:color="auto"/>
            </w:tcBorders>
            <w:shd w:val="clear" w:color="000000" w:fill="DDEBF7"/>
            <w:vAlign w:val="center"/>
            <w:hideMark/>
          </w:tcPr>
          <w:p w14:paraId="44866C56" w14:textId="77777777" w:rsidR="00C42AA3" w:rsidRPr="00D1261C" w:rsidRDefault="00C42AA3" w:rsidP="003C60DB">
            <w:pPr>
              <w:jc w:val="center"/>
              <w:rPr>
                <w:b/>
                <w:bCs/>
                <w:color w:val="000000"/>
                <w:lang w:val="es-MX" w:eastAsia="es-MX"/>
              </w:rPr>
            </w:pPr>
            <w:r w:rsidRPr="00D1261C">
              <w:rPr>
                <w:b/>
                <w:bCs/>
                <w:color w:val="000000"/>
                <w:lang w:val="es-MX" w:eastAsia="es-MX"/>
              </w:rPr>
              <w:t xml:space="preserve">Fuente de Financiamiento </w:t>
            </w:r>
          </w:p>
        </w:tc>
        <w:tc>
          <w:tcPr>
            <w:tcW w:w="1664" w:type="dxa"/>
            <w:tcBorders>
              <w:top w:val="nil"/>
              <w:left w:val="nil"/>
              <w:bottom w:val="single" w:sz="4" w:space="0" w:color="auto"/>
              <w:right w:val="single" w:sz="4" w:space="0" w:color="auto"/>
            </w:tcBorders>
            <w:shd w:val="clear" w:color="000000" w:fill="DDEBF7"/>
            <w:vAlign w:val="center"/>
            <w:hideMark/>
          </w:tcPr>
          <w:p w14:paraId="73F704EB" w14:textId="77777777" w:rsidR="00C42AA3" w:rsidRPr="00D1261C" w:rsidRDefault="00C42AA3" w:rsidP="003C60DB">
            <w:pPr>
              <w:jc w:val="center"/>
              <w:rPr>
                <w:b/>
                <w:bCs/>
                <w:color w:val="000000"/>
                <w:lang w:val="es-MX" w:eastAsia="es-MX"/>
              </w:rPr>
            </w:pPr>
            <w:r w:rsidRPr="00D1261C">
              <w:rPr>
                <w:b/>
                <w:bCs/>
                <w:color w:val="000000"/>
                <w:lang w:val="es-MX" w:eastAsia="es-MX"/>
              </w:rPr>
              <w:t xml:space="preserve">Fecha Publicación Diario Oficial </w:t>
            </w:r>
          </w:p>
        </w:tc>
      </w:tr>
      <w:tr w:rsidR="00C42AA3" w:rsidRPr="00D1261C" w14:paraId="440A03B3" w14:textId="77777777" w:rsidTr="00FA0039">
        <w:trPr>
          <w:gridAfter w:val="1"/>
          <w:wAfter w:w="19" w:type="dxa"/>
          <w:trHeight w:val="364"/>
          <w:jc w:val="center"/>
        </w:trPr>
        <w:tc>
          <w:tcPr>
            <w:tcW w:w="2913" w:type="dxa"/>
            <w:tcBorders>
              <w:top w:val="nil"/>
              <w:left w:val="single" w:sz="4" w:space="0" w:color="auto"/>
              <w:bottom w:val="single" w:sz="4" w:space="0" w:color="auto"/>
              <w:right w:val="single" w:sz="4" w:space="0" w:color="auto"/>
            </w:tcBorders>
            <w:shd w:val="clear" w:color="auto" w:fill="auto"/>
            <w:vAlign w:val="center"/>
            <w:hideMark/>
          </w:tcPr>
          <w:p w14:paraId="07C2FA17" w14:textId="77777777" w:rsidR="00C42AA3" w:rsidRPr="00D1261C" w:rsidRDefault="00C42AA3" w:rsidP="003C60DB">
            <w:pPr>
              <w:rPr>
                <w:color w:val="000000"/>
                <w:lang w:val="es-MX" w:eastAsia="es-MX"/>
              </w:rPr>
            </w:pPr>
            <w:r w:rsidRPr="00D1261C">
              <w:rPr>
                <w:color w:val="000000"/>
                <w:lang w:val="es-MX" w:eastAsia="es-MX"/>
              </w:rPr>
              <w:t>Ley de Emergencia para proteger a los guatemaltecos de los efectos causados por las Pandemia Coronavirus Covid-19</w:t>
            </w:r>
          </w:p>
        </w:tc>
        <w:tc>
          <w:tcPr>
            <w:tcW w:w="1776" w:type="dxa"/>
            <w:tcBorders>
              <w:top w:val="nil"/>
              <w:left w:val="nil"/>
              <w:bottom w:val="single" w:sz="4" w:space="0" w:color="auto"/>
              <w:right w:val="single" w:sz="4" w:space="0" w:color="auto"/>
            </w:tcBorders>
            <w:shd w:val="clear" w:color="auto" w:fill="auto"/>
            <w:noWrap/>
            <w:vAlign w:val="center"/>
            <w:hideMark/>
          </w:tcPr>
          <w:p w14:paraId="5E01010C" w14:textId="77777777" w:rsidR="00C42AA3" w:rsidRPr="00D1261C" w:rsidRDefault="00C42AA3" w:rsidP="003C60DB">
            <w:pPr>
              <w:jc w:val="right"/>
              <w:rPr>
                <w:b/>
                <w:bCs/>
                <w:color w:val="000000"/>
                <w:lang w:val="es-MX" w:eastAsia="es-MX"/>
              </w:rPr>
            </w:pPr>
            <w:r w:rsidRPr="00D1261C">
              <w:rPr>
                <w:b/>
                <w:bCs/>
                <w:color w:val="000000"/>
                <w:lang w:val="es-MX" w:eastAsia="es-MX"/>
              </w:rPr>
              <w:t>Q3,667.50</w:t>
            </w:r>
          </w:p>
        </w:tc>
        <w:tc>
          <w:tcPr>
            <w:tcW w:w="2937" w:type="dxa"/>
            <w:tcBorders>
              <w:top w:val="nil"/>
              <w:left w:val="nil"/>
              <w:bottom w:val="single" w:sz="4" w:space="0" w:color="auto"/>
              <w:right w:val="single" w:sz="4" w:space="0" w:color="auto"/>
            </w:tcBorders>
            <w:shd w:val="clear" w:color="auto" w:fill="auto"/>
            <w:vAlign w:val="center"/>
            <w:hideMark/>
          </w:tcPr>
          <w:p w14:paraId="67920824" w14:textId="77777777" w:rsidR="00C42AA3" w:rsidRPr="00D1261C" w:rsidRDefault="00C42AA3" w:rsidP="003C60DB">
            <w:pPr>
              <w:jc w:val="center"/>
              <w:rPr>
                <w:color w:val="000000"/>
                <w:lang w:val="es-MX" w:eastAsia="es-MX"/>
              </w:rPr>
            </w:pPr>
            <w:r w:rsidRPr="00D1261C">
              <w:rPr>
                <w:color w:val="000000"/>
                <w:lang w:val="es-MX" w:eastAsia="es-MX"/>
              </w:rPr>
              <w:t>Endeudamiento Público Externo</w:t>
            </w:r>
            <w:r w:rsidRPr="00D1261C">
              <w:rPr>
                <w:color w:val="000000"/>
                <w:lang w:val="es-MX" w:eastAsia="es-MX"/>
              </w:rPr>
              <w:br/>
              <w:t>(De organismos e instituciones regionales e Internacionales)</w:t>
            </w:r>
          </w:p>
        </w:tc>
        <w:tc>
          <w:tcPr>
            <w:tcW w:w="1664" w:type="dxa"/>
            <w:tcBorders>
              <w:top w:val="nil"/>
              <w:left w:val="nil"/>
              <w:bottom w:val="single" w:sz="4" w:space="0" w:color="auto"/>
              <w:right w:val="single" w:sz="4" w:space="0" w:color="auto"/>
            </w:tcBorders>
            <w:shd w:val="clear" w:color="auto" w:fill="auto"/>
            <w:noWrap/>
            <w:vAlign w:val="center"/>
            <w:hideMark/>
          </w:tcPr>
          <w:p w14:paraId="684F44A9" w14:textId="77777777" w:rsidR="00C42AA3" w:rsidRPr="00D1261C" w:rsidRDefault="00C42AA3" w:rsidP="003C60DB">
            <w:pPr>
              <w:jc w:val="center"/>
              <w:rPr>
                <w:color w:val="000000"/>
                <w:lang w:val="es-MX" w:eastAsia="es-MX"/>
              </w:rPr>
            </w:pPr>
            <w:r w:rsidRPr="00D1261C">
              <w:rPr>
                <w:color w:val="000000"/>
                <w:lang w:val="es-MX" w:eastAsia="es-MX"/>
              </w:rPr>
              <w:t>01/04/2020</w:t>
            </w:r>
          </w:p>
        </w:tc>
      </w:tr>
      <w:tr w:rsidR="00C42AA3" w:rsidRPr="00D1261C" w14:paraId="0671C285" w14:textId="77777777" w:rsidTr="00FA0039">
        <w:trPr>
          <w:gridAfter w:val="1"/>
          <w:wAfter w:w="19" w:type="dxa"/>
          <w:trHeight w:val="351"/>
          <w:jc w:val="center"/>
        </w:trPr>
        <w:tc>
          <w:tcPr>
            <w:tcW w:w="2913" w:type="dxa"/>
            <w:tcBorders>
              <w:top w:val="nil"/>
              <w:left w:val="single" w:sz="4" w:space="0" w:color="auto"/>
              <w:bottom w:val="single" w:sz="4" w:space="0" w:color="auto"/>
              <w:right w:val="single" w:sz="4" w:space="0" w:color="auto"/>
            </w:tcBorders>
            <w:shd w:val="clear" w:color="000000" w:fill="DDEBF7"/>
            <w:noWrap/>
            <w:vAlign w:val="center"/>
            <w:hideMark/>
          </w:tcPr>
          <w:p w14:paraId="4F3CD0FA" w14:textId="77777777" w:rsidR="00C42AA3" w:rsidRPr="00D1261C" w:rsidRDefault="00C42AA3" w:rsidP="003C60DB">
            <w:pPr>
              <w:jc w:val="center"/>
              <w:rPr>
                <w:b/>
                <w:bCs/>
                <w:color w:val="000000"/>
                <w:lang w:val="es-MX" w:eastAsia="es-MX"/>
              </w:rPr>
            </w:pPr>
            <w:r w:rsidRPr="00D1261C">
              <w:rPr>
                <w:b/>
                <w:bCs/>
                <w:color w:val="000000"/>
                <w:lang w:val="es-MX" w:eastAsia="es-MX"/>
              </w:rPr>
              <w:t>Decreto No. 13-2020</w:t>
            </w:r>
          </w:p>
        </w:tc>
        <w:tc>
          <w:tcPr>
            <w:tcW w:w="1776" w:type="dxa"/>
            <w:tcBorders>
              <w:top w:val="nil"/>
              <w:left w:val="nil"/>
              <w:bottom w:val="single" w:sz="4" w:space="0" w:color="auto"/>
              <w:right w:val="single" w:sz="4" w:space="0" w:color="auto"/>
            </w:tcBorders>
            <w:shd w:val="clear" w:color="000000" w:fill="DDEBF7"/>
            <w:vAlign w:val="center"/>
          </w:tcPr>
          <w:p w14:paraId="6B29F6B0" w14:textId="77777777" w:rsidR="00C42AA3" w:rsidRPr="00D1261C" w:rsidRDefault="00C42AA3" w:rsidP="003C60DB">
            <w:pPr>
              <w:jc w:val="center"/>
              <w:rPr>
                <w:b/>
                <w:bCs/>
                <w:color w:val="000000"/>
                <w:lang w:val="es-MX" w:eastAsia="es-MX"/>
              </w:rPr>
            </w:pPr>
          </w:p>
        </w:tc>
        <w:tc>
          <w:tcPr>
            <w:tcW w:w="2937" w:type="dxa"/>
            <w:tcBorders>
              <w:top w:val="nil"/>
              <w:left w:val="nil"/>
              <w:bottom w:val="single" w:sz="4" w:space="0" w:color="auto"/>
              <w:right w:val="single" w:sz="4" w:space="0" w:color="auto"/>
            </w:tcBorders>
            <w:shd w:val="clear" w:color="000000" w:fill="DDEBF7"/>
            <w:vAlign w:val="center"/>
          </w:tcPr>
          <w:p w14:paraId="43E99F0B" w14:textId="77777777" w:rsidR="00C42AA3" w:rsidRPr="00D1261C" w:rsidRDefault="00C42AA3" w:rsidP="003C60DB">
            <w:pPr>
              <w:jc w:val="center"/>
              <w:rPr>
                <w:b/>
                <w:bCs/>
                <w:color w:val="000000"/>
                <w:lang w:val="es-MX" w:eastAsia="es-MX"/>
              </w:rPr>
            </w:pPr>
          </w:p>
        </w:tc>
        <w:tc>
          <w:tcPr>
            <w:tcW w:w="1664" w:type="dxa"/>
            <w:tcBorders>
              <w:top w:val="nil"/>
              <w:left w:val="nil"/>
              <w:bottom w:val="single" w:sz="4" w:space="0" w:color="auto"/>
              <w:right w:val="single" w:sz="4" w:space="0" w:color="auto"/>
            </w:tcBorders>
            <w:shd w:val="clear" w:color="000000" w:fill="DDEBF7"/>
            <w:vAlign w:val="center"/>
          </w:tcPr>
          <w:p w14:paraId="7487526B" w14:textId="77777777" w:rsidR="00C42AA3" w:rsidRPr="00D1261C" w:rsidRDefault="00C42AA3" w:rsidP="003C60DB">
            <w:pPr>
              <w:jc w:val="center"/>
              <w:rPr>
                <w:b/>
                <w:bCs/>
                <w:color w:val="000000"/>
                <w:lang w:val="es-MX" w:eastAsia="es-MX"/>
              </w:rPr>
            </w:pPr>
          </w:p>
        </w:tc>
      </w:tr>
      <w:tr w:rsidR="00C42AA3" w:rsidRPr="00D1261C" w14:paraId="42A23E02" w14:textId="77777777" w:rsidTr="00FA0039">
        <w:trPr>
          <w:gridAfter w:val="1"/>
          <w:wAfter w:w="19" w:type="dxa"/>
          <w:trHeight w:val="364"/>
          <w:jc w:val="center"/>
        </w:trPr>
        <w:tc>
          <w:tcPr>
            <w:tcW w:w="2913" w:type="dxa"/>
            <w:tcBorders>
              <w:top w:val="nil"/>
              <w:left w:val="single" w:sz="4" w:space="0" w:color="auto"/>
              <w:bottom w:val="single" w:sz="4" w:space="0" w:color="auto"/>
              <w:right w:val="single" w:sz="4" w:space="0" w:color="auto"/>
            </w:tcBorders>
            <w:shd w:val="clear" w:color="auto" w:fill="auto"/>
            <w:vAlign w:val="center"/>
            <w:hideMark/>
          </w:tcPr>
          <w:p w14:paraId="55400E4E" w14:textId="77777777" w:rsidR="00C42AA3" w:rsidRPr="00D1261C" w:rsidRDefault="00C42AA3" w:rsidP="003C60DB">
            <w:pPr>
              <w:rPr>
                <w:color w:val="000000"/>
                <w:lang w:val="es-MX" w:eastAsia="es-MX"/>
              </w:rPr>
            </w:pPr>
            <w:r w:rsidRPr="00D1261C">
              <w:rPr>
                <w:color w:val="000000"/>
                <w:lang w:val="es-MX" w:eastAsia="es-MX"/>
              </w:rPr>
              <w:t>Ley de Rescate Económico a las familias por los efectos causados por el COVID-19</w:t>
            </w:r>
          </w:p>
        </w:tc>
        <w:tc>
          <w:tcPr>
            <w:tcW w:w="1776" w:type="dxa"/>
            <w:tcBorders>
              <w:top w:val="nil"/>
              <w:left w:val="nil"/>
              <w:bottom w:val="single" w:sz="4" w:space="0" w:color="auto"/>
              <w:right w:val="single" w:sz="4" w:space="0" w:color="auto"/>
            </w:tcBorders>
            <w:shd w:val="clear" w:color="auto" w:fill="auto"/>
            <w:noWrap/>
            <w:vAlign w:val="center"/>
            <w:hideMark/>
          </w:tcPr>
          <w:p w14:paraId="1571A3B3" w14:textId="77777777" w:rsidR="00C42AA3" w:rsidRPr="00D1261C" w:rsidRDefault="00C42AA3" w:rsidP="003C60DB">
            <w:pPr>
              <w:jc w:val="right"/>
              <w:rPr>
                <w:b/>
                <w:bCs/>
                <w:color w:val="000000"/>
                <w:lang w:val="es-MX" w:eastAsia="es-MX"/>
              </w:rPr>
            </w:pPr>
            <w:r w:rsidRPr="00D1261C">
              <w:rPr>
                <w:b/>
                <w:bCs/>
                <w:color w:val="000000"/>
                <w:lang w:val="es-MX" w:eastAsia="es-MX"/>
              </w:rPr>
              <w:t>Q11,000.00</w:t>
            </w:r>
          </w:p>
        </w:tc>
        <w:tc>
          <w:tcPr>
            <w:tcW w:w="2937" w:type="dxa"/>
            <w:tcBorders>
              <w:top w:val="nil"/>
              <w:left w:val="nil"/>
              <w:bottom w:val="single" w:sz="4" w:space="0" w:color="auto"/>
              <w:right w:val="single" w:sz="4" w:space="0" w:color="auto"/>
            </w:tcBorders>
            <w:shd w:val="clear" w:color="auto" w:fill="auto"/>
            <w:vAlign w:val="center"/>
            <w:hideMark/>
          </w:tcPr>
          <w:p w14:paraId="43A1C9F1" w14:textId="77777777" w:rsidR="00C42AA3" w:rsidRPr="00D1261C" w:rsidRDefault="00C42AA3" w:rsidP="003C60DB">
            <w:pPr>
              <w:jc w:val="center"/>
              <w:rPr>
                <w:color w:val="000000"/>
                <w:lang w:val="es-MX" w:eastAsia="es-MX"/>
              </w:rPr>
            </w:pPr>
            <w:r w:rsidRPr="00D1261C">
              <w:rPr>
                <w:color w:val="000000"/>
                <w:lang w:val="es-MX" w:eastAsia="es-MX"/>
              </w:rPr>
              <w:t>Financiamiento Público Externo (Bonos del Tesoro)</w:t>
            </w:r>
          </w:p>
        </w:tc>
        <w:tc>
          <w:tcPr>
            <w:tcW w:w="1664" w:type="dxa"/>
            <w:tcBorders>
              <w:top w:val="nil"/>
              <w:left w:val="nil"/>
              <w:bottom w:val="single" w:sz="4" w:space="0" w:color="auto"/>
              <w:right w:val="single" w:sz="4" w:space="0" w:color="auto"/>
            </w:tcBorders>
            <w:shd w:val="clear" w:color="auto" w:fill="auto"/>
            <w:noWrap/>
            <w:vAlign w:val="center"/>
            <w:hideMark/>
          </w:tcPr>
          <w:p w14:paraId="30CCFA11" w14:textId="77777777" w:rsidR="00C42AA3" w:rsidRPr="00D1261C" w:rsidRDefault="00C42AA3" w:rsidP="003C60DB">
            <w:pPr>
              <w:jc w:val="center"/>
              <w:rPr>
                <w:color w:val="000000"/>
                <w:lang w:val="es-MX" w:eastAsia="es-MX"/>
              </w:rPr>
            </w:pPr>
            <w:r w:rsidRPr="00D1261C">
              <w:rPr>
                <w:color w:val="000000"/>
                <w:lang w:val="es-MX" w:eastAsia="es-MX"/>
              </w:rPr>
              <w:t>03/04/2020</w:t>
            </w:r>
          </w:p>
        </w:tc>
      </w:tr>
      <w:tr w:rsidR="00C42AA3" w:rsidRPr="00D1261C" w14:paraId="6559A939" w14:textId="77777777" w:rsidTr="00FA0039">
        <w:trPr>
          <w:gridAfter w:val="1"/>
          <w:wAfter w:w="19" w:type="dxa"/>
          <w:trHeight w:val="241"/>
          <w:jc w:val="center"/>
        </w:trPr>
        <w:tc>
          <w:tcPr>
            <w:tcW w:w="2913" w:type="dxa"/>
            <w:tcBorders>
              <w:top w:val="nil"/>
              <w:left w:val="single" w:sz="4" w:space="0" w:color="auto"/>
              <w:bottom w:val="single" w:sz="4" w:space="0" w:color="auto"/>
              <w:right w:val="single" w:sz="4" w:space="0" w:color="auto"/>
            </w:tcBorders>
            <w:shd w:val="clear" w:color="000000" w:fill="DDEBF7"/>
            <w:noWrap/>
            <w:vAlign w:val="center"/>
            <w:hideMark/>
          </w:tcPr>
          <w:p w14:paraId="6531B8C7" w14:textId="77777777" w:rsidR="00C42AA3" w:rsidRPr="00D1261C" w:rsidRDefault="00C42AA3" w:rsidP="003C60DB">
            <w:pPr>
              <w:jc w:val="center"/>
              <w:rPr>
                <w:b/>
                <w:bCs/>
                <w:color w:val="000000"/>
                <w:lang w:val="es-MX" w:eastAsia="es-MX"/>
              </w:rPr>
            </w:pPr>
            <w:r w:rsidRPr="00D1261C">
              <w:rPr>
                <w:b/>
                <w:bCs/>
                <w:color w:val="000000"/>
                <w:lang w:val="es-MX" w:eastAsia="es-MX"/>
              </w:rPr>
              <w:t>Decreto No. 20-2020</w:t>
            </w:r>
          </w:p>
        </w:tc>
        <w:tc>
          <w:tcPr>
            <w:tcW w:w="1776" w:type="dxa"/>
            <w:tcBorders>
              <w:top w:val="nil"/>
              <w:left w:val="nil"/>
              <w:bottom w:val="single" w:sz="4" w:space="0" w:color="auto"/>
              <w:right w:val="single" w:sz="4" w:space="0" w:color="auto"/>
            </w:tcBorders>
            <w:shd w:val="clear" w:color="000000" w:fill="DDEBF7"/>
            <w:vAlign w:val="center"/>
          </w:tcPr>
          <w:p w14:paraId="3F8A9345" w14:textId="77777777" w:rsidR="00C42AA3" w:rsidRPr="00D1261C" w:rsidRDefault="00C42AA3" w:rsidP="003C60DB">
            <w:pPr>
              <w:jc w:val="center"/>
              <w:rPr>
                <w:b/>
                <w:bCs/>
                <w:color w:val="000000"/>
                <w:lang w:val="es-MX" w:eastAsia="es-MX"/>
              </w:rPr>
            </w:pPr>
          </w:p>
        </w:tc>
        <w:tc>
          <w:tcPr>
            <w:tcW w:w="2937" w:type="dxa"/>
            <w:tcBorders>
              <w:top w:val="nil"/>
              <w:left w:val="nil"/>
              <w:bottom w:val="single" w:sz="4" w:space="0" w:color="auto"/>
              <w:right w:val="single" w:sz="4" w:space="0" w:color="auto"/>
            </w:tcBorders>
            <w:shd w:val="clear" w:color="000000" w:fill="DDEBF7"/>
            <w:vAlign w:val="center"/>
          </w:tcPr>
          <w:p w14:paraId="424083E6" w14:textId="77777777" w:rsidR="00C42AA3" w:rsidRPr="00D1261C" w:rsidRDefault="00C42AA3" w:rsidP="003C60DB">
            <w:pPr>
              <w:jc w:val="center"/>
              <w:rPr>
                <w:b/>
                <w:bCs/>
                <w:color w:val="000000"/>
                <w:lang w:val="es-MX" w:eastAsia="es-MX"/>
              </w:rPr>
            </w:pPr>
          </w:p>
        </w:tc>
        <w:tc>
          <w:tcPr>
            <w:tcW w:w="1664" w:type="dxa"/>
            <w:tcBorders>
              <w:top w:val="nil"/>
              <w:left w:val="nil"/>
              <w:bottom w:val="single" w:sz="4" w:space="0" w:color="auto"/>
              <w:right w:val="single" w:sz="4" w:space="0" w:color="auto"/>
            </w:tcBorders>
            <w:shd w:val="clear" w:color="000000" w:fill="DDEBF7"/>
            <w:vAlign w:val="center"/>
          </w:tcPr>
          <w:p w14:paraId="4010F37C" w14:textId="77777777" w:rsidR="00C42AA3" w:rsidRPr="00D1261C" w:rsidRDefault="00C42AA3" w:rsidP="003C60DB">
            <w:pPr>
              <w:jc w:val="center"/>
              <w:rPr>
                <w:b/>
                <w:bCs/>
                <w:color w:val="000000"/>
                <w:lang w:val="es-MX" w:eastAsia="es-MX"/>
              </w:rPr>
            </w:pPr>
          </w:p>
        </w:tc>
      </w:tr>
      <w:tr w:rsidR="00C42AA3" w:rsidRPr="00D1261C" w14:paraId="0AC6C0D8" w14:textId="77777777" w:rsidTr="00FA0039">
        <w:trPr>
          <w:gridAfter w:val="1"/>
          <w:wAfter w:w="19" w:type="dxa"/>
          <w:trHeight w:val="364"/>
          <w:jc w:val="center"/>
        </w:trPr>
        <w:tc>
          <w:tcPr>
            <w:tcW w:w="2913" w:type="dxa"/>
            <w:vMerge w:val="restart"/>
            <w:tcBorders>
              <w:top w:val="nil"/>
              <w:left w:val="single" w:sz="4" w:space="0" w:color="auto"/>
              <w:bottom w:val="single" w:sz="4" w:space="0" w:color="000000"/>
              <w:right w:val="single" w:sz="4" w:space="0" w:color="auto"/>
            </w:tcBorders>
            <w:shd w:val="clear" w:color="auto" w:fill="auto"/>
            <w:vAlign w:val="center"/>
            <w:hideMark/>
          </w:tcPr>
          <w:p w14:paraId="3BBDCCFE" w14:textId="77777777" w:rsidR="00C42AA3" w:rsidRPr="00D1261C" w:rsidRDefault="00C42AA3" w:rsidP="003C60DB">
            <w:pPr>
              <w:rPr>
                <w:color w:val="000000"/>
                <w:lang w:val="es-MX" w:eastAsia="es-MX"/>
              </w:rPr>
            </w:pPr>
            <w:r w:rsidRPr="00D1261C">
              <w:rPr>
                <w:color w:val="000000"/>
                <w:lang w:val="es-MX" w:eastAsia="es-MX"/>
              </w:rPr>
              <w:t>Ampliación del Presupuesto General de Ingresos y Egresos del Estado para el Ejercicio Fiscal 2020</w:t>
            </w:r>
          </w:p>
        </w:tc>
        <w:tc>
          <w:tcPr>
            <w:tcW w:w="1776" w:type="dxa"/>
            <w:tcBorders>
              <w:top w:val="nil"/>
              <w:left w:val="nil"/>
              <w:bottom w:val="single" w:sz="4" w:space="0" w:color="auto"/>
              <w:right w:val="single" w:sz="4" w:space="0" w:color="auto"/>
            </w:tcBorders>
            <w:shd w:val="clear" w:color="auto" w:fill="auto"/>
            <w:noWrap/>
            <w:vAlign w:val="center"/>
            <w:hideMark/>
          </w:tcPr>
          <w:p w14:paraId="7B6E0B94" w14:textId="77777777" w:rsidR="00C42AA3" w:rsidRPr="00D1261C" w:rsidRDefault="00C42AA3" w:rsidP="003C60DB">
            <w:pPr>
              <w:jc w:val="right"/>
              <w:rPr>
                <w:color w:val="000000"/>
                <w:lang w:val="es-MX" w:eastAsia="es-MX"/>
              </w:rPr>
            </w:pPr>
            <w:r w:rsidRPr="00D1261C">
              <w:rPr>
                <w:color w:val="000000"/>
                <w:lang w:val="es-MX" w:eastAsia="es-MX"/>
              </w:rPr>
              <w:t>Q4,840.30</w:t>
            </w:r>
          </w:p>
        </w:tc>
        <w:tc>
          <w:tcPr>
            <w:tcW w:w="2937" w:type="dxa"/>
            <w:tcBorders>
              <w:top w:val="nil"/>
              <w:left w:val="nil"/>
              <w:bottom w:val="single" w:sz="4" w:space="0" w:color="auto"/>
              <w:right w:val="single" w:sz="4" w:space="0" w:color="auto"/>
            </w:tcBorders>
            <w:shd w:val="clear" w:color="auto" w:fill="auto"/>
            <w:vAlign w:val="center"/>
            <w:hideMark/>
          </w:tcPr>
          <w:p w14:paraId="47BF2EC4" w14:textId="77777777" w:rsidR="00C42AA3" w:rsidRPr="00D1261C" w:rsidRDefault="00C42AA3" w:rsidP="003C60DB">
            <w:pPr>
              <w:jc w:val="center"/>
              <w:rPr>
                <w:color w:val="000000"/>
                <w:lang w:val="es-MX" w:eastAsia="es-MX"/>
              </w:rPr>
            </w:pPr>
            <w:r w:rsidRPr="00D1261C">
              <w:rPr>
                <w:color w:val="000000"/>
                <w:lang w:val="es-MX" w:eastAsia="es-MX"/>
              </w:rPr>
              <w:t>Endeudamiento Público Interno (Colocación de bonos)</w:t>
            </w:r>
          </w:p>
        </w:tc>
        <w:tc>
          <w:tcPr>
            <w:tcW w:w="1664" w:type="dxa"/>
            <w:tcBorders>
              <w:top w:val="nil"/>
              <w:left w:val="nil"/>
              <w:bottom w:val="single" w:sz="4" w:space="0" w:color="auto"/>
              <w:right w:val="single" w:sz="4" w:space="0" w:color="auto"/>
            </w:tcBorders>
            <w:shd w:val="clear" w:color="auto" w:fill="auto"/>
            <w:noWrap/>
            <w:vAlign w:val="center"/>
            <w:hideMark/>
          </w:tcPr>
          <w:p w14:paraId="0C71F4BD" w14:textId="77777777" w:rsidR="00C42AA3" w:rsidRPr="00D1261C" w:rsidRDefault="00C42AA3" w:rsidP="003C60DB">
            <w:pPr>
              <w:jc w:val="center"/>
              <w:rPr>
                <w:color w:val="000000"/>
                <w:lang w:val="es-MX" w:eastAsia="es-MX"/>
              </w:rPr>
            </w:pPr>
            <w:r w:rsidRPr="00D1261C">
              <w:rPr>
                <w:color w:val="000000"/>
                <w:lang w:val="es-MX" w:eastAsia="es-MX"/>
              </w:rPr>
              <w:t>16/04/2020</w:t>
            </w:r>
          </w:p>
        </w:tc>
      </w:tr>
      <w:tr w:rsidR="00C42AA3" w:rsidRPr="00D1261C" w14:paraId="740C5C0E" w14:textId="77777777" w:rsidTr="00FA0039">
        <w:trPr>
          <w:gridAfter w:val="1"/>
          <w:wAfter w:w="19" w:type="dxa"/>
          <w:trHeight w:val="364"/>
          <w:jc w:val="center"/>
        </w:trPr>
        <w:tc>
          <w:tcPr>
            <w:tcW w:w="2913" w:type="dxa"/>
            <w:vMerge/>
            <w:tcBorders>
              <w:top w:val="nil"/>
              <w:left w:val="single" w:sz="4" w:space="0" w:color="auto"/>
              <w:bottom w:val="single" w:sz="4" w:space="0" w:color="000000"/>
              <w:right w:val="single" w:sz="4" w:space="0" w:color="auto"/>
            </w:tcBorders>
            <w:vAlign w:val="center"/>
            <w:hideMark/>
          </w:tcPr>
          <w:p w14:paraId="05E0CB34" w14:textId="77777777" w:rsidR="00C42AA3" w:rsidRPr="00D1261C" w:rsidRDefault="00C42AA3" w:rsidP="003C60DB">
            <w:pPr>
              <w:rPr>
                <w:color w:val="000000"/>
                <w:lang w:val="es-MX" w:eastAsia="es-MX"/>
              </w:rPr>
            </w:pPr>
          </w:p>
        </w:tc>
        <w:tc>
          <w:tcPr>
            <w:tcW w:w="1776" w:type="dxa"/>
            <w:tcBorders>
              <w:top w:val="nil"/>
              <w:left w:val="nil"/>
              <w:bottom w:val="single" w:sz="4" w:space="0" w:color="auto"/>
              <w:right w:val="single" w:sz="4" w:space="0" w:color="auto"/>
            </w:tcBorders>
            <w:shd w:val="clear" w:color="auto" w:fill="auto"/>
            <w:noWrap/>
            <w:vAlign w:val="center"/>
            <w:hideMark/>
          </w:tcPr>
          <w:p w14:paraId="1BE04E3A" w14:textId="77777777" w:rsidR="00C42AA3" w:rsidRPr="00D1261C" w:rsidRDefault="00C42AA3" w:rsidP="003C60DB">
            <w:pPr>
              <w:jc w:val="right"/>
              <w:rPr>
                <w:color w:val="000000"/>
                <w:lang w:val="es-MX" w:eastAsia="es-MX"/>
              </w:rPr>
            </w:pPr>
            <w:r w:rsidRPr="00D1261C">
              <w:rPr>
                <w:color w:val="000000"/>
                <w:lang w:val="es-MX" w:eastAsia="es-MX"/>
              </w:rPr>
              <w:t>Q298.60</w:t>
            </w:r>
          </w:p>
        </w:tc>
        <w:tc>
          <w:tcPr>
            <w:tcW w:w="2937" w:type="dxa"/>
            <w:tcBorders>
              <w:top w:val="nil"/>
              <w:left w:val="nil"/>
              <w:bottom w:val="single" w:sz="4" w:space="0" w:color="auto"/>
              <w:right w:val="single" w:sz="4" w:space="0" w:color="auto"/>
            </w:tcBorders>
            <w:shd w:val="clear" w:color="auto" w:fill="auto"/>
            <w:vAlign w:val="center"/>
            <w:hideMark/>
          </w:tcPr>
          <w:p w14:paraId="0725D3BA" w14:textId="77777777" w:rsidR="00C42AA3" w:rsidRPr="00D1261C" w:rsidRDefault="00C42AA3" w:rsidP="003C60DB">
            <w:pPr>
              <w:jc w:val="center"/>
              <w:rPr>
                <w:color w:val="000000"/>
                <w:lang w:val="es-MX" w:eastAsia="es-MX"/>
              </w:rPr>
            </w:pPr>
            <w:r w:rsidRPr="00D1261C">
              <w:rPr>
                <w:color w:val="000000"/>
                <w:lang w:val="es-MX" w:eastAsia="es-MX"/>
              </w:rPr>
              <w:t xml:space="preserve">Endeudamiento Público Externo </w:t>
            </w:r>
            <w:r w:rsidRPr="00D1261C">
              <w:rPr>
                <w:color w:val="000000"/>
                <w:lang w:val="es-MX" w:eastAsia="es-MX"/>
              </w:rPr>
              <w:br/>
              <w:t>(De organismos e instituciones regionales e internacionales)</w:t>
            </w:r>
          </w:p>
        </w:tc>
        <w:tc>
          <w:tcPr>
            <w:tcW w:w="1664" w:type="dxa"/>
            <w:tcBorders>
              <w:top w:val="nil"/>
              <w:left w:val="nil"/>
              <w:bottom w:val="single" w:sz="4" w:space="0" w:color="auto"/>
              <w:right w:val="single" w:sz="4" w:space="0" w:color="auto"/>
            </w:tcBorders>
            <w:shd w:val="clear" w:color="auto" w:fill="auto"/>
            <w:noWrap/>
            <w:vAlign w:val="center"/>
            <w:hideMark/>
          </w:tcPr>
          <w:p w14:paraId="51383314" w14:textId="77777777" w:rsidR="00C42AA3" w:rsidRPr="00D1261C" w:rsidRDefault="00C42AA3" w:rsidP="003C60DB">
            <w:pPr>
              <w:jc w:val="center"/>
              <w:rPr>
                <w:color w:val="000000"/>
                <w:lang w:val="es-MX" w:eastAsia="es-MX"/>
              </w:rPr>
            </w:pPr>
            <w:r w:rsidRPr="00D1261C">
              <w:rPr>
                <w:color w:val="000000"/>
                <w:lang w:val="es-MX" w:eastAsia="es-MX"/>
              </w:rPr>
              <w:t>16/04/2020</w:t>
            </w:r>
          </w:p>
        </w:tc>
      </w:tr>
      <w:tr w:rsidR="00C42AA3" w:rsidRPr="00D1261C" w14:paraId="4B2CA50D" w14:textId="77777777" w:rsidTr="00FA0039">
        <w:trPr>
          <w:gridAfter w:val="1"/>
          <w:wAfter w:w="19" w:type="dxa"/>
          <w:trHeight w:val="119"/>
          <w:jc w:val="center"/>
        </w:trPr>
        <w:tc>
          <w:tcPr>
            <w:tcW w:w="2913" w:type="dxa"/>
            <w:tcBorders>
              <w:top w:val="nil"/>
              <w:left w:val="single" w:sz="4" w:space="0" w:color="auto"/>
              <w:bottom w:val="single" w:sz="4" w:space="0" w:color="auto"/>
              <w:right w:val="single" w:sz="4" w:space="0" w:color="auto"/>
            </w:tcBorders>
            <w:shd w:val="clear" w:color="auto" w:fill="auto"/>
            <w:noWrap/>
            <w:vAlign w:val="bottom"/>
            <w:hideMark/>
          </w:tcPr>
          <w:p w14:paraId="19348477" w14:textId="77777777" w:rsidR="00C42AA3" w:rsidRPr="00D1261C" w:rsidRDefault="00C42AA3" w:rsidP="003C60DB">
            <w:pPr>
              <w:jc w:val="center"/>
              <w:rPr>
                <w:color w:val="000000"/>
                <w:lang w:val="es-MX" w:eastAsia="es-MX"/>
              </w:rPr>
            </w:pPr>
            <w:r w:rsidRPr="00D1261C">
              <w:rPr>
                <w:color w:val="000000"/>
                <w:lang w:val="es-MX" w:eastAsia="es-MX"/>
              </w:rPr>
              <w:t xml:space="preserve">Total de la ampliación </w:t>
            </w:r>
          </w:p>
        </w:tc>
        <w:tc>
          <w:tcPr>
            <w:tcW w:w="1776" w:type="dxa"/>
            <w:tcBorders>
              <w:top w:val="nil"/>
              <w:left w:val="nil"/>
              <w:bottom w:val="single" w:sz="4" w:space="0" w:color="auto"/>
              <w:right w:val="single" w:sz="4" w:space="0" w:color="auto"/>
            </w:tcBorders>
            <w:shd w:val="clear" w:color="auto" w:fill="auto"/>
            <w:noWrap/>
            <w:vAlign w:val="bottom"/>
            <w:hideMark/>
          </w:tcPr>
          <w:p w14:paraId="0ECA9AFB" w14:textId="77777777" w:rsidR="00C42AA3" w:rsidRPr="00D1261C" w:rsidRDefault="00C42AA3" w:rsidP="003C60DB">
            <w:pPr>
              <w:jc w:val="right"/>
              <w:rPr>
                <w:b/>
                <w:bCs/>
                <w:color w:val="000000"/>
                <w:lang w:val="es-MX" w:eastAsia="es-MX"/>
              </w:rPr>
            </w:pPr>
            <w:r w:rsidRPr="00D1261C">
              <w:rPr>
                <w:b/>
                <w:bCs/>
                <w:color w:val="000000"/>
                <w:lang w:val="es-MX" w:eastAsia="es-MX"/>
              </w:rPr>
              <w:t>Q5,138.90</w:t>
            </w:r>
          </w:p>
        </w:tc>
        <w:tc>
          <w:tcPr>
            <w:tcW w:w="2937" w:type="dxa"/>
            <w:tcBorders>
              <w:top w:val="nil"/>
              <w:left w:val="nil"/>
              <w:bottom w:val="nil"/>
              <w:right w:val="nil"/>
            </w:tcBorders>
            <w:shd w:val="clear" w:color="auto" w:fill="auto"/>
            <w:noWrap/>
            <w:vAlign w:val="bottom"/>
            <w:hideMark/>
          </w:tcPr>
          <w:p w14:paraId="0DA8492E" w14:textId="77777777" w:rsidR="00C42AA3" w:rsidRPr="00D1261C" w:rsidRDefault="00C42AA3" w:rsidP="003C60DB">
            <w:pPr>
              <w:jc w:val="right"/>
              <w:rPr>
                <w:b/>
                <w:bCs/>
                <w:color w:val="000000"/>
                <w:lang w:val="es-MX" w:eastAsia="es-MX"/>
              </w:rPr>
            </w:pPr>
          </w:p>
        </w:tc>
        <w:tc>
          <w:tcPr>
            <w:tcW w:w="1664" w:type="dxa"/>
            <w:tcBorders>
              <w:top w:val="nil"/>
              <w:left w:val="nil"/>
              <w:bottom w:val="nil"/>
              <w:right w:val="nil"/>
            </w:tcBorders>
            <w:shd w:val="clear" w:color="auto" w:fill="auto"/>
            <w:noWrap/>
            <w:vAlign w:val="bottom"/>
            <w:hideMark/>
          </w:tcPr>
          <w:p w14:paraId="0C0C33D2" w14:textId="77777777" w:rsidR="00C42AA3" w:rsidRPr="00D1261C" w:rsidRDefault="00C42AA3" w:rsidP="003C60DB">
            <w:pPr>
              <w:rPr>
                <w:lang w:val="es-MX" w:eastAsia="es-MX"/>
              </w:rPr>
            </w:pPr>
          </w:p>
        </w:tc>
      </w:tr>
    </w:tbl>
    <w:p w14:paraId="0AC4D28C" w14:textId="77777777" w:rsidR="00C42AA3" w:rsidRPr="004707AB" w:rsidRDefault="00C42AA3" w:rsidP="00C42AA3">
      <w:pPr>
        <w:ind w:left="708"/>
        <w:rPr>
          <w:color w:val="221E1F"/>
        </w:rPr>
      </w:pPr>
      <w:r w:rsidRPr="004707AB">
        <w:rPr>
          <w:color w:val="221E1F"/>
        </w:rPr>
        <w:t>Fuente: Minfin, Dirección de Transparencia Fiscal. Información del Congreso de la Republica y Diario de Centroamérica.</w:t>
      </w:r>
    </w:p>
    <w:p w14:paraId="3BCDEAC6" w14:textId="77777777" w:rsidR="00C42AA3" w:rsidRDefault="00C42AA3" w:rsidP="00C42AA3">
      <w:pPr>
        <w:pStyle w:val="Ttulo2"/>
        <w:rPr>
          <w:color w:val="000000" w:themeColor="text1"/>
          <w:sz w:val="24"/>
          <w:szCs w:val="24"/>
        </w:rPr>
      </w:pPr>
    </w:p>
    <w:p w14:paraId="65B48452" w14:textId="77777777" w:rsidR="00C42AA3" w:rsidRPr="009562D6" w:rsidRDefault="00C42AA3" w:rsidP="00A86EFD">
      <w:pPr>
        <w:pStyle w:val="Ttulo1"/>
        <w:widowControl/>
        <w:numPr>
          <w:ilvl w:val="3"/>
          <w:numId w:val="5"/>
        </w:numPr>
        <w:ind w:right="49"/>
        <w:jc w:val="left"/>
        <w:rPr>
          <w:color w:val="000000" w:themeColor="text1"/>
          <w:sz w:val="24"/>
          <w:szCs w:val="24"/>
        </w:rPr>
      </w:pPr>
      <w:bookmarkStart w:id="94" w:name="_Toc47433643"/>
      <w:bookmarkStart w:id="95" w:name="_Toc49939740"/>
      <w:r w:rsidRPr="009562D6">
        <w:rPr>
          <w:color w:val="000000" w:themeColor="text1"/>
          <w:sz w:val="24"/>
          <w:szCs w:val="24"/>
        </w:rPr>
        <w:t>Gasto Público para la atención de la emergencia</w:t>
      </w:r>
      <w:bookmarkEnd w:id="93"/>
      <w:bookmarkEnd w:id="94"/>
      <w:bookmarkEnd w:id="95"/>
    </w:p>
    <w:p w14:paraId="59452830" w14:textId="77777777" w:rsidR="00C42AA3" w:rsidRPr="009562D6" w:rsidRDefault="00C42AA3" w:rsidP="00C42AA3">
      <w:pPr>
        <w:rPr>
          <w:sz w:val="24"/>
          <w:szCs w:val="24"/>
          <w:lang w:val="es-MX"/>
        </w:rPr>
      </w:pPr>
    </w:p>
    <w:p w14:paraId="4D239094" w14:textId="548C9C24" w:rsidR="00C42AA3" w:rsidRDefault="00C42AA3" w:rsidP="00E648CF">
      <w:pPr>
        <w:pStyle w:val="Sinespaciado"/>
        <w:ind w:left="567" w:right="49"/>
        <w:jc w:val="both"/>
        <w:rPr>
          <w:rFonts w:ascii="Times New Roman" w:eastAsia="OptimaLTStd" w:hAnsi="Times New Roman"/>
          <w:sz w:val="24"/>
          <w:szCs w:val="24"/>
        </w:rPr>
      </w:pPr>
      <w:r w:rsidRPr="00115F29">
        <w:rPr>
          <w:rFonts w:ascii="Times New Roman" w:eastAsia="OptimaLTStd" w:hAnsi="Times New Roman"/>
          <w:sz w:val="24"/>
          <w:szCs w:val="24"/>
        </w:rPr>
        <w:t xml:space="preserve">Los recursos asignados a la atención de la emergencia, la etapa de contención y recuperación provienen de diversas fuentes de financiamiento del gasto público aprobadas mediante las ampliaciones presupuestarias realizadas, entre ellas, Fondos Patrimoniales, Financiamiento Público Externo a través de la aprobación de Créditos Contingentes, Préstamos de apoyo presupuestario; Colocaciones de bonos en el mercado local y los mercados globales. </w:t>
      </w:r>
    </w:p>
    <w:p w14:paraId="314EF003" w14:textId="77777777" w:rsidR="00115F29" w:rsidRPr="00115F29" w:rsidRDefault="00115F29" w:rsidP="00115F29">
      <w:pPr>
        <w:pStyle w:val="Sinespaciado"/>
        <w:jc w:val="both"/>
        <w:rPr>
          <w:rFonts w:ascii="Times New Roman" w:eastAsia="OptimaLTStd" w:hAnsi="Times New Roman"/>
          <w:sz w:val="24"/>
          <w:szCs w:val="24"/>
        </w:rPr>
      </w:pPr>
    </w:p>
    <w:p w14:paraId="686E611E" w14:textId="77777777" w:rsidR="00C42AA3" w:rsidRPr="00DF7BF8" w:rsidRDefault="00C42AA3" w:rsidP="00DF3713">
      <w:pPr>
        <w:pStyle w:val="Ttulo3"/>
        <w:ind w:left="567"/>
        <w:rPr>
          <w:rFonts w:eastAsia="OptimaLTStd"/>
          <w:b w:val="0"/>
          <w:bCs/>
          <w:sz w:val="24"/>
          <w:szCs w:val="24"/>
          <w:u w:val="none"/>
          <w:lang w:val="es-MX"/>
        </w:rPr>
      </w:pPr>
      <w:bookmarkStart w:id="96" w:name="_Toc46851819"/>
      <w:bookmarkStart w:id="97" w:name="_Toc47433644"/>
      <w:bookmarkStart w:id="98" w:name="_Toc49939741"/>
      <w:r w:rsidRPr="00DF7BF8">
        <w:rPr>
          <w:rFonts w:eastAsia="OptimaLTStd"/>
          <w:bCs/>
          <w:sz w:val="24"/>
          <w:szCs w:val="24"/>
          <w:u w:val="none"/>
          <w:lang w:val="es-MX"/>
        </w:rPr>
        <w:t>Fondos Patrimoniales</w:t>
      </w:r>
      <w:bookmarkEnd w:id="96"/>
      <w:bookmarkEnd w:id="97"/>
      <w:bookmarkEnd w:id="98"/>
      <w:r w:rsidRPr="00DF7BF8">
        <w:rPr>
          <w:rFonts w:eastAsia="OptimaLTStd"/>
          <w:bCs/>
          <w:sz w:val="24"/>
          <w:szCs w:val="24"/>
          <w:u w:val="none"/>
          <w:lang w:val="es-MX"/>
        </w:rPr>
        <w:t xml:space="preserve"> </w:t>
      </w:r>
    </w:p>
    <w:p w14:paraId="6D90B68E" w14:textId="77777777" w:rsidR="00C42AA3" w:rsidRPr="009562D6" w:rsidRDefault="00C42AA3" w:rsidP="00C42AA3">
      <w:pPr>
        <w:rPr>
          <w:sz w:val="24"/>
          <w:szCs w:val="24"/>
          <w:lang w:val="es-MX"/>
        </w:rPr>
      </w:pPr>
    </w:p>
    <w:p w14:paraId="63B84CAF" w14:textId="09D3CA48" w:rsidR="00C42AA3" w:rsidRPr="00115F29" w:rsidRDefault="00C42AA3" w:rsidP="00E648CF">
      <w:pPr>
        <w:pStyle w:val="Sinespaciado"/>
        <w:ind w:left="567" w:right="49"/>
        <w:jc w:val="both"/>
        <w:rPr>
          <w:rFonts w:ascii="Times New Roman" w:eastAsia="OptimaLTStd" w:hAnsi="Times New Roman"/>
          <w:sz w:val="24"/>
          <w:szCs w:val="24"/>
        </w:rPr>
      </w:pPr>
      <w:r w:rsidRPr="00115F29">
        <w:rPr>
          <w:rFonts w:ascii="Times New Roman" w:eastAsia="OptimaLTStd" w:hAnsi="Times New Roman"/>
          <w:sz w:val="24"/>
          <w:szCs w:val="24"/>
        </w:rPr>
        <w:t>El Decreto Número 8-2020 reforma el artículo 106 de la Ley del Presupuesto General de Ingresos y Egresos del Estado para el Ejercicio Fiscal 2019. Decreto Número 25-2018 del Congreso de la Republica para que quede redactado de la forma siguiente:</w:t>
      </w:r>
    </w:p>
    <w:p w14:paraId="1D03D392" w14:textId="77777777" w:rsidR="00115F29" w:rsidRPr="00E648CF" w:rsidRDefault="00115F29" w:rsidP="00E648CF">
      <w:pPr>
        <w:pStyle w:val="Sinespaciado"/>
        <w:ind w:left="567" w:right="49"/>
        <w:jc w:val="both"/>
        <w:rPr>
          <w:rFonts w:ascii="Times New Roman" w:eastAsia="OptimaLTStd" w:hAnsi="Times New Roman"/>
          <w:sz w:val="24"/>
          <w:szCs w:val="24"/>
        </w:rPr>
      </w:pPr>
    </w:p>
    <w:p w14:paraId="3062D361" w14:textId="39FB3E2D" w:rsidR="00C42AA3" w:rsidRPr="00E648CF" w:rsidRDefault="00C42AA3" w:rsidP="00E648CF">
      <w:pPr>
        <w:pStyle w:val="Sinespaciado"/>
        <w:ind w:left="567" w:right="49"/>
        <w:jc w:val="both"/>
        <w:rPr>
          <w:rFonts w:ascii="Times New Roman" w:eastAsia="OptimaLTStd" w:hAnsi="Times New Roman"/>
          <w:sz w:val="24"/>
          <w:szCs w:val="24"/>
        </w:rPr>
      </w:pPr>
      <w:r w:rsidRPr="00E648CF">
        <w:rPr>
          <w:rFonts w:ascii="Times New Roman" w:eastAsia="OptimaLTStd" w:hAnsi="Times New Roman"/>
          <w:sz w:val="24"/>
          <w:szCs w:val="24"/>
        </w:rPr>
        <w:lastRenderedPageBreak/>
        <w:t>"Art</w:t>
      </w:r>
      <w:r w:rsidR="007330D0" w:rsidRPr="00E648CF">
        <w:rPr>
          <w:rFonts w:ascii="Times New Roman" w:eastAsia="OptimaLTStd" w:hAnsi="Times New Roman"/>
          <w:sz w:val="24"/>
          <w:szCs w:val="24"/>
        </w:rPr>
        <w:t>í</w:t>
      </w:r>
      <w:r w:rsidRPr="00E648CF">
        <w:rPr>
          <w:rFonts w:ascii="Times New Roman" w:eastAsia="OptimaLTStd" w:hAnsi="Times New Roman"/>
          <w:sz w:val="24"/>
          <w:szCs w:val="24"/>
        </w:rPr>
        <w:t>culo 106. Fondo Emergente. Dentro de las Obligaciones del Estado a cargo del Tesoro. se asignan Doscientos Treinta Millones de Quetzales Q.230.00 millones, como una previsión para conformar el Fondo Emergente. Que permite mitigar los daños que puedan ocasionar los fenómenos naturales que afecten al país y que a su vez permita atender programas y proyectos relacionados con la atención, tratamiento y control del coronavirus (COVID-19) cuya ejecución deberá registrarse al momento de declararse los casos previstos en el Decreto Número 7 de la Asamblea Constituyente Ley de Orden Público."</w:t>
      </w:r>
    </w:p>
    <w:p w14:paraId="29909D8D" w14:textId="2BF8E20C" w:rsidR="00115F29" w:rsidRPr="00E648CF" w:rsidRDefault="00115F29" w:rsidP="00E648CF">
      <w:pPr>
        <w:pStyle w:val="Sinespaciado"/>
        <w:ind w:left="567" w:right="49"/>
        <w:jc w:val="both"/>
        <w:rPr>
          <w:rFonts w:ascii="Times New Roman" w:eastAsia="OptimaLTStd" w:hAnsi="Times New Roman"/>
          <w:sz w:val="24"/>
          <w:szCs w:val="24"/>
        </w:rPr>
      </w:pPr>
    </w:p>
    <w:p w14:paraId="0604A634" w14:textId="77777777" w:rsidR="00115F29" w:rsidRPr="00E648CF" w:rsidRDefault="00115F29" w:rsidP="00E648CF">
      <w:pPr>
        <w:pStyle w:val="Sinespaciado"/>
        <w:ind w:left="567" w:right="49"/>
        <w:jc w:val="both"/>
        <w:rPr>
          <w:rFonts w:ascii="Times New Roman" w:eastAsia="OptimaLTStd" w:hAnsi="Times New Roman"/>
          <w:sz w:val="24"/>
          <w:szCs w:val="24"/>
        </w:rPr>
      </w:pPr>
    </w:p>
    <w:p w14:paraId="5A54091A" w14:textId="77777777" w:rsidR="00C42AA3" w:rsidRPr="00DF7BF8" w:rsidRDefault="00C42AA3" w:rsidP="00DF3713">
      <w:pPr>
        <w:pStyle w:val="Ttulo3"/>
        <w:ind w:left="567"/>
        <w:rPr>
          <w:rFonts w:eastAsia="OptimaLTStd"/>
          <w:b w:val="0"/>
          <w:bCs/>
          <w:sz w:val="24"/>
          <w:szCs w:val="24"/>
          <w:u w:val="none"/>
          <w:lang w:val="es-MX"/>
        </w:rPr>
      </w:pPr>
      <w:bookmarkStart w:id="99" w:name="_Toc46851820"/>
      <w:bookmarkStart w:id="100" w:name="_Toc47433645"/>
      <w:bookmarkStart w:id="101" w:name="_Toc49939742"/>
      <w:r w:rsidRPr="00DF7BF8">
        <w:rPr>
          <w:rFonts w:eastAsia="OptimaLTStd"/>
          <w:bCs/>
          <w:sz w:val="24"/>
          <w:szCs w:val="24"/>
          <w:u w:val="none"/>
          <w:lang w:val="es-MX"/>
        </w:rPr>
        <w:t>Préstamo Contingente</w:t>
      </w:r>
      <w:bookmarkEnd w:id="99"/>
      <w:bookmarkEnd w:id="100"/>
      <w:bookmarkEnd w:id="101"/>
    </w:p>
    <w:p w14:paraId="64EE149E" w14:textId="77777777" w:rsidR="00C42AA3" w:rsidRPr="009562D6" w:rsidRDefault="00C42AA3" w:rsidP="00C42AA3">
      <w:pPr>
        <w:rPr>
          <w:sz w:val="24"/>
          <w:szCs w:val="24"/>
          <w:lang w:val="es-MX"/>
        </w:rPr>
      </w:pPr>
    </w:p>
    <w:p w14:paraId="1C99DA00" w14:textId="77777777" w:rsidR="00C42AA3" w:rsidRPr="00DF3713" w:rsidRDefault="00C42AA3" w:rsidP="00E648CF">
      <w:pPr>
        <w:pStyle w:val="Sinespaciado"/>
        <w:ind w:left="567" w:right="49"/>
        <w:jc w:val="both"/>
        <w:rPr>
          <w:rFonts w:ascii="Times New Roman" w:eastAsia="OptimaLTStd" w:hAnsi="Times New Roman"/>
          <w:sz w:val="24"/>
          <w:szCs w:val="24"/>
        </w:rPr>
      </w:pPr>
      <w:r w:rsidRPr="00DF3713">
        <w:rPr>
          <w:rFonts w:ascii="Times New Roman" w:eastAsia="OptimaLTStd" w:hAnsi="Times New Roman"/>
          <w:sz w:val="24"/>
          <w:szCs w:val="24"/>
        </w:rPr>
        <w:t>El Decreto Número 10-2020 aprueba el Préstamo Número 8962-GT entre la República de Guatemala y el Banco Internacional de Reconstrucción y Fomento (BIRF), denominado "Segundo Préstamo para Políticas de Desarrollo sobre Gestión del Riesgo de Desastres con una Opción de Desembolso Diferido ante Catástrofes denominado CAT-DDO” hasta por $200 millones de U.S. Dólares.</w:t>
      </w:r>
    </w:p>
    <w:p w14:paraId="554CFB5B" w14:textId="77777777" w:rsidR="00C42AA3" w:rsidRPr="009562D6" w:rsidRDefault="00C42AA3" w:rsidP="00C42AA3">
      <w:pPr>
        <w:autoSpaceDE w:val="0"/>
        <w:autoSpaceDN w:val="0"/>
        <w:adjustRightInd w:val="0"/>
        <w:rPr>
          <w:rFonts w:eastAsia="OptimaLTStd"/>
          <w:color w:val="000000"/>
          <w:sz w:val="24"/>
          <w:szCs w:val="24"/>
          <w:lang w:val="es-MX"/>
        </w:rPr>
      </w:pPr>
    </w:p>
    <w:p w14:paraId="0553A53C" w14:textId="77777777" w:rsidR="00C42AA3" w:rsidRPr="009562D6" w:rsidRDefault="00C42AA3" w:rsidP="00C42AA3">
      <w:pPr>
        <w:autoSpaceDE w:val="0"/>
        <w:autoSpaceDN w:val="0"/>
        <w:adjustRightInd w:val="0"/>
        <w:rPr>
          <w:rFonts w:eastAsia="OptimaLTStd"/>
          <w:color w:val="000000"/>
          <w:sz w:val="24"/>
          <w:szCs w:val="24"/>
          <w:lang w:val="es-MX"/>
        </w:rPr>
      </w:pPr>
    </w:p>
    <w:p w14:paraId="74F693BC" w14:textId="77777777" w:rsidR="00C42AA3" w:rsidRPr="00A62974" w:rsidRDefault="00C42AA3" w:rsidP="00DF3713">
      <w:pPr>
        <w:pStyle w:val="Ttulo3"/>
        <w:ind w:left="567"/>
        <w:rPr>
          <w:rFonts w:eastAsia="OptimaLTStd"/>
          <w:b w:val="0"/>
          <w:bCs/>
          <w:sz w:val="24"/>
          <w:szCs w:val="24"/>
          <w:u w:val="none"/>
          <w:lang w:val="es-MX"/>
        </w:rPr>
      </w:pPr>
      <w:bookmarkStart w:id="102" w:name="_Toc46851821"/>
      <w:bookmarkStart w:id="103" w:name="_Toc47433646"/>
      <w:bookmarkStart w:id="104" w:name="_Toc49939743"/>
      <w:r w:rsidRPr="00A62974">
        <w:rPr>
          <w:rFonts w:eastAsia="OptimaLTStd"/>
          <w:bCs/>
          <w:sz w:val="24"/>
          <w:szCs w:val="24"/>
          <w:u w:val="none"/>
          <w:lang w:val="es-MX"/>
        </w:rPr>
        <w:t>Préstamos de apoyo presupuestario</w:t>
      </w:r>
      <w:bookmarkEnd w:id="102"/>
      <w:bookmarkEnd w:id="103"/>
      <w:bookmarkEnd w:id="104"/>
    </w:p>
    <w:p w14:paraId="328E8231" w14:textId="77777777" w:rsidR="00C42AA3" w:rsidRPr="009562D6" w:rsidRDefault="00C42AA3" w:rsidP="00C42AA3">
      <w:pPr>
        <w:autoSpaceDE w:val="0"/>
        <w:autoSpaceDN w:val="0"/>
        <w:adjustRightInd w:val="0"/>
        <w:rPr>
          <w:rFonts w:eastAsia="OptimaLTStd"/>
          <w:color w:val="000000"/>
          <w:sz w:val="24"/>
          <w:szCs w:val="24"/>
          <w:lang w:val="es-MX"/>
        </w:rPr>
      </w:pPr>
    </w:p>
    <w:p w14:paraId="2025650C" w14:textId="77777777" w:rsidR="00C42AA3" w:rsidRPr="00E648CF" w:rsidRDefault="00C42AA3" w:rsidP="00E648CF">
      <w:pPr>
        <w:pStyle w:val="Sinespaciado"/>
        <w:ind w:left="567" w:right="49"/>
        <w:jc w:val="both"/>
        <w:rPr>
          <w:rFonts w:ascii="Times New Roman" w:eastAsia="OptimaLTStd" w:hAnsi="Times New Roman"/>
          <w:sz w:val="24"/>
          <w:szCs w:val="24"/>
        </w:rPr>
      </w:pPr>
      <w:r w:rsidRPr="00E648CF">
        <w:rPr>
          <w:rFonts w:ascii="Times New Roman" w:eastAsia="OptimaLTStd" w:hAnsi="Times New Roman"/>
          <w:sz w:val="24"/>
          <w:szCs w:val="24"/>
        </w:rPr>
        <w:t>El Decreto Número 11-2020 aprueba el Préstamo Número 3786/OC-GU entre la República de Guatemala y el Banco Interamericano de Desarrollo (BID), denominado "Programa de Administración Tributaria y Transparencia", que tiene las siguientes características:</w:t>
      </w:r>
    </w:p>
    <w:p w14:paraId="55A24FA1" w14:textId="77777777" w:rsidR="00C42AA3" w:rsidRPr="009562D6" w:rsidRDefault="00C42AA3" w:rsidP="00C42AA3">
      <w:pPr>
        <w:jc w:val="both"/>
        <w:rPr>
          <w:rFonts w:eastAsia="OptimaLTStd"/>
          <w:color w:val="000000"/>
          <w:sz w:val="24"/>
          <w:szCs w:val="24"/>
          <w:lang w:val="es-MX"/>
        </w:rPr>
      </w:pPr>
    </w:p>
    <w:p w14:paraId="4ED5BE43" w14:textId="77777777" w:rsidR="00C42AA3" w:rsidRPr="009562D6" w:rsidRDefault="00C42AA3" w:rsidP="00C42AA3">
      <w:pPr>
        <w:pStyle w:val="Prrafodelista"/>
        <w:widowControl/>
        <w:numPr>
          <w:ilvl w:val="0"/>
          <w:numId w:val="23"/>
        </w:numPr>
        <w:jc w:val="both"/>
        <w:rPr>
          <w:rFonts w:eastAsia="OptimaLTStd"/>
          <w:color w:val="000000"/>
          <w:sz w:val="24"/>
          <w:szCs w:val="24"/>
          <w:lang w:val="es-MX"/>
        </w:rPr>
      </w:pPr>
      <w:r w:rsidRPr="009562D6">
        <w:rPr>
          <w:rFonts w:eastAsia="OptimaLTStd"/>
          <w:color w:val="000000"/>
          <w:sz w:val="24"/>
          <w:szCs w:val="24"/>
          <w:lang w:val="es-MX"/>
        </w:rPr>
        <w:t>Monto: Hasta Doscientos Cincuenta ($250.0) millones de U.S. Dólares.</w:t>
      </w:r>
    </w:p>
    <w:p w14:paraId="78F0E3F5" w14:textId="77777777" w:rsidR="00C42AA3" w:rsidRPr="009562D6" w:rsidRDefault="00C42AA3" w:rsidP="00C42AA3">
      <w:pPr>
        <w:jc w:val="both"/>
        <w:rPr>
          <w:rFonts w:eastAsia="OptimaLTStd"/>
          <w:color w:val="000000"/>
          <w:sz w:val="24"/>
          <w:szCs w:val="24"/>
          <w:lang w:val="es-MX"/>
        </w:rPr>
      </w:pPr>
    </w:p>
    <w:p w14:paraId="4C66231E" w14:textId="77777777" w:rsidR="00C42AA3" w:rsidRPr="009562D6" w:rsidRDefault="00C42AA3" w:rsidP="00C42AA3">
      <w:pPr>
        <w:pStyle w:val="Prrafodelista"/>
        <w:widowControl/>
        <w:numPr>
          <w:ilvl w:val="0"/>
          <w:numId w:val="23"/>
        </w:numPr>
        <w:autoSpaceDE w:val="0"/>
        <w:autoSpaceDN w:val="0"/>
        <w:adjustRightInd w:val="0"/>
        <w:rPr>
          <w:rFonts w:eastAsia="OptimaLTStd"/>
          <w:color w:val="000000"/>
          <w:sz w:val="24"/>
          <w:szCs w:val="24"/>
          <w:lang w:val="es-MX"/>
        </w:rPr>
      </w:pPr>
      <w:r w:rsidRPr="009562D6">
        <w:rPr>
          <w:rFonts w:eastAsia="OptimaLTStd"/>
          <w:color w:val="000000"/>
          <w:sz w:val="24"/>
          <w:szCs w:val="24"/>
          <w:lang w:val="es-MX"/>
        </w:rPr>
        <w:t>Destino: Brindar apoyo al Presupuesto General de Ingresos y Egresos del Estado, de conformidad con las estipulaciones especiales del Contrato de Préstamo.</w:t>
      </w:r>
    </w:p>
    <w:p w14:paraId="055E0C25" w14:textId="77777777" w:rsidR="00C42AA3" w:rsidRPr="009562D6" w:rsidRDefault="00C42AA3" w:rsidP="00C42AA3">
      <w:pPr>
        <w:autoSpaceDE w:val="0"/>
        <w:autoSpaceDN w:val="0"/>
        <w:adjustRightInd w:val="0"/>
        <w:jc w:val="both"/>
        <w:rPr>
          <w:rFonts w:eastAsia="OptimaLTStd"/>
          <w:color w:val="000000"/>
          <w:sz w:val="24"/>
          <w:szCs w:val="24"/>
          <w:lang w:val="es-MX"/>
        </w:rPr>
      </w:pPr>
    </w:p>
    <w:p w14:paraId="04049D8B" w14:textId="77777777" w:rsidR="00C42AA3" w:rsidRPr="009562D6" w:rsidRDefault="00C42AA3" w:rsidP="00C42AA3">
      <w:pPr>
        <w:pStyle w:val="Prrafodelista"/>
        <w:widowControl/>
        <w:numPr>
          <w:ilvl w:val="0"/>
          <w:numId w:val="23"/>
        </w:numPr>
        <w:autoSpaceDE w:val="0"/>
        <w:autoSpaceDN w:val="0"/>
        <w:adjustRightInd w:val="0"/>
        <w:rPr>
          <w:rFonts w:eastAsia="OptimaLTStd"/>
          <w:color w:val="000000"/>
          <w:sz w:val="24"/>
          <w:szCs w:val="24"/>
          <w:lang w:val="es-MX"/>
        </w:rPr>
      </w:pPr>
      <w:r w:rsidRPr="009562D6">
        <w:rPr>
          <w:rFonts w:eastAsia="OptimaLTStd"/>
          <w:color w:val="000000"/>
          <w:sz w:val="24"/>
          <w:szCs w:val="24"/>
          <w:lang w:val="es-MX"/>
        </w:rPr>
        <w:t>Plazo: Veinte años (20) contados a partir de la fecha de fijación de cualquier desembolso del financiamiento. que incluye hasta cinco años y medio (5.5) años de período de gracia.</w:t>
      </w:r>
    </w:p>
    <w:p w14:paraId="401C9684" w14:textId="77777777" w:rsidR="00C42AA3" w:rsidRPr="009562D6" w:rsidRDefault="00C42AA3" w:rsidP="00C42AA3">
      <w:pPr>
        <w:rPr>
          <w:sz w:val="24"/>
          <w:szCs w:val="24"/>
          <w:lang w:val="es-MX"/>
        </w:rPr>
      </w:pPr>
    </w:p>
    <w:p w14:paraId="23C72890" w14:textId="77777777" w:rsidR="00C42AA3" w:rsidRPr="00E648CF" w:rsidRDefault="00C42AA3" w:rsidP="00E648CF">
      <w:pPr>
        <w:pStyle w:val="Sinespaciado"/>
        <w:ind w:left="567" w:right="49"/>
        <w:jc w:val="both"/>
        <w:rPr>
          <w:rFonts w:ascii="Times New Roman" w:eastAsia="OptimaLTStd" w:hAnsi="Times New Roman"/>
          <w:sz w:val="24"/>
          <w:szCs w:val="24"/>
        </w:rPr>
      </w:pPr>
      <w:r w:rsidRPr="00E648CF">
        <w:rPr>
          <w:rFonts w:ascii="Times New Roman" w:eastAsia="OptimaLTStd" w:hAnsi="Times New Roman"/>
          <w:sz w:val="24"/>
          <w:szCs w:val="24"/>
        </w:rPr>
        <w:t>El Decreto Número 14-2020 aprueba el Préstamo Número 3849/OC-GU entre la República de Guatemala y el Banco Interamericano de Desarrollo (BID), denominado "Programa de Fortalecimiento y Modernización del Ministerio Público", que tiene las siguientes características:</w:t>
      </w:r>
    </w:p>
    <w:p w14:paraId="2A6BD14A" w14:textId="77777777" w:rsidR="00C42AA3" w:rsidRPr="00E648CF" w:rsidRDefault="00C42AA3" w:rsidP="00C42AA3">
      <w:pPr>
        <w:jc w:val="both"/>
        <w:rPr>
          <w:rFonts w:eastAsia="OptimaLTStd"/>
          <w:color w:val="000000"/>
          <w:sz w:val="24"/>
          <w:szCs w:val="24"/>
          <w:lang w:val="es-MX"/>
        </w:rPr>
      </w:pPr>
    </w:p>
    <w:p w14:paraId="0548C779" w14:textId="77777777" w:rsidR="00C42AA3" w:rsidRPr="009562D6" w:rsidRDefault="00C42AA3" w:rsidP="00C42AA3">
      <w:pPr>
        <w:pStyle w:val="Prrafodelista"/>
        <w:widowControl/>
        <w:numPr>
          <w:ilvl w:val="0"/>
          <w:numId w:val="24"/>
        </w:numPr>
        <w:jc w:val="both"/>
        <w:rPr>
          <w:rFonts w:eastAsia="OptimaLTStd"/>
          <w:color w:val="000000"/>
          <w:sz w:val="24"/>
          <w:szCs w:val="24"/>
          <w:lang w:val="es-MX"/>
        </w:rPr>
      </w:pPr>
      <w:r w:rsidRPr="009562D6">
        <w:rPr>
          <w:rFonts w:eastAsia="OptimaLTStd"/>
          <w:color w:val="000000"/>
          <w:sz w:val="24"/>
          <w:szCs w:val="24"/>
          <w:lang w:val="es-MX"/>
        </w:rPr>
        <w:t>Monto: Hasta Sesenta ($60.0) millones de U.S. Dólares.</w:t>
      </w:r>
    </w:p>
    <w:p w14:paraId="54191A4A" w14:textId="77777777" w:rsidR="00C42AA3" w:rsidRPr="009562D6" w:rsidRDefault="00C42AA3" w:rsidP="00C42AA3">
      <w:pPr>
        <w:jc w:val="both"/>
        <w:rPr>
          <w:rFonts w:eastAsia="OptimaLTStd"/>
          <w:color w:val="000000"/>
          <w:sz w:val="24"/>
          <w:szCs w:val="24"/>
          <w:lang w:val="es-MX"/>
        </w:rPr>
      </w:pPr>
    </w:p>
    <w:p w14:paraId="62125E99" w14:textId="77777777" w:rsidR="00C42AA3" w:rsidRPr="009562D6" w:rsidRDefault="00C42AA3" w:rsidP="00C42AA3">
      <w:pPr>
        <w:pStyle w:val="Prrafodelista"/>
        <w:widowControl/>
        <w:numPr>
          <w:ilvl w:val="0"/>
          <w:numId w:val="24"/>
        </w:numPr>
        <w:autoSpaceDE w:val="0"/>
        <w:autoSpaceDN w:val="0"/>
        <w:adjustRightInd w:val="0"/>
        <w:rPr>
          <w:rFonts w:eastAsia="OptimaLTStd"/>
          <w:color w:val="000000"/>
          <w:sz w:val="24"/>
          <w:szCs w:val="24"/>
          <w:lang w:val="es-MX"/>
        </w:rPr>
      </w:pPr>
      <w:r w:rsidRPr="009562D6">
        <w:rPr>
          <w:rFonts w:eastAsia="OptimaLTStd"/>
          <w:color w:val="000000"/>
          <w:sz w:val="24"/>
          <w:szCs w:val="24"/>
          <w:lang w:val="es-MX"/>
        </w:rPr>
        <w:t>Destino: Brindar apoyo al fortalecimiento y modernización del Ministerio Público.</w:t>
      </w:r>
    </w:p>
    <w:p w14:paraId="75C40BFD" w14:textId="77777777" w:rsidR="00C42AA3" w:rsidRPr="009562D6" w:rsidRDefault="00C42AA3" w:rsidP="00C42AA3">
      <w:pPr>
        <w:autoSpaceDE w:val="0"/>
        <w:autoSpaceDN w:val="0"/>
        <w:adjustRightInd w:val="0"/>
        <w:jc w:val="both"/>
        <w:rPr>
          <w:rFonts w:eastAsia="OptimaLTStd"/>
          <w:color w:val="000000"/>
          <w:sz w:val="24"/>
          <w:szCs w:val="24"/>
          <w:lang w:val="es-MX"/>
        </w:rPr>
      </w:pPr>
    </w:p>
    <w:p w14:paraId="7D0CE523" w14:textId="77777777" w:rsidR="00C42AA3" w:rsidRPr="009562D6" w:rsidRDefault="00C42AA3" w:rsidP="00C42AA3">
      <w:pPr>
        <w:pStyle w:val="Prrafodelista"/>
        <w:widowControl/>
        <w:numPr>
          <w:ilvl w:val="0"/>
          <w:numId w:val="24"/>
        </w:numPr>
        <w:autoSpaceDE w:val="0"/>
        <w:autoSpaceDN w:val="0"/>
        <w:adjustRightInd w:val="0"/>
        <w:rPr>
          <w:rFonts w:eastAsia="OptimaLTStd"/>
          <w:color w:val="000000"/>
          <w:sz w:val="24"/>
          <w:szCs w:val="24"/>
          <w:lang w:val="es-MX"/>
        </w:rPr>
      </w:pPr>
      <w:r w:rsidRPr="009562D6">
        <w:rPr>
          <w:rFonts w:eastAsia="OptimaLTStd"/>
          <w:color w:val="000000"/>
          <w:sz w:val="24"/>
          <w:szCs w:val="24"/>
          <w:lang w:val="es-MX"/>
        </w:rPr>
        <w:t>Plazo: Veinticinco años (25) contados a partir de la fecha de fijación de cualquier desembolso del financiamiento. que incluye hasta cinco años y medio (5.5) años de período de gracia.</w:t>
      </w:r>
    </w:p>
    <w:p w14:paraId="72BF7635" w14:textId="77777777" w:rsidR="00C42AA3" w:rsidRPr="009562D6" w:rsidRDefault="00C42AA3" w:rsidP="00C42AA3">
      <w:pPr>
        <w:rPr>
          <w:sz w:val="24"/>
          <w:szCs w:val="24"/>
          <w:lang w:val="es-MX"/>
        </w:rPr>
      </w:pPr>
    </w:p>
    <w:p w14:paraId="3626D141" w14:textId="77777777" w:rsidR="00C42AA3" w:rsidRPr="00E648CF" w:rsidRDefault="00C42AA3" w:rsidP="00E648CF">
      <w:pPr>
        <w:pStyle w:val="Sinespaciado"/>
        <w:ind w:left="567" w:right="49"/>
        <w:jc w:val="both"/>
        <w:rPr>
          <w:rFonts w:ascii="Times New Roman" w:eastAsia="OptimaLTStd" w:hAnsi="Times New Roman"/>
          <w:color w:val="000000"/>
          <w:sz w:val="24"/>
          <w:szCs w:val="24"/>
          <w:lang w:val="es-MX"/>
        </w:rPr>
      </w:pPr>
      <w:r w:rsidRPr="00E648CF">
        <w:rPr>
          <w:rFonts w:ascii="Times New Roman" w:eastAsia="OptimaLTStd" w:hAnsi="Times New Roman"/>
          <w:color w:val="000000"/>
          <w:sz w:val="24"/>
          <w:szCs w:val="24"/>
          <w:lang w:val="es-MX"/>
        </w:rPr>
        <w:lastRenderedPageBreak/>
        <w:t xml:space="preserve">El </w:t>
      </w:r>
      <w:r w:rsidRPr="00E648CF">
        <w:rPr>
          <w:rFonts w:ascii="Times New Roman" w:eastAsia="OptimaLTStd" w:hAnsi="Times New Roman"/>
          <w:sz w:val="24"/>
          <w:szCs w:val="24"/>
        </w:rPr>
        <w:t>Decreto</w:t>
      </w:r>
      <w:r w:rsidRPr="00E648CF">
        <w:rPr>
          <w:rFonts w:ascii="Times New Roman" w:eastAsia="OptimaLTStd" w:hAnsi="Times New Roman"/>
          <w:color w:val="000000"/>
          <w:sz w:val="24"/>
          <w:szCs w:val="24"/>
          <w:lang w:val="es-MX"/>
        </w:rPr>
        <w:t xml:space="preserve"> Número 16-2020 aprueba el Préstamo Número 2181 entre la República de Guatemala y el Banco Centroamericano de Integración Económica (BCIE), denominado "Programa de Inversión y Modernización para el Sector Justicia", que tiene las siguientes características:</w:t>
      </w:r>
    </w:p>
    <w:p w14:paraId="0A368A27" w14:textId="77777777" w:rsidR="00C42AA3" w:rsidRPr="009562D6" w:rsidRDefault="00C42AA3" w:rsidP="00C42AA3">
      <w:pPr>
        <w:jc w:val="both"/>
        <w:rPr>
          <w:rFonts w:eastAsia="OptimaLTStd"/>
          <w:color w:val="000000"/>
          <w:sz w:val="24"/>
          <w:szCs w:val="24"/>
          <w:lang w:val="es-MX"/>
        </w:rPr>
      </w:pPr>
    </w:p>
    <w:p w14:paraId="695E9DFB" w14:textId="77777777" w:rsidR="00C42AA3" w:rsidRPr="009562D6" w:rsidRDefault="00C42AA3" w:rsidP="00C42AA3">
      <w:pPr>
        <w:pStyle w:val="Prrafodelista"/>
        <w:widowControl/>
        <w:numPr>
          <w:ilvl w:val="0"/>
          <w:numId w:val="25"/>
        </w:numPr>
        <w:jc w:val="both"/>
        <w:rPr>
          <w:rFonts w:eastAsia="OptimaLTStd"/>
          <w:color w:val="000000"/>
          <w:sz w:val="24"/>
          <w:szCs w:val="24"/>
          <w:lang w:val="es-MX"/>
        </w:rPr>
      </w:pPr>
      <w:r w:rsidRPr="009562D6">
        <w:rPr>
          <w:rFonts w:eastAsia="OptimaLTStd"/>
          <w:color w:val="000000"/>
          <w:sz w:val="24"/>
          <w:szCs w:val="24"/>
          <w:lang w:val="es-MX"/>
        </w:rPr>
        <w:t>Monto: Hasta Trescientos ($300.0) millones de U.S. Dólares</w:t>
      </w:r>
    </w:p>
    <w:p w14:paraId="6DDF9FA4" w14:textId="77777777" w:rsidR="00C42AA3" w:rsidRPr="009562D6" w:rsidRDefault="00C42AA3" w:rsidP="00C42AA3">
      <w:pPr>
        <w:jc w:val="both"/>
        <w:rPr>
          <w:rFonts w:eastAsia="OptimaLTStd"/>
          <w:color w:val="000000"/>
          <w:sz w:val="24"/>
          <w:szCs w:val="24"/>
          <w:lang w:val="es-MX"/>
        </w:rPr>
      </w:pPr>
    </w:p>
    <w:p w14:paraId="36FC4147" w14:textId="77777777" w:rsidR="00C42AA3" w:rsidRPr="009562D6" w:rsidRDefault="00C42AA3" w:rsidP="00C42AA3">
      <w:pPr>
        <w:pStyle w:val="Prrafodelista"/>
        <w:widowControl/>
        <w:numPr>
          <w:ilvl w:val="0"/>
          <w:numId w:val="25"/>
        </w:numPr>
        <w:autoSpaceDE w:val="0"/>
        <w:autoSpaceDN w:val="0"/>
        <w:adjustRightInd w:val="0"/>
        <w:rPr>
          <w:rFonts w:eastAsia="OptimaLTStd"/>
          <w:color w:val="000000"/>
          <w:sz w:val="24"/>
          <w:szCs w:val="24"/>
          <w:lang w:val="es-MX"/>
        </w:rPr>
      </w:pPr>
      <w:r w:rsidRPr="009562D6">
        <w:rPr>
          <w:rFonts w:eastAsia="OptimaLTStd"/>
          <w:color w:val="000000"/>
          <w:sz w:val="24"/>
          <w:szCs w:val="24"/>
          <w:lang w:val="es-MX"/>
        </w:rPr>
        <w:t>Destino: Apoyar el programa de inversión y modernización del Sector Justicia.</w:t>
      </w:r>
    </w:p>
    <w:p w14:paraId="06610D73" w14:textId="77777777" w:rsidR="00C42AA3" w:rsidRPr="009562D6" w:rsidRDefault="00C42AA3" w:rsidP="00C42AA3">
      <w:pPr>
        <w:autoSpaceDE w:val="0"/>
        <w:autoSpaceDN w:val="0"/>
        <w:adjustRightInd w:val="0"/>
        <w:jc w:val="both"/>
        <w:rPr>
          <w:rFonts w:eastAsia="OptimaLTStd"/>
          <w:color w:val="000000"/>
          <w:sz w:val="24"/>
          <w:szCs w:val="24"/>
          <w:lang w:val="es-MX"/>
        </w:rPr>
      </w:pPr>
    </w:p>
    <w:p w14:paraId="544DA149" w14:textId="77777777" w:rsidR="00C42AA3" w:rsidRPr="009562D6" w:rsidRDefault="00C42AA3" w:rsidP="00C42AA3">
      <w:pPr>
        <w:pStyle w:val="Prrafodelista"/>
        <w:widowControl/>
        <w:numPr>
          <w:ilvl w:val="0"/>
          <w:numId w:val="25"/>
        </w:numPr>
        <w:autoSpaceDE w:val="0"/>
        <w:autoSpaceDN w:val="0"/>
        <w:adjustRightInd w:val="0"/>
        <w:rPr>
          <w:rFonts w:eastAsia="OptimaLTStd"/>
          <w:color w:val="000000"/>
          <w:sz w:val="24"/>
          <w:szCs w:val="24"/>
          <w:lang w:val="es-MX"/>
        </w:rPr>
      </w:pPr>
      <w:r w:rsidRPr="009562D6">
        <w:rPr>
          <w:rFonts w:eastAsia="OptimaLTStd"/>
          <w:color w:val="000000"/>
          <w:sz w:val="24"/>
          <w:szCs w:val="24"/>
          <w:lang w:val="es-MX"/>
        </w:rPr>
        <w:t>Plazo: Veinte años (20) contados a partir de la fecha de fijación de cualquier desembolso del financiamiento. que incluye hasta cuatro (4) años de período de gracia.</w:t>
      </w:r>
    </w:p>
    <w:p w14:paraId="41314350" w14:textId="77777777" w:rsidR="00C42AA3" w:rsidRPr="009562D6" w:rsidRDefault="00C42AA3" w:rsidP="00C42AA3">
      <w:pPr>
        <w:rPr>
          <w:sz w:val="24"/>
          <w:szCs w:val="24"/>
          <w:lang w:val="es-MX"/>
        </w:rPr>
      </w:pPr>
    </w:p>
    <w:p w14:paraId="19F02D14" w14:textId="77777777" w:rsidR="00C42AA3" w:rsidRPr="00E648CF" w:rsidRDefault="00C42AA3" w:rsidP="00E648CF">
      <w:pPr>
        <w:pStyle w:val="Sinespaciado"/>
        <w:ind w:left="567" w:right="49"/>
        <w:jc w:val="both"/>
        <w:rPr>
          <w:rFonts w:ascii="Times New Roman" w:eastAsia="OptimaLTStd" w:hAnsi="Times New Roman"/>
          <w:color w:val="000000"/>
          <w:sz w:val="24"/>
          <w:szCs w:val="24"/>
          <w:lang w:val="es-MX"/>
        </w:rPr>
      </w:pPr>
      <w:r w:rsidRPr="00E648CF">
        <w:rPr>
          <w:rFonts w:ascii="Times New Roman" w:eastAsia="OptimaLTStd" w:hAnsi="Times New Roman"/>
          <w:color w:val="000000"/>
          <w:sz w:val="24"/>
          <w:szCs w:val="24"/>
          <w:lang w:val="es-MX"/>
        </w:rPr>
        <w:t>El Decreto Número 17-2020 aprueba en el artículo 1, las negociaciones del Convenio de Préstamo Número 4791/OC-GU a ser celebrado entre la República de Guatemala y el Banco Interamericano de Desarrollo (BID), denominado "Programa de Fortalecimiento de Red Institucional de Servicios de Salud", que tiene las siguientes características:</w:t>
      </w:r>
    </w:p>
    <w:p w14:paraId="2DFE2A04" w14:textId="77777777" w:rsidR="00C42AA3" w:rsidRPr="009562D6" w:rsidRDefault="00C42AA3" w:rsidP="00C42AA3">
      <w:pPr>
        <w:jc w:val="both"/>
        <w:rPr>
          <w:rFonts w:eastAsia="OptimaLTStd"/>
          <w:color w:val="000000"/>
          <w:sz w:val="24"/>
          <w:szCs w:val="24"/>
          <w:lang w:val="es-MX"/>
        </w:rPr>
      </w:pPr>
    </w:p>
    <w:p w14:paraId="0A9E9574" w14:textId="77777777" w:rsidR="00C42AA3" w:rsidRPr="009562D6" w:rsidRDefault="00C42AA3" w:rsidP="00C42AA3">
      <w:pPr>
        <w:pStyle w:val="Prrafodelista"/>
        <w:widowControl/>
        <w:numPr>
          <w:ilvl w:val="0"/>
          <w:numId w:val="26"/>
        </w:numPr>
        <w:jc w:val="both"/>
        <w:rPr>
          <w:rFonts w:eastAsia="OptimaLTStd"/>
          <w:color w:val="000000"/>
          <w:sz w:val="24"/>
          <w:szCs w:val="24"/>
          <w:lang w:val="es-MX"/>
        </w:rPr>
      </w:pPr>
      <w:r w:rsidRPr="009562D6">
        <w:rPr>
          <w:rFonts w:eastAsia="OptimaLTStd"/>
          <w:color w:val="000000"/>
          <w:sz w:val="24"/>
          <w:szCs w:val="24"/>
          <w:lang w:val="es-MX"/>
        </w:rPr>
        <w:t>Monto: Hasta Cien ($100.0) millones de U.S. Dólares</w:t>
      </w:r>
    </w:p>
    <w:p w14:paraId="00D826E3" w14:textId="77777777" w:rsidR="00C42AA3" w:rsidRPr="009562D6" w:rsidRDefault="00C42AA3" w:rsidP="00C42AA3">
      <w:pPr>
        <w:jc w:val="both"/>
        <w:rPr>
          <w:rFonts w:eastAsia="OptimaLTStd"/>
          <w:color w:val="000000"/>
          <w:sz w:val="24"/>
          <w:szCs w:val="24"/>
          <w:lang w:val="es-MX"/>
        </w:rPr>
      </w:pPr>
    </w:p>
    <w:p w14:paraId="7F58783A" w14:textId="77777777" w:rsidR="00C42AA3" w:rsidRPr="009562D6" w:rsidRDefault="00C42AA3" w:rsidP="00C42AA3">
      <w:pPr>
        <w:pStyle w:val="Prrafodelista"/>
        <w:widowControl/>
        <w:numPr>
          <w:ilvl w:val="0"/>
          <w:numId w:val="26"/>
        </w:numPr>
        <w:autoSpaceDE w:val="0"/>
        <w:autoSpaceDN w:val="0"/>
        <w:adjustRightInd w:val="0"/>
        <w:rPr>
          <w:rFonts w:eastAsia="OptimaLTStd"/>
          <w:color w:val="000000"/>
          <w:sz w:val="24"/>
          <w:szCs w:val="24"/>
          <w:lang w:val="es-MX"/>
        </w:rPr>
      </w:pPr>
      <w:r w:rsidRPr="009562D6">
        <w:rPr>
          <w:rFonts w:eastAsia="OptimaLTStd"/>
          <w:color w:val="000000"/>
          <w:sz w:val="24"/>
          <w:szCs w:val="24"/>
          <w:lang w:val="es-MX"/>
        </w:rPr>
        <w:t>Destino: Apoyar el programa de inversión y modernización del Sector Justicia.</w:t>
      </w:r>
    </w:p>
    <w:p w14:paraId="000937E5" w14:textId="77777777" w:rsidR="00C42AA3" w:rsidRPr="009562D6" w:rsidRDefault="00C42AA3" w:rsidP="00C42AA3">
      <w:pPr>
        <w:autoSpaceDE w:val="0"/>
        <w:autoSpaceDN w:val="0"/>
        <w:adjustRightInd w:val="0"/>
        <w:jc w:val="both"/>
        <w:rPr>
          <w:rFonts w:eastAsia="OptimaLTStd"/>
          <w:color w:val="000000"/>
          <w:sz w:val="24"/>
          <w:szCs w:val="24"/>
          <w:lang w:val="es-MX"/>
        </w:rPr>
      </w:pPr>
    </w:p>
    <w:p w14:paraId="7CB1FDB7" w14:textId="77777777" w:rsidR="00C42AA3" w:rsidRPr="009562D6" w:rsidRDefault="00C42AA3" w:rsidP="00C42AA3">
      <w:pPr>
        <w:pStyle w:val="Prrafodelista"/>
        <w:widowControl/>
        <w:numPr>
          <w:ilvl w:val="0"/>
          <w:numId w:val="26"/>
        </w:numPr>
        <w:autoSpaceDE w:val="0"/>
        <w:autoSpaceDN w:val="0"/>
        <w:adjustRightInd w:val="0"/>
        <w:rPr>
          <w:rFonts w:eastAsia="OptimaLTStd"/>
          <w:color w:val="000000"/>
          <w:sz w:val="24"/>
          <w:szCs w:val="24"/>
          <w:lang w:val="es-MX"/>
        </w:rPr>
      </w:pPr>
      <w:r w:rsidRPr="009562D6">
        <w:rPr>
          <w:rFonts w:eastAsia="OptimaLTStd"/>
          <w:color w:val="000000"/>
          <w:sz w:val="24"/>
          <w:szCs w:val="24"/>
          <w:lang w:val="es-MX"/>
        </w:rPr>
        <w:t>Plazo: Veinticuatro años (24) contados a partir de la fecha de fijación de cualquier desembolso del financiamiento, que incluye hasta seis y medio (6.5) años de período de gracia.</w:t>
      </w:r>
    </w:p>
    <w:p w14:paraId="535F5828" w14:textId="77777777" w:rsidR="00C42AA3" w:rsidRPr="009562D6" w:rsidRDefault="00C42AA3" w:rsidP="00C42AA3">
      <w:pPr>
        <w:rPr>
          <w:sz w:val="24"/>
          <w:szCs w:val="24"/>
          <w:lang w:val="es-MX"/>
        </w:rPr>
      </w:pPr>
    </w:p>
    <w:p w14:paraId="0BC5D5C5" w14:textId="77777777" w:rsidR="00C42AA3" w:rsidRPr="00E648CF" w:rsidRDefault="00C42AA3" w:rsidP="00E648CF">
      <w:pPr>
        <w:pStyle w:val="Sinespaciado"/>
        <w:ind w:left="567" w:right="49"/>
        <w:jc w:val="both"/>
        <w:rPr>
          <w:rFonts w:ascii="Times New Roman" w:eastAsia="OptimaLTStd" w:hAnsi="Times New Roman"/>
          <w:color w:val="000000"/>
          <w:sz w:val="24"/>
          <w:szCs w:val="24"/>
          <w:lang w:val="es-MX"/>
        </w:rPr>
      </w:pPr>
      <w:r w:rsidRPr="00E648CF">
        <w:rPr>
          <w:rFonts w:ascii="Times New Roman" w:eastAsia="OptimaLTStd" w:hAnsi="Times New Roman"/>
          <w:color w:val="000000"/>
          <w:sz w:val="24"/>
          <w:szCs w:val="24"/>
          <w:lang w:val="es-MX"/>
        </w:rPr>
        <w:t>El Decreto Número 18-2020 aprueba las negociaciones del Convenio de Préstamo Número 2230 entre la República de Guatemala y el Banco Centroamericano de Integración Económica (BCIE), denominado "Programa de Inversión en Infraestructura y Equipamiento Hospitalario", que tiene las siguientes características:</w:t>
      </w:r>
    </w:p>
    <w:p w14:paraId="3FA694DF" w14:textId="77777777" w:rsidR="00C42AA3" w:rsidRPr="009562D6" w:rsidRDefault="00C42AA3" w:rsidP="00C42AA3">
      <w:pPr>
        <w:jc w:val="both"/>
        <w:rPr>
          <w:rFonts w:eastAsia="OptimaLTStd"/>
          <w:color w:val="000000"/>
          <w:sz w:val="24"/>
          <w:szCs w:val="24"/>
          <w:lang w:val="es-MX"/>
        </w:rPr>
      </w:pPr>
    </w:p>
    <w:p w14:paraId="74AA1297" w14:textId="77777777" w:rsidR="00C42AA3" w:rsidRPr="009562D6" w:rsidRDefault="00C42AA3" w:rsidP="00C42AA3">
      <w:pPr>
        <w:pStyle w:val="Prrafodelista"/>
        <w:widowControl/>
        <w:numPr>
          <w:ilvl w:val="0"/>
          <w:numId w:val="27"/>
        </w:numPr>
        <w:jc w:val="both"/>
        <w:rPr>
          <w:rFonts w:eastAsia="OptimaLTStd"/>
          <w:color w:val="000000"/>
          <w:sz w:val="24"/>
          <w:szCs w:val="24"/>
          <w:lang w:val="es-MX"/>
        </w:rPr>
      </w:pPr>
      <w:r w:rsidRPr="009562D6">
        <w:rPr>
          <w:rFonts w:eastAsia="OptimaLTStd"/>
          <w:color w:val="000000"/>
          <w:sz w:val="24"/>
          <w:szCs w:val="24"/>
          <w:lang w:val="es-MX"/>
        </w:rPr>
        <w:t>Monto: Hasta Ciento Noventa y tres millones doscientos mil ($193.2) U.S. Dólares en dos segmentos uno de 114.2 millones y otro de 79.0 millones.</w:t>
      </w:r>
    </w:p>
    <w:p w14:paraId="3B98140E" w14:textId="77777777" w:rsidR="00C42AA3" w:rsidRPr="009562D6" w:rsidRDefault="00C42AA3" w:rsidP="00C42AA3">
      <w:pPr>
        <w:jc w:val="both"/>
        <w:rPr>
          <w:rFonts w:eastAsia="OptimaLTStd"/>
          <w:color w:val="000000"/>
          <w:sz w:val="24"/>
          <w:szCs w:val="24"/>
          <w:lang w:val="es-MX"/>
        </w:rPr>
      </w:pPr>
    </w:p>
    <w:p w14:paraId="544637D3" w14:textId="77777777" w:rsidR="00C42AA3" w:rsidRPr="009562D6" w:rsidRDefault="00C42AA3" w:rsidP="00C42AA3">
      <w:pPr>
        <w:pStyle w:val="Prrafodelista"/>
        <w:widowControl/>
        <w:numPr>
          <w:ilvl w:val="0"/>
          <w:numId w:val="27"/>
        </w:numPr>
        <w:autoSpaceDE w:val="0"/>
        <w:autoSpaceDN w:val="0"/>
        <w:adjustRightInd w:val="0"/>
        <w:rPr>
          <w:rFonts w:eastAsia="OptimaLTStd"/>
          <w:color w:val="000000"/>
          <w:sz w:val="24"/>
          <w:szCs w:val="24"/>
          <w:lang w:val="es-MX"/>
        </w:rPr>
      </w:pPr>
      <w:r w:rsidRPr="009562D6">
        <w:rPr>
          <w:rFonts w:eastAsia="OptimaLTStd"/>
          <w:color w:val="000000"/>
          <w:sz w:val="24"/>
          <w:szCs w:val="24"/>
          <w:lang w:val="es-MX"/>
        </w:rPr>
        <w:t>Destino: Apoyar el programa de inversión y modernización del Sector Justicia.</w:t>
      </w:r>
    </w:p>
    <w:p w14:paraId="24D87238" w14:textId="77777777" w:rsidR="00C42AA3" w:rsidRPr="009562D6" w:rsidRDefault="00C42AA3" w:rsidP="00C42AA3">
      <w:pPr>
        <w:jc w:val="both"/>
        <w:rPr>
          <w:rFonts w:eastAsia="OptimaLTStd"/>
          <w:color w:val="000000"/>
          <w:sz w:val="24"/>
          <w:szCs w:val="24"/>
          <w:lang w:val="es-MX"/>
        </w:rPr>
      </w:pPr>
    </w:p>
    <w:p w14:paraId="1EA29CA5" w14:textId="77777777" w:rsidR="00C42AA3" w:rsidRPr="009562D6" w:rsidRDefault="00C42AA3" w:rsidP="00C42AA3">
      <w:pPr>
        <w:pStyle w:val="Prrafodelista"/>
        <w:widowControl/>
        <w:numPr>
          <w:ilvl w:val="0"/>
          <w:numId w:val="27"/>
        </w:numPr>
        <w:autoSpaceDE w:val="0"/>
        <w:autoSpaceDN w:val="0"/>
        <w:adjustRightInd w:val="0"/>
        <w:jc w:val="both"/>
        <w:rPr>
          <w:rFonts w:eastAsia="OptimaLTStd"/>
          <w:color w:val="000000"/>
          <w:sz w:val="24"/>
          <w:szCs w:val="24"/>
          <w:lang w:val="es-MX"/>
        </w:rPr>
      </w:pPr>
      <w:r w:rsidRPr="009562D6">
        <w:rPr>
          <w:rFonts w:eastAsia="OptimaLTStd"/>
          <w:color w:val="000000"/>
          <w:sz w:val="24"/>
          <w:szCs w:val="24"/>
          <w:lang w:val="es-MX"/>
        </w:rPr>
        <w:t>Plazo: Veinte años (20) y Veinticinco años respectivamente contados a partir de la fecha de fijación de cualquier desembolso del financiamiento. que incluye hasta cinco (5) y siete (7) años de período de gracia, respectivamente.</w:t>
      </w:r>
    </w:p>
    <w:p w14:paraId="5F6038A9" w14:textId="77777777" w:rsidR="00C42AA3" w:rsidRPr="009562D6" w:rsidRDefault="00C42AA3" w:rsidP="00C42AA3">
      <w:pPr>
        <w:autoSpaceDE w:val="0"/>
        <w:autoSpaceDN w:val="0"/>
        <w:adjustRightInd w:val="0"/>
        <w:jc w:val="both"/>
        <w:rPr>
          <w:rFonts w:eastAsia="OptimaLTStd"/>
          <w:color w:val="000000"/>
          <w:sz w:val="24"/>
          <w:szCs w:val="24"/>
          <w:lang w:val="es-MX"/>
        </w:rPr>
      </w:pPr>
    </w:p>
    <w:p w14:paraId="096A999E" w14:textId="77777777" w:rsidR="00C42AA3" w:rsidRPr="00E648CF" w:rsidRDefault="00C42AA3" w:rsidP="00E648CF">
      <w:pPr>
        <w:pStyle w:val="Sinespaciado"/>
        <w:ind w:left="567" w:right="49"/>
        <w:jc w:val="both"/>
        <w:rPr>
          <w:rFonts w:ascii="Times New Roman" w:eastAsia="OptimaLTStd" w:hAnsi="Times New Roman"/>
          <w:color w:val="000000"/>
          <w:sz w:val="24"/>
          <w:szCs w:val="24"/>
          <w:lang w:val="es-MX"/>
        </w:rPr>
      </w:pPr>
      <w:r w:rsidRPr="00E648CF">
        <w:rPr>
          <w:rFonts w:ascii="Times New Roman" w:eastAsia="OptimaLTStd" w:hAnsi="Times New Roman"/>
          <w:color w:val="000000"/>
          <w:sz w:val="24"/>
          <w:szCs w:val="24"/>
          <w:lang w:val="es-MX"/>
        </w:rPr>
        <w:t>El Decreto Número 19-2020 aprueba las negociaciones del Convenio de Préstamo Número 4746/OC-GU a ser celebrado entre la República de Guatemala y el Banco Interamericano de Desarrollo (BID), denominado "Programa de Desarrollo de la Infraestructura Vial", que tiene las siguientes características:</w:t>
      </w:r>
    </w:p>
    <w:p w14:paraId="5993FD4A" w14:textId="77777777" w:rsidR="00C42AA3" w:rsidRPr="00E648CF" w:rsidRDefault="00C42AA3" w:rsidP="00E648CF">
      <w:pPr>
        <w:pStyle w:val="Sinespaciado"/>
        <w:ind w:left="567" w:right="49"/>
        <w:jc w:val="both"/>
        <w:rPr>
          <w:rFonts w:ascii="Times New Roman" w:eastAsia="OptimaLTStd" w:hAnsi="Times New Roman"/>
          <w:color w:val="000000"/>
          <w:sz w:val="24"/>
          <w:szCs w:val="24"/>
          <w:lang w:val="es-MX"/>
        </w:rPr>
      </w:pPr>
    </w:p>
    <w:p w14:paraId="1D68F73F" w14:textId="77777777" w:rsidR="00C42AA3" w:rsidRPr="009562D6" w:rsidRDefault="00C42AA3" w:rsidP="00C42AA3">
      <w:pPr>
        <w:pStyle w:val="Prrafodelista"/>
        <w:widowControl/>
        <w:numPr>
          <w:ilvl w:val="0"/>
          <w:numId w:val="28"/>
        </w:numPr>
        <w:jc w:val="both"/>
        <w:rPr>
          <w:rFonts w:eastAsia="OptimaLTStd"/>
          <w:color w:val="000000"/>
          <w:sz w:val="24"/>
          <w:szCs w:val="24"/>
          <w:lang w:val="es-MX"/>
        </w:rPr>
      </w:pPr>
      <w:r w:rsidRPr="009562D6">
        <w:rPr>
          <w:rFonts w:eastAsia="OptimaLTStd"/>
          <w:color w:val="000000"/>
          <w:sz w:val="24"/>
          <w:szCs w:val="24"/>
          <w:lang w:val="es-MX"/>
        </w:rPr>
        <w:t>Monto: Hasta Cincuenta ($150.0) millones de U.S. Dólares.</w:t>
      </w:r>
    </w:p>
    <w:p w14:paraId="5EE1ECEC" w14:textId="77777777" w:rsidR="00C42AA3" w:rsidRPr="009562D6" w:rsidRDefault="00C42AA3" w:rsidP="00C42AA3">
      <w:pPr>
        <w:jc w:val="both"/>
        <w:rPr>
          <w:rFonts w:eastAsia="OptimaLTStd"/>
          <w:color w:val="000000"/>
          <w:sz w:val="24"/>
          <w:szCs w:val="24"/>
          <w:lang w:val="es-MX"/>
        </w:rPr>
      </w:pPr>
    </w:p>
    <w:p w14:paraId="1C4B0D0D" w14:textId="77777777" w:rsidR="00C42AA3" w:rsidRPr="009562D6" w:rsidRDefault="00C42AA3" w:rsidP="00C42AA3">
      <w:pPr>
        <w:pStyle w:val="Prrafodelista"/>
        <w:widowControl/>
        <w:numPr>
          <w:ilvl w:val="0"/>
          <w:numId w:val="28"/>
        </w:numPr>
        <w:autoSpaceDE w:val="0"/>
        <w:autoSpaceDN w:val="0"/>
        <w:adjustRightInd w:val="0"/>
        <w:rPr>
          <w:rFonts w:eastAsia="OptimaLTStd"/>
          <w:color w:val="000000"/>
          <w:sz w:val="24"/>
          <w:szCs w:val="24"/>
          <w:lang w:val="es-MX"/>
        </w:rPr>
      </w:pPr>
      <w:r w:rsidRPr="009562D6">
        <w:rPr>
          <w:rFonts w:eastAsia="OptimaLTStd"/>
          <w:color w:val="000000"/>
          <w:sz w:val="24"/>
          <w:szCs w:val="24"/>
          <w:lang w:val="es-MX"/>
        </w:rPr>
        <w:t>Destino: Financiar el Programa de Desarrollo de la Infraestructura Vial.</w:t>
      </w:r>
    </w:p>
    <w:p w14:paraId="0640741B" w14:textId="77777777" w:rsidR="00C42AA3" w:rsidRPr="009562D6" w:rsidRDefault="00C42AA3" w:rsidP="00C42AA3">
      <w:pPr>
        <w:autoSpaceDE w:val="0"/>
        <w:autoSpaceDN w:val="0"/>
        <w:adjustRightInd w:val="0"/>
        <w:jc w:val="both"/>
        <w:rPr>
          <w:rFonts w:eastAsia="OptimaLTStd"/>
          <w:color w:val="000000"/>
          <w:sz w:val="24"/>
          <w:szCs w:val="24"/>
          <w:lang w:val="es-MX"/>
        </w:rPr>
      </w:pPr>
    </w:p>
    <w:p w14:paraId="71B2F51D" w14:textId="66A5A953" w:rsidR="00E648CF" w:rsidRDefault="00C42AA3" w:rsidP="00E648CF">
      <w:pPr>
        <w:pStyle w:val="Prrafodelista"/>
        <w:widowControl/>
        <w:numPr>
          <w:ilvl w:val="0"/>
          <w:numId w:val="28"/>
        </w:numPr>
        <w:autoSpaceDE w:val="0"/>
        <w:autoSpaceDN w:val="0"/>
        <w:adjustRightInd w:val="0"/>
        <w:rPr>
          <w:rFonts w:eastAsia="OptimaLTStd"/>
          <w:b/>
          <w:bCs/>
          <w:color w:val="000000"/>
        </w:rPr>
      </w:pPr>
      <w:r w:rsidRPr="009562D6">
        <w:rPr>
          <w:rFonts w:eastAsia="OptimaLTStd"/>
          <w:color w:val="000000"/>
          <w:sz w:val="24"/>
          <w:szCs w:val="24"/>
          <w:lang w:val="es-MX"/>
        </w:rPr>
        <w:t>Plazo: Veinticuatro años (24) contados a partir de la fecha de fijación de cualquier desembolso del financiamiento. que incluye hasta seis y medio (6.5) años de período de gracia.</w:t>
      </w:r>
    </w:p>
    <w:p w14:paraId="3303582B" w14:textId="7004552C" w:rsidR="00C42AA3" w:rsidRDefault="00C42AA3" w:rsidP="00C42AA3">
      <w:pPr>
        <w:widowControl/>
        <w:spacing w:after="200" w:line="276" w:lineRule="auto"/>
        <w:rPr>
          <w:rFonts w:eastAsia="OptimaLTStd"/>
          <w:b/>
          <w:bCs/>
          <w:color w:val="000000"/>
        </w:rPr>
      </w:pPr>
    </w:p>
    <w:p w14:paraId="225A445D" w14:textId="6A325103" w:rsidR="00C42AA3" w:rsidRPr="00115F29" w:rsidRDefault="00115F29" w:rsidP="00115F29">
      <w:pPr>
        <w:pStyle w:val="Epgrafe"/>
        <w:keepNext/>
        <w:ind w:left="567" w:right="49"/>
        <w:rPr>
          <w:color w:val="auto"/>
          <w:sz w:val="24"/>
          <w:szCs w:val="24"/>
        </w:rPr>
      </w:pPr>
      <w:r>
        <w:rPr>
          <w:color w:val="auto"/>
          <w:sz w:val="24"/>
          <w:szCs w:val="24"/>
        </w:rPr>
        <w:t>Tabla 8</w:t>
      </w:r>
    </w:p>
    <w:p w14:paraId="7BFD55FC" w14:textId="77777777" w:rsidR="00C42AA3" w:rsidRPr="00115F29" w:rsidRDefault="00C42AA3" w:rsidP="00115F29">
      <w:pPr>
        <w:pStyle w:val="Epgrafe"/>
        <w:keepNext/>
        <w:ind w:left="567" w:right="49"/>
        <w:rPr>
          <w:color w:val="auto"/>
          <w:sz w:val="24"/>
          <w:szCs w:val="24"/>
        </w:rPr>
      </w:pPr>
      <w:r w:rsidRPr="00115F29">
        <w:rPr>
          <w:color w:val="auto"/>
          <w:sz w:val="24"/>
          <w:szCs w:val="24"/>
        </w:rPr>
        <w:t>Préstamos aprobados en el marco de la emergencia Covid-19</w:t>
      </w:r>
    </w:p>
    <w:p w14:paraId="40D89936" w14:textId="77777777" w:rsidR="00C42AA3" w:rsidRPr="00115F29" w:rsidRDefault="00C42AA3" w:rsidP="00115F29">
      <w:pPr>
        <w:pStyle w:val="Epgrafe"/>
        <w:keepNext/>
        <w:ind w:left="567" w:right="49"/>
        <w:rPr>
          <w:color w:val="auto"/>
          <w:sz w:val="24"/>
          <w:szCs w:val="24"/>
        </w:rPr>
      </w:pPr>
      <w:r w:rsidRPr="00115F29">
        <w:rPr>
          <w:color w:val="auto"/>
          <w:sz w:val="24"/>
          <w:szCs w:val="24"/>
        </w:rPr>
        <w:t>Cifras en millones de U.S. Dólares y Quetzales</w:t>
      </w:r>
    </w:p>
    <w:p w14:paraId="507A7F6A" w14:textId="77777777" w:rsidR="00C42AA3" w:rsidRPr="0033611E" w:rsidRDefault="00C42AA3" w:rsidP="00C42AA3">
      <w:pPr>
        <w:autoSpaceDE w:val="0"/>
        <w:autoSpaceDN w:val="0"/>
        <w:adjustRightInd w:val="0"/>
        <w:jc w:val="center"/>
        <w:rPr>
          <w:rFonts w:eastAsia="OptimaLTStd"/>
          <w:color w:val="000000"/>
          <w:sz w:val="10"/>
          <w:szCs w:val="10"/>
          <w:lang w:val="es-MX"/>
        </w:rPr>
      </w:pPr>
    </w:p>
    <w:tbl>
      <w:tblPr>
        <w:tblW w:w="8436" w:type="dxa"/>
        <w:jc w:val="center"/>
        <w:tblCellMar>
          <w:left w:w="70" w:type="dxa"/>
          <w:right w:w="70" w:type="dxa"/>
        </w:tblCellMar>
        <w:tblLook w:val="04A0" w:firstRow="1" w:lastRow="0" w:firstColumn="1" w:lastColumn="0" w:noHBand="0" w:noVBand="1"/>
      </w:tblPr>
      <w:tblGrid>
        <w:gridCol w:w="3416"/>
        <w:gridCol w:w="265"/>
        <w:gridCol w:w="992"/>
        <w:gridCol w:w="992"/>
        <w:gridCol w:w="50"/>
        <w:gridCol w:w="1544"/>
        <w:gridCol w:w="1154"/>
        <w:gridCol w:w="23"/>
      </w:tblGrid>
      <w:tr w:rsidR="00C42AA3" w:rsidRPr="00D1261C" w14:paraId="17BC9E04" w14:textId="77777777" w:rsidTr="003C60DB">
        <w:trPr>
          <w:trHeight w:val="220"/>
          <w:jc w:val="center"/>
        </w:trPr>
        <w:tc>
          <w:tcPr>
            <w:tcW w:w="8436" w:type="dxa"/>
            <w:gridSpan w:val="8"/>
            <w:tcBorders>
              <w:top w:val="single" w:sz="4" w:space="0" w:color="auto"/>
              <w:left w:val="single" w:sz="4" w:space="0" w:color="auto"/>
              <w:bottom w:val="single" w:sz="4" w:space="0" w:color="auto"/>
              <w:right w:val="single" w:sz="4" w:space="0" w:color="000000"/>
            </w:tcBorders>
            <w:shd w:val="clear" w:color="000000" w:fill="DDEBF7"/>
            <w:noWrap/>
            <w:vAlign w:val="center"/>
            <w:hideMark/>
          </w:tcPr>
          <w:p w14:paraId="0676D456" w14:textId="77777777" w:rsidR="00C42AA3" w:rsidRPr="00D1261C" w:rsidRDefault="00C42AA3" w:rsidP="003C60DB">
            <w:pPr>
              <w:jc w:val="center"/>
              <w:rPr>
                <w:b/>
                <w:bCs/>
                <w:color w:val="000000"/>
                <w:lang w:val="es-GT" w:eastAsia="es-GT"/>
              </w:rPr>
            </w:pPr>
            <w:r w:rsidRPr="00D1261C">
              <w:rPr>
                <w:b/>
                <w:bCs/>
                <w:color w:val="000000"/>
                <w:lang w:val="es-GT" w:eastAsia="es-GT"/>
              </w:rPr>
              <w:t>Préstamos</w:t>
            </w:r>
          </w:p>
        </w:tc>
      </w:tr>
      <w:tr w:rsidR="00C42AA3" w:rsidRPr="00D1261C" w14:paraId="641CAB29" w14:textId="77777777" w:rsidTr="003C60DB">
        <w:trPr>
          <w:gridAfter w:val="1"/>
          <w:wAfter w:w="23" w:type="dxa"/>
          <w:trHeight w:val="443"/>
          <w:jc w:val="center"/>
        </w:trPr>
        <w:tc>
          <w:tcPr>
            <w:tcW w:w="3681" w:type="dxa"/>
            <w:gridSpan w:val="2"/>
            <w:tcBorders>
              <w:top w:val="nil"/>
              <w:left w:val="single" w:sz="4" w:space="0" w:color="auto"/>
              <w:bottom w:val="single" w:sz="4" w:space="0" w:color="auto"/>
              <w:right w:val="single" w:sz="4" w:space="0" w:color="auto"/>
            </w:tcBorders>
            <w:shd w:val="clear" w:color="000000" w:fill="DDEBF7"/>
            <w:noWrap/>
            <w:vAlign w:val="center"/>
            <w:hideMark/>
          </w:tcPr>
          <w:p w14:paraId="3A06D0D3" w14:textId="77777777" w:rsidR="00C42AA3" w:rsidRPr="00D1261C" w:rsidRDefault="00C42AA3" w:rsidP="003C60DB">
            <w:pPr>
              <w:jc w:val="center"/>
              <w:rPr>
                <w:b/>
                <w:bCs/>
                <w:color w:val="000000"/>
                <w:lang w:val="es-GT" w:eastAsia="es-GT"/>
              </w:rPr>
            </w:pPr>
            <w:r w:rsidRPr="00D1261C">
              <w:rPr>
                <w:b/>
                <w:bCs/>
                <w:color w:val="000000"/>
                <w:lang w:val="es-GT" w:eastAsia="es-GT"/>
              </w:rPr>
              <w:t>Decreto No. 11-2020</w:t>
            </w:r>
          </w:p>
        </w:tc>
        <w:tc>
          <w:tcPr>
            <w:tcW w:w="1984" w:type="dxa"/>
            <w:gridSpan w:val="2"/>
            <w:tcBorders>
              <w:top w:val="nil"/>
              <w:left w:val="nil"/>
              <w:bottom w:val="single" w:sz="4" w:space="0" w:color="auto"/>
              <w:right w:val="single" w:sz="4" w:space="0" w:color="auto"/>
            </w:tcBorders>
            <w:shd w:val="clear" w:color="000000" w:fill="DDEBF7"/>
            <w:vAlign w:val="center"/>
            <w:hideMark/>
          </w:tcPr>
          <w:p w14:paraId="32861288" w14:textId="77777777" w:rsidR="00C42AA3" w:rsidRDefault="00C42AA3" w:rsidP="003C60DB">
            <w:pPr>
              <w:jc w:val="center"/>
              <w:rPr>
                <w:b/>
                <w:bCs/>
                <w:color w:val="000000"/>
                <w:lang w:val="es-GT" w:eastAsia="es-GT"/>
              </w:rPr>
            </w:pPr>
            <w:r w:rsidRPr="00D1261C">
              <w:rPr>
                <w:b/>
                <w:bCs/>
                <w:color w:val="000000"/>
                <w:lang w:val="es-GT" w:eastAsia="es-GT"/>
              </w:rPr>
              <w:t xml:space="preserve">Millones </w:t>
            </w:r>
          </w:p>
          <w:p w14:paraId="5C81CA1D" w14:textId="77777777" w:rsidR="00C42AA3" w:rsidRPr="00D1261C" w:rsidRDefault="00C42AA3" w:rsidP="003C60DB">
            <w:pPr>
              <w:jc w:val="center"/>
              <w:rPr>
                <w:b/>
                <w:bCs/>
                <w:color w:val="000000"/>
                <w:lang w:val="es-GT" w:eastAsia="es-GT"/>
              </w:rPr>
            </w:pPr>
            <w:r>
              <w:rPr>
                <w:b/>
                <w:bCs/>
                <w:color w:val="000000"/>
                <w:lang w:val="es-GT" w:eastAsia="es-GT"/>
              </w:rPr>
              <w:t>USD           Q</w:t>
            </w:r>
          </w:p>
        </w:tc>
        <w:tc>
          <w:tcPr>
            <w:tcW w:w="1594" w:type="dxa"/>
            <w:gridSpan w:val="2"/>
            <w:tcBorders>
              <w:top w:val="nil"/>
              <w:left w:val="nil"/>
              <w:bottom w:val="single" w:sz="4" w:space="0" w:color="auto"/>
              <w:right w:val="single" w:sz="4" w:space="0" w:color="auto"/>
            </w:tcBorders>
            <w:shd w:val="clear" w:color="000000" w:fill="DDEBF7"/>
            <w:noWrap/>
            <w:vAlign w:val="center"/>
            <w:hideMark/>
          </w:tcPr>
          <w:p w14:paraId="7A33AB26" w14:textId="77777777" w:rsidR="00C42AA3" w:rsidRPr="00D1261C" w:rsidRDefault="00C42AA3" w:rsidP="003C60DB">
            <w:pPr>
              <w:jc w:val="center"/>
              <w:rPr>
                <w:b/>
                <w:bCs/>
                <w:color w:val="000000"/>
                <w:lang w:val="es-GT" w:eastAsia="es-GT"/>
              </w:rPr>
            </w:pPr>
            <w:r w:rsidRPr="00D1261C">
              <w:rPr>
                <w:b/>
                <w:bCs/>
                <w:color w:val="000000"/>
                <w:lang w:val="es-GT" w:eastAsia="es-GT"/>
              </w:rPr>
              <w:t>Entidad</w:t>
            </w:r>
          </w:p>
        </w:tc>
        <w:tc>
          <w:tcPr>
            <w:tcW w:w="1154" w:type="dxa"/>
            <w:tcBorders>
              <w:top w:val="nil"/>
              <w:left w:val="nil"/>
              <w:bottom w:val="single" w:sz="4" w:space="0" w:color="auto"/>
              <w:right w:val="single" w:sz="4" w:space="0" w:color="auto"/>
            </w:tcBorders>
            <w:shd w:val="clear" w:color="000000" w:fill="DDEBF7"/>
            <w:vAlign w:val="center"/>
            <w:hideMark/>
          </w:tcPr>
          <w:p w14:paraId="2B39D13C" w14:textId="77777777" w:rsidR="00C42AA3" w:rsidRPr="00D1261C" w:rsidRDefault="00C42AA3" w:rsidP="003C60DB">
            <w:pPr>
              <w:jc w:val="center"/>
              <w:rPr>
                <w:b/>
                <w:bCs/>
                <w:color w:val="000000"/>
                <w:lang w:val="es-GT" w:eastAsia="es-GT"/>
              </w:rPr>
            </w:pPr>
            <w:r w:rsidRPr="00D1261C">
              <w:rPr>
                <w:b/>
                <w:bCs/>
                <w:color w:val="000000"/>
                <w:lang w:val="es-GT" w:eastAsia="es-GT"/>
              </w:rPr>
              <w:t xml:space="preserve">Fecha Aprobación </w:t>
            </w:r>
          </w:p>
        </w:tc>
      </w:tr>
      <w:tr w:rsidR="00C42AA3" w:rsidRPr="00D1261C" w14:paraId="678677A5" w14:textId="77777777" w:rsidTr="003C60DB">
        <w:trPr>
          <w:gridAfter w:val="1"/>
          <w:wAfter w:w="23" w:type="dxa"/>
          <w:trHeight w:val="666"/>
          <w:jc w:val="center"/>
        </w:trPr>
        <w:tc>
          <w:tcPr>
            <w:tcW w:w="3681" w:type="dxa"/>
            <w:gridSpan w:val="2"/>
            <w:tcBorders>
              <w:top w:val="nil"/>
              <w:left w:val="single" w:sz="4" w:space="0" w:color="auto"/>
              <w:bottom w:val="single" w:sz="4" w:space="0" w:color="auto"/>
              <w:right w:val="single" w:sz="4" w:space="0" w:color="auto"/>
            </w:tcBorders>
            <w:shd w:val="clear" w:color="auto" w:fill="auto"/>
            <w:vAlign w:val="center"/>
            <w:hideMark/>
          </w:tcPr>
          <w:p w14:paraId="3ADF1EDC" w14:textId="77777777" w:rsidR="00C42AA3" w:rsidRPr="00D1261C" w:rsidRDefault="00C42AA3" w:rsidP="003C60DB">
            <w:pPr>
              <w:rPr>
                <w:color w:val="000000"/>
                <w:lang w:val="es-GT" w:eastAsia="es-GT"/>
              </w:rPr>
            </w:pPr>
            <w:r w:rsidRPr="00D1261C">
              <w:rPr>
                <w:color w:val="000000"/>
                <w:lang w:val="es-GT" w:eastAsia="es-GT"/>
              </w:rPr>
              <w:t>Préstamo para Programa de Administración Tributaria y Transparencia</w:t>
            </w:r>
          </w:p>
        </w:tc>
        <w:tc>
          <w:tcPr>
            <w:tcW w:w="992" w:type="dxa"/>
            <w:tcBorders>
              <w:top w:val="nil"/>
              <w:left w:val="nil"/>
              <w:bottom w:val="single" w:sz="4" w:space="0" w:color="auto"/>
              <w:right w:val="single" w:sz="4" w:space="0" w:color="auto"/>
            </w:tcBorders>
            <w:shd w:val="clear" w:color="auto" w:fill="auto"/>
            <w:noWrap/>
            <w:vAlign w:val="center"/>
            <w:hideMark/>
          </w:tcPr>
          <w:p w14:paraId="1CAFA508" w14:textId="77777777" w:rsidR="00C42AA3" w:rsidRPr="00D1261C" w:rsidRDefault="00C42AA3" w:rsidP="003C60DB">
            <w:pPr>
              <w:jc w:val="center"/>
              <w:rPr>
                <w:color w:val="000000"/>
                <w:lang w:val="es-GT" w:eastAsia="es-GT"/>
              </w:rPr>
            </w:pPr>
            <w:r w:rsidRPr="00D1261C">
              <w:rPr>
                <w:color w:val="000000"/>
                <w:lang w:val="es-GT" w:eastAsia="es-GT"/>
              </w:rPr>
              <w:t>250</w:t>
            </w:r>
          </w:p>
        </w:tc>
        <w:tc>
          <w:tcPr>
            <w:tcW w:w="992" w:type="dxa"/>
            <w:tcBorders>
              <w:top w:val="nil"/>
              <w:left w:val="nil"/>
              <w:bottom w:val="single" w:sz="4" w:space="0" w:color="auto"/>
              <w:right w:val="single" w:sz="4" w:space="0" w:color="auto"/>
            </w:tcBorders>
            <w:shd w:val="clear" w:color="auto" w:fill="auto"/>
            <w:noWrap/>
            <w:vAlign w:val="center"/>
            <w:hideMark/>
          </w:tcPr>
          <w:p w14:paraId="195AE5D9" w14:textId="77777777" w:rsidR="00C42AA3" w:rsidRPr="00D1261C" w:rsidRDefault="00C42AA3" w:rsidP="003C60DB">
            <w:pPr>
              <w:jc w:val="center"/>
              <w:rPr>
                <w:color w:val="000000"/>
                <w:lang w:val="es-GT" w:eastAsia="es-GT"/>
              </w:rPr>
            </w:pPr>
            <w:r w:rsidRPr="00D1261C">
              <w:rPr>
                <w:color w:val="000000"/>
                <w:lang w:val="es-GT" w:eastAsia="es-GT"/>
              </w:rPr>
              <w:t>1,924.44</w:t>
            </w:r>
          </w:p>
        </w:tc>
        <w:tc>
          <w:tcPr>
            <w:tcW w:w="1594" w:type="dxa"/>
            <w:gridSpan w:val="2"/>
            <w:tcBorders>
              <w:top w:val="nil"/>
              <w:left w:val="nil"/>
              <w:bottom w:val="single" w:sz="4" w:space="0" w:color="auto"/>
              <w:right w:val="single" w:sz="4" w:space="0" w:color="auto"/>
            </w:tcBorders>
            <w:shd w:val="clear" w:color="auto" w:fill="auto"/>
            <w:vAlign w:val="center"/>
            <w:hideMark/>
          </w:tcPr>
          <w:p w14:paraId="4F306350" w14:textId="77777777" w:rsidR="00C42AA3" w:rsidRPr="00D1261C" w:rsidRDefault="00C42AA3" w:rsidP="003C60DB">
            <w:pPr>
              <w:jc w:val="center"/>
              <w:rPr>
                <w:color w:val="000000"/>
                <w:lang w:val="es-GT" w:eastAsia="es-GT"/>
              </w:rPr>
            </w:pPr>
            <w:r w:rsidRPr="00D1261C">
              <w:rPr>
                <w:color w:val="000000"/>
                <w:lang w:val="es-GT" w:eastAsia="es-GT"/>
              </w:rPr>
              <w:t>Banco Interamericano de Desarrollo</w:t>
            </w:r>
          </w:p>
        </w:tc>
        <w:tc>
          <w:tcPr>
            <w:tcW w:w="1154" w:type="dxa"/>
            <w:tcBorders>
              <w:top w:val="nil"/>
              <w:left w:val="nil"/>
              <w:bottom w:val="single" w:sz="4" w:space="0" w:color="auto"/>
              <w:right w:val="single" w:sz="4" w:space="0" w:color="auto"/>
            </w:tcBorders>
            <w:shd w:val="clear" w:color="auto" w:fill="auto"/>
            <w:noWrap/>
            <w:vAlign w:val="center"/>
            <w:hideMark/>
          </w:tcPr>
          <w:p w14:paraId="0E5ED7B8" w14:textId="77777777" w:rsidR="00C42AA3" w:rsidRPr="00D1261C" w:rsidRDefault="00C42AA3" w:rsidP="003C60DB">
            <w:pPr>
              <w:jc w:val="center"/>
              <w:rPr>
                <w:color w:val="000000"/>
                <w:lang w:val="es-GT" w:eastAsia="es-GT"/>
              </w:rPr>
            </w:pPr>
            <w:r w:rsidRPr="00D1261C">
              <w:rPr>
                <w:color w:val="000000"/>
                <w:lang w:val="es-GT" w:eastAsia="es-GT"/>
              </w:rPr>
              <w:t>1 de abril 2020</w:t>
            </w:r>
          </w:p>
        </w:tc>
      </w:tr>
      <w:tr w:rsidR="00C42AA3" w:rsidRPr="00D1261C" w14:paraId="24C6D749" w14:textId="77777777" w:rsidTr="003C60DB">
        <w:trPr>
          <w:gridAfter w:val="1"/>
          <w:wAfter w:w="23" w:type="dxa"/>
          <w:trHeight w:val="443"/>
          <w:jc w:val="center"/>
        </w:trPr>
        <w:tc>
          <w:tcPr>
            <w:tcW w:w="3681" w:type="dxa"/>
            <w:gridSpan w:val="2"/>
            <w:tcBorders>
              <w:top w:val="nil"/>
              <w:left w:val="single" w:sz="4" w:space="0" w:color="auto"/>
              <w:bottom w:val="single" w:sz="4" w:space="0" w:color="auto"/>
              <w:right w:val="single" w:sz="4" w:space="0" w:color="auto"/>
            </w:tcBorders>
            <w:shd w:val="clear" w:color="000000" w:fill="DDEBF7"/>
            <w:noWrap/>
            <w:vAlign w:val="center"/>
            <w:hideMark/>
          </w:tcPr>
          <w:p w14:paraId="2CA8F1EC" w14:textId="77777777" w:rsidR="00C42AA3" w:rsidRPr="00D1261C" w:rsidRDefault="00C42AA3" w:rsidP="003C60DB">
            <w:pPr>
              <w:jc w:val="center"/>
              <w:rPr>
                <w:b/>
                <w:bCs/>
                <w:color w:val="000000"/>
                <w:lang w:val="es-GT" w:eastAsia="es-GT"/>
              </w:rPr>
            </w:pPr>
            <w:r w:rsidRPr="00D1261C">
              <w:rPr>
                <w:b/>
                <w:bCs/>
                <w:color w:val="000000"/>
                <w:lang w:val="es-GT" w:eastAsia="es-GT"/>
              </w:rPr>
              <w:t>Decreto No. 14-2020</w:t>
            </w:r>
          </w:p>
        </w:tc>
        <w:tc>
          <w:tcPr>
            <w:tcW w:w="992" w:type="dxa"/>
            <w:tcBorders>
              <w:top w:val="nil"/>
              <w:left w:val="nil"/>
              <w:bottom w:val="single" w:sz="4" w:space="0" w:color="auto"/>
              <w:right w:val="single" w:sz="4" w:space="0" w:color="auto"/>
            </w:tcBorders>
            <w:shd w:val="clear" w:color="000000" w:fill="DDEBF7"/>
            <w:vAlign w:val="center"/>
          </w:tcPr>
          <w:p w14:paraId="6855C3AC" w14:textId="77777777" w:rsidR="00C42AA3" w:rsidRPr="00D1261C" w:rsidRDefault="00C42AA3" w:rsidP="003C60DB">
            <w:pPr>
              <w:jc w:val="center"/>
              <w:rPr>
                <w:b/>
                <w:bCs/>
                <w:color w:val="000000"/>
                <w:lang w:val="es-GT" w:eastAsia="es-GT"/>
              </w:rPr>
            </w:pPr>
          </w:p>
        </w:tc>
        <w:tc>
          <w:tcPr>
            <w:tcW w:w="992" w:type="dxa"/>
            <w:tcBorders>
              <w:top w:val="nil"/>
              <w:left w:val="nil"/>
              <w:bottom w:val="single" w:sz="4" w:space="0" w:color="auto"/>
              <w:right w:val="single" w:sz="4" w:space="0" w:color="auto"/>
            </w:tcBorders>
            <w:shd w:val="clear" w:color="000000" w:fill="DDEBF7"/>
            <w:vAlign w:val="center"/>
          </w:tcPr>
          <w:p w14:paraId="3D408EA0" w14:textId="77777777" w:rsidR="00C42AA3" w:rsidRPr="00D1261C" w:rsidRDefault="00C42AA3" w:rsidP="003C60DB">
            <w:pPr>
              <w:jc w:val="center"/>
              <w:rPr>
                <w:b/>
                <w:bCs/>
                <w:color w:val="000000"/>
                <w:lang w:val="es-GT" w:eastAsia="es-GT"/>
              </w:rPr>
            </w:pPr>
          </w:p>
        </w:tc>
        <w:tc>
          <w:tcPr>
            <w:tcW w:w="1594" w:type="dxa"/>
            <w:gridSpan w:val="2"/>
            <w:tcBorders>
              <w:top w:val="nil"/>
              <w:left w:val="nil"/>
              <w:bottom w:val="single" w:sz="4" w:space="0" w:color="auto"/>
              <w:right w:val="single" w:sz="4" w:space="0" w:color="auto"/>
            </w:tcBorders>
            <w:shd w:val="clear" w:color="000000" w:fill="DDEBF7"/>
            <w:noWrap/>
            <w:vAlign w:val="center"/>
          </w:tcPr>
          <w:p w14:paraId="70AC749A" w14:textId="77777777" w:rsidR="00C42AA3" w:rsidRPr="00D1261C" w:rsidRDefault="00C42AA3" w:rsidP="003C60DB">
            <w:pPr>
              <w:jc w:val="center"/>
              <w:rPr>
                <w:b/>
                <w:bCs/>
                <w:color w:val="000000"/>
                <w:lang w:val="es-GT" w:eastAsia="es-GT"/>
              </w:rPr>
            </w:pPr>
          </w:p>
        </w:tc>
        <w:tc>
          <w:tcPr>
            <w:tcW w:w="1154" w:type="dxa"/>
            <w:tcBorders>
              <w:top w:val="nil"/>
              <w:left w:val="nil"/>
              <w:bottom w:val="single" w:sz="4" w:space="0" w:color="auto"/>
              <w:right w:val="single" w:sz="4" w:space="0" w:color="auto"/>
            </w:tcBorders>
            <w:shd w:val="clear" w:color="000000" w:fill="DDEBF7"/>
            <w:vAlign w:val="center"/>
          </w:tcPr>
          <w:p w14:paraId="2302280A" w14:textId="77777777" w:rsidR="00C42AA3" w:rsidRPr="00D1261C" w:rsidRDefault="00C42AA3" w:rsidP="003C60DB">
            <w:pPr>
              <w:jc w:val="center"/>
              <w:rPr>
                <w:b/>
                <w:bCs/>
                <w:color w:val="000000"/>
                <w:lang w:val="es-GT" w:eastAsia="es-GT"/>
              </w:rPr>
            </w:pPr>
          </w:p>
        </w:tc>
      </w:tr>
      <w:tr w:rsidR="00C42AA3" w:rsidRPr="00D1261C" w14:paraId="0A949843" w14:textId="77777777" w:rsidTr="003C60DB">
        <w:trPr>
          <w:gridAfter w:val="1"/>
          <w:wAfter w:w="23" w:type="dxa"/>
          <w:trHeight w:val="830"/>
          <w:jc w:val="center"/>
        </w:trPr>
        <w:tc>
          <w:tcPr>
            <w:tcW w:w="3681" w:type="dxa"/>
            <w:gridSpan w:val="2"/>
            <w:tcBorders>
              <w:top w:val="nil"/>
              <w:left w:val="single" w:sz="4" w:space="0" w:color="auto"/>
              <w:bottom w:val="single" w:sz="4" w:space="0" w:color="auto"/>
              <w:right w:val="single" w:sz="4" w:space="0" w:color="auto"/>
            </w:tcBorders>
            <w:shd w:val="clear" w:color="auto" w:fill="auto"/>
            <w:vAlign w:val="center"/>
            <w:hideMark/>
          </w:tcPr>
          <w:p w14:paraId="7B3DC237" w14:textId="77777777" w:rsidR="00C42AA3" w:rsidRPr="00D1261C" w:rsidRDefault="00C42AA3" w:rsidP="003C60DB">
            <w:pPr>
              <w:rPr>
                <w:color w:val="000000"/>
                <w:lang w:val="es-GT" w:eastAsia="es-GT"/>
              </w:rPr>
            </w:pPr>
            <w:r w:rsidRPr="00D1261C">
              <w:rPr>
                <w:color w:val="000000"/>
                <w:lang w:val="es-GT" w:eastAsia="es-GT"/>
              </w:rPr>
              <w:t>Programa de Fortalecimiento y Modernización del Ministerio Público</w:t>
            </w:r>
          </w:p>
        </w:tc>
        <w:tc>
          <w:tcPr>
            <w:tcW w:w="992" w:type="dxa"/>
            <w:tcBorders>
              <w:top w:val="nil"/>
              <w:left w:val="nil"/>
              <w:bottom w:val="single" w:sz="4" w:space="0" w:color="auto"/>
              <w:right w:val="single" w:sz="4" w:space="0" w:color="auto"/>
            </w:tcBorders>
            <w:shd w:val="clear" w:color="auto" w:fill="auto"/>
            <w:noWrap/>
            <w:vAlign w:val="center"/>
            <w:hideMark/>
          </w:tcPr>
          <w:p w14:paraId="0B50A8C0" w14:textId="77777777" w:rsidR="00C42AA3" w:rsidRPr="00D1261C" w:rsidRDefault="00C42AA3" w:rsidP="003C60DB">
            <w:pPr>
              <w:jc w:val="center"/>
              <w:rPr>
                <w:color w:val="000000"/>
                <w:lang w:val="es-GT" w:eastAsia="es-GT"/>
              </w:rPr>
            </w:pPr>
            <w:r w:rsidRPr="00D1261C">
              <w:rPr>
                <w:color w:val="000000"/>
                <w:lang w:val="es-GT" w:eastAsia="es-GT"/>
              </w:rPr>
              <w:t>60</w:t>
            </w:r>
          </w:p>
        </w:tc>
        <w:tc>
          <w:tcPr>
            <w:tcW w:w="992" w:type="dxa"/>
            <w:tcBorders>
              <w:top w:val="nil"/>
              <w:left w:val="nil"/>
              <w:bottom w:val="single" w:sz="4" w:space="0" w:color="auto"/>
              <w:right w:val="single" w:sz="4" w:space="0" w:color="auto"/>
            </w:tcBorders>
            <w:shd w:val="clear" w:color="auto" w:fill="auto"/>
            <w:noWrap/>
            <w:vAlign w:val="center"/>
            <w:hideMark/>
          </w:tcPr>
          <w:p w14:paraId="30668F77" w14:textId="77777777" w:rsidR="00C42AA3" w:rsidRPr="00D1261C" w:rsidRDefault="00C42AA3" w:rsidP="003C60DB">
            <w:pPr>
              <w:jc w:val="center"/>
              <w:rPr>
                <w:color w:val="000000"/>
                <w:lang w:val="es-GT" w:eastAsia="es-GT"/>
              </w:rPr>
            </w:pPr>
            <w:r w:rsidRPr="00D1261C">
              <w:rPr>
                <w:color w:val="000000"/>
                <w:lang w:val="es-GT" w:eastAsia="es-GT"/>
              </w:rPr>
              <w:t>461.93</w:t>
            </w:r>
          </w:p>
        </w:tc>
        <w:tc>
          <w:tcPr>
            <w:tcW w:w="1594" w:type="dxa"/>
            <w:gridSpan w:val="2"/>
            <w:tcBorders>
              <w:top w:val="nil"/>
              <w:left w:val="nil"/>
              <w:bottom w:val="single" w:sz="4" w:space="0" w:color="auto"/>
              <w:right w:val="single" w:sz="4" w:space="0" w:color="auto"/>
            </w:tcBorders>
            <w:shd w:val="clear" w:color="auto" w:fill="auto"/>
            <w:vAlign w:val="center"/>
            <w:hideMark/>
          </w:tcPr>
          <w:p w14:paraId="699A872B" w14:textId="77777777" w:rsidR="00C42AA3" w:rsidRPr="00D1261C" w:rsidRDefault="00C42AA3" w:rsidP="003C60DB">
            <w:pPr>
              <w:jc w:val="center"/>
              <w:rPr>
                <w:color w:val="000000"/>
                <w:lang w:val="es-GT" w:eastAsia="es-GT"/>
              </w:rPr>
            </w:pPr>
            <w:r w:rsidRPr="00D1261C">
              <w:rPr>
                <w:color w:val="000000"/>
                <w:lang w:val="es-GT" w:eastAsia="es-GT"/>
              </w:rPr>
              <w:t>Banco Interamericano de Desarrollo</w:t>
            </w:r>
          </w:p>
        </w:tc>
        <w:tc>
          <w:tcPr>
            <w:tcW w:w="1154" w:type="dxa"/>
            <w:tcBorders>
              <w:top w:val="nil"/>
              <w:left w:val="nil"/>
              <w:bottom w:val="single" w:sz="4" w:space="0" w:color="auto"/>
              <w:right w:val="single" w:sz="4" w:space="0" w:color="auto"/>
            </w:tcBorders>
            <w:shd w:val="clear" w:color="auto" w:fill="auto"/>
            <w:noWrap/>
            <w:vAlign w:val="center"/>
            <w:hideMark/>
          </w:tcPr>
          <w:p w14:paraId="68406CA3" w14:textId="77777777" w:rsidR="00C42AA3" w:rsidRPr="00D1261C" w:rsidRDefault="00C42AA3" w:rsidP="003C60DB">
            <w:pPr>
              <w:jc w:val="center"/>
              <w:rPr>
                <w:color w:val="000000"/>
                <w:lang w:val="es-GT" w:eastAsia="es-GT"/>
              </w:rPr>
            </w:pPr>
            <w:r w:rsidRPr="00D1261C">
              <w:rPr>
                <w:color w:val="000000"/>
                <w:lang w:val="es-GT" w:eastAsia="es-GT"/>
              </w:rPr>
              <w:t>3 de abril 2020</w:t>
            </w:r>
          </w:p>
        </w:tc>
      </w:tr>
      <w:tr w:rsidR="00C42AA3" w:rsidRPr="00D1261C" w14:paraId="151AE999" w14:textId="77777777" w:rsidTr="003C60DB">
        <w:trPr>
          <w:gridAfter w:val="1"/>
          <w:wAfter w:w="23" w:type="dxa"/>
          <w:trHeight w:val="443"/>
          <w:jc w:val="center"/>
        </w:trPr>
        <w:tc>
          <w:tcPr>
            <w:tcW w:w="3681" w:type="dxa"/>
            <w:gridSpan w:val="2"/>
            <w:tcBorders>
              <w:top w:val="nil"/>
              <w:left w:val="single" w:sz="4" w:space="0" w:color="auto"/>
              <w:bottom w:val="single" w:sz="4" w:space="0" w:color="auto"/>
              <w:right w:val="single" w:sz="4" w:space="0" w:color="auto"/>
            </w:tcBorders>
            <w:shd w:val="clear" w:color="000000" w:fill="DDEBF7"/>
            <w:noWrap/>
            <w:vAlign w:val="center"/>
            <w:hideMark/>
          </w:tcPr>
          <w:p w14:paraId="01A1FD2A" w14:textId="77777777" w:rsidR="00C42AA3" w:rsidRPr="00D1261C" w:rsidRDefault="00C42AA3" w:rsidP="003C60DB">
            <w:pPr>
              <w:jc w:val="center"/>
              <w:rPr>
                <w:b/>
                <w:bCs/>
                <w:color w:val="000000"/>
                <w:lang w:val="es-GT" w:eastAsia="es-GT"/>
              </w:rPr>
            </w:pPr>
            <w:r w:rsidRPr="00D1261C">
              <w:rPr>
                <w:b/>
                <w:bCs/>
                <w:color w:val="000000"/>
                <w:lang w:val="es-GT" w:eastAsia="es-GT"/>
              </w:rPr>
              <w:t>Decreto No. 16-2020</w:t>
            </w:r>
          </w:p>
        </w:tc>
        <w:tc>
          <w:tcPr>
            <w:tcW w:w="992" w:type="dxa"/>
            <w:tcBorders>
              <w:top w:val="nil"/>
              <w:left w:val="nil"/>
              <w:bottom w:val="single" w:sz="4" w:space="0" w:color="auto"/>
              <w:right w:val="single" w:sz="4" w:space="0" w:color="auto"/>
            </w:tcBorders>
            <w:shd w:val="clear" w:color="000000" w:fill="DDEBF7"/>
            <w:vAlign w:val="center"/>
          </w:tcPr>
          <w:p w14:paraId="3E79D7ED" w14:textId="77777777" w:rsidR="00C42AA3" w:rsidRPr="00D1261C" w:rsidRDefault="00C42AA3" w:rsidP="003C60DB">
            <w:pPr>
              <w:jc w:val="center"/>
              <w:rPr>
                <w:b/>
                <w:bCs/>
                <w:color w:val="000000"/>
                <w:lang w:val="es-GT" w:eastAsia="es-GT"/>
              </w:rPr>
            </w:pPr>
          </w:p>
        </w:tc>
        <w:tc>
          <w:tcPr>
            <w:tcW w:w="992" w:type="dxa"/>
            <w:tcBorders>
              <w:top w:val="nil"/>
              <w:left w:val="nil"/>
              <w:bottom w:val="single" w:sz="4" w:space="0" w:color="auto"/>
              <w:right w:val="single" w:sz="4" w:space="0" w:color="auto"/>
            </w:tcBorders>
            <w:shd w:val="clear" w:color="000000" w:fill="DDEBF7"/>
            <w:vAlign w:val="center"/>
          </w:tcPr>
          <w:p w14:paraId="635D6441" w14:textId="77777777" w:rsidR="00C42AA3" w:rsidRPr="00D1261C" w:rsidRDefault="00C42AA3" w:rsidP="003C60DB">
            <w:pPr>
              <w:jc w:val="center"/>
              <w:rPr>
                <w:b/>
                <w:bCs/>
                <w:color w:val="000000"/>
                <w:lang w:val="es-GT" w:eastAsia="es-GT"/>
              </w:rPr>
            </w:pPr>
          </w:p>
        </w:tc>
        <w:tc>
          <w:tcPr>
            <w:tcW w:w="1594" w:type="dxa"/>
            <w:gridSpan w:val="2"/>
            <w:tcBorders>
              <w:top w:val="nil"/>
              <w:left w:val="nil"/>
              <w:bottom w:val="single" w:sz="4" w:space="0" w:color="auto"/>
              <w:right w:val="single" w:sz="4" w:space="0" w:color="auto"/>
            </w:tcBorders>
            <w:shd w:val="clear" w:color="000000" w:fill="DDEBF7"/>
            <w:noWrap/>
            <w:vAlign w:val="center"/>
          </w:tcPr>
          <w:p w14:paraId="10DC1005" w14:textId="77777777" w:rsidR="00C42AA3" w:rsidRPr="00D1261C" w:rsidRDefault="00C42AA3" w:rsidP="003C60DB">
            <w:pPr>
              <w:jc w:val="center"/>
              <w:rPr>
                <w:b/>
                <w:bCs/>
                <w:color w:val="000000"/>
                <w:lang w:val="es-GT" w:eastAsia="es-GT"/>
              </w:rPr>
            </w:pPr>
          </w:p>
        </w:tc>
        <w:tc>
          <w:tcPr>
            <w:tcW w:w="1154" w:type="dxa"/>
            <w:tcBorders>
              <w:top w:val="nil"/>
              <w:left w:val="nil"/>
              <w:bottom w:val="single" w:sz="4" w:space="0" w:color="auto"/>
              <w:right w:val="single" w:sz="4" w:space="0" w:color="auto"/>
            </w:tcBorders>
            <w:shd w:val="clear" w:color="000000" w:fill="DDEBF7"/>
            <w:vAlign w:val="center"/>
          </w:tcPr>
          <w:p w14:paraId="655F53B3" w14:textId="77777777" w:rsidR="00C42AA3" w:rsidRPr="00D1261C" w:rsidRDefault="00C42AA3" w:rsidP="003C60DB">
            <w:pPr>
              <w:jc w:val="center"/>
              <w:rPr>
                <w:b/>
                <w:bCs/>
                <w:color w:val="000000"/>
                <w:lang w:val="es-GT" w:eastAsia="es-GT"/>
              </w:rPr>
            </w:pPr>
          </w:p>
        </w:tc>
      </w:tr>
      <w:tr w:rsidR="00C42AA3" w:rsidRPr="00D1261C" w14:paraId="6F70A596" w14:textId="77777777" w:rsidTr="003C60DB">
        <w:trPr>
          <w:gridAfter w:val="1"/>
          <w:wAfter w:w="23" w:type="dxa"/>
          <w:trHeight w:val="887"/>
          <w:jc w:val="center"/>
        </w:trPr>
        <w:tc>
          <w:tcPr>
            <w:tcW w:w="3681" w:type="dxa"/>
            <w:gridSpan w:val="2"/>
            <w:tcBorders>
              <w:top w:val="nil"/>
              <w:left w:val="single" w:sz="4" w:space="0" w:color="auto"/>
              <w:bottom w:val="single" w:sz="4" w:space="0" w:color="auto"/>
              <w:right w:val="single" w:sz="4" w:space="0" w:color="auto"/>
            </w:tcBorders>
            <w:shd w:val="clear" w:color="auto" w:fill="auto"/>
            <w:vAlign w:val="center"/>
            <w:hideMark/>
          </w:tcPr>
          <w:p w14:paraId="448057D1" w14:textId="77777777" w:rsidR="00C42AA3" w:rsidRPr="00D1261C" w:rsidRDefault="00C42AA3" w:rsidP="003C60DB">
            <w:pPr>
              <w:rPr>
                <w:color w:val="000000"/>
                <w:lang w:val="es-GT" w:eastAsia="es-GT"/>
              </w:rPr>
            </w:pPr>
            <w:r w:rsidRPr="00D1261C">
              <w:rPr>
                <w:color w:val="000000"/>
                <w:lang w:val="es-GT" w:eastAsia="es-GT"/>
              </w:rPr>
              <w:t>Programa de Inversión y modernización Sector Justicia</w:t>
            </w:r>
          </w:p>
        </w:tc>
        <w:tc>
          <w:tcPr>
            <w:tcW w:w="992" w:type="dxa"/>
            <w:tcBorders>
              <w:top w:val="nil"/>
              <w:left w:val="nil"/>
              <w:bottom w:val="single" w:sz="4" w:space="0" w:color="auto"/>
              <w:right w:val="single" w:sz="4" w:space="0" w:color="auto"/>
            </w:tcBorders>
            <w:shd w:val="clear" w:color="auto" w:fill="auto"/>
            <w:noWrap/>
            <w:vAlign w:val="center"/>
            <w:hideMark/>
          </w:tcPr>
          <w:p w14:paraId="0AB5C079" w14:textId="77777777" w:rsidR="00C42AA3" w:rsidRPr="00D1261C" w:rsidRDefault="00C42AA3" w:rsidP="003C60DB">
            <w:pPr>
              <w:jc w:val="center"/>
              <w:rPr>
                <w:color w:val="000000"/>
                <w:lang w:val="es-GT" w:eastAsia="es-GT"/>
              </w:rPr>
            </w:pPr>
            <w:r w:rsidRPr="00D1261C">
              <w:rPr>
                <w:color w:val="000000"/>
                <w:lang w:val="es-GT" w:eastAsia="es-GT"/>
              </w:rPr>
              <w:t>300</w:t>
            </w:r>
          </w:p>
        </w:tc>
        <w:tc>
          <w:tcPr>
            <w:tcW w:w="992" w:type="dxa"/>
            <w:tcBorders>
              <w:top w:val="nil"/>
              <w:left w:val="nil"/>
              <w:bottom w:val="single" w:sz="4" w:space="0" w:color="auto"/>
              <w:right w:val="single" w:sz="4" w:space="0" w:color="auto"/>
            </w:tcBorders>
            <w:shd w:val="clear" w:color="auto" w:fill="auto"/>
            <w:noWrap/>
            <w:vAlign w:val="center"/>
            <w:hideMark/>
          </w:tcPr>
          <w:p w14:paraId="79A5A9BC" w14:textId="77777777" w:rsidR="00C42AA3" w:rsidRPr="00D1261C" w:rsidRDefault="00C42AA3" w:rsidP="003C60DB">
            <w:pPr>
              <w:jc w:val="center"/>
              <w:rPr>
                <w:color w:val="000000"/>
                <w:lang w:val="es-GT" w:eastAsia="es-GT"/>
              </w:rPr>
            </w:pPr>
            <w:r w:rsidRPr="00D1261C">
              <w:rPr>
                <w:color w:val="000000"/>
                <w:lang w:val="es-GT" w:eastAsia="es-GT"/>
              </w:rPr>
              <w:t>2,309.64</w:t>
            </w:r>
          </w:p>
        </w:tc>
        <w:tc>
          <w:tcPr>
            <w:tcW w:w="1594" w:type="dxa"/>
            <w:gridSpan w:val="2"/>
            <w:tcBorders>
              <w:top w:val="nil"/>
              <w:left w:val="nil"/>
              <w:bottom w:val="single" w:sz="4" w:space="0" w:color="auto"/>
              <w:right w:val="single" w:sz="4" w:space="0" w:color="auto"/>
            </w:tcBorders>
            <w:shd w:val="clear" w:color="auto" w:fill="auto"/>
            <w:vAlign w:val="center"/>
            <w:hideMark/>
          </w:tcPr>
          <w:p w14:paraId="636D91F2" w14:textId="77777777" w:rsidR="00C42AA3" w:rsidRPr="00D1261C" w:rsidRDefault="00C42AA3" w:rsidP="003C60DB">
            <w:pPr>
              <w:jc w:val="center"/>
              <w:rPr>
                <w:color w:val="000000"/>
                <w:lang w:val="es-GT" w:eastAsia="es-GT"/>
              </w:rPr>
            </w:pPr>
            <w:r w:rsidRPr="00D1261C">
              <w:rPr>
                <w:color w:val="000000"/>
                <w:lang w:val="es-GT" w:eastAsia="es-GT"/>
              </w:rPr>
              <w:t>Banco Centroamericano de Integración Económica</w:t>
            </w:r>
          </w:p>
        </w:tc>
        <w:tc>
          <w:tcPr>
            <w:tcW w:w="1154" w:type="dxa"/>
            <w:tcBorders>
              <w:top w:val="nil"/>
              <w:left w:val="nil"/>
              <w:bottom w:val="single" w:sz="4" w:space="0" w:color="auto"/>
              <w:right w:val="single" w:sz="4" w:space="0" w:color="auto"/>
            </w:tcBorders>
            <w:shd w:val="clear" w:color="auto" w:fill="auto"/>
            <w:noWrap/>
            <w:vAlign w:val="center"/>
            <w:hideMark/>
          </w:tcPr>
          <w:p w14:paraId="7D84EC78" w14:textId="77777777" w:rsidR="00C42AA3" w:rsidRPr="00D1261C" w:rsidRDefault="00C42AA3" w:rsidP="003C60DB">
            <w:pPr>
              <w:jc w:val="center"/>
              <w:rPr>
                <w:color w:val="000000"/>
                <w:lang w:val="es-GT" w:eastAsia="es-GT"/>
              </w:rPr>
            </w:pPr>
            <w:r w:rsidRPr="00D1261C">
              <w:rPr>
                <w:color w:val="000000"/>
                <w:lang w:val="es-GT" w:eastAsia="es-GT"/>
              </w:rPr>
              <w:t>4 de abril 2020</w:t>
            </w:r>
          </w:p>
        </w:tc>
      </w:tr>
      <w:tr w:rsidR="00C42AA3" w:rsidRPr="00D1261C" w14:paraId="3EA4E0A8" w14:textId="77777777" w:rsidTr="003C60DB">
        <w:trPr>
          <w:gridAfter w:val="1"/>
          <w:wAfter w:w="23" w:type="dxa"/>
          <w:trHeight w:val="443"/>
          <w:jc w:val="center"/>
        </w:trPr>
        <w:tc>
          <w:tcPr>
            <w:tcW w:w="3681" w:type="dxa"/>
            <w:gridSpan w:val="2"/>
            <w:tcBorders>
              <w:top w:val="nil"/>
              <w:left w:val="single" w:sz="4" w:space="0" w:color="auto"/>
              <w:bottom w:val="single" w:sz="4" w:space="0" w:color="auto"/>
              <w:right w:val="single" w:sz="4" w:space="0" w:color="auto"/>
            </w:tcBorders>
            <w:shd w:val="clear" w:color="000000" w:fill="DDEBF7"/>
            <w:noWrap/>
            <w:vAlign w:val="center"/>
            <w:hideMark/>
          </w:tcPr>
          <w:p w14:paraId="4F8D5E35" w14:textId="77777777" w:rsidR="00C42AA3" w:rsidRPr="00D1261C" w:rsidRDefault="00C42AA3" w:rsidP="003C60DB">
            <w:pPr>
              <w:jc w:val="center"/>
              <w:rPr>
                <w:b/>
                <w:bCs/>
                <w:color w:val="000000"/>
                <w:lang w:val="es-GT" w:eastAsia="es-GT"/>
              </w:rPr>
            </w:pPr>
            <w:r w:rsidRPr="00D1261C">
              <w:rPr>
                <w:b/>
                <w:bCs/>
                <w:color w:val="000000"/>
                <w:lang w:val="es-GT" w:eastAsia="es-GT"/>
              </w:rPr>
              <w:t>Decreto No. 17-2020</w:t>
            </w:r>
          </w:p>
        </w:tc>
        <w:tc>
          <w:tcPr>
            <w:tcW w:w="992" w:type="dxa"/>
            <w:tcBorders>
              <w:top w:val="nil"/>
              <w:left w:val="nil"/>
              <w:bottom w:val="single" w:sz="4" w:space="0" w:color="auto"/>
              <w:right w:val="single" w:sz="4" w:space="0" w:color="auto"/>
            </w:tcBorders>
            <w:shd w:val="clear" w:color="000000" w:fill="DDEBF7"/>
            <w:vAlign w:val="center"/>
          </w:tcPr>
          <w:p w14:paraId="7D63F4B0" w14:textId="77777777" w:rsidR="00C42AA3" w:rsidRPr="00D1261C" w:rsidRDefault="00C42AA3" w:rsidP="003C60DB">
            <w:pPr>
              <w:jc w:val="center"/>
              <w:rPr>
                <w:b/>
                <w:bCs/>
                <w:color w:val="000000"/>
                <w:lang w:val="es-GT" w:eastAsia="es-GT"/>
              </w:rPr>
            </w:pPr>
          </w:p>
        </w:tc>
        <w:tc>
          <w:tcPr>
            <w:tcW w:w="992" w:type="dxa"/>
            <w:tcBorders>
              <w:top w:val="nil"/>
              <w:left w:val="nil"/>
              <w:bottom w:val="single" w:sz="4" w:space="0" w:color="auto"/>
              <w:right w:val="single" w:sz="4" w:space="0" w:color="auto"/>
            </w:tcBorders>
            <w:shd w:val="clear" w:color="000000" w:fill="DDEBF7"/>
            <w:vAlign w:val="center"/>
          </w:tcPr>
          <w:p w14:paraId="7EAEF12E" w14:textId="77777777" w:rsidR="00C42AA3" w:rsidRPr="00D1261C" w:rsidRDefault="00C42AA3" w:rsidP="003C60DB">
            <w:pPr>
              <w:jc w:val="center"/>
              <w:rPr>
                <w:b/>
                <w:bCs/>
                <w:color w:val="000000"/>
                <w:lang w:val="es-GT" w:eastAsia="es-GT"/>
              </w:rPr>
            </w:pPr>
          </w:p>
        </w:tc>
        <w:tc>
          <w:tcPr>
            <w:tcW w:w="1594" w:type="dxa"/>
            <w:gridSpan w:val="2"/>
            <w:tcBorders>
              <w:top w:val="nil"/>
              <w:left w:val="nil"/>
              <w:bottom w:val="single" w:sz="4" w:space="0" w:color="auto"/>
              <w:right w:val="single" w:sz="4" w:space="0" w:color="auto"/>
            </w:tcBorders>
            <w:shd w:val="clear" w:color="000000" w:fill="DDEBF7"/>
            <w:noWrap/>
            <w:vAlign w:val="center"/>
          </w:tcPr>
          <w:p w14:paraId="18676B9F" w14:textId="77777777" w:rsidR="00C42AA3" w:rsidRPr="00D1261C" w:rsidRDefault="00C42AA3" w:rsidP="003C60DB">
            <w:pPr>
              <w:jc w:val="center"/>
              <w:rPr>
                <w:b/>
                <w:bCs/>
                <w:color w:val="000000"/>
                <w:lang w:val="es-GT" w:eastAsia="es-GT"/>
              </w:rPr>
            </w:pPr>
          </w:p>
        </w:tc>
        <w:tc>
          <w:tcPr>
            <w:tcW w:w="1154" w:type="dxa"/>
            <w:tcBorders>
              <w:top w:val="nil"/>
              <w:left w:val="nil"/>
              <w:bottom w:val="single" w:sz="4" w:space="0" w:color="auto"/>
              <w:right w:val="single" w:sz="4" w:space="0" w:color="auto"/>
            </w:tcBorders>
            <w:shd w:val="clear" w:color="000000" w:fill="DDEBF7"/>
            <w:vAlign w:val="center"/>
          </w:tcPr>
          <w:p w14:paraId="52987A9E" w14:textId="77777777" w:rsidR="00C42AA3" w:rsidRPr="00D1261C" w:rsidRDefault="00C42AA3" w:rsidP="003C60DB">
            <w:pPr>
              <w:jc w:val="center"/>
              <w:rPr>
                <w:b/>
                <w:bCs/>
                <w:color w:val="000000"/>
                <w:lang w:val="es-GT" w:eastAsia="es-GT"/>
              </w:rPr>
            </w:pPr>
          </w:p>
        </w:tc>
      </w:tr>
      <w:tr w:rsidR="00C42AA3" w:rsidRPr="00D1261C" w14:paraId="4C251E7E" w14:textId="77777777" w:rsidTr="003C60DB">
        <w:trPr>
          <w:gridAfter w:val="1"/>
          <w:wAfter w:w="23" w:type="dxa"/>
          <w:trHeight w:val="666"/>
          <w:jc w:val="center"/>
        </w:trPr>
        <w:tc>
          <w:tcPr>
            <w:tcW w:w="3681" w:type="dxa"/>
            <w:gridSpan w:val="2"/>
            <w:tcBorders>
              <w:top w:val="nil"/>
              <w:left w:val="single" w:sz="4" w:space="0" w:color="auto"/>
              <w:bottom w:val="single" w:sz="4" w:space="0" w:color="auto"/>
              <w:right w:val="single" w:sz="4" w:space="0" w:color="auto"/>
            </w:tcBorders>
            <w:shd w:val="clear" w:color="auto" w:fill="auto"/>
            <w:vAlign w:val="center"/>
            <w:hideMark/>
          </w:tcPr>
          <w:p w14:paraId="564B5E07" w14:textId="77777777" w:rsidR="00C42AA3" w:rsidRPr="00D1261C" w:rsidRDefault="00C42AA3" w:rsidP="003C60DB">
            <w:pPr>
              <w:rPr>
                <w:color w:val="000000"/>
                <w:lang w:val="es-GT" w:eastAsia="es-GT"/>
              </w:rPr>
            </w:pPr>
            <w:r w:rsidRPr="00D1261C">
              <w:rPr>
                <w:color w:val="000000"/>
                <w:lang w:val="es-GT" w:eastAsia="es-GT"/>
              </w:rPr>
              <w:t>Programa de Fortalecimiento de la Red de Servicios de Salud</w:t>
            </w:r>
          </w:p>
        </w:tc>
        <w:tc>
          <w:tcPr>
            <w:tcW w:w="992" w:type="dxa"/>
            <w:tcBorders>
              <w:top w:val="nil"/>
              <w:left w:val="nil"/>
              <w:bottom w:val="single" w:sz="4" w:space="0" w:color="auto"/>
              <w:right w:val="single" w:sz="4" w:space="0" w:color="auto"/>
            </w:tcBorders>
            <w:shd w:val="clear" w:color="auto" w:fill="auto"/>
            <w:noWrap/>
            <w:vAlign w:val="center"/>
            <w:hideMark/>
          </w:tcPr>
          <w:p w14:paraId="246319F2" w14:textId="77777777" w:rsidR="00C42AA3" w:rsidRPr="00D1261C" w:rsidRDefault="00C42AA3" w:rsidP="003C60DB">
            <w:pPr>
              <w:jc w:val="center"/>
              <w:rPr>
                <w:color w:val="000000"/>
                <w:lang w:val="es-GT" w:eastAsia="es-GT"/>
              </w:rPr>
            </w:pPr>
            <w:r w:rsidRPr="00D1261C">
              <w:rPr>
                <w:color w:val="000000"/>
                <w:lang w:val="es-GT" w:eastAsia="es-GT"/>
              </w:rPr>
              <w:t>100</w:t>
            </w:r>
          </w:p>
        </w:tc>
        <w:tc>
          <w:tcPr>
            <w:tcW w:w="992" w:type="dxa"/>
            <w:tcBorders>
              <w:top w:val="nil"/>
              <w:left w:val="nil"/>
              <w:bottom w:val="single" w:sz="4" w:space="0" w:color="auto"/>
              <w:right w:val="single" w:sz="4" w:space="0" w:color="auto"/>
            </w:tcBorders>
            <w:shd w:val="clear" w:color="auto" w:fill="auto"/>
            <w:noWrap/>
            <w:vAlign w:val="center"/>
            <w:hideMark/>
          </w:tcPr>
          <w:p w14:paraId="08E725DE" w14:textId="77777777" w:rsidR="00C42AA3" w:rsidRPr="00D1261C" w:rsidRDefault="00C42AA3" w:rsidP="003C60DB">
            <w:pPr>
              <w:jc w:val="center"/>
              <w:rPr>
                <w:color w:val="000000"/>
                <w:lang w:val="es-GT" w:eastAsia="es-GT"/>
              </w:rPr>
            </w:pPr>
            <w:r w:rsidRPr="00D1261C">
              <w:rPr>
                <w:color w:val="000000"/>
                <w:lang w:val="es-GT" w:eastAsia="es-GT"/>
              </w:rPr>
              <w:t>769.88</w:t>
            </w:r>
          </w:p>
        </w:tc>
        <w:tc>
          <w:tcPr>
            <w:tcW w:w="1594" w:type="dxa"/>
            <w:gridSpan w:val="2"/>
            <w:tcBorders>
              <w:top w:val="nil"/>
              <w:left w:val="nil"/>
              <w:bottom w:val="single" w:sz="4" w:space="0" w:color="auto"/>
              <w:right w:val="single" w:sz="4" w:space="0" w:color="auto"/>
            </w:tcBorders>
            <w:shd w:val="clear" w:color="auto" w:fill="auto"/>
            <w:vAlign w:val="center"/>
            <w:hideMark/>
          </w:tcPr>
          <w:p w14:paraId="26A47E08" w14:textId="77777777" w:rsidR="00C42AA3" w:rsidRPr="00D1261C" w:rsidRDefault="00C42AA3" w:rsidP="003C60DB">
            <w:pPr>
              <w:jc w:val="center"/>
              <w:rPr>
                <w:color w:val="000000"/>
                <w:lang w:val="es-GT" w:eastAsia="es-GT"/>
              </w:rPr>
            </w:pPr>
            <w:r w:rsidRPr="00D1261C">
              <w:rPr>
                <w:color w:val="000000"/>
                <w:lang w:val="es-GT" w:eastAsia="es-GT"/>
              </w:rPr>
              <w:t>Banco Interamericano de Desarrollo</w:t>
            </w:r>
          </w:p>
        </w:tc>
        <w:tc>
          <w:tcPr>
            <w:tcW w:w="1154" w:type="dxa"/>
            <w:tcBorders>
              <w:top w:val="nil"/>
              <w:left w:val="nil"/>
              <w:bottom w:val="single" w:sz="4" w:space="0" w:color="auto"/>
              <w:right w:val="single" w:sz="4" w:space="0" w:color="auto"/>
            </w:tcBorders>
            <w:shd w:val="clear" w:color="auto" w:fill="auto"/>
            <w:noWrap/>
            <w:vAlign w:val="center"/>
            <w:hideMark/>
          </w:tcPr>
          <w:p w14:paraId="0F83BE38" w14:textId="77777777" w:rsidR="00C42AA3" w:rsidRPr="00D1261C" w:rsidRDefault="00C42AA3" w:rsidP="003C60DB">
            <w:pPr>
              <w:jc w:val="center"/>
              <w:rPr>
                <w:color w:val="000000"/>
                <w:lang w:val="es-GT" w:eastAsia="es-GT"/>
              </w:rPr>
            </w:pPr>
            <w:r w:rsidRPr="00D1261C">
              <w:rPr>
                <w:color w:val="000000"/>
                <w:lang w:val="es-GT" w:eastAsia="es-GT"/>
              </w:rPr>
              <w:t>5 de abril 2020</w:t>
            </w:r>
          </w:p>
        </w:tc>
      </w:tr>
      <w:tr w:rsidR="00C42AA3" w:rsidRPr="00D1261C" w14:paraId="6D825324" w14:textId="77777777" w:rsidTr="003C60DB">
        <w:trPr>
          <w:gridAfter w:val="1"/>
          <w:wAfter w:w="23" w:type="dxa"/>
          <w:trHeight w:val="443"/>
          <w:jc w:val="center"/>
        </w:trPr>
        <w:tc>
          <w:tcPr>
            <w:tcW w:w="3681" w:type="dxa"/>
            <w:gridSpan w:val="2"/>
            <w:tcBorders>
              <w:top w:val="nil"/>
              <w:left w:val="single" w:sz="4" w:space="0" w:color="auto"/>
              <w:bottom w:val="single" w:sz="4" w:space="0" w:color="auto"/>
              <w:right w:val="single" w:sz="4" w:space="0" w:color="auto"/>
            </w:tcBorders>
            <w:shd w:val="clear" w:color="000000" w:fill="DDEBF7"/>
            <w:noWrap/>
            <w:vAlign w:val="center"/>
            <w:hideMark/>
          </w:tcPr>
          <w:p w14:paraId="470FB1CC" w14:textId="77777777" w:rsidR="00C42AA3" w:rsidRPr="00D1261C" w:rsidRDefault="00C42AA3" w:rsidP="003C60DB">
            <w:pPr>
              <w:jc w:val="center"/>
              <w:rPr>
                <w:b/>
                <w:bCs/>
                <w:color w:val="000000"/>
                <w:lang w:val="es-GT" w:eastAsia="es-GT"/>
              </w:rPr>
            </w:pPr>
            <w:r w:rsidRPr="00D1261C">
              <w:rPr>
                <w:b/>
                <w:bCs/>
                <w:color w:val="000000"/>
                <w:lang w:val="es-GT" w:eastAsia="es-GT"/>
              </w:rPr>
              <w:t>Decreto No. 18-2020</w:t>
            </w:r>
          </w:p>
        </w:tc>
        <w:tc>
          <w:tcPr>
            <w:tcW w:w="992" w:type="dxa"/>
            <w:tcBorders>
              <w:top w:val="nil"/>
              <w:left w:val="nil"/>
              <w:bottom w:val="single" w:sz="4" w:space="0" w:color="auto"/>
              <w:right w:val="single" w:sz="4" w:space="0" w:color="auto"/>
            </w:tcBorders>
            <w:shd w:val="clear" w:color="000000" w:fill="DDEBF7"/>
            <w:vAlign w:val="center"/>
          </w:tcPr>
          <w:p w14:paraId="4024B9C6" w14:textId="77777777" w:rsidR="00C42AA3" w:rsidRPr="00D1261C" w:rsidRDefault="00C42AA3" w:rsidP="003C60DB">
            <w:pPr>
              <w:jc w:val="center"/>
              <w:rPr>
                <w:b/>
                <w:bCs/>
                <w:color w:val="000000"/>
                <w:lang w:val="es-GT" w:eastAsia="es-GT"/>
              </w:rPr>
            </w:pPr>
          </w:p>
        </w:tc>
        <w:tc>
          <w:tcPr>
            <w:tcW w:w="992" w:type="dxa"/>
            <w:tcBorders>
              <w:top w:val="nil"/>
              <w:left w:val="nil"/>
              <w:bottom w:val="single" w:sz="4" w:space="0" w:color="auto"/>
              <w:right w:val="single" w:sz="4" w:space="0" w:color="auto"/>
            </w:tcBorders>
            <w:shd w:val="clear" w:color="000000" w:fill="DDEBF7"/>
            <w:vAlign w:val="center"/>
          </w:tcPr>
          <w:p w14:paraId="5BF7B286" w14:textId="77777777" w:rsidR="00C42AA3" w:rsidRPr="00D1261C" w:rsidRDefault="00C42AA3" w:rsidP="003C60DB">
            <w:pPr>
              <w:jc w:val="center"/>
              <w:rPr>
                <w:b/>
                <w:bCs/>
                <w:color w:val="000000"/>
                <w:lang w:val="es-GT" w:eastAsia="es-GT"/>
              </w:rPr>
            </w:pPr>
          </w:p>
        </w:tc>
        <w:tc>
          <w:tcPr>
            <w:tcW w:w="1594" w:type="dxa"/>
            <w:gridSpan w:val="2"/>
            <w:tcBorders>
              <w:top w:val="nil"/>
              <w:left w:val="nil"/>
              <w:bottom w:val="single" w:sz="4" w:space="0" w:color="auto"/>
              <w:right w:val="single" w:sz="4" w:space="0" w:color="auto"/>
            </w:tcBorders>
            <w:shd w:val="clear" w:color="000000" w:fill="DDEBF7"/>
            <w:noWrap/>
            <w:vAlign w:val="center"/>
          </w:tcPr>
          <w:p w14:paraId="4888B777" w14:textId="77777777" w:rsidR="00C42AA3" w:rsidRPr="00D1261C" w:rsidRDefault="00C42AA3" w:rsidP="003C60DB">
            <w:pPr>
              <w:jc w:val="center"/>
              <w:rPr>
                <w:b/>
                <w:bCs/>
                <w:color w:val="000000"/>
                <w:lang w:val="es-GT" w:eastAsia="es-GT"/>
              </w:rPr>
            </w:pPr>
          </w:p>
        </w:tc>
        <w:tc>
          <w:tcPr>
            <w:tcW w:w="1154" w:type="dxa"/>
            <w:tcBorders>
              <w:top w:val="nil"/>
              <w:left w:val="nil"/>
              <w:bottom w:val="single" w:sz="4" w:space="0" w:color="auto"/>
              <w:right w:val="single" w:sz="4" w:space="0" w:color="auto"/>
            </w:tcBorders>
            <w:shd w:val="clear" w:color="000000" w:fill="DDEBF7"/>
            <w:vAlign w:val="center"/>
          </w:tcPr>
          <w:p w14:paraId="3FF32294" w14:textId="77777777" w:rsidR="00C42AA3" w:rsidRPr="00D1261C" w:rsidRDefault="00C42AA3" w:rsidP="003C60DB">
            <w:pPr>
              <w:jc w:val="center"/>
              <w:rPr>
                <w:b/>
                <w:bCs/>
                <w:color w:val="000000"/>
                <w:lang w:val="es-GT" w:eastAsia="es-GT"/>
              </w:rPr>
            </w:pPr>
          </w:p>
        </w:tc>
      </w:tr>
      <w:tr w:rsidR="00C42AA3" w:rsidRPr="00D1261C" w14:paraId="425F7A17" w14:textId="77777777" w:rsidTr="003C60DB">
        <w:trPr>
          <w:gridAfter w:val="1"/>
          <w:wAfter w:w="23" w:type="dxa"/>
          <w:trHeight w:val="887"/>
          <w:jc w:val="center"/>
        </w:trPr>
        <w:tc>
          <w:tcPr>
            <w:tcW w:w="3681" w:type="dxa"/>
            <w:gridSpan w:val="2"/>
            <w:tcBorders>
              <w:top w:val="nil"/>
              <w:left w:val="single" w:sz="4" w:space="0" w:color="auto"/>
              <w:bottom w:val="single" w:sz="4" w:space="0" w:color="auto"/>
              <w:right w:val="single" w:sz="4" w:space="0" w:color="auto"/>
            </w:tcBorders>
            <w:shd w:val="clear" w:color="auto" w:fill="auto"/>
            <w:vAlign w:val="center"/>
            <w:hideMark/>
          </w:tcPr>
          <w:p w14:paraId="3BBC81F1" w14:textId="77777777" w:rsidR="00C42AA3" w:rsidRPr="00D1261C" w:rsidRDefault="00C42AA3" w:rsidP="003C60DB">
            <w:pPr>
              <w:rPr>
                <w:color w:val="000000"/>
                <w:lang w:val="es-GT" w:eastAsia="es-GT"/>
              </w:rPr>
            </w:pPr>
            <w:r w:rsidRPr="00D1261C">
              <w:rPr>
                <w:color w:val="000000"/>
                <w:lang w:val="es-GT" w:eastAsia="es-GT"/>
              </w:rPr>
              <w:t>Programa de Inversión, infraestructura y equipamiento Hospitalario</w:t>
            </w:r>
          </w:p>
        </w:tc>
        <w:tc>
          <w:tcPr>
            <w:tcW w:w="992" w:type="dxa"/>
            <w:tcBorders>
              <w:top w:val="nil"/>
              <w:left w:val="nil"/>
              <w:bottom w:val="single" w:sz="4" w:space="0" w:color="auto"/>
              <w:right w:val="single" w:sz="4" w:space="0" w:color="auto"/>
            </w:tcBorders>
            <w:shd w:val="clear" w:color="auto" w:fill="auto"/>
            <w:noWrap/>
            <w:vAlign w:val="center"/>
            <w:hideMark/>
          </w:tcPr>
          <w:p w14:paraId="49D1C9C0" w14:textId="77777777" w:rsidR="00C42AA3" w:rsidRPr="00D1261C" w:rsidRDefault="00C42AA3" w:rsidP="003C60DB">
            <w:pPr>
              <w:jc w:val="center"/>
              <w:rPr>
                <w:color w:val="000000"/>
                <w:lang w:val="es-GT" w:eastAsia="es-GT"/>
              </w:rPr>
            </w:pPr>
            <w:r w:rsidRPr="00D1261C">
              <w:rPr>
                <w:color w:val="000000"/>
                <w:lang w:val="es-GT" w:eastAsia="es-GT"/>
              </w:rPr>
              <w:t>193.2</w:t>
            </w:r>
          </w:p>
        </w:tc>
        <w:tc>
          <w:tcPr>
            <w:tcW w:w="992" w:type="dxa"/>
            <w:tcBorders>
              <w:top w:val="nil"/>
              <w:left w:val="nil"/>
              <w:bottom w:val="single" w:sz="4" w:space="0" w:color="auto"/>
              <w:right w:val="single" w:sz="4" w:space="0" w:color="auto"/>
            </w:tcBorders>
            <w:shd w:val="clear" w:color="auto" w:fill="auto"/>
            <w:noWrap/>
            <w:vAlign w:val="center"/>
            <w:hideMark/>
          </w:tcPr>
          <w:p w14:paraId="1035A45E" w14:textId="77777777" w:rsidR="00C42AA3" w:rsidRPr="00D1261C" w:rsidRDefault="00C42AA3" w:rsidP="003C60DB">
            <w:pPr>
              <w:jc w:val="center"/>
              <w:rPr>
                <w:color w:val="000000"/>
                <w:lang w:val="es-GT" w:eastAsia="es-GT"/>
              </w:rPr>
            </w:pPr>
            <w:r w:rsidRPr="00D1261C">
              <w:rPr>
                <w:color w:val="000000"/>
                <w:lang w:val="es-GT" w:eastAsia="es-GT"/>
              </w:rPr>
              <w:t>1,487.41</w:t>
            </w:r>
          </w:p>
        </w:tc>
        <w:tc>
          <w:tcPr>
            <w:tcW w:w="1594" w:type="dxa"/>
            <w:gridSpan w:val="2"/>
            <w:tcBorders>
              <w:top w:val="nil"/>
              <w:left w:val="nil"/>
              <w:bottom w:val="single" w:sz="4" w:space="0" w:color="auto"/>
              <w:right w:val="single" w:sz="4" w:space="0" w:color="auto"/>
            </w:tcBorders>
            <w:shd w:val="clear" w:color="auto" w:fill="auto"/>
            <w:vAlign w:val="center"/>
            <w:hideMark/>
          </w:tcPr>
          <w:p w14:paraId="74EF66EA" w14:textId="77777777" w:rsidR="00C42AA3" w:rsidRPr="00D1261C" w:rsidRDefault="00C42AA3" w:rsidP="003C60DB">
            <w:pPr>
              <w:jc w:val="center"/>
              <w:rPr>
                <w:color w:val="000000"/>
                <w:lang w:val="es-GT" w:eastAsia="es-GT"/>
              </w:rPr>
            </w:pPr>
            <w:r w:rsidRPr="00D1261C">
              <w:rPr>
                <w:color w:val="000000"/>
                <w:lang w:val="es-GT" w:eastAsia="es-GT"/>
              </w:rPr>
              <w:t>Banco Centroamericano de Integración Económica</w:t>
            </w:r>
          </w:p>
        </w:tc>
        <w:tc>
          <w:tcPr>
            <w:tcW w:w="1154" w:type="dxa"/>
            <w:tcBorders>
              <w:top w:val="nil"/>
              <w:left w:val="nil"/>
              <w:bottom w:val="single" w:sz="4" w:space="0" w:color="auto"/>
              <w:right w:val="single" w:sz="4" w:space="0" w:color="auto"/>
            </w:tcBorders>
            <w:shd w:val="clear" w:color="auto" w:fill="auto"/>
            <w:noWrap/>
            <w:vAlign w:val="center"/>
            <w:hideMark/>
          </w:tcPr>
          <w:p w14:paraId="1F4C04C3" w14:textId="77777777" w:rsidR="00C42AA3" w:rsidRPr="00D1261C" w:rsidRDefault="00C42AA3" w:rsidP="003C60DB">
            <w:pPr>
              <w:jc w:val="center"/>
              <w:rPr>
                <w:color w:val="000000"/>
                <w:lang w:val="es-GT" w:eastAsia="es-GT"/>
              </w:rPr>
            </w:pPr>
            <w:r w:rsidRPr="00D1261C">
              <w:rPr>
                <w:color w:val="000000"/>
                <w:lang w:val="es-GT" w:eastAsia="es-GT"/>
              </w:rPr>
              <w:t>5 de abril 2020</w:t>
            </w:r>
          </w:p>
        </w:tc>
      </w:tr>
      <w:tr w:rsidR="00C42AA3" w:rsidRPr="00D1261C" w14:paraId="1F5C754B" w14:textId="77777777" w:rsidTr="003C60DB">
        <w:trPr>
          <w:gridAfter w:val="1"/>
          <w:wAfter w:w="23" w:type="dxa"/>
          <w:trHeight w:val="443"/>
          <w:jc w:val="center"/>
        </w:trPr>
        <w:tc>
          <w:tcPr>
            <w:tcW w:w="3681" w:type="dxa"/>
            <w:gridSpan w:val="2"/>
            <w:tcBorders>
              <w:top w:val="nil"/>
              <w:left w:val="single" w:sz="4" w:space="0" w:color="auto"/>
              <w:bottom w:val="single" w:sz="4" w:space="0" w:color="auto"/>
              <w:right w:val="single" w:sz="4" w:space="0" w:color="auto"/>
            </w:tcBorders>
            <w:shd w:val="clear" w:color="000000" w:fill="DDEBF7"/>
            <w:noWrap/>
            <w:vAlign w:val="center"/>
            <w:hideMark/>
          </w:tcPr>
          <w:p w14:paraId="63DBA89C" w14:textId="77777777" w:rsidR="00C42AA3" w:rsidRPr="00D1261C" w:rsidRDefault="00C42AA3" w:rsidP="003C60DB">
            <w:pPr>
              <w:jc w:val="center"/>
              <w:rPr>
                <w:b/>
                <w:bCs/>
                <w:color w:val="000000"/>
                <w:lang w:val="es-GT" w:eastAsia="es-GT"/>
              </w:rPr>
            </w:pPr>
            <w:r w:rsidRPr="00D1261C">
              <w:rPr>
                <w:b/>
                <w:bCs/>
                <w:color w:val="000000"/>
                <w:lang w:val="es-GT" w:eastAsia="es-GT"/>
              </w:rPr>
              <w:t>Decreto No. 19-2020</w:t>
            </w:r>
          </w:p>
        </w:tc>
        <w:tc>
          <w:tcPr>
            <w:tcW w:w="992" w:type="dxa"/>
            <w:tcBorders>
              <w:top w:val="nil"/>
              <w:left w:val="nil"/>
              <w:bottom w:val="single" w:sz="4" w:space="0" w:color="auto"/>
              <w:right w:val="single" w:sz="4" w:space="0" w:color="auto"/>
            </w:tcBorders>
            <w:shd w:val="clear" w:color="000000" w:fill="DDEBF7"/>
            <w:vAlign w:val="center"/>
          </w:tcPr>
          <w:p w14:paraId="7CE043DB" w14:textId="77777777" w:rsidR="00C42AA3" w:rsidRPr="00D1261C" w:rsidRDefault="00C42AA3" w:rsidP="003C60DB">
            <w:pPr>
              <w:jc w:val="center"/>
              <w:rPr>
                <w:b/>
                <w:bCs/>
                <w:color w:val="000000"/>
                <w:lang w:val="es-GT" w:eastAsia="es-GT"/>
              </w:rPr>
            </w:pPr>
          </w:p>
        </w:tc>
        <w:tc>
          <w:tcPr>
            <w:tcW w:w="992" w:type="dxa"/>
            <w:tcBorders>
              <w:top w:val="nil"/>
              <w:left w:val="nil"/>
              <w:bottom w:val="single" w:sz="4" w:space="0" w:color="auto"/>
              <w:right w:val="single" w:sz="4" w:space="0" w:color="auto"/>
            </w:tcBorders>
            <w:shd w:val="clear" w:color="000000" w:fill="DDEBF7"/>
            <w:vAlign w:val="center"/>
          </w:tcPr>
          <w:p w14:paraId="42982AEF" w14:textId="77777777" w:rsidR="00C42AA3" w:rsidRPr="00D1261C" w:rsidRDefault="00C42AA3" w:rsidP="003C60DB">
            <w:pPr>
              <w:jc w:val="center"/>
              <w:rPr>
                <w:b/>
                <w:bCs/>
                <w:color w:val="000000"/>
                <w:lang w:val="es-GT" w:eastAsia="es-GT"/>
              </w:rPr>
            </w:pPr>
          </w:p>
        </w:tc>
        <w:tc>
          <w:tcPr>
            <w:tcW w:w="1594" w:type="dxa"/>
            <w:gridSpan w:val="2"/>
            <w:tcBorders>
              <w:top w:val="nil"/>
              <w:left w:val="nil"/>
              <w:bottom w:val="single" w:sz="4" w:space="0" w:color="auto"/>
              <w:right w:val="single" w:sz="4" w:space="0" w:color="auto"/>
            </w:tcBorders>
            <w:shd w:val="clear" w:color="000000" w:fill="DDEBF7"/>
            <w:noWrap/>
            <w:vAlign w:val="center"/>
          </w:tcPr>
          <w:p w14:paraId="62B3EEC2" w14:textId="77777777" w:rsidR="00C42AA3" w:rsidRPr="00D1261C" w:rsidRDefault="00C42AA3" w:rsidP="003C60DB">
            <w:pPr>
              <w:jc w:val="center"/>
              <w:rPr>
                <w:b/>
                <w:bCs/>
                <w:color w:val="000000"/>
                <w:lang w:val="es-GT" w:eastAsia="es-GT"/>
              </w:rPr>
            </w:pPr>
          </w:p>
        </w:tc>
        <w:tc>
          <w:tcPr>
            <w:tcW w:w="1154" w:type="dxa"/>
            <w:tcBorders>
              <w:top w:val="nil"/>
              <w:left w:val="nil"/>
              <w:bottom w:val="single" w:sz="4" w:space="0" w:color="auto"/>
              <w:right w:val="single" w:sz="4" w:space="0" w:color="auto"/>
            </w:tcBorders>
            <w:shd w:val="clear" w:color="000000" w:fill="DDEBF7"/>
            <w:vAlign w:val="center"/>
          </w:tcPr>
          <w:p w14:paraId="2BDB83CF" w14:textId="77777777" w:rsidR="00C42AA3" w:rsidRPr="00D1261C" w:rsidRDefault="00C42AA3" w:rsidP="003C60DB">
            <w:pPr>
              <w:jc w:val="center"/>
              <w:rPr>
                <w:b/>
                <w:bCs/>
                <w:color w:val="000000"/>
                <w:lang w:val="es-GT" w:eastAsia="es-GT"/>
              </w:rPr>
            </w:pPr>
          </w:p>
        </w:tc>
      </w:tr>
      <w:tr w:rsidR="00C42AA3" w:rsidRPr="00D1261C" w14:paraId="58252DAD" w14:textId="77777777" w:rsidTr="003C60DB">
        <w:trPr>
          <w:gridAfter w:val="1"/>
          <w:wAfter w:w="23" w:type="dxa"/>
          <w:trHeight w:val="666"/>
          <w:jc w:val="center"/>
        </w:trPr>
        <w:tc>
          <w:tcPr>
            <w:tcW w:w="3681" w:type="dxa"/>
            <w:gridSpan w:val="2"/>
            <w:tcBorders>
              <w:top w:val="nil"/>
              <w:left w:val="single" w:sz="4" w:space="0" w:color="auto"/>
              <w:bottom w:val="single" w:sz="4" w:space="0" w:color="auto"/>
              <w:right w:val="single" w:sz="4" w:space="0" w:color="auto"/>
            </w:tcBorders>
            <w:shd w:val="clear" w:color="auto" w:fill="auto"/>
            <w:vAlign w:val="center"/>
            <w:hideMark/>
          </w:tcPr>
          <w:p w14:paraId="390C7099" w14:textId="77777777" w:rsidR="00C42AA3" w:rsidRPr="00D1261C" w:rsidRDefault="00C42AA3" w:rsidP="003C60DB">
            <w:pPr>
              <w:rPr>
                <w:color w:val="000000"/>
                <w:lang w:val="es-GT" w:eastAsia="es-GT"/>
              </w:rPr>
            </w:pPr>
            <w:r w:rsidRPr="00D1261C">
              <w:rPr>
                <w:color w:val="000000"/>
                <w:lang w:val="es-GT" w:eastAsia="es-GT"/>
              </w:rPr>
              <w:t>Programa de Desarrollo de la Infraestructura vial</w:t>
            </w:r>
          </w:p>
        </w:tc>
        <w:tc>
          <w:tcPr>
            <w:tcW w:w="992" w:type="dxa"/>
            <w:tcBorders>
              <w:top w:val="nil"/>
              <w:left w:val="nil"/>
              <w:bottom w:val="single" w:sz="4" w:space="0" w:color="auto"/>
              <w:right w:val="single" w:sz="4" w:space="0" w:color="auto"/>
            </w:tcBorders>
            <w:shd w:val="clear" w:color="auto" w:fill="auto"/>
            <w:noWrap/>
            <w:vAlign w:val="center"/>
            <w:hideMark/>
          </w:tcPr>
          <w:p w14:paraId="2D4879D2" w14:textId="77777777" w:rsidR="00C42AA3" w:rsidRPr="00D1261C" w:rsidRDefault="00C42AA3" w:rsidP="003C60DB">
            <w:pPr>
              <w:jc w:val="center"/>
              <w:rPr>
                <w:color w:val="000000"/>
                <w:lang w:val="es-GT" w:eastAsia="es-GT"/>
              </w:rPr>
            </w:pPr>
            <w:r w:rsidRPr="00D1261C">
              <w:rPr>
                <w:color w:val="000000"/>
                <w:lang w:val="es-GT" w:eastAsia="es-GT"/>
              </w:rPr>
              <w:t>150</w:t>
            </w:r>
          </w:p>
        </w:tc>
        <w:tc>
          <w:tcPr>
            <w:tcW w:w="992" w:type="dxa"/>
            <w:tcBorders>
              <w:top w:val="nil"/>
              <w:left w:val="nil"/>
              <w:bottom w:val="single" w:sz="4" w:space="0" w:color="auto"/>
              <w:right w:val="single" w:sz="4" w:space="0" w:color="auto"/>
            </w:tcBorders>
            <w:shd w:val="clear" w:color="auto" w:fill="auto"/>
            <w:noWrap/>
            <w:vAlign w:val="center"/>
            <w:hideMark/>
          </w:tcPr>
          <w:p w14:paraId="507637C4" w14:textId="77777777" w:rsidR="00C42AA3" w:rsidRPr="00D1261C" w:rsidRDefault="00C42AA3" w:rsidP="003C60DB">
            <w:pPr>
              <w:jc w:val="center"/>
              <w:rPr>
                <w:color w:val="000000"/>
                <w:lang w:val="es-GT" w:eastAsia="es-GT"/>
              </w:rPr>
            </w:pPr>
            <w:r w:rsidRPr="00D1261C">
              <w:rPr>
                <w:color w:val="000000"/>
                <w:lang w:val="es-GT" w:eastAsia="es-GT"/>
              </w:rPr>
              <w:t>1,154.82</w:t>
            </w:r>
          </w:p>
        </w:tc>
        <w:tc>
          <w:tcPr>
            <w:tcW w:w="1594" w:type="dxa"/>
            <w:gridSpan w:val="2"/>
            <w:tcBorders>
              <w:top w:val="nil"/>
              <w:left w:val="nil"/>
              <w:bottom w:val="single" w:sz="4" w:space="0" w:color="auto"/>
              <w:right w:val="single" w:sz="4" w:space="0" w:color="auto"/>
            </w:tcBorders>
            <w:shd w:val="clear" w:color="auto" w:fill="auto"/>
            <w:vAlign w:val="center"/>
            <w:hideMark/>
          </w:tcPr>
          <w:p w14:paraId="6246492C" w14:textId="77777777" w:rsidR="00C42AA3" w:rsidRPr="00D1261C" w:rsidRDefault="00C42AA3" w:rsidP="003C60DB">
            <w:pPr>
              <w:jc w:val="center"/>
              <w:rPr>
                <w:color w:val="000000"/>
                <w:lang w:val="es-GT" w:eastAsia="es-GT"/>
              </w:rPr>
            </w:pPr>
            <w:r w:rsidRPr="00D1261C">
              <w:rPr>
                <w:color w:val="000000"/>
                <w:lang w:val="es-GT" w:eastAsia="es-GT"/>
              </w:rPr>
              <w:t>Banco Interamericano de Desarrollo</w:t>
            </w:r>
          </w:p>
        </w:tc>
        <w:tc>
          <w:tcPr>
            <w:tcW w:w="1154" w:type="dxa"/>
            <w:tcBorders>
              <w:top w:val="nil"/>
              <w:left w:val="nil"/>
              <w:bottom w:val="single" w:sz="4" w:space="0" w:color="auto"/>
              <w:right w:val="single" w:sz="4" w:space="0" w:color="auto"/>
            </w:tcBorders>
            <w:shd w:val="clear" w:color="auto" w:fill="auto"/>
            <w:noWrap/>
            <w:vAlign w:val="center"/>
            <w:hideMark/>
          </w:tcPr>
          <w:p w14:paraId="3D71F733" w14:textId="77777777" w:rsidR="00C42AA3" w:rsidRPr="00D1261C" w:rsidRDefault="00C42AA3" w:rsidP="003C60DB">
            <w:pPr>
              <w:jc w:val="center"/>
              <w:rPr>
                <w:color w:val="000000"/>
                <w:lang w:val="es-GT" w:eastAsia="es-GT"/>
              </w:rPr>
            </w:pPr>
            <w:r w:rsidRPr="00D1261C">
              <w:rPr>
                <w:color w:val="000000"/>
                <w:lang w:val="es-GT" w:eastAsia="es-GT"/>
              </w:rPr>
              <w:t>5 de abril 2020</w:t>
            </w:r>
          </w:p>
        </w:tc>
      </w:tr>
      <w:tr w:rsidR="00C42AA3" w:rsidRPr="009562D6" w14:paraId="3189B8E1" w14:textId="77777777" w:rsidTr="003C60DB">
        <w:trPr>
          <w:gridAfter w:val="3"/>
          <w:wAfter w:w="2721" w:type="dxa"/>
          <w:trHeight w:val="269"/>
          <w:jc w:val="center"/>
        </w:trPr>
        <w:tc>
          <w:tcPr>
            <w:tcW w:w="3416" w:type="dxa"/>
            <w:tcBorders>
              <w:top w:val="single" w:sz="4" w:space="0" w:color="auto"/>
              <w:left w:val="single" w:sz="4" w:space="0" w:color="auto"/>
              <w:bottom w:val="single" w:sz="4" w:space="0" w:color="auto"/>
              <w:right w:val="single" w:sz="4" w:space="0" w:color="auto"/>
            </w:tcBorders>
            <w:shd w:val="clear" w:color="000000" w:fill="F2F2F2"/>
            <w:noWrap/>
            <w:vAlign w:val="bottom"/>
            <w:hideMark/>
          </w:tcPr>
          <w:p w14:paraId="255630FF" w14:textId="77777777" w:rsidR="00C42AA3" w:rsidRPr="00BA455B" w:rsidRDefault="00C42AA3" w:rsidP="003C60DB">
            <w:pPr>
              <w:jc w:val="center"/>
              <w:rPr>
                <w:b/>
                <w:bCs/>
                <w:color w:val="000000"/>
                <w:lang w:val="es-GT" w:eastAsia="es-GT"/>
              </w:rPr>
            </w:pPr>
            <w:r w:rsidRPr="00BA455B">
              <w:rPr>
                <w:b/>
                <w:bCs/>
                <w:color w:val="000000"/>
                <w:lang w:val="es-GT" w:eastAsia="es-GT"/>
              </w:rPr>
              <w:t xml:space="preserve">Total </w:t>
            </w:r>
          </w:p>
        </w:tc>
        <w:tc>
          <w:tcPr>
            <w:tcW w:w="1257" w:type="dxa"/>
            <w:gridSpan w:val="2"/>
            <w:tcBorders>
              <w:top w:val="single" w:sz="4" w:space="0" w:color="auto"/>
              <w:left w:val="nil"/>
              <w:bottom w:val="single" w:sz="4" w:space="0" w:color="auto"/>
              <w:right w:val="single" w:sz="4" w:space="0" w:color="auto"/>
            </w:tcBorders>
            <w:shd w:val="clear" w:color="000000" w:fill="F2F2F2"/>
            <w:noWrap/>
            <w:vAlign w:val="bottom"/>
            <w:hideMark/>
          </w:tcPr>
          <w:p w14:paraId="76A276BB" w14:textId="77777777" w:rsidR="00C42AA3" w:rsidRPr="00BA455B" w:rsidRDefault="00C42AA3" w:rsidP="003C60DB">
            <w:pPr>
              <w:jc w:val="right"/>
              <w:rPr>
                <w:b/>
                <w:bCs/>
                <w:color w:val="000000"/>
                <w:lang w:val="es-GT" w:eastAsia="es-GT"/>
              </w:rPr>
            </w:pPr>
            <w:r w:rsidRPr="00BA455B">
              <w:rPr>
                <w:b/>
                <w:bCs/>
                <w:color w:val="000000"/>
                <w:lang w:val="es-GT" w:eastAsia="es-GT"/>
              </w:rPr>
              <w:t>1,053.2</w:t>
            </w:r>
          </w:p>
        </w:tc>
        <w:tc>
          <w:tcPr>
            <w:tcW w:w="1042" w:type="dxa"/>
            <w:gridSpan w:val="2"/>
            <w:tcBorders>
              <w:top w:val="single" w:sz="4" w:space="0" w:color="auto"/>
              <w:left w:val="nil"/>
              <w:bottom w:val="single" w:sz="4" w:space="0" w:color="auto"/>
              <w:right w:val="single" w:sz="4" w:space="0" w:color="auto"/>
            </w:tcBorders>
            <w:shd w:val="clear" w:color="000000" w:fill="F2F2F2"/>
            <w:noWrap/>
            <w:vAlign w:val="bottom"/>
            <w:hideMark/>
          </w:tcPr>
          <w:p w14:paraId="51B1EACE" w14:textId="77777777" w:rsidR="00C42AA3" w:rsidRPr="00BA455B" w:rsidRDefault="00C42AA3" w:rsidP="003C60DB">
            <w:pPr>
              <w:jc w:val="right"/>
              <w:rPr>
                <w:b/>
                <w:bCs/>
                <w:color w:val="000000"/>
                <w:lang w:val="es-GT" w:eastAsia="es-GT"/>
              </w:rPr>
            </w:pPr>
            <w:r w:rsidRPr="00BA455B">
              <w:rPr>
                <w:b/>
                <w:bCs/>
                <w:color w:val="000000"/>
                <w:lang w:val="es-GT" w:eastAsia="es-GT"/>
              </w:rPr>
              <w:t>Q8,108.12</w:t>
            </w:r>
          </w:p>
        </w:tc>
      </w:tr>
    </w:tbl>
    <w:p w14:paraId="0B8653A0" w14:textId="77777777" w:rsidR="00C42AA3" w:rsidRPr="004707AB" w:rsidRDefault="00C42AA3" w:rsidP="00C42AA3">
      <w:pPr>
        <w:ind w:left="708"/>
        <w:jc w:val="both"/>
        <w:rPr>
          <w:lang w:val="es-MX"/>
        </w:rPr>
      </w:pPr>
      <w:r w:rsidRPr="004707AB">
        <w:rPr>
          <w:rFonts w:eastAsia="OptimaLTStd"/>
          <w:color w:val="000000"/>
          <w:lang w:val="es-MX"/>
        </w:rPr>
        <w:t>Fuente: DTF MINFIN, con información publicaciones Diario de Centroamérica.</w:t>
      </w:r>
    </w:p>
    <w:p w14:paraId="3B42EA55" w14:textId="77777777" w:rsidR="00C42AA3" w:rsidRPr="009562D6" w:rsidRDefault="00C42AA3" w:rsidP="00C42AA3">
      <w:pPr>
        <w:rPr>
          <w:sz w:val="24"/>
          <w:szCs w:val="24"/>
          <w:lang w:val="es-MX"/>
        </w:rPr>
      </w:pPr>
    </w:p>
    <w:p w14:paraId="1124841E" w14:textId="77777777" w:rsidR="00C42AA3" w:rsidRPr="009562D6" w:rsidRDefault="00C42AA3" w:rsidP="00E648CF">
      <w:pPr>
        <w:spacing w:after="200" w:line="276" w:lineRule="auto"/>
        <w:ind w:left="567"/>
        <w:jc w:val="both"/>
        <w:rPr>
          <w:rFonts w:eastAsia="OptimaLTStd"/>
          <w:b/>
          <w:bCs/>
          <w:color w:val="000000"/>
          <w:sz w:val="24"/>
          <w:szCs w:val="24"/>
          <w:lang w:val="es-MX"/>
        </w:rPr>
      </w:pPr>
      <w:r w:rsidRPr="009562D6">
        <w:rPr>
          <w:rFonts w:eastAsia="OptimaLTStd"/>
          <w:b/>
          <w:bCs/>
          <w:color w:val="000000"/>
          <w:sz w:val="24"/>
          <w:szCs w:val="24"/>
          <w:lang w:val="es-MX"/>
        </w:rPr>
        <w:t>Fondos y programas como compensadores sociales y regulaciones especiales</w:t>
      </w:r>
    </w:p>
    <w:p w14:paraId="40ED2015" w14:textId="16CE90C9" w:rsidR="00C42AA3" w:rsidRDefault="00C42AA3" w:rsidP="00E648CF">
      <w:pPr>
        <w:pStyle w:val="Sinespaciado"/>
        <w:ind w:left="567" w:right="49"/>
        <w:jc w:val="both"/>
        <w:rPr>
          <w:rFonts w:ascii="Times New Roman" w:eastAsia="OptimaLTStd" w:hAnsi="Times New Roman"/>
          <w:sz w:val="24"/>
          <w:szCs w:val="24"/>
        </w:rPr>
      </w:pPr>
      <w:r w:rsidRPr="00115F29">
        <w:rPr>
          <w:rFonts w:ascii="Times New Roman" w:eastAsia="OptimaLTStd" w:hAnsi="Times New Roman"/>
          <w:sz w:val="24"/>
          <w:szCs w:val="24"/>
        </w:rPr>
        <w:t xml:space="preserve">Los </w:t>
      </w:r>
      <w:r w:rsidRPr="00E648CF">
        <w:rPr>
          <w:rFonts w:ascii="Times New Roman" w:eastAsia="OptimaLTStd" w:hAnsi="Times New Roman"/>
          <w:color w:val="000000"/>
          <w:sz w:val="24"/>
          <w:szCs w:val="24"/>
          <w:lang w:val="es-MX"/>
        </w:rPr>
        <w:t>principales</w:t>
      </w:r>
      <w:r w:rsidRPr="00115F29">
        <w:rPr>
          <w:rFonts w:ascii="Times New Roman" w:eastAsia="OptimaLTStd" w:hAnsi="Times New Roman"/>
          <w:sz w:val="24"/>
          <w:szCs w:val="24"/>
        </w:rPr>
        <w:t xml:space="preserve"> programas de compensación social creados para proteger a los grupos más vulnerables y </w:t>
      </w:r>
      <w:r w:rsidRPr="00E648CF">
        <w:rPr>
          <w:rFonts w:ascii="Times New Roman" w:eastAsia="OptimaLTStd" w:hAnsi="Times New Roman"/>
          <w:color w:val="000000"/>
          <w:sz w:val="24"/>
          <w:szCs w:val="24"/>
          <w:lang w:val="es-MX"/>
        </w:rPr>
        <w:t>mitigar</w:t>
      </w:r>
      <w:r w:rsidRPr="00115F29">
        <w:rPr>
          <w:rFonts w:ascii="Times New Roman" w:eastAsia="OptimaLTStd" w:hAnsi="Times New Roman"/>
          <w:sz w:val="24"/>
          <w:szCs w:val="24"/>
        </w:rPr>
        <w:t xml:space="preserve"> la crisis económica que la pandemia ha provocado son los siguientes:</w:t>
      </w:r>
    </w:p>
    <w:p w14:paraId="0D95330F" w14:textId="77777777" w:rsidR="00DF3713" w:rsidRDefault="00DF3713" w:rsidP="00E648CF">
      <w:pPr>
        <w:pStyle w:val="Sinespaciado"/>
        <w:ind w:left="567" w:right="49"/>
        <w:jc w:val="both"/>
        <w:rPr>
          <w:rFonts w:ascii="Times New Roman" w:eastAsia="OptimaLTStd" w:hAnsi="Times New Roman"/>
          <w:sz w:val="24"/>
          <w:szCs w:val="24"/>
        </w:rPr>
      </w:pPr>
    </w:p>
    <w:p w14:paraId="19F67E88" w14:textId="77777777" w:rsidR="00115F29" w:rsidRPr="00115F29" w:rsidRDefault="00115F29" w:rsidP="00115F29">
      <w:pPr>
        <w:pStyle w:val="Sinespaciado"/>
        <w:jc w:val="both"/>
        <w:rPr>
          <w:rFonts w:ascii="Times New Roman" w:eastAsia="OptimaLTStd" w:hAnsi="Times New Roman"/>
          <w:sz w:val="24"/>
          <w:szCs w:val="24"/>
        </w:rPr>
      </w:pPr>
    </w:p>
    <w:p w14:paraId="63F48D69" w14:textId="77777777" w:rsidR="00C42AA3" w:rsidRPr="00AE63E7" w:rsidRDefault="00C42AA3" w:rsidP="00E648CF">
      <w:pPr>
        <w:ind w:left="567"/>
        <w:rPr>
          <w:rFonts w:eastAsia="OptimaLTStd"/>
          <w:b/>
          <w:bCs/>
          <w:color w:val="000000"/>
          <w:sz w:val="24"/>
          <w:szCs w:val="24"/>
          <w:lang w:val="es-MX"/>
        </w:rPr>
      </w:pPr>
      <w:r w:rsidRPr="00AE63E7">
        <w:rPr>
          <w:rFonts w:eastAsia="OptimaLTStd"/>
          <w:b/>
          <w:bCs/>
          <w:color w:val="000000"/>
          <w:sz w:val="24"/>
          <w:szCs w:val="24"/>
          <w:lang w:val="es-MX"/>
        </w:rPr>
        <w:lastRenderedPageBreak/>
        <w:t xml:space="preserve">Bono Familia </w:t>
      </w:r>
    </w:p>
    <w:p w14:paraId="37E1CF6F" w14:textId="77777777" w:rsidR="00C42AA3" w:rsidRPr="009562D6" w:rsidRDefault="00C42AA3" w:rsidP="00C42AA3">
      <w:pPr>
        <w:autoSpaceDE w:val="0"/>
        <w:autoSpaceDN w:val="0"/>
        <w:adjustRightInd w:val="0"/>
        <w:rPr>
          <w:sz w:val="24"/>
          <w:szCs w:val="24"/>
        </w:rPr>
      </w:pPr>
    </w:p>
    <w:p w14:paraId="6CDFAA71" w14:textId="3488AD1F" w:rsidR="00C42AA3" w:rsidRPr="00115F29" w:rsidRDefault="00C42AA3" w:rsidP="00E648CF">
      <w:pPr>
        <w:pStyle w:val="Sinespaciado"/>
        <w:ind w:left="567"/>
        <w:jc w:val="both"/>
        <w:rPr>
          <w:rFonts w:ascii="Times New Roman" w:eastAsia="OptimaLTStd" w:hAnsi="Times New Roman"/>
          <w:sz w:val="24"/>
          <w:szCs w:val="24"/>
        </w:rPr>
      </w:pPr>
      <w:r w:rsidRPr="00115F29">
        <w:rPr>
          <w:rFonts w:ascii="Times New Roman" w:eastAsia="OptimaLTStd" w:hAnsi="Times New Roman"/>
          <w:sz w:val="24"/>
          <w:szCs w:val="24"/>
        </w:rPr>
        <w:t>Para incentivar la economía familiar, por medio del Decreto 13-2020 se creó el Fondo “Bono Familia” por un monto de Q 6,003.40 millones; orientado a la población más afectada económicamente, que se consideran en riesgo; y cuyo consumo mensual de energía eléctrica a febrero 2020, no supere los 200KWh. El fondo será ejecutado por el Ministerio de Desarrollo Social MIDES.</w:t>
      </w:r>
    </w:p>
    <w:p w14:paraId="7A66516E" w14:textId="77777777" w:rsidR="00115F29" w:rsidRPr="009562D6" w:rsidRDefault="00115F29" w:rsidP="00115F29">
      <w:pPr>
        <w:pStyle w:val="Sinespaciado"/>
        <w:rPr>
          <w:rFonts w:eastAsia="OptimaLTStd"/>
        </w:rPr>
      </w:pPr>
    </w:p>
    <w:p w14:paraId="5B9A9813" w14:textId="77777777" w:rsidR="00C42AA3" w:rsidRPr="00DF7BF8" w:rsidRDefault="00C42AA3" w:rsidP="00E648CF">
      <w:pPr>
        <w:ind w:left="567"/>
        <w:rPr>
          <w:rFonts w:eastAsia="OptimaLTStd"/>
          <w:b/>
          <w:bCs/>
          <w:color w:val="000000"/>
          <w:sz w:val="24"/>
          <w:szCs w:val="24"/>
          <w:lang w:val="es-MX"/>
        </w:rPr>
      </w:pPr>
      <w:r w:rsidRPr="00DF7BF8">
        <w:rPr>
          <w:rFonts w:eastAsia="OptimaLTStd"/>
          <w:b/>
          <w:bCs/>
          <w:color w:val="000000"/>
          <w:sz w:val="24"/>
          <w:szCs w:val="24"/>
          <w:lang w:val="es-MX"/>
        </w:rPr>
        <w:t>Fondo para la protección del empleo</w:t>
      </w:r>
    </w:p>
    <w:p w14:paraId="54C907D0" w14:textId="77777777" w:rsidR="00C42AA3" w:rsidRDefault="00C42AA3" w:rsidP="00C42AA3">
      <w:pPr>
        <w:autoSpaceDE w:val="0"/>
        <w:autoSpaceDN w:val="0"/>
        <w:adjustRightInd w:val="0"/>
        <w:spacing w:line="276" w:lineRule="auto"/>
        <w:jc w:val="both"/>
        <w:rPr>
          <w:rFonts w:eastAsia="OptimaLTStd"/>
          <w:color w:val="000000"/>
          <w:sz w:val="24"/>
          <w:szCs w:val="24"/>
          <w:lang w:val="es-MX"/>
        </w:rPr>
      </w:pPr>
    </w:p>
    <w:p w14:paraId="3F3D9A84" w14:textId="77777777" w:rsidR="00C42AA3" w:rsidRPr="00115F29" w:rsidRDefault="00C42AA3" w:rsidP="00E648CF">
      <w:pPr>
        <w:pStyle w:val="Sinespaciado"/>
        <w:ind w:left="567" w:right="49"/>
        <w:jc w:val="both"/>
        <w:rPr>
          <w:rFonts w:ascii="Times New Roman" w:eastAsia="OptimaLTStd" w:hAnsi="Times New Roman"/>
          <w:sz w:val="24"/>
          <w:szCs w:val="24"/>
        </w:rPr>
      </w:pPr>
      <w:r w:rsidRPr="00115F29">
        <w:rPr>
          <w:rFonts w:ascii="Times New Roman" w:eastAsia="OptimaLTStd" w:hAnsi="Times New Roman"/>
          <w:sz w:val="24"/>
          <w:szCs w:val="24"/>
        </w:rPr>
        <w:t xml:space="preserve">Como una medida compensatoria, a través del Crédito Hipotecario Nacional CHN se administra el Fondo para la </w:t>
      </w:r>
      <w:r w:rsidRPr="00E648CF">
        <w:rPr>
          <w:rFonts w:ascii="Times New Roman" w:eastAsia="OptimaLTStd" w:hAnsi="Times New Roman"/>
          <w:color w:val="000000"/>
          <w:sz w:val="24"/>
          <w:szCs w:val="24"/>
          <w:lang w:val="es-MX"/>
        </w:rPr>
        <w:t>Protección</w:t>
      </w:r>
      <w:r w:rsidRPr="00115F29">
        <w:rPr>
          <w:rFonts w:ascii="Times New Roman" w:eastAsia="OptimaLTStd" w:hAnsi="Times New Roman"/>
          <w:sz w:val="24"/>
          <w:szCs w:val="24"/>
        </w:rPr>
        <w:t xml:space="preserve"> del empleo hasta por Q 2,000.0 millones; con el objeto de apoyar a los trabajadores del sector privado que se vean afectados por el estado de calamidad pública, con un monto fijo de Q75.00 diarios por trabajador. Dicho fondo se ejecuta bajo los requerimientos y lineamientos del Ministerio de Economía MINECO en coordinación con el Ministerio de Trabajo MINTRAB.</w:t>
      </w:r>
    </w:p>
    <w:p w14:paraId="395D9FA2" w14:textId="77777777" w:rsidR="00C42AA3" w:rsidRDefault="00C42AA3" w:rsidP="00C42AA3">
      <w:pPr>
        <w:autoSpaceDE w:val="0"/>
        <w:autoSpaceDN w:val="0"/>
        <w:adjustRightInd w:val="0"/>
        <w:jc w:val="center"/>
        <w:rPr>
          <w:rFonts w:eastAsia="OptimaLTStd"/>
          <w:color w:val="000000"/>
          <w:sz w:val="24"/>
          <w:szCs w:val="24"/>
          <w:lang w:val="es-MX"/>
        </w:rPr>
      </w:pPr>
    </w:p>
    <w:p w14:paraId="57C1CFFC" w14:textId="77777777" w:rsidR="00C42AA3" w:rsidRPr="00DF7BF8" w:rsidRDefault="00C42AA3" w:rsidP="00E648CF">
      <w:pPr>
        <w:spacing w:after="200" w:line="276" w:lineRule="auto"/>
        <w:ind w:left="567"/>
        <w:jc w:val="both"/>
        <w:rPr>
          <w:rFonts w:eastAsia="OptimaLTStd"/>
          <w:b/>
          <w:bCs/>
          <w:color w:val="000000"/>
          <w:sz w:val="24"/>
          <w:szCs w:val="24"/>
          <w:lang w:val="es-MX"/>
        </w:rPr>
      </w:pPr>
      <w:r>
        <w:rPr>
          <w:rFonts w:eastAsia="OptimaLTStd"/>
          <w:b/>
          <w:bCs/>
          <w:color w:val="000000"/>
          <w:sz w:val="24"/>
          <w:szCs w:val="24"/>
          <w:lang w:val="es-MX"/>
        </w:rPr>
        <w:t>F</w:t>
      </w:r>
      <w:r w:rsidRPr="00DF7BF8">
        <w:rPr>
          <w:rFonts w:eastAsia="OptimaLTStd"/>
          <w:b/>
          <w:bCs/>
          <w:color w:val="000000"/>
          <w:sz w:val="24"/>
          <w:szCs w:val="24"/>
          <w:lang w:val="es-MX"/>
        </w:rPr>
        <w:t>ondo de Emergencia</w:t>
      </w:r>
    </w:p>
    <w:p w14:paraId="4154D0FC" w14:textId="1A7567A6" w:rsidR="00C42AA3" w:rsidRDefault="00C42AA3" w:rsidP="00E648CF">
      <w:pPr>
        <w:pStyle w:val="Sinespaciado"/>
        <w:ind w:left="567"/>
        <w:jc w:val="both"/>
        <w:rPr>
          <w:rFonts w:ascii="Times New Roman" w:eastAsia="OptimaLTStd" w:hAnsi="Times New Roman"/>
          <w:sz w:val="24"/>
          <w:szCs w:val="24"/>
        </w:rPr>
      </w:pPr>
      <w:r w:rsidRPr="00115F29">
        <w:rPr>
          <w:rFonts w:ascii="Times New Roman" w:eastAsia="OptimaLTStd" w:hAnsi="Times New Roman"/>
          <w:sz w:val="24"/>
          <w:szCs w:val="24"/>
        </w:rPr>
        <w:t>El Decreto Número 12-2020 aprueba el Fondo de Emergencia FEMER por un monto de Q1,500.00 millones para financiar programas tendentes a mitigar el impacto económico en la población de las medidas de contención de la pandemia provocada por el COVID-19.</w:t>
      </w:r>
    </w:p>
    <w:p w14:paraId="2515F9FD" w14:textId="77777777" w:rsidR="00115F29" w:rsidRPr="00115F29" w:rsidRDefault="00115F29" w:rsidP="00E648CF">
      <w:pPr>
        <w:pStyle w:val="Sinespaciado"/>
        <w:ind w:left="567"/>
        <w:jc w:val="both"/>
        <w:rPr>
          <w:rFonts w:ascii="Times New Roman" w:eastAsia="OptimaLTStd" w:hAnsi="Times New Roman"/>
          <w:sz w:val="24"/>
          <w:szCs w:val="24"/>
        </w:rPr>
      </w:pPr>
    </w:p>
    <w:p w14:paraId="6DE23699" w14:textId="77777777" w:rsidR="00C42AA3" w:rsidRPr="00AE63E7" w:rsidRDefault="00C42AA3" w:rsidP="00E648CF">
      <w:pPr>
        <w:ind w:left="567"/>
        <w:rPr>
          <w:rFonts w:eastAsia="OptimaLTStd"/>
          <w:b/>
          <w:bCs/>
          <w:color w:val="000000"/>
          <w:sz w:val="24"/>
          <w:szCs w:val="24"/>
          <w:lang w:val="es-MX"/>
        </w:rPr>
      </w:pPr>
      <w:r w:rsidRPr="00AE63E7">
        <w:rPr>
          <w:rFonts w:eastAsia="OptimaLTStd"/>
          <w:b/>
          <w:bCs/>
          <w:color w:val="000000"/>
          <w:sz w:val="24"/>
          <w:szCs w:val="24"/>
          <w:lang w:val="es-MX"/>
        </w:rPr>
        <w:t>Subsidio temporal de la tarifa por consumo de energía eléctrica</w:t>
      </w:r>
    </w:p>
    <w:p w14:paraId="1A5590BB" w14:textId="77777777" w:rsidR="00C42AA3" w:rsidRDefault="00C42AA3" w:rsidP="00E648CF">
      <w:pPr>
        <w:autoSpaceDE w:val="0"/>
        <w:autoSpaceDN w:val="0"/>
        <w:adjustRightInd w:val="0"/>
        <w:spacing w:line="276" w:lineRule="auto"/>
        <w:ind w:left="567"/>
        <w:jc w:val="both"/>
        <w:rPr>
          <w:rFonts w:eastAsia="OptimaLTStd"/>
          <w:color w:val="000000"/>
          <w:sz w:val="24"/>
          <w:szCs w:val="24"/>
          <w:lang w:val="es-MX"/>
        </w:rPr>
      </w:pPr>
    </w:p>
    <w:p w14:paraId="5F9E273B" w14:textId="77777777" w:rsidR="00C42AA3" w:rsidRPr="00115F29" w:rsidRDefault="00C42AA3" w:rsidP="00E648CF">
      <w:pPr>
        <w:pStyle w:val="Sinespaciado"/>
        <w:ind w:left="567"/>
        <w:jc w:val="both"/>
        <w:rPr>
          <w:rFonts w:ascii="Times New Roman" w:eastAsia="OptimaLTStd" w:hAnsi="Times New Roman"/>
          <w:sz w:val="24"/>
          <w:szCs w:val="24"/>
        </w:rPr>
      </w:pPr>
      <w:r w:rsidRPr="00115F29">
        <w:rPr>
          <w:rFonts w:ascii="Times New Roman" w:eastAsia="OptimaLTStd" w:hAnsi="Times New Roman"/>
          <w:sz w:val="24"/>
          <w:szCs w:val="24"/>
        </w:rPr>
        <w:t>El Decreto Número 13-2020, asigna un aporte extraordinario de Q270.0 millones al Instituto Nacional de Electrificación INDE para otorgar un incremento temporal de la tarifa social para consumo de energía eléctrica domiciliar, por un período mínimo de tres meses. Así como, un subsidio temporal de la tarifa por consumo de energía eléctrica que pagan las empresas municipales o entidades públicas de agua.</w:t>
      </w:r>
    </w:p>
    <w:p w14:paraId="5153DF58" w14:textId="77777777" w:rsidR="00C42AA3" w:rsidRDefault="00C42AA3" w:rsidP="00C42AA3">
      <w:pPr>
        <w:autoSpaceDE w:val="0"/>
        <w:autoSpaceDN w:val="0"/>
        <w:adjustRightInd w:val="0"/>
        <w:jc w:val="center"/>
        <w:rPr>
          <w:rFonts w:eastAsia="OptimaLTStd"/>
          <w:color w:val="000000"/>
          <w:sz w:val="24"/>
          <w:szCs w:val="24"/>
          <w:lang w:val="es-MX"/>
        </w:rPr>
      </w:pPr>
    </w:p>
    <w:p w14:paraId="65D2496D" w14:textId="7704BFF8" w:rsidR="00E648CF" w:rsidRDefault="00C42AA3" w:rsidP="00E648CF">
      <w:pPr>
        <w:pStyle w:val="Sinespaciado"/>
        <w:ind w:left="567"/>
        <w:jc w:val="both"/>
        <w:rPr>
          <w:rFonts w:ascii="Times New Roman" w:eastAsia="OptimaLTStd" w:hAnsi="Times New Roman"/>
          <w:sz w:val="24"/>
          <w:szCs w:val="24"/>
        </w:rPr>
      </w:pPr>
      <w:r w:rsidRPr="00115F29">
        <w:rPr>
          <w:rFonts w:ascii="Times New Roman" w:eastAsia="OptimaLTStd" w:hAnsi="Times New Roman"/>
          <w:sz w:val="24"/>
          <w:szCs w:val="24"/>
        </w:rPr>
        <w:t>En conjunto las asignaciones especiales para la atención de la emergencia ascienden a Q 14,199.8 millones, equivalentes a un estímulo fiscal en el orden del 2.4% del Producto Interno Bruto Potencial estimado para el 2020.</w:t>
      </w:r>
    </w:p>
    <w:p w14:paraId="0C4589EE" w14:textId="62C91440" w:rsidR="00DF3713" w:rsidRDefault="00DF3713" w:rsidP="00E648CF">
      <w:pPr>
        <w:pStyle w:val="Sinespaciado"/>
        <w:ind w:left="567"/>
        <w:jc w:val="both"/>
        <w:rPr>
          <w:rFonts w:ascii="Times New Roman" w:eastAsia="OptimaLTStd" w:hAnsi="Times New Roman"/>
          <w:sz w:val="24"/>
          <w:szCs w:val="24"/>
        </w:rPr>
      </w:pPr>
    </w:p>
    <w:p w14:paraId="571ABC35" w14:textId="37B318BE" w:rsidR="00DF3713" w:rsidRDefault="00DF3713" w:rsidP="00E648CF">
      <w:pPr>
        <w:pStyle w:val="Sinespaciado"/>
        <w:ind w:left="567"/>
        <w:jc w:val="both"/>
        <w:rPr>
          <w:rFonts w:ascii="Times New Roman" w:eastAsia="OptimaLTStd" w:hAnsi="Times New Roman"/>
          <w:sz w:val="24"/>
          <w:szCs w:val="24"/>
        </w:rPr>
      </w:pPr>
    </w:p>
    <w:p w14:paraId="6CC9028B" w14:textId="7673804F" w:rsidR="00DF3713" w:rsidRDefault="00DF3713" w:rsidP="00E648CF">
      <w:pPr>
        <w:pStyle w:val="Sinespaciado"/>
        <w:ind w:left="567"/>
        <w:jc w:val="both"/>
        <w:rPr>
          <w:rFonts w:ascii="Times New Roman" w:eastAsia="OptimaLTStd" w:hAnsi="Times New Roman"/>
          <w:sz w:val="24"/>
          <w:szCs w:val="24"/>
        </w:rPr>
      </w:pPr>
    </w:p>
    <w:p w14:paraId="480E539B" w14:textId="68AA335A" w:rsidR="00DF3713" w:rsidRDefault="00DF3713" w:rsidP="00E648CF">
      <w:pPr>
        <w:pStyle w:val="Sinespaciado"/>
        <w:ind w:left="567"/>
        <w:jc w:val="both"/>
        <w:rPr>
          <w:rFonts w:ascii="Times New Roman" w:eastAsia="OptimaLTStd" w:hAnsi="Times New Roman"/>
          <w:sz w:val="24"/>
          <w:szCs w:val="24"/>
        </w:rPr>
      </w:pPr>
    </w:p>
    <w:p w14:paraId="6480FFED" w14:textId="43E70715" w:rsidR="00DF3713" w:rsidRDefault="00DF3713" w:rsidP="00E648CF">
      <w:pPr>
        <w:pStyle w:val="Sinespaciado"/>
        <w:ind w:left="567"/>
        <w:jc w:val="both"/>
        <w:rPr>
          <w:rFonts w:ascii="Times New Roman" w:eastAsia="OptimaLTStd" w:hAnsi="Times New Roman"/>
          <w:sz w:val="24"/>
          <w:szCs w:val="24"/>
        </w:rPr>
      </w:pPr>
    </w:p>
    <w:p w14:paraId="11077E42" w14:textId="67836458" w:rsidR="00DF3713" w:rsidRDefault="00DF3713" w:rsidP="00E648CF">
      <w:pPr>
        <w:pStyle w:val="Sinespaciado"/>
        <w:ind w:left="567"/>
        <w:jc w:val="both"/>
        <w:rPr>
          <w:rFonts w:ascii="Times New Roman" w:eastAsia="OptimaLTStd" w:hAnsi="Times New Roman"/>
          <w:sz w:val="24"/>
          <w:szCs w:val="24"/>
        </w:rPr>
      </w:pPr>
    </w:p>
    <w:p w14:paraId="36AD70EA" w14:textId="36D19EE5" w:rsidR="00DF3713" w:rsidRDefault="00DF3713" w:rsidP="00E648CF">
      <w:pPr>
        <w:pStyle w:val="Sinespaciado"/>
        <w:ind w:left="567"/>
        <w:jc w:val="both"/>
        <w:rPr>
          <w:rFonts w:ascii="Times New Roman" w:eastAsia="OptimaLTStd" w:hAnsi="Times New Roman"/>
          <w:sz w:val="24"/>
          <w:szCs w:val="24"/>
        </w:rPr>
      </w:pPr>
    </w:p>
    <w:p w14:paraId="22C98186" w14:textId="77777777" w:rsidR="00DF3713" w:rsidRPr="00115F29" w:rsidRDefault="00DF3713" w:rsidP="00E648CF">
      <w:pPr>
        <w:pStyle w:val="Sinespaciado"/>
        <w:ind w:left="567"/>
        <w:jc w:val="both"/>
        <w:rPr>
          <w:rFonts w:ascii="Times New Roman" w:eastAsia="OptimaLTStd" w:hAnsi="Times New Roman"/>
          <w:sz w:val="24"/>
          <w:szCs w:val="24"/>
        </w:rPr>
      </w:pPr>
    </w:p>
    <w:p w14:paraId="79CD2359" w14:textId="730E55BB" w:rsidR="00C42AA3" w:rsidRPr="0013165C" w:rsidRDefault="00C42AA3" w:rsidP="0013165C">
      <w:pPr>
        <w:pStyle w:val="Epgrafe"/>
        <w:keepNext/>
        <w:ind w:left="567" w:right="49"/>
        <w:rPr>
          <w:color w:val="auto"/>
          <w:sz w:val="24"/>
          <w:szCs w:val="24"/>
        </w:rPr>
      </w:pPr>
      <w:r w:rsidRPr="001E6D97">
        <w:rPr>
          <w:rFonts w:eastAsia="OptimaLTStd"/>
          <w:color w:val="000000"/>
          <w:sz w:val="24"/>
          <w:szCs w:val="24"/>
          <w:lang w:val="es-MX"/>
        </w:rPr>
        <w:lastRenderedPageBreak/>
        <w:br/>
      </w:r>
      <w:r w:rsidR="0013165C">
        <w:rPr>
          <w:color w:val="auto"/>
          <w:sz w:val="24"/>
          <w:szCs w:val="24"/>
        </w:rPr>
        <w:t>Tabla 9</w:t>
      </w:r>
    </w:p>
    <w:p w14:paraId="4DD21148" w14:textId="77777777" w:rsidR="00C42AA3" w:rsidRPr="0013165C" w:rsidRDefault="00C42AA3" w:rsidP="0013165C">
      <w:pPr>
        <w:pStyle w:val="Epgrafe"/>
        <w:keepNext/>
        <w:ind w:left="567" w:right="49"/>
        <w:rPr>
          <w:color w:val="auto"/>
          <w:sz w:val="24"/>
          <w:szCs w:val="24"/>
        </w:rPr>
      </w:pPr>
      <w:r w:rsidRPr="0013165C">
        <w:rPr>
          <w:color w:val="auto"/>
          <w:sz w:val="24"/>
          <w:szCs w:val="24"/>
        </w:rPr>
        <w:t>Principales programas implementados en el marco de la emergencia Covid-19</w:t>
      </w:r>
    </w:p>
    <w:p w14:paraId="0EEDCC0E" w14:textId="77777777" w:rsidR="00C42AA3" w:rsidRPr="0013165C" w:rsidRDefault="00C42AA3" w:rsidP="0013165C">
      <w:pPr>
        <w:pStyle w:val="Epgrafe"/>
        <w:keepNext/>
        <w:ind w:left="567" w:right="49"/>
        <w:rPr>
          <w:color w:val="auto"/>
          <w:sz w:val="24"/>
          <w:szCs w:val="24"/>
        </w:rPr>
      </w:pPr>
      <w:r w:rsidRPr="0013165C">
        <w:rPr>
          <w:color w:val="auto"/>
          <w:sz w:val="24"/>
          <w:szCs w:val="24"/>
        </w:rPr>
        <w:t>Cifras en millones de Quetzales</w:t>
      </w:r>
    </w:p>
    <w:p w14:paraId="53B9E0D8" w14:textId="77777777" w:rsidR="00C42AA3" w:rsidRDefault="00C42AA3" w:rsidP="00C42AA3">
      <w:pPr>
        <w:widowControl/>
        <w:rPr>
          <w:rFonts w:eastAsiaTheme="minorHAnsi" w:cstheme="minorBidi"/>
          <w:sz w:val="24"/>
          <w:szCs w:val="22"/>
          <w:lang w:val="es-GT" w:eastAsia="en-US"/>
        </w:rPr>
      </w:pPr>
      <w:r>
        <w:rPr>
          <w:rFonts w:eastAsia="OptimaLTStd"/>
          <w:lang w:val="es-MX"/>
        </w:rPr>
        <w:fldChar w:fldCharType="begin"/>
      </w:r>
      <w:r>
        <w:rPr>
          <w:rFonts w:eastAsia="OptimaLTStd"/>
          <w:lang w:val="es-MX"/>
        </w:rPr>
        <w:instrText xml:space="preserve"> LINK Excel.Sheet.12 "Libro1" "Hoja1!F3C2:F16C4" \a \f 4 \h  \* MERGEFORMAT </w:instrText>
      </w:r>
      <w:r>
        <w:rPr>
          <w:rFonts w:eastAsia="OptimaLTStd"/>
          <w:lang w:val="es-MX"/>
        </w:rPr>
        <w:fldChar w:fldCharType="separate"/>
      </w:r>
    </w:p>
    <w:tbl>
      <w:tblPr>
        <w:tblW w:w="9473" w:type="dxa"/>
        <w:jc w:val="center"/>
        <w:tblCellMar>
          <w:left w:w="70" w:type="dxa"/>
          <w:right w:w="70" w:type="dxa"/>
        </w:tblCellMar>
        <w:tblLook w:val="04A0" w:firstRow="1" w:lastRow="0" w:firstColumn="1" w:lastColumn="0" w:noHBand="0" w:noVBand="1"/>
      </w:tblPr>
      <w:tblGrid>
        <w:gridCol w:w="3974"/>
        <w:gridCol w:w="4106"/>
        <w:gridCol w:w="1393"/>
      </w:tblGrid>
      <w:tr w:rsidR="00C42AA3" w:rsidRPr="00EC2791" w14:paraId="76F67540" w14:textId="77777777" w:rsidTr="00E648CF">
        <w:trPr>
          <w:trHeight w:val="149"/>
          <w:jc w:val="center"/>
        </w:trPr>
        <w:tc>
          <w:tcPr>
            <w:tcW w:w="3974" w:type="dxa"/>
            <w:tcBorders>
              <w:top w:val="single" w:sz="4" w:space="0" w:color="auto"/>
              <w:left w:val="single" w:sz="4" w:space="0" w:color="auto"/>
              <w:bottom w:val="single" w:sz="4" w:space="0" w:color="auto"/>
              <w:right w:val="single" w:sz="4" w:space="0" w:color="auto"/>
            </w:tcBorders>
            <w:shd w:val="clear" w:color="000000" w:fill="B4C6E7"/>
            <w:noWrap/>
            <w:vAlign w:val="bottom"/>
            <w:hideMark/>
          </w:tcPr>
          <w:p w14:paraId="1CF39B4F" w14:textId="77777777" w:rsidR="00C42AA3" w:rsidRPr="006C1FA1" w:rsidRDefault="00C42AA3" w:rsidP="003C60DB">
            <w:pPr>
              <w:widowControl/>
              <w:jc w:val="center"/>
              <w:rPr>
                <w:b/>
                <w:bCs/>
                <w:color w:val="000000"/>
                <w:lang w:val="es-MX" w:eastAsia="es-MX"/>
              </w:rPr>
            </w:pPr>
            <w:r>
              <w:rPr>
                <w:b/>
                <w:bCs/>
                <w:color w:val="000000"/>
                <w:lang w:val="es-MX" w:eastAsia="es-MX"/>
              </w:rPr>
              <w:t>Actividad</w:t>
            </w:r>
          </w:p>
        </w:tc>
        <w:tc>
          <w:tcPr>
            <w:tcW w:w="4106" w:type="dxa"/>
            <w:tcBorders>
              <w:top w:val="single" w:sz="4" w:space="0" w:color="auto"/>
              <w:left w:val="nil"/>
              <w:bottom w:val="single" w:sz="4" w:space="0" w:color="auto"/>
              <w:right w:val="single" w:sz="4" w:space="0" w:color="auto"/>
            </w:tcBorders>
            <w:shd w:val="clear" w:color="000000" w:fill="B4C6E7"/>
            <w:noWrap/>
            <w:vAlign w:val="bottom"/>
            <w:hideMark/>
          </w:tcPr>
          <w:p w14:paraId="4899DB33" w14:textId="77777777" w:rsidR="00C42AA3" w:rsidRPr="006C1FA1" w:rsidRDefault="00C42AA3" w:rsidP="003C60DB">
            <w:pPr>
              <w:widowControl/>
              <w:jc w:val="center"/>
              <w:rPr>
                <w:b/>
                <w:bCs/>
                <w:color w:val="000000"/>
                <w:lang w:val="es-MX" w:eastAsia="es-MX"/>
              </w:rPr>
            </w:pPr>
            <w:r w:rsidRPr="006C1FA1">
              <w:rPr>
                <w:b/>
                <w:bCs/>
                <w:color w:val="000000"/>
                <w:lang w:val="es-MX" w:eastAsia="es-MX"/>
              </w:rPr>
              <w:t>Responsable</w:t>
            </w:r>
          </w:p>
        </w:tc>
        <w:tc>
          <w:tcPr>
            <w:tcW w:w="1393" w:type="dxa"/>
            <w:tcBorders>
              <w:top w:val="single" w:sz="4" w:space="0" w:color="auto"/>
              <w:left w:val="nil"/>
              <w:bottom w:val="single" w:sz="4" w:space="0" w:color="auto"/>
              <w:right w:val="single" w:sz="4" w:space="0" w:color="auto"/>
            </w:tcBorders>
            <w:shd w:val="clear" w:color="000000" w:fill="B4C6E7"/>
            <w:noWrap/>
            <w:vAlign w:val="bottom"/>
            <w:hideMark/>
          </w:tcPr>
          <w:p w14:paraId="517B0187" w14:textId="77777777" w:rsidR="00C42AA3" w:rsidRPr="006C1FA1" w:rsidRDefault="00C42AA3" w:rsidP="003C60DB">
            <w:pPr>
              <w:widowControl/>
              <w:jc w:val="center"/>
              <w:rPr>
                <w:b/>
                <w:bCs/>
                <w:color w:val="000000"/>
                <w:lang w:val="es-MX" w:eastAsia="es-MX"/>
              </w:rPr>
            </w:pPr>
            <w:r w:rsidRPr="006C1FA1">
              <w:rPr>
                <w:b/>
                <w:bCs/>
                <w:color w:val="000000"/>
                <w:lang w:val="es-MX" w:eastAsia="es-MX"/>
              </w:rPr>
              <w:t xml:space="preserve">Presupuesto </w:t>
            </w:r>
          </w:p>
        </w:tc>
      </w:tr>
      <w:tr w:rsidR="00C42AA3" w:rsidRPr="00EC2791" w14:paraId="5D257BD9" w14:textId="77777777" w:rsidTr="00E648CF">
        <w:trPr>
          <w:trHeight w:val="149"/>
          <w:jc w:val="center"/>
        </w:trPr>
        <w:tc>
          <w:tcPr>
            <w:tcW w:w="3974" w:type="dxa"/>
            <w:tcBorders>
              <w:top w:val="nil"/>
              <w:left w:val="single" w:sz="4" w:space="0" w:color="auto"/>
              <w:bottom w:val="single" w:sz="4" w:space="0" w:color="auto"/>
              <w:right w:val="single" w:sz="4" w:space="0" w:color="auto"/>
            </w:tcBorders>
            <w:shd w:val="clear" w:color="auto" w:fill="auto"/>
            <w:noWrap/>
            <w:vAlign w:val="center"/>
            <w:hideMark/>
          </w:tcPr>
          <w:p w14:paraId="67FD16F4" w14:textId="77777777" w:rsidR="00C42AA3" w:rsidRPr="006C1FA1" w:rsidRDefault="00C42AA3" w:rsidP="003C60DB">
            <w:pPr>
              <w:widowControl/>
              <w:rPr>
                <w:color w:val="000000"/>
                <w:lang w:val="es-MX" w:eastAsia="es-MX"/>
              </w:rPr>
            </w:pPr>
            <w:r w:rsidRPr="006C1FA1">
              <w:rPr>
                <w:color w:val="000000"/>
                <w:lang w:val="es-MX" w:eastAsia="es-MX"/>
              </w:rPr>
              <w:t>Bono Familia</w:t>
            </w:r>
          </w:p>
        </w:tc>
        <w:tc>
          <w:tcPr>
            <w:tcW w:w="4106" w:type="dxa"/>
            <w:tcBorders>
              <w:top w:val="nil"/>
              <w:left w:val="nil"/>
              <w:bottom w:val="single" w:sz="4" w:space="0" w:color="auto"/>
              <w:right w:val="single" w:sz="4" w:space="0" w:color="auto"/>
            </w:tcBorders>
            <w:shd w:val="clear" w:color="auto" w:fill="auto"/>
            <w:vAlign w:val="center"/>
            <w:hideMark/>
          </w:tcPr>
          <w:p w14:paraId="73666E79" w14:textId="77777777" w:rsidR="00C42AA3" w:rsidRPr="006C1FA1" w:rsidRDefault="00C42AA3" w:rsidP="003C60DB">
            <w:pPr>
              <w:widowControl/>
              <w:rPr>
                <w:color w:val="000000"/>
                <w:lang w:val="es-MX" w:eastAsia="es-MX"/>
              </w:rPr>
            </w:pPr>
            <w:r w:rsidRPr="006C1FA1">
              <w:rPr>
                <w:color w:val="000000"/>
                <w:lang w:val="es-MX" w:eastAsia="es-MX"/>
              </w:rPr>
              <w:t>Ministerio de Desarrollo Social</w:t>
            </w:r>
          </w:p>
        </w:tc>
        <w:tc>
          <w:tcPr>
            <w:tcW w:w="1393" w:type="dxa"/>
            <w:tcBorders>
              <w:top w:val="nil"/>
              <w:left w:val="nil"/>
              <w:bottom w:val="single" w:sz="4" w:space="0" w:color="auto"/>
              <w:right w:val="single" w:sz="4" w:space="0" w:color="auto"/>
            </w:tcBorders>
            <w:shd w:val="clear" w:color="auto" w:fill="auto"/>
            <w:noWrap/>
            <w:vAlign w:val="center"/>
            <w:hideMark/>
          </w:tcPr>
          <w:p w14:paraId="3BA8FE03" w14:textId="77777777" w:rsidR="00C42AA3" w:rsidRPr="006C1FA1" w:rsidRDefault="00C42AA3" w:rsidP="003C60DB">
            <w:pPr>
              <w:widowControl/>
              <w:jc w:val="right"/>
              <w:rPr>
                <w:color w:val="000000"/>
                <w:lang w:val="es-MX" w:eastAsia="es-MX"/>
              </w:rPr>
            </w:pPr>
            <w:r w:rsidRPr="006C1FA1">
              <w:rPr>
                <w:color w:val="000000"/>
                <w:lang w:val="es-MX" w:eastAsia="es-MX"/>
              </w:rPr>
              <w:t xml:space="preserve">            6,003.4 </w:t>
            </w:r>
          </w:p>
        </w:tc>
      </w:tr>
      <w:tr w:rsidR="00C42AA3" w:rsidRPr="00EC2791" w14:paraId="755BFE5A" w14:textId="77777777" w:rsidTr="00E648CF">
        <w:trPr>
          <w:trHeight w:val="149"/>
          <w:jc w:val="center"/>
        </w:trPr>
        <w:tc>
          <w:tcPr>
            <w:tcW w:w="3974" w:type="dxa"/>
            <w:tcBorders>
              <w:top w:val="nil"/>
              <w:left w:val="single" w:sz="4" w:space="0" w:color="auto"/>
              <w:bottom w:val="single" w:sz="4" w:space="0" w:color="auto"/>
              <w:right w:val="single" w:sz="4" w:space="0" w:color="auto"/>
            </w:tcBorders>
            <w:shd w:val="clear" w:color="auto" w:fill="auto"/>
            <w:noWrap/>
            <w:vAlign w:val="center"/>
            <w:hideMark/>
          </w:tcPr>
          <w:p w14:paraId="020D2DF8" w14:textId="77777777" w:rsidR="00C42AA3" w:rsidRPr="006C1FA1" w:rsidRDefault="00C42AA3" w:rsidP="003C60DB">
            <w:pPr>
              <w:widowControl/>
              <w:rPr>
                <w:color w:val="000000"/>
                <w:lang w:val="es-MX" w:eastAsia="es-MX"/>
              </w:rPr>
            </w:pPr>
            <w:r w:rsidRPr="006C1FA1">
              <w:rPr>
                <w:color w:val="000000"/>
                <w:lang w:val="es-MX" w:eastAsia="es-MX"/>
              </w:rPr>
              <w:t>Fondo para capital de trabajo</w:t>
            </w:r>
          </w:p>
        </w:tc>
        <w:tc>
          <w:tcPr>
            <w:tcW w:w="4106" w:type="dxa"/>
            <w:tcBorders>
              <w:top w:val="nil"/>
              <w:left w:val="nil"/>
              <w:bottom w:val="single" w:sz="4" w:space="0" w:color="auto"/>
              <w:right w:val="single" w:sz="4" w:space="0" w:color="auto"/>
            </w:tcBorders>
            <w:shd w:val="clear" w:color="auto" w:fill="auto"/>
            <w:vAlign w:val="center"/>
            <w:hideMark/>
          </w:tcPr>
          <w:p w14:paraId="4EA9396B" w14:textId="77777777" w:rsidR="00C42AA3" w:rsidRPr="006C1FA1" w:rsidRDefault="00C42AA3" w:rsidP="003C60DB">
            <w:pPr>
              <w:widowControl/>
              <w:rPr>
                <w:color w:val="000000"/>
                <w:lang w:val="es-MX" w:eastAsia="es-MX"/>
              </w:rPr>
            </w:pPr>
            <w:r w:rsidRPr="006C1FA1">
              <w:rPr>
                <w:color w:val="000000"/>
                <w:lang w:val="es-MX" w:eastAsia="es-MX"/>
              </w:rPr>
              <w:t>Crédito Hipotecario Nacional</w:t>
            </w:r>
          </w:p>
        </w:tc>
        <w:tc>
          <w:tcPr>
            <w:tcW w:w="1393" w:type="dxa"/>
            <w:tcBorders>
              <w:top w:val="nil"/>
              <w:left w:val="nil"/>
              <w:bottom w:val="single" w:sz="4" w:space="0" w:color="auto"/>
              <w:right w:val="single" w:sz="4" w:space="0" w:color="auto"/>
            </w:tcBorders>
            <w:shd w:val="clear" w:color="auto" w:fill="auto"/>
            <w:noWrap/>
            <w:vAlign w:val="center"/>
            <w:hideMark/>
          </w:tcPr>
          <w:p w14:paraId="4D0C8BCC" w14:textId="77777777" w:rsidR="00C42AA3" w:rsidRPr="006C1FA1" w:rsidRDefault="00C42AA3" w:rsidP="003C60DB">
            <w:pPr>
              <w:widowControl/>
              <w:jc w:val="right"/>
              <w:rPr>
                <w:color w:val="000000"/>
                <w:lang w:val="es-MX" w:eastAsia="es-MX"/>
              </w:rPr>
            </w:pPr>
            <w:r w:rsidRPr="006C1FA1">
              <w:rPr>
                <w:color w:val="000000"/>
                <w:lang w:val="es-MX" w:eastAsia="es-MX"/>
              </w:rPr>
              <w:t xml:space="preserve">            2,980.0 </w:t>
            </w:r>
          </w:p>
        </w:tc>
      </w:tr>
      <w:tr w:rsidR="00C42AA3" w:rsidRPr="00EC2791" w14:paraId="2EC7328C" w14:textId="77777777" w:rsidTr="00E648CF">
        <w:trPr>
          <w:trHeight w:val="149"/>
          <w:jc w:val="center"/>
        </w:trPr>
        <w:tc>
          <w:tcPr>
            <w:tcW w:w="3974" w:type="dxa"/>
            <w:tcBorders>
              <w:top w:val="nil"/>
              <w:left w:val="single" w:sz="4" w:space="0" w:color="auto"/>
              <w:bottom w:val="single" w:sz="4" w:space="0" w:color="auto"/>
              <w:right w:val="single" w:sz="4" w:space="0" w:color="auto"/>
            </w:tcBorders>
            <w:shd w:val="clear" w:color="auto" w:fill="auto"/>
            <w:noWrap/>
            <w:vAlign w:val="center"/>
            <w:hideMark/>
          </w:tcPr>
          <w:p w14:paraId="6539BC74" w14:textId="77777777" w:rsidR="00C42AA3" w:rsidRPr="006C1FA1" w:rsidRDefault="00C42AA3" w:rsidP="003C60DB">
            <w:pPr>
              <w:widowControl/>
              <w:rPr>
                <w:color w:val="000000"/>
                <w:lang w:val="es-MX" w:eastAsia="es-MX"/>
              </w:rPr>
            </w:pPr>
            <w:r w:rsidRPr="006C1FA1">
              <w:rPr>
                <w:color w:val="000000"/>
                <w:lang w:val="es-MX" w:eastAsia="es-MX"/>
              </w:rPr>
              <w:t>Fondo de Protección del Empleo</w:t>
            </w:r>
          </w:p>
        </w:tc>
        <w:tc>
          <w:tcPr>
            <w:tcW w:w="4106" w:type="dxa"/>
            <w:tcBorders>
              <w:top w:val="nil"/>
              <w:left w:val="nil"/>
              <w:bottom w:val="single" w:sz="4" w:space="0" w:color="auto"/>
              <w:right w:val="single" w:sz="4" w:space="0" w:color="auto"/>
            </w:tcBorders>
            <w:shd w:val="clear" w:color="auto" w:fill="auto"/>
            <w:vAlign w:val="center"/>
            <w:hideMark/>
          </w:tcPr>
          <w:p w14:paraId="72FF8E6C" w14:textId="77777777" w:rsidR="00C42AA3" w:rsidRPr="006C1FA1" w:rsidRDefault="00C42AA3" w:rsidP="003C60DB">
            <w:pPr>
              <w:widowControl/>
              <w:rPr>
                <w:color w:val="000000"/>
                <w:lang w:val="es-MX" w:eastAsia="es-MX"/>
              </w:rPr>
            </w:pPr>
            <w:r w:rsidRPr="006C1FA1">
              <w:rPr>
                <w:color w:val="000000"/>
                <w:lang w:val="es-MX" w:eastAsia="es-MX"/>
              </w:rPr>
              <w:t>Ministerio de Economía</w:t>
            </w:r>
          </w:p>
        </w:tc>
        <w:tc>
          <w:tcPr>
            <w:tcW w:w="1393" w:type="dxa"/>
            <w:tcBorders>
              <w:top w:val="nil"/>
              <w:left w:val="nil"/>
              <w:bottom w:val="single" w:sz="4" w:space="0" w:color="auto"/>
              <w:right w:val="single" w:sz="4" w:space="0" w:color="auto"/>
            </w:tcBorders>
            <w:shd w:val="clear" w:color="auto" w:fill="auto"/>
            <w:noWrap/>
            <w:vAlign w:val="center"/>
            <w:hideMark/>
          </w:tcPr>
          <w:p w14:paraId="5107AEBC" w14:textId="77777777" w:rsidR="00C42AA3" w:rsidRPr="006C1FA1" w:rsidRDefault="00C42AA3" w:rsidP="003C60DB">
            <w:pPr>
              <w:widowControl/>
              <w:jc w:val="right"/>
              <w:rPr>
                <w:color w:val="000000"/>
                <w:lang w:val="es-MX" w:eastAsia="es-MX"/>
              </w:rPr>
            </w:pPr>
            <w:r w:rsidRPr="006C1FA1">
              <w:rPr>
                <w:color w:val="000000"/>
                <w:lang w:val="es-MX" w:eastAsia="es-MX"/>
              </w:rPr>
              <w:t xml:space="preserve">            2,000.0 </w:t>
            </w:r>
          </w:p>
        </w:tc>
      </w:tr>
      <w:tr w:rsidR="00C42AA3" w:rsidRPr="00EC2791" w14:paraId="07A2CD0B" w14:textId="77777777" w:rsidTr="00E648CF">
        <w:trPr>
          <w:trHeight w:val="149"/>
          <w:jc w:val="center"/>
        </w:trPr>
        <w:tc>
          <w:tcPr>
            <w:tcW w:w="3974" w:type="dxa"/>
            <w:tcBorders>
              <w:top w:val="nil"/>
              <w:left w:val="single" w:sz="4" w:space="0" w:color="auto"/>
              <w:bottom w:val="single" w:sz="4" w:space="0" w:color="auto"/>
              <w:right w:val="single" w:sz="4" w:space="0" w:color="auto"/>
            </w:tcBorders>
            <w:shd w:val="clear" w:color="auto" w:fill="auto"/>
            <w:noWrap/>
            <w:vAlign w:val="center"/>
            <w:hideMark/>
          </w:tcPr>
          <w:p w14:paraId="2AEAECF1" w14:textId="77777777" w:rsidR="00C42AA3" w:rsidRPr="006C1FA1" w:rsidRDefault="00C42AA3" w:rsidP="003C60DB">
            <w:pPr>
              <w:widowControl/>
              <w:rPr>
                <w:color w:val="000000"/>
                <w:lang w:val="es-MX" w:eastAsia="es-MX"/>
              </w:rPr>
            </w:pPr>
            <w:r w:rsidRPr="00EC2791">
              <w:rPr>
                <w:color w:val="000000"/>
                <w:lang w:val="es-MX" w:eastAsia="es-MX"/>
              </w:rPr>
              <w:t>Fideicomiso</w:t>
            </w:r>
            <w:r w:rsidRPr="006C1FA1">
              <w:rPr>
                <w:color w:val="000000"/>
                <w:lang w:val="es-MX" w:eastAsia="es-MX"/>
              </w:rPr>
              <w:t xml:space="preserve"> MIPYME</w:t>
            </w:r>
          </w:p>
        </w:tc>
        <w:tc>
          <w:tcPr>
            <w:tcW w:w="4106" w:type="dxa"/>
            <w:tcBorders>
              <w:top w:val="nil"/>
              <w:left w:val="nil"/>
              <w:bottom w:val="single" w:sz="4" w:space="0" w:color="auto"/>
              <w:right w:val="single" w:sz="4" w:space="0" w:color="auto"/>
            </w:tcBorders>
            <w:shd w:val="clear" w:color="auto" w:fill="auto"/>
            <w:vAlign w:val="center"/>
            <w:hideMark/>
          </w:tcPr>
          <w:p w14:paraId="1190A95A" w14:textId="77777777" w:rsidR="00C42AA3" w:rsidRPr="006C1FA1" w:rsidRDefault="00C42AA3" w:rsidP="003C60DB">
            <w:pPr>
              <w:widowControl/>
              <w:rPr>
                <w:color w:val="000000"/>
                <w:lang w:val="es-MX" w:eastAsia="es-MX"/>
              </w:rPr>
            </w:pPr>
            <w:r w:rsidRPr="006C1FA1">
              <w:rPr>
                <w:color w:val="000000"/>
                <w:lang w:val="es-MX" w:eastAsia="es-MX"/>
              </w:rPr>
              <w:t>Ministerio de Economía</w:t>
            </w:r>
          </w:p>
        </w:tc>
        <w:tc>
          <w:tcPr>
            <w:tcW w:w="1393" w:type="dxa"/>
            <w:tcBorders>
              <w:top w:val="nil"/>
              <w:left w:val="nil"/>
              <w:bottom w:val="single" w:sz="4" w:space="0" w:color="auto"/>
              <w:right w:val="single" w:sz="4" w:space="0" w:color="auto"/>
            </w:tcBorders>
            <w:shd w:val="clear" w:color="auto" w:fill="auto"/>
            <w:noWrap/>
            <w:vAlign w:val="center"/>
            <w:hideMark/>
          </w:tcPr>
          <w:p w14:paraId="75BDA654" w14:textId="77777777" w:rsidR="00C42AA3" w:rsidRPr="006C1FA1" w:rsidRDefault="00C42AA3" w:rsidP="003C60DB">
            <w:pPr>
              <w:widowControl/>
              <w:jc w:val="right"/>
              <w:rPr>
                <w:color w:val="000000"/>
                <w:lang w:val="es-MX" w:eastAsia="es-MX"/>
              </w:rPr>
            </w:pPr>
            <w:r w:rsidRPr="006C1FA1">
              <w:rPr>
                <w:color w:val="000000"/>
                <w:lang w:val="es-MX" w:eastAsia="es-MX"/>
              </w:rPr>
              <w:t xml:space="preserve">                400.0 </w:t>
            </w:r>
          </w:p>
        </w:tc>
      </w:tr>
      <w:tr w:rsidR="00C42AA3" w:rsidRPr="00EC2791" w14:paraId="6E198884" w14:textId="77777777" w:rsidTr="00E648CF">
        <w:trPr>
          <w:trHeight w:val="149"/>
          <w:jc w:val="center"/>
        </w:trPr>
        <w:tc>
          <w:tcPr>
            <w:tcW w:w="3974" w:type="dxa"/>
            <w:tcBorders>
              <w:top w:val="nil"/>
              <w:left w:val="single" w:sz="4" w:space="0" w:color="auto"/>
              <w:bottom w:val="single" w:sz="4" w:space="0" w:color="auto"/>
              <w:right w:val="single" w:sz="4" w:space="0" w:color="auto"/>
            </w:tcBorders>
            <w:shd w:val="clear" w:color="auto" w:fill="auto"/>
            <w:noWrap/>
            <w:vAlign w:val="center"/>
            <w:hideMark/>
          </w:tcPr>
          <w:p w14:paraId="0BA0E176" w14:textId="77777777" w:rsidR="00C42AA3" w:rsidRPr="006C1FA1" w:rsidRDefault="00C42AA3" w:rsidP="003C60DB">
            <w:pPr>
              <w:widowControl/>
              <w:rPr>
                <w:color w:val="000000"/>
                <w:lang w:val="es-MX" w:eastAsia="es-MX"/>
              </w:rPr>
            </w:pPr>
            <w:r w:rsidRPr="006C1FA1">
              <w:rPr>
                <w:color w:val="000000"/>
                <w:lang w:val="es-MX" w:eastAsia="es-MX"/>
              </w:rPr>
              <w:t>Bolsa de Alimentos</w:t>
            </w:r>
          </w:p>
        </w:tc>
        <w:tc>
          <w:tcPr>
            <w:tcW w:w="4106" w:type="dxa"/>
            <w:tcBorders>
              <w:top w:val="nil"/>
              <w:left w:val="nil"/>
              <w:bottom w:val="single" w:sz="4" w:space="0" w:color="auto"/>
              <w:right w:val="single" w:sz="4" w:space="0" w:color="auto"/>
            </w:tcBorders>
            <w:shd w:val="clear" w:color="auto" w:fill="auto"/>
            <w:vAlign w:val="center"/>
            <w:hideMark/>
          </w:tcPr>
          <w:p w14:paraId="35F623C4" w14:textId="77777777" w:rsidR="00C42AA3" w:rsidRPr="006C1FA1" w:rsidRDefault="00C42AA3" w:rsidP="003C60DB">
            <w:pPr>
              <w:widowControl/>
              <w:rPr>
                <w:color w:val="000000"/>
                <w:lang w:val="es-MX" w:eastAsia="es-MX"/>
              </w:rPr>
            </w:pPr>
            <w:r w:rsidRPr="006C1FA1">
              <w:rPr>
                <w:color w:val="000000"/>
                <w:lang w:val="es-MX" w:eastAsia="es-MX"/>
              </w:rPr>
              <w:t>Ministerio de Agricultura</w:t>
            </w:r>
          </w:p>
        </w:tc>
        <w:tc>
          <w:tcPr>
            <w:tcW w:w="1393" w:type="dxa"/>
            <w:tcBorders>
              <w:top w:val="nil"/>
              <w:left w:val="nil"/>
              <w:bottom w:val="single" w:sz="4" w:space="0" w:color="auto"/>
              <w:right w:val="single" w:sz="4" w:space="0" w:color="auto"/>
            </w:tcBorders>
            <w:shd w:val="clear" w:color="auto" w:fill="auto"/>
            <w:noWrap/>
            <w:vAlign w:val="center"/>
            <w:hideMark/>
          </w:tcPr>
          <w:p w14:paraId="3EC6DD03" w14:textId="77777777" w:rsidR="00C42AA3" w:rsidRPr="006C1FA1" w:rsidRDefault="00C42AA3" w:rsidP="003C60DB">
            <w:pPr>
              <w:widowControl/>
              <w:jc w:val="right"/>
              <w:rPr>
                <w:color w:val="000000"/>
                <w:lang w:val="es-MX" w:eastAsia="es-MX"/>
              </w:rPr>
            </w:pPr>
            <w:r w:rsidRPr="006C1FA1">
              <w:rPr>
                <w:color w:val="000000"/>
                <w:lang w:val="es-MX" w:eastAsia="es-MX"/>
              </w:rPr>
              <w:t xml:space="preserve">                350.0 </w:t>
            </w:r>
          </w:p>
        </w:tc>
      </w:tr>
      <w:tr w:rsidR="00C42AA3" w:rsidRPr="00EC2791" w14:paraId="1F1A4AD8" w14:textId="77777777" w:rsidTr="00E648CF">
        <w:trPr>
          <w:trHeight w:val="149"/>
          <w:jc w:val="center"/>
        </w:trPr>
        <w:tc>
          <w:tcPr>
            <w:tcW w:w="3974" w:type="dxa"/>
            <w:tcBorders>
              <w:top w:val="nil"/>
              <w:left w:val="single" w:sz="4" w:space="0" w:color="auto"/>
              <w:bottom w:val="single" w:sz="4" w:space="0" w:color="auto"/>
              <w:right w:val="single" w:sz="4" w:space="0" w:color="auto"/>
            </w:tcBorders>
            <w:shd w:val="clear" w:color="auto" w:fill="auto"/>
            <w:noWrap/>
            <w:vAlign w:val="center"/>
            <w:hideMark/>
          </w:tcPr>
          <w:p w14:paraId="64971448" w14:textId="77777777" w:rsidR="00C42AA3" w:rsidRPr="006C1FA1" w:rsidRDefault="00C42AA3" w:rsidP="003C60DB">
            <w:pPr>
              <w:widowControl/>
              <w:rPr>
                <w:color w:val="000000"/>
                <w:lang w:val="es-MX" w:eastAsia="es-MX"/>
              </w:rPr>
            </w:pPr>
            <w:r w:rsidRPr="006C1FA1">
              <w:rPr>
                <w:color w:val="000000"/>
                <w:lang w:val="es-MX" w:eastAsia="es-MX"/>
              </w:rPr>
              <w:t>Bolsa de Alimentos</w:t>
            </w:r>
          </w:p>
        </w:tc>
        <w:tc>
          <w:tcPr>
            <w:tcW w:w="4106" w:type="dxa"/>
            <w:tcBorders>
              <w:top w:val="nil"/>
              <w:left w:val="nil"/>
              <w:bottom w:val="single" w:sz="4" w:space="0" w:color="auto"/>
              <w:right w:val="single" w:sz="4" w:space="0" w:color="auto"/>
            </w:tcBorders>
            <w:shd w:val="clear" w:color="auto" w:fill="auto"/>
            <w:vAlign w:val="center"/>
            <w:hideMark/>
          </w:tcPr>
          <w:p w14:paraId="12F1F064" w14:textId="77777777" w:rsidR="00C42AA3" w:rsidRPr="006C1FA1" w:rsidRDefault="00C42AA3" w:rsidP="003C60DB">
            <w:pPr>
              <w:widowControl/>
              <w:rPr>
                <w:color w:val="000000"/>
                <w:lang w:val="es-MX" w:eastAsia="es-MX"/>
              </w:rPr>
            </w:pPr>
            <w:r w:rsidRPr="006C1FA1">
              <w:rPr>
                <w:color w:val="000000"/>
                <w:lang w:val="es-MX" w:eastAsia="es-MX"/>
              </w:rPr>
              <w:t>Ministerio de Desarrollo Social</w:t>
            </w:r>
          </w:p>
        </w:tc>
        <w:tc>
          <w:tcPr>
            <w:tcW w:w="1393" w:type="dxa"/>
            <w:tcBorders>
              <w:top w:val="nil"/>
              <w:left w:val="nil"/>
              <w:bottom w:val="single" w:sz="4" w:space="0" w:color="auto"/>
              <w:right w:val="single" w:sz="4" w:space="0" w:color="auto"/>
            </w:tcBorders>
            <w:shd w:val="clear" w:color="auto" w:fill="auto"/>
            <w:noWrap/>
            <w:vAlign w:val="center"/>
            <w:hideMark/>
          </w:tcPr>
          <w:p w14:paraId="669FE4D2" w14:textId="77777777" w:rsidR="00C42AA3" w:rsidRPr="006C1FA1" w:rsidRDefault="00C42AA3" w:rsidP="003C60DB">
            <w:pPr>
              <w:widowControl/>
              <w:jc w:val="right"/>
              <w:rPr>
                <w:color w:val="000000"/>
                <w:lang w:val="es-MX" w:eastAsia="es-MX"/>
              </w:rPr>
            </w:pPr>
            <w:r w:rsidRPr="006C1FA1">
              <w:rPr>
                <w:color w:val="000000"/>
                <w:lang w:val="es-MX" w:eastAsia="es-MX"/>
              </w:rPr>
              <w:t xml:space="preserve">                350.0 </w:t>
            </w:r>
          </w:p>
        </w:tc>
      </w:tr>
      <w:tr w:rsidR="00C42AA3" w:rsidRPr="00EC2791" w14:paraId="2680F173" w14:textId="77777777" w:rsidTr="00E648CF">
        <w:trPr>
          <w:trHeight w:val="301"/>
          <w:jc w:val="center"/>
        </w:trPr>
        <w:tc>
          <w:tcPr>
            <w:tcW w:w="3974" w:type="dxa"/>
            <w:tcBorders>
              <w:top w:val="nil"/>
              <w:left w:val="single" w:sz="4" w:space="0" w:color="auto"/>
              <w:bottom w:val="single" w:sz="4" w:space="0" w:color="auto"/>
              <w:right w:val="single" w:sz="4" w:space="0" w:color="auto"/>
            </w:tcBorders>
            <w:shd w:val="clear" w:color="auto" w:fill="auto"/>
            <w:noWrap/>
            <w:vAlign w:val="center"/>
            <w:hideMark/>
          </w:tcPr>
          <w:p w14:paraId="4EB6124A" w14:textId="77777777" w:rsidR="00C42AA3" w:rsidRPr="006C1FA1" w:rsidRDefault="00C42AA3" w:rsidP="003C60DB">
            <w:pPr>
              <w:widowControl/>
              <w:rPr>
                <w:color w:val="000000"/>
                <w:lang w:val="es-MX" w:eastAsia="es-MX"/>
              </w:rPr>
            </w:pPr>
            <w:r w:rsidRPr="006C1FA1">
              <w:rPr>
                <w:color w:val="000000"/>
                <w:lang w:val="es-MX" w:eastAsia="es-MX"/>
              </w:rPr>
              <w:t>Aporte Tarifa Social de Energía</w:t>
            </w:r>
          </w:p>
        </w:tc>
        <w:tc>
          <w:tcPr>
            <w:tcW w:w="4106" w:type="dxa"/>
            <w:tcBorders>
              <w:top w:val="nil"/>
              <w:left w:val="nil"/>
              <w:bottom w:val="single" w:sz="4" w:space="0" w:color="auto"/>
              <w:right w:val="single" w:sz="4" w:space="0" w:color="auto"/>
            </w:tcBorders>
            <w:shd w:val="clear" w:color="auto" w:fill="auto"/>
            <w:vAlign w:val="center"/>
            <w:hideMark/>
          </w:tcPr>
          <w:p w14:paraId="39E88836" w14:textId="77777777" w:rsidR="00C42AA3" w:rsidRPr="006C1FA1" w:rsidRDefault="00C42AA3" w:rsidP="003C60DB">
            <w:pPr>
              <w:widowControl/>
              <w:rPr>
                <w:color w:val="000000"/>
                <w:lang w:val="es-MX" w:eastAsia="es-MX"/>
              </w:rPr>
            </w:pPr>
            <w:r w:rsidRPr="006C1FA1">
              <w:rPr>
                <w:color w:val="000000"/>
                <w:lang w:val="es-MX" w:eastAsia="es-MX"/>
              </w:rPr>
              <w:t xml:space="preserve">Instituto Nacional de Electrificación </w:t>
            </w:r>
          </w:p>
        </w:tc>
        <w:tc>
          <w:tcPr>
            <w:tcW w:w="1393" w:type="dxa"/>
            <w:tcBorders>
              <w:top w:val="nil"/>
              <w:left w:val="nil"/>
              <w:bottom w:val="single" w:sz="4" w:space="0" w:color="auto"/>
              <w:right w:val="single" w:sz="4" w:space="0" w:color="auto"/>
            </w:tcBorders>
            <w:shd w:val="clear" w:color="auto" w:fill="auto"/>
            <w:noWrap/>
            <w:vAlign w:val="center"/>
            <w:hideMark/>
          </w:tcPr>
          <w:p w14:paraId="28BE459A" w14:textId="77777777" w:rsidR="00C42AA3" w:rsidRPr="006C1FA1" w:rsidRDefault="00C42AA3" w:rsidP="003C60DB">
            <w:pPr>
              <w:widowControl/>
              <w:jc w:val="right"/>
              <w:rPr>
                <w:color w:val="000000"/>
                <w:lang w:val="es-MX" w:eastAsia="es-MX"/>
              </w:rPr>
            </w:pPr>
            <w:r w:rsidRPr="006C1FA1">
              <w:rPr>
                <w:color w:val="000000"/>
                <w:lang w:val="es-MX" w:eastAsia="es-MX"/>
              </w:rPr>
              <w:t xml:space="preserve">                270.0 </w:t>
            </w:r>
          </w:p>
        </w:tc>
      </w:tr>
      <w:tr w:rsidR="00C42AA3" w:rsidRPr="00EC2791" w14:paraId="6FF1701D" w14:textId="77777777" w:rsidTr="00E648CF">
        <w:trPr>
          <w:trHeight w:val="149"/>
          <w:jc w:val="center"/>
        </w:trPr>
        <w:tc>
          <w:tcPr>
            <w:tcW w:w="3974" w:type="dxa"/>
            <w:tcBorders>
              <w:top w:val="nil"/>
              <w:left w:val="single" w:sz="4" w:space="0" w:color="auto"/>
              <w:bottom w:val="single" w:sz="4" w:space="0" w:color="auto"/>
              <w:right w:val="single" w:sz="4" w:space="0" w:color="auto"/>
            </w:tcBorders>
            <w:shd w:val="clear" w:color="auto" w:fill="auto"/>
            <w:noWrap/>
            <w:vAlign w:val="center"/>
            <w:hideMark/>
          </w:tcPr>
          <w:p w14:paraId="3BBB8DB6" w14:textId="77777777" w:rsidR="00C42AA3" w:rsidRPr="006C1FA1" w:rsidRDefault="00C42AA3" w:rsidP="003C60DB">
            <w:pPr>
              <w:widowControl/>
              <w:rPr>
                <w:color w:val="000000"/>
                <w:lang w:val="es-MX" w:eastAsia="es-MX"/>
              </w:rPr>
            </w:pPr>
            <w:r w:rsidRPr="006C1FA1">
              <w:rPr>
                <w:color w:val="000000"/>
                <w:lang w:val="es-MX" w:eastAsia="es-MX"/>
              </w:rPr>
              <w:t>Bono de Asistencia para personas afectadas</w:t>
            </w:r>
          </w:p>
        </w:tc>
        <w:tc>
          <w:tcPr>
            <w:tcW w:w="4106" w:type="dxa"/>
            <w:tcBorders>
              <w:top w:val="nil"/>
              <w:left w:val="nil"/>
              <w:bottom w:val="single" w:sz="4" w:space="0" w:color="auto"/>
              <w:right w:val="single" w:sz="4" w:space="0" w:color="auto"/>
            </w:tcBorders>
            <w:shd w:val="clear" w:color="auto" w:fill="auto"/>
            <w:vAlign w:val="center"/>
            <w:hideMark/>
          </w:tcPr>
          <w:p w14:paraId="25385D27" w14:textId="77777777" w:rsidR="00C42AA3" w:rsidRPr="006C1FA1" w:rsidRDefault="00C42AA3" w:rsidP="003C60DB">
            <w:pPr>
              <w:widowControl/>
              <w:rPr>
                <w:color w:val="000000"/>
                <w:lang w:val="es-MX" w:eastAsia="es-MX"/>
              </w:rPr>
            </w:pPr>
            <w:r w:rsidRPr="006C1FA1">
              <w:rPr>
                <w:color w:val="000000"/>
                <w:lang w:val="es-MX" w:eastAsia="es-MX"/>
              </w:rPr>
              <w:t>Ministerio de Desarrollo Social</w:t>
            </w:r>
          </w:p>
        </w:tc>
        <w:tc>
          <w:tcPr>
            <w:tcW w:w="1393" w:type="dxa"/>
            <w:tcBorders>
              <w:top w:val="nil"/>
              <w:left w:val="nil"/>
              <w:bottom w:val="single" w:sz="4" w:space="0" w:color="auto"/>
              <w:right w:val="single" w:sz="4" w:space="0" w:color="auto"/>
            </w:tcBorders>
            <w:shd w:val="clear" w:color="auto" w:fill="auto"/>
            <w:noWrap/>
            <w:vAlign w:val="center"/>
            <w:hideMark/>
          </w:tcPr>
          <w:p w14:paraId="7E5A796E" w14:textId="77777777" w:rsidR="00C42AA3" w:rsidRPr="006C1FA1" w:rsidRDefault="00C42AA3" w:rsidP="003C60DB">
            <w:pPr>
              <w:widowControl/>
              <w:jc w:val="right"/>
              <w:rPr>
                <w:color w:val="000000"/>
                <w:lang w:val="es-MX" w:eastAsia="es-MX"/>
              </w:rPr>
            </w:pPr>
            <w:r w:rsidRPr="006C1FA1">
              <w:rPr>
                <w:color w:val="000000"/>
                <w:lang w:val="es-MX" w:eastAsia="es-MX"/>
              </w:rPr>
              <w:t xml:space="preserve">                100.0 </w:t>
            </w:r>
          </w:p>
        </w:tc>
      </w:tr>
      <w:tr w:rsidR="00C42AA3" w:rsidRPr="00EC2791" w14:paraId="68008AEA" w14:textId="77777777" w:rsidTr="00E648CF">
        <w:trPr>
          <w:trHeight w:val="301"/>
          <w:jc w:val="center"/>
        </w:trPr>
        <w:tc>
          <w:tcPr>
            <w:tcW w:w="3974" w:type="dxa"/>
            <w:tcBorders>
              <w:top w:val="nil"/>
              <w:left w:val="single" w:sz="4" w:space="0" w:color="auto"/>
              <w:bottom w:val="single" w:sz="4" w:space="0" w:color="auto"/>
              <w:right w:val="single" w:sz="4" w:space="0" w:color="auto"/>
            </w:tcBorders>
            <w:shd w:val="clear" w:color="auto" w:fill="auto"/>
            <w:noWrap/>
            <w:vAlign w:val="center"/>
            <w:hideMark/>
          </w:tcPr>
          <w:p w14:paraId="1C66EBD1" w14:textId="77777777" w:rsidR="00C42AA3" w:rsidRPr="006C1FA1" w:rsidRDefault="00C42AA3" w:rsidP="003C60DB">
            <w:pPr>
              <w:widowControl/>
              <w:rPr>
                <w:color w:val="000000"/>
                <w:lang w:val="es-MX" w:eastAsia="es-MX"/>
              </w:rPr>
            </w:pPr>
            <w:r w:rsidRPr="006C1FA1">
              <w:rPr>
                <w:color w:val="000000"/>
                <w:lang w:val="es-MX" w:eastAsia="es-MX"/>
              </w:rPr>
              <w:t>Aporte Económico Adulto Mayor</w:t>
            </w:r>
          </w:p>
        </w:tc>
        <w:tc>
          <w:tcPr>
            <w:tcW w:w="4106" w:type="dxa"/>
            <w:tcBorders>
              <w:top w:val="nil"/>
              <w:left w:val="nil"/>
              <w:bottom w:val="single" w:sz="4" w:space="0" w:color="auto"/>
              <w:right w:val="single" w:sz="4" w:space="0" w:color="auto"/>
            </w:tcBorders>
            <w:shd w:val="clear" w:color="auto" w:fill="auto"/>
            <w:vAlign w:val="center"/>
            <w:hideMark/>
          </w:tcPr>
          <w:p w14:paraId="33717E54" w14:textId="77777777" w:rsidR="00C42AA3" w:rsidRPr="006C1FA1" w:rsidRDefault="00C42AA3" w:rsidP="003C60DB">
            <w:pPr>
              <w:widowControl/>
              <w:rPr>
                <w:color w:val="000000"/>
                <w:lang w:val="es-MX" w:eastAsia="es-MX"/>
              </w:rPr>
            </w:pPr>
            <w:r w:rsidRPr="006C1FA1">
              <w:rPr>
                <w:color w:val="000000"/>
                <w:lang w:val="es-MX" w:eastAsia="es-MX"/>
              </w:rPr>
              <w:t xml:space="preserve">Ministerio de Trabajo y Previsión Social </w:t>
            </w:r>
          </w:p>
        </w:tc>
        <w:tc>
          <w:tcPr>
            <w:tcW w:w="1393" w:type="dxa"/>
            <w:tcBorders>
              <w:top w:val="nil"/>
              <w:left w:val="nil"/>
              <w:bottom w:val="single" w:sz="4" w:space="0" w:color="auto"/>
              <w:right w:val="single" w:sz="4" w:space="0" w:color="auto"/>
            </w:tcBorders>
            <w:shd w:val="clear" w:color="auto" w:fill="auto"/>
            <w:noWrap/>
            <w:vAlign w:val="center"/>
            <w:hideMark/>
          </w:tcPr>
          <w:p w14:paraId="24082858" w14:textId="77777777" w:rsidR="00C42AA3" w:rsidRPr="006C1FA1" w:rsidRDefault="00C42AA3" w:rsidP="003C60DB">
            <w:pPr>
              <w:widowControl/>
              <w:jc w:val="right"/>
              <w:rPr>
                <w:color w:val="000000"/>
                <w:lang w:val="es-MX" w:eastAsia="es-MX"/>
              </w:rPr>
            </w:pPr>
            <w:r w:rsidRPr="006C1FA1">
              <w:rPr>
                <w:color w:val="000000"/>
                <w:lang w:val="es-MX" w:eastAsia="es-MX"/>
              </w:rPr>
              <w:t xml:space="preserve">                  50.0 </w:t>
            </w:r>
          </w:p>
        </w:tc>
      </w:tr>
      <w:tr w:rsidR="00C42AA3" w:rsidRPr="00EC2791" w14:paraId="6B0B1B9D" w14:textId="77777777" w:rsidTr="00E648CF">
        <w:trPr>
          <w:trHeight w:val="149"/>
          <w:jc w:val="center"/>
        </w:trPr>
        <w:tc>
          <w:tcPr>
            <w:tcW w:w="3974" w:type="dxa"/>
            <w:tcBorders>
              <w:top w:val="nil"/>
              <w:left w:val="single" w:sz="4" w:space="0" w:color="auto"/>
              <w:bottom w:val="single" w:sz="4" w:space="0" w:color="auto"/>
              <w:right w:val="single" w:sz="4" w:space="0" w:color="auto"/>
            </w:tcBorders>
            <w:shd w:val="clear" w:color="auto" w:fill="auto"/>
            <w:noWrap/>
            <w:vAlign w:val="center"/>
            <w:hideMark/>
          </w:tcPr>
          <w:p w14:paraId="77DE0FC4" w14:textId="77777777" w:rsidR="00C42AA3" w:rsidRPr="006C1FA1" w:rsidRDefault="00C42AA3" w:rsidP="003C60DB">
            <w:pPr>
              <w:widowControl/>
              <w:rPr>
                <w:color w:val="000000"/>
                <w:lang w:val="es-MX" w:eastAsia="es-MX"/>
              </w:rPr>
            </w:pPr>
            <w:r w:rsidRPr="006C1FA1">
              <w:rPr>
                <w:color w:val="000000"/>
                <w:lang w:val="es-MX" w:eastAsia="es-MX"/>
              </w:rPr>
              <w:t>Apoyo a Agricultores (insumos y mini riego)</w:t>
            </w:r>
          </w:p>
        </w:tc>
        <w:tc>
          <w:tcPr>
            <w:tcW w:w="4106" w:type="dxa"/>
            <w:tcBorders>
              <w:top w:val="nil"/>
              <w:left w:val="nil"/>
              <w:bottom w:val="single" w:sz="4" w:space="0" w:color="auto"/>
              <w:right w:val="single" w:sz="4" w:space="0" w:color="auto"/>
            </w:tcBorders>
            <w:shd w:val="clear" w:color="auto" w:fill="auto"/>
            <w:vAlign w:val="center"/>
            <w:hideMark/>
          </w:tcPr>
          <w:p w14:paraId="1D0FCD76" w14:textId="77777777" w:rsidR="00C42AA3" w:rsidRPr="006C1FA1" w:rsidRDefault="00C42AA3" w:rsidP="003C60DB">
            <w:pPr>
              <w:widowControl/>
              <w:rPr>
                <w:color w:val="000000"/>
                <w:lang w:val="es-MX" w:eastAsia="es-MX"/>
              </w:rPr>
            </w:pPr>
            <w:r w:rsidRPr="006C1FA1">
              <w:rPr>
                <w:color w:val="000000"/>
                <w:lang w:val="es-MX" w:eastAsia="es-MX"/>
              </w:rPr>
              <w:t>Ministerio de Agricultura</w:t>
            </w:r>
          </w:p>
        </w:tc>
        <w:tc>
          <w:tcPr>
            <w:tcW w:w="1393" w:type="dxa"/>
            <w:tcBorders>
              <w:top w:val="nil"/>
              <w:left w:val="nil"/>
              <w:bottom w:val="single" w:sz="4" w:space="0" w:color="auto"/>
              <w:right w:val="single" w:sz="4" w:space="0" w:color="auto"/>
            </w:tcBorders>
            <w:shd w:val="clear" w:color="auto" w:fill="auto"/>
            <w:noWrap/>
            <w:vAlign w:val="center"/>
            <w:hideMark/>
          </w:tcPr>
          <w:p w14:paraId="0249FA11" w14:textId="77777777" w:rsidR="00C42AA3" w:rsidRPr="006C1FA1" w:rsidRDefault="00C42AA3" w:rsidP="003C60DB">
            <w:pPr>
              <w:widowControl/>
              <w:jc w:val="right"/>
              <w:rPr>
                <w:color w:val="000000"/>
                <w:lang w:val="es-MX" w:eastAsia="es-MX"/>
              </w:rPr>
            </w:pPr>
            <w:r w:rsidRPr="006C1FA1">
              <w:rPr>
                <w:color w:val="000000"/>
                <w:lang w:val="es-MX" w:eastAsia="es-MX"/>
              </w:rPr>
              <w:t xml:space="preserve">                    1.3 </w:t>
            </w:r>
          </w:p>
        </w:tc>
      </w:tr>
      <w:tr w:rsidR="00C42AA3" w:rsidRPr="00EC2791" w14:paraId="58D8C98C" w14:textId="77777777" w:rsidTr="00E648CF">
        <w:trPr>
          <w:trHeight w:val="301"/>
          <w:jc w:val="center"/>
        </w:trPr>
        <w:tc>
          <w:tcPr>
            <w:tcW w:w="3974" w:type="dxa"/>
            <w:tcBorders>
              <w:top w:val="nil"/>
              <w:left w:val="single" w:sz="4" w:space="0" w:color="auto"/>
              <w:bottom w:val="single" w:sz="4" w:space="0" w:color="auto"/>
              <w:right w:val="single" w:sz="4" w:space="0" w:color="auto"/>
            </w:tcBorders>
            <w:shd w:val="clear" w:color="auto" w:fill="auto"/>
            <w:noWrap/>
            <w:vAlign w:val="center"/>
            <w:hideMark/>
          </w:tcPr>
          <w:p w14:paraId="242F5425" w14:textId="77777777" w:rsidR="00C42AA3" w:rsidRPr="006C1FA1" w:rsidRDefault="00C42AA3" w:rsidP="003C60DB">
            <w:pPr>
              <w:widowControl/>
              <w:rPr>
                <w:color w:val="000000"/>
                <w:lang w:val="es-MX" w:eastAsia="es-MX"/>
              </w:rPr>
            </w:pPr>
            <w:r w:rsidRPr="006C1FA1">
              <w:rPr>
                <w:color w:val="000000"/>
                <w:lang w:val="es-MX" w:eastAsia="es-MX"/>
              </w:rPr>
              <w:t>Insumos médicos diversos</w:t>
            </w:r>
          </w:p>
        </w:tc>
        <w:tc>
          <w:tcPr>
            <w:tcW w:w="4106" w:type="dxa"/>
            <w:tcBorders>
              <w:top w:val="nil"/>
              <w:left w:val="nil"/>
              <w:bottom w:val="single" w:sz="4" w:space="0" w:color="auto"/>
              <w:right w:val="single" w:sz="4" w:space="0" w:color="auto"/>
            </w:tcBorders>
            <w:shd w:val="clear" w:color="auto" w:fill="auto"/>
            <w:vAlign w:val="center"/>
            <w:hideMark/>
          </w:tcPr>
          <w:p w14:paraId="46BBCE75" w14:textId="77777777" w:rsidR="00C42AA3" w:rsidRPr="006C1FA1" w:rsidRDefault="00C42AA3" w:rsidP="003C60DB">
            <w:pPr>
              <w:widowControl/>
              <w:rPr>
                <w:color w:val="000000"/>
                <w:lang w:val="es-MX" w:eastAsia="es-MX"/>
              </w:rPr>
            </w:pPr>
            <w:r w:rsidRPr="006C1FA1">
              <w:rPr>
                <w:color w:val="000000"/>
                <w:lang w:val="es-MX" w:eastAsia="es-MX"/>
              </w:rPr>
              <w:t>Ministerio de Salud Pública y Asistencia Social</w:t>
            </w:r>
          </w:p>
        </w:tc>
        <w:tc>
          <w:tcPr>
            <w:tcW w:w="1393" w:type="dxa"/>
            <w:tcBorders>
              <w:top w:val="nil"/>
              <w:left w:val="nil"/>
              <w:bottom w:val="single" w:sz="4" w:space="0" w:color="auto"/>
              <w:right w:val="single" w:sz="4" w:space="0" w:color="auto"/>
            </w:tcBorders>
            <w:shd w:val="clear" w:color="auto" w:fill="auto"/>
            <w:noWrap/>
            <w:vAlign w:val="center"/>
            <w:hideMark/>
          </w:tcPr>
          <w:p w14:paraId="2DEC2F21" w14:textId="77777777" w:rsidR="00C42AA3" w:rsidRPr="006C1FA1" w:rsidRDefault="00C42AA3" w:rsidP="003C60DB">
            <w:pPr>
              <w:widowControl/>
              <w:jc w:val="right"/>
              <w:rPr>
                <w:color w:val="000000"/>
                <w:lang w:val="es-MX" w:eastAsia="es-MX"/>
              </w:rPr>
            </w:pPr>
            <w:r w:rsidRPr="006C1FA1">
              <w:rPr>
                <w:color w:val="000000"/>
                <w:lang w:val="es-MX" w:eastAsia="es-MX"/>
              </w:rPr>
              <w:t xml:space="preserve">            1,694.4 </w:t>
            </w:r>
          </w:p>
        </w:tc>
      </w:tr>
      <w:tr w:rsidR="00C42AA3" w:rsidRPr="00EC2791" w14:paraId="351A98FB" w14:textId="77777777" w:rsidTr="00E648CF">
        <w:trPr>
          <w:trHeight w:val="149"/>
          <w:jc w:val="center"/>
        </w:trPr>
        <w:tc>
          <w:tcPr>
            <w:tcW w:w="3974" w:type="dxa"/>
            <w:tcBorders>
              <w:top w:val="nil"/>
              <w:left w:val="single" w:sz="4" w:space="0" w:color="auto"/>
              <w:bottom w:val="single" w:sz="4" w:space="0" w:color="auto"/>
              <w:right w:val="single" w:sz="4" w:space="0" w:color="auto"/>
            </w:tcBorders>
            <w:shd w:val="clear" w:color="auto" w:fill="auto"/>
            <w:noWrap/>
            <w:vAlign w:val="center"/>
            <w:hideMark/>
          </w:tcPr>
          <w:p w14:paraId="0FB8E16B" w14:textId="77777777" w:rsidR="00C42AA3" w:rsidRPr="006C1FA1" w:rsidRDefault="00C42AA3" w:rsidP="003C60DB">
            <w:pPr>
              <w:widowControl/>
              <w:rPr>
                <w:color w:val="000000"/>
                <w:lang w:val="es-MX" w:eastAsia="es-MX"/>
              </w:rPr>
            </w:pPr>
            <w:r w:rsidRPr="006C1FA1">
              <w:rPr>
                <w:color w:val="000000"/>
                <w:lang w:val="es-MX" w:eastAsia="es-MX"/>
              </w:rPr>
              <w:t>Otras Intervenciones</w:t>
            </w:r>
          </w:p>
        </w:tc>
        <w:tc>
          <w:tcPr>
            <w:tcW w:w="4106" w:type="dxa"/>
            <w:tcBorders>
              <w:top w:val="nil"/>
              <w:left w:val="nil"/>
              <w:bottom w:val="single" w:sz="4" w:space="0" w:color="auto"/>
              <w:right w:val="single" w:sz="4" w:space="0" w:color="auto"/>
            </w:tcBorders>
            <w:shd w:val="clear" w:color="auto" w:fill="auto"/>
            <w:vAlign w:val="center"/>
            <w:hideMark/>
          </w:tcPr>
          <w:p w14:paraId="42AC8C61" w14:textId="77777777" w:rsidR="00C42AA3" w:rsidRPr="006C1FA1" w:rsidRDefault="00C42AA3" w:rsidP="003C60DB">
            <w:pPr>
              <w:widowControl/>
              <w:rPr>
                <w:color w:val="000000"/>
                <w:lang w:val="es-MX" w:eastAsia="es-MX"/>
              </w:rPr>
            </w:pPr>
            <w:r w:rsidRPr="006C1FA1">
              <w:rPr>
                <w:color w:val="000000"/>
                <w:lang w:val="es-MX" w:eastAsia="es-MX"/>
              </w:rPr>
              <w:t>Diversas entidades</w:t>
            </w:r>
          </w:p>
        </w:tc>
        <w:tc>
          <w:tcPr>
            <w:tcW w:w="1393" w:type="dxa"/>
            <w:tcBorders>
              <w:top w:val="nil"/>
              <w:left w:val="nil"/>
              <w:bottom w:val="single" w:sz="4" w:space="0" w:color="auto"/>
              <w:right w:val="single" w:sz="4" w:space="0" w:color="auto"/>
            </w:tcBorders>
            <w:shd w:val="clear" w:color="auto" w:fill="auto"/>
            <w:noWrap/>
            <w:vAlign w:val="center"/>
            <w:hideMark/>
          </w:tcPr>
          <w:p w14:paraId="70923C27" w14:textId="77777777" w:rsidR="00C42AA3" w:rsidRPr="006C1FA1" w:rsidRDefault="00C42AA3" w:rsidP="003C60DB">
            <w:pPr>
              <w:widowControl/>
              <w:jc w:val="right"/>
              <w:rPr>
                <w:color w:val="000000"/>
                <w:lang w:val="es-MX" w:eastAsia="es-MX"/>
              </w:rPr>
            </w:pPr>
            <w:r w:rsidRPr="006C1FA1">
              <w:rPr>
                <w:color w:val="000000"/>
                <w:lang w:val="es-MX" w:eastAsia="es-MX"/>
              </w:rPr>
              <w:t xml:space="preserve">                100.6 </w:t>
            </w:r>
          </w:p>
        </w:tc>
      </w:tr>
      <w:tr w:rsidR="00C42AA3" w:rsidRPr="00EC2791" w14:paraId="17607487" w14:textId="77777777" w:rsidTr="00E648CF">
        <w:trPr>
          <w:trHeight w:val="115"/>
          <w:jc w:val="center"/>
        </w:trPr>
        <w:tc>
          <w:tcPr>
            <w:tcW w:w="8080" w:type="dxa"/>
            <w:gridSpan w:val="2"/>
            <w:tcBorders>
              <w:top w:val="single" w:sz="4" w:space="0" w:color="auto"/>
              <w:left w:val="single" w:sz="4" w:space="0" w:color="auto"/>
              <w:bottom w:val="single" w:sz="4" w:space="0" w:color="auto"/>
              <w:right w:val="single" w:sz="4" w:space="0" w:color="auto"/>
            </w:tcBorders>
            <w:shd w:val="clear" w:color="000000" w:fill="B4C6E7"/>
            <w:noWrap/>
            <w:vAlign w:val="bottom"/>
            <w:hideMark/>
          </w:tcPr>
          <w:p w14:paraId="586BB5EA" w14:textId="77777777" w:rsidR="00C42AA3" w:rsidRPr="006C1FA1" w:rsidRDefault="00C42AA3" w:rsidP="003C60DB">
            <w:pPr>
              <w:widowControl/>
              <w:jc w:val="right"/>
              <w:rPr>
                <w:b/>
                <w:bCs/>
                <w:color w:val="000000"/>
                <w:lang w:val="es-MX" w:eastAsia="es-MX"/>
              </w:rPr>
            </w:pPr>
            <w:r w:rsidRPr="00EC2791">
              <w:rPr>
                <w:b/>
                <w:bCs/>
                <w:color w:val="000000"/>
                <w:lang w:val="es-MX" w:eastAsia="es-MX"/>
              </w:rPr>
              <w:t>Total</w:t>
            </w:r>
          </w:p>
        </w:tc>
        <w:tc>
          <w:tcPr>
            <w:tcW w:w="1393" w:type="dxa"/>
            <w:tcBorders>
              <w:top w:val="nil"/>
              <w:left w:val="nil"/>
              <w:bottom w:val="single" w:sz="4" w:space="0" w:color="auto"/>
              <w:right w:val="single" w:sz="4" w:space="0" w:color="auto"/>
            </w:tcBorders>
            <w:shd w:val="clear" w:color="000000" w:fill="B4C6E7"/>
            <w:noWrap/>
            <w:vAlign w:val="bottom"/>
            <w:hideMark/>
          </w:tcPr>
          <w:p w14:paraId="372EBEF4" w14:textId="77777777" w:rsidR="00C42AA3" w:rsidRPr="006C1FA1" w:rsidRDefault="00C42AA3" w:rsidP="003C60DB">
            <w:pPr>
              <w:widowControl/>
              <w:jc w:val="right"/>
              <w:rPr>
                <w:b/>
                <w:bCs/>
                <w:color w:val="000000"/>
                <w:lang w:val="es-MX" w:eastAsia="es-MX"/>
              </w:rPr>
            </w:pPr>
            <w:r w:rsidRPr="006C1FA1">
              <w:rPr>
                <w:b/>
                <w:bCs/>
                <w:color w:val="000000"/>
                <w:lang w:val="es-MX" w:eastAsia="es-MX"/>
              </w:rPr>
              <w:t>14,299.8</w:t>
            </w:r>
          </w:p>
        </w:tc>
      </w:tr>
    </w:tbl>
    <w:p w14:paraId="6A63295F" w14:textId="77777777" w:rsidR="00C42AA3" w:rsidRPr="004707AB" w:rsidRDefault="00C42AA3" w:rsidP="00C42AA3">
      <w:pPr>
        <w:widowControl/>
        <w:ind w:left="708"/>
        <w:rPr>
          <w:rFonts w:eastAsia="OptimaLTStd"/>
          <w:u w:val="single"/>
          <w:lang w:val="es-MX"/>
        </w:rPr>
      </w:pPr>
      <w:r>
        <w:rPr>
          <w:rFonts w:eastAsia="OptimaLTStd"/>
          <w:b/>
          <w:bCs/>
          <w:sz w:val="24"/>
          <w:szCs w:val="24"/>
          <w:lang w:val="es-MX"/>
        </w:rPr>
        <w:fldChar w:fldCharType="end"/>
      </w:r>
      <w:r w:rsidRPr="004707AB">
        <w:rPr>
          <w:rFonts w:eastAsia="OptimaLTStd"/>
          <w:lang w:val="es-MX"/>
        </w:rPr>
        <w:t>Fuente MINFIN Presentación Taller Macro Fiscal Presupuesto Abierto 2021.</w:t>
      </w:r>
    </w:p>
    <w:p w14:paraId="7937028A" w14:textId="77777777" w:rsidR="00C42AA3" w:rsidRDefault="00C42AA3" w:rsidP="00C42AA3">
      <w:pPr>
        <w:pStyle w:val="Ttulo2"/>
        <w:rPr>
          <w:color w:val="000000" w:themeColor="text1"/>
          <w:sz w:val="24"/>
          <w:szCs w:val="24"/>
        </w:rPr>
      </w:pPr>
      <w:bookmarkStart w:id="105" w:name="_Toc46851823"/>
    </w:p>
    <w:p w14:paraId="6EAFD367" w14:textId="7B97BD98" w:rsidR="0013165C" w:rsidRDefault="0013165C" w:rsidP="00E648CF">
      <w:pPr>
        <w:widowControl/>
        <w:spacing w:after="200" w:line="276" w:lineRule="auto"/>
        <w:ind w:left="648"/>
        <w:rPr>
          <w:rFonts w:eastAsia="OptimaLTStd"/>
          <w:b/>
          <w:bCs/>
          <w:color w:val="000000"/>
          <w:sz w:val="24"/>
          <w:szCs w:val="24"/>
          <w:lang w:val="es-MX"/>
        </w:rPr>
      </w:pPr>
      <w:bookmarkStart w:id="106" w:name="_Toc42065616"/>
    </w:p>
    <w:p w14:paraId="3E1F0E31" w14:textId="09C1E661" w:rsidR="00C42AA3" w:rsidRPr="001E6D97" w:rsidRDefault="00C42AA3" w:rsidP="00E648CF">
      <w:pPr>
        <w:pStyle w:val="Ttulo1"/>
        <w:widowControl/>
        <w:numPr>
          <w:ilvl w:val="3"/>
          <w:numId w:val="5"/>
        </w:numPr>
        <w:ind w:left="2004" w:right="49"/>
        <w:jc w:val="left"/>
        <w:rPr>
          <w:rFonts w:eastAsia="OptimaLTStd"/>
          <w:b w:val="0"/>
          <w:bCs/>
          <w:sz w:val="24"/>
          <w:szCs w:val="24"/>
          <w:lang w:val="es-MX"/>
        </w:rPr>
      </w:pPr>
      <w:bookmarkStart w:id="107" w:name="_Toc49939744"/>
      <w:r w:rsidRPr="001E6D97">
        <w:rPr>
          <w:rFonts w:eastAsia="OptimaLTStd"/>
          <w:bCs/>
          <w:sz w:val="24"/>
          <w:szCs w:val="24"/>
          <w:lang w:val="es-MX"/>
        </w:rPr>
        <w:t>Transparencia y rendición de cuentas</w:t>
      </w:r>
      <w:bookmarkEnd w:id="106"/>
      <w:bookmarkEnd w:id="107"/>
    </w:p>
    <w:p w14:paraId="48704791" w14:textId="77777777" w:rsidR="00C42AA3" w:rsidRDefault="00C42AA3" w:rsidP="00E648CF">
      <w:pPr>
        <w:ind w:left="648"/>
        <w:rPr>
          <w:lang w:val="es-MX"/>
        </w:rPr>
      </w:pPr>
    </w:p>
    <w:p w14:paraId="16765062" w14:textId="2938FFC8" w:rsidR="00C42AA3" w:rsidRDefault="00C42AA3" w:rsidP="00E648CF">
      <w:pPr>
        <w:pStyle w:val="Sinespaciado"/>
        <w:ind w:left="648"/>
        <w:jc w:val="both"/>
        <w:rPr>
          <w:rFonts w:ascii="Times New Roman" w:eastAsia="OptimaLTStd" w:hAnsi="Times New Roman"/>
          <w:sz w:val="24"/>
          <w:szCs w:val="24"/>
        </w:rPr>
      </w:pPr>
      <w:r w:rsidRPr="00115F29">
        <w:rPr>
          <w:rFonts w:ascii="Times New Roman" w:eastAsia="OptimaLTStd" w:hAnsi="Times New Roman"/>
          <w:sz w:val="24"/>
          <w:szCs w:val="24"/>
        </w:rPr>
        <w:t xml:space="preserve">Como una herramienta de transparencia y rendición de cuentas, para el seguimiento de los programas y medidas sociales y económicos más relevantes aprobados mediante los Decretos 12-2020, 13-2020 y 20-2020, así como otros ejecutados con fondos ordinarios y donaciones, se implementó en el portal del Ministerio de Finanzas Públicas un apartado especial denominado “Seguimiento a los </w:t>
      </w:r>
      <w:r w:rsidR="00115F29">
        <w:rPr>
          <w:rFonts w:ascii="Times New Roman" w:eastAsia="OptimaLTStd" w:hAnsi="Times New Roman"/>
          <w:sz w:val="24"/>
          <w:szCs w:val="24"/>
        </w:rPr>
        <w:t>Programas Sociales y Económicos</w:t>
      </w:r>
      <w:r w:rsidRPr="00115F29">
        <w:rPr>
          <w:rFonts w:ascii="Times New Roman" w:eastAsia="OptimaLTStd" w:hAnsi="Times New Roman"/>
          <w:sz w:val="24"/>
          <w:szCs w:val="24"/>
        </w:rPr>
        <w:t>” en el cual es posible generar</w:t>
      </w:r>
      <w:r w:rsidR="00115F29">
        <w:rPr>
          <w:rFonts w:ascii="Times New Roman" w:eastAsia="OptimaLTStd" w:hAnsi="Times New Roman"/>
          <w:sz w:val="24"/>
          <w:szCs w:val="24"/>
        </w:rPr>
        <w:t xml:space="preserve"> los</w:t>
      </w:r>
      <w:r w:rsidRPr="00115F29">
        <w:rPr>
          <w:rFonts w:ascii="Times New Roman" w:eastAsia="OptimaLTStd" w:hAnsi="Times New Roman"/>
          <w:sz w:val="24"/>
          <w:szCs w:val="24"/>
        </w:rPr>
        <w:t xml:space="preserve"> informes relacionados con el gasto asignado y ejecutado por las entidades del Sector Público, en relación con </w:t>
      </w:r>
      <w:r w:rsidR="00115F29">
        <w:rPr>
          <w:rFonts w:ascii="Times New Roman" w:eastAsia="OptimaLTStd" w:hAnsi="Times New Roman"/>
          <w:sz w:val="24"/>
          <w:szCs w:val="24"/>
        </w:rPr>
        <w:t xml:space="preserve">los programas creados en el marco de </w:t>
      </w:r>
      <w:r w:rsidRPr="00115F29">
        <w:rPr>
          <w:rFonts w:ascii="Times New Roman" w:eastAsia="OptimaLTStd" w:hAnsi="Times New Roman"/>
          <w:sz w:val="24"/>
          <w:szCs w:val="24"/>
        </w:rPr>
        <w:t>la Emergencia COVID-19.</w:t>
      </w:r>
    </w:p>
    <w:p w14:paraId="0AB9520F" w14:textId="028DB7FC" w:rsidR="00DF3713" w:rsidRDefault="00DF3713" w:rsidP="00E648CF">
      <w:pPr>
        <w:pStyle w:val="Sinespaciado"/>
        <w:ind w:left="648"/>
        <w:jc w:val="both"/>
        <w:rPr>
          <w:rFonts w:ascii="Times New Roman" w:eastAsia="OptimaLTStd" w:hAnsi="Times New Roman"/>
          <w:sz w:val="24"/>
          <w:szCs w:val="24"/>
        </w:rPr>
      </w:pPr>
    </w:p>
    <w:p w14:paraId="23448F2D" w14:textId="77777777" w:rsidR="00DF3713" w:rsidRDefault="00DF3713" w:rsidP="00DF3713">
      <w:pPr>
        <w:pStyle w:val="Sinespaciado"/>
        <w:ind w:left="708"/>
        <w:jc w:val="both"/>
        <w:rPr>
          <w:rFonts w:ascii="Times New Roman" w:eastAsia="OptimaLTStd" w:hAnsi="Times New Roman"/>
          <w:sz w:val="24"/>
          <w:szCs w:val="24"/>
        </w:rPr>
      </w:pPr>
      <w:r w:rsidRPr="0013165C">
        <w:rPr>
          <w:rFonts w:ascii="Times New Roman" w:eastAsia="OptimaLTStd" w:hAnsi="Times New Roman"/>
          <w:sz w:val="24"/>
          <w:szCs w:val="24"/>
        </w:rPr>
        <w:t>La información disponible en el portal permite dar seguimiento al gasto efectuado en el programa 94 denominado “Atención de Desastres Naturales y Calamidades Públicas” que contiene y detalla el gasto realizado en los subprogramas 01 y 09 denominados “Estado de Calamidad Pública por Emergencia COVID-19” creados en función de lo establecido en el Decreto Gubernativo 05-2020 de la Presidencia de la República, la información se encuentra en formato de datos abiertos con tablas que pueden ser descargadas para conocer por institución el presupuesto vigente, comprometido y ejecutado a la fecha de la consulta.</w:t>
      </w:r>
    </w:p>
    <w:p w14:paraId="11D7EA4F" w14:textId="18357DDA" w:rsidR="00DF3713" w:rsidRDefault="00DF3713" w:rsidP="00E648CF">
      <w:pPr>
        <w:pStyle w:val="Sinespaciado"/>
        <w:ind w:left="648"/>
        <w:jc w:val="both"/>
        <w:rPr>
          <w:rFonts w:ascii="Times New Roman" w:eastAsia="OptimaLTStd" w:hAnsi="Times New Roman"/>
          <w:sz w:val="24"/>
          <w:szCs w:val="24"/>
        </w:rPr>
      </w:pPr>
    </w:p>
    <w:p w14:paraId="5729D921" w14:textId="7B7BA505" w:rsidR="00DF3713" w:rsidRDefault="00DF3713" w:rsidP="00E648CF">
      <w:pPr>
        <w:pStyle w:val="Sinespaciado"/>
        <w:ind w:left="648"/>
        <w:jc w:val="both"/>
        <w:rPr>
          <w:rFonts w:ascii="Times New Roman" w:eastAsia="OptimaLTStd" w:hAnsi="Times New Roman"/>
          <w:sz w:val="24"/>
          <w:szCs w:val="24"/>
        </w:rPr>
      </w:pPr>
    </w:p>
    <w:p w14:paraId="5176AF72" w14:textId="5135815A" w:rsidR="00DF3713" w:rsidRDefault="00DF3713" w:rsidP="00E648CF">
      <w:pPr>
        <w:pStyle w:val="Sinespaciado"/>
        <w:ind w:left="648"/>
        <w:jc w:val="both"/>
        <w:rPr>
          <w:rFonts w:ascii="Times New Roman" w:eastAsia="OptimaLTStd" w:hAnsi="Times New Roman"/>
          <w:sz w:val="24"/>
          <w:szCs w:val="24"/>
        </w:rPr>
      </w:pPr>
    </w:p>
    <w:p w14:paraId="0CB04AD7" w14:textId="6233D838" w:rsidR="00DF3713" w:rsidRDefault="00DF3713" w:rsidP="00E648CF">
      <w:pPr>
        <w:pStyle w:val="Sinespaciado"/>
        <w:ind w:left="648"/>
        <w:jc w:val="both"/>
        <w:rPr>
          <w:rFonts w:ascii="Times New Roman" w:eastAsia="OptimaLTStd" w:hAnsi="Times New Roman"/>
          <w:sz w:val="24"/>
          <w:szCs w:val="24"/>
        </w:rPr>
      </w:pPr>
    </w:p>
    <w:p w14:paraId="79FACC6F" w14:textId="77777777" w:rsidR="00DF3713" w:rsidRPr="00115F29" w:rsidRDefault="00DF3713" w:rsidP="00E648CF">
      <w:pPr>
        <w:pStyle w:val="Sinespaciado"/>
        <w:ind w:left="648"/>
        <w:jc w:val="both"/>
        <w:rPr>
          <w:rFonts w:ascii="Times New Roman" w:eastAsia="OptimaLTStd" w:hAnsi="Times New Roman"/>
          <w:sz w:val="24"/>
          <w:szCs w:val="24"/>
        </w:rPr>
      </w:pPr>
    </w:p>
    <w:p w14:paraId="443FE0A6" w14:textId="619A0C94" w:rsidR="00C42AA3" w:rsidRDefault="00C42AA3" w:rsidP="00C42AA3">
      <w:pPr>
        <w:autoSpaceDE w:val="0"/>
        <w:autoSpaceDN w:val="0"/>
        <w:adjustRightInd w:val="0"/>
        <w:spacing w:line="276" w:lineRule="auto"/>
        <w:jc w:val="both"/>
        <w:rPr>
          <w:rFonts w:eastAsia="OptimaLTStd"/>
          <w:color w:val="000000"/>
          <w:sz w:val="24"/>
          <w:szCs w:val="24"/>
          <w:lang w:val="es-MX"/>
        </w:rPr>
      </w:pPr>
    </w:p>
    <w:p w14:paraId="6DE18685" w14:textId="3B711E9A" w:rsidR="00C42AA3" w:rsidRPr="0013165C" w:rsidRDefault="00C42AA3" w:rsidP="0013165C">
      <w:pPr>
        <w:pStyle w:val="Epgrafe"/>
        <w:keepNext/>
        <w:ind w:left="567" w:right="49"/>
        <w:rPr>
          <w:color w:val="auto"/>
          <w:sz w:val="24"/>
          <w:szCs w:val="24"/>
        </w:rPr>
      </w:pPr>
      <w:r w:rsidRPr="0013165C">
        <w:rPr>
          <w:color w:val="auto"/>
          <w:sz w:val="24"/>
          <w:szCs w:val="24"/>
        </w:rPr>
        <w:lastRenderedPageBreak/>
        <w:t xml:space="preserve">Figura </w:t>
      </w:r>
      <w:r w:rsidR="0013165C">
        <w:rPr>
          <w:color w:val="auto"/>
          <w:sz w:val="24"/>
          <w:szCs w:val="24"/>
        </w:rPr>
        <w:t>2</w:t>
      </w:r>
    </w:p>
    <w:p w14:paraId="3A22A075" w14:textId="2137C5DE" w:rsidR="00C42AA3" w:rsidRPr="0013165C" w:rsidRDefault="00C42AA3" w:rsidP="0013165C">
      <w:pPr>
        <w:pStyle w:val="Epgrafe"/>
        <w:keepNext/>
        <w:ind w:left="567" w:right="49"/>
        <w:rPr>
          <w:color w:val="auto"/>
          <w:sz w:val="24"/>
          <w:szCs w:val="24"/>
        </w:rPr>
      </w:pPr>
      <w:r w:rsidRPr="0013165C">
        <w:rPr>
          <w:color w:val="auto"/>
          <w:sz w:val="24"/>
          <w:szCs w:val="24"/>
        </w:rPr>
        <w:t>Tablero de seguimiento a Programas Sociales y Económicos</w:t>
      </w:r>
    </w:p>
    <w:p w14:paraId="354B3D6B" w14:textId="5D776419" w:rsidR="00C42AA3" w:rsidRDefault="0013165C" w:rsidP="0013165C">
      <w:pPr>
        <w:pStyle w:val="Epgrafe"/>
        <w:keepNext/>
        <w:ind w:left="567" w:right="49"/>
        <w:rPr>
          <w:color w:val="auto"/>
          <w:sz w:val="24"/>
          <w:szCs w:val="24"/>
        </w:rPr>
      </w:pPr>
      <w:r>
        <w:rPr>
          <w:color w:val="auto"/>
          <w:sz w:val="24"/>
          <w:szCs w:val="24"/>
        </w:rPr>
        <w:t>creado</w:t>
      </w:r>
      <w:r w:rsidR="00C42AA3" w:rsidRPr="0013165C">
        <w:rPr>
          <w:color w:val="auto"/>
          <w:sz w:val="24"/>
          <w:szCs w:val="24"/>
        </w:rPr>
        <w:t>s en el marco de la pandemia de Covid-19</w:t>
      </w:r>
    </w:p>
    <w:p w14:paraId="40BA4304" w14:textId="77777777" w:rsidR="0013165C" w:rsidRPr="0013165C" w:rsidRDefault="0013165C" w:rsidP="0013165C">
      <w:pPr>
        <w:rPr>
          <w:rFonts w:eastAsia="OptimaLTStd"/>
        </w:rPr>
      </w:pPr>
    </w:p>
    <w:p w14:paraId="1626F1A0" w14:textId="07FD7E03" w:rsidR="00C42AA3" w:rsidRDefault="00C42AA3" w:rsidP="0013165C">
      <w:pPr>
        <w:autoSpaceDE w:val="0"/>
        <w:autoSpaceDN w:val="0"/>
        <w:adjustRightInd w:val="0"/>
        <w:spacing w:line="276" w:lineRule="auto"/>
        <w:jc w:val="center"/>
        <w:rPr>
          <w:rFonts w:eastAsia="OptimaLTStd"/>
          <w:color w:val="000000"/>
          <w:sz w:val="24"/>
          <w:szCs w:val="24"/>
          <w:lang w:val="es-MX"/>
        </w:rPr>
      </w:pPr>
      <w:r>
        <w:rPr>
          <w:noProof/>
          <w:lang w:val="es-ES"/>
        </w:rPr>
        <w:drawing>
          <wp:inline distT="0" distB="0" distL="0" distR="0" wp14:anchorId="22D7F5DC" wp14:editId="3D5CDB31">
            <wp:extent cx="5522009" cy="3765006"/>
            <wp:effectExtent l="0" t="0" r="2540" b="6985"/>
            <wp:docPr id="1423" name="Imagen 1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2"/>
                    <a:srcRect l="16395" t="13376" r="17419" b="6366"/>
                    <a:stretch/>
                  </pic:blipFill>
                  <pic:spPr bwMode="auto">
                    <a:xfrm>
                      <a:off x="0" y="0"/>
                      <a:ext cx="5537602" cy="3775637"/>
                    </a:xfrm>
                    <a:prstGeom prst="rect">
                      <a:avLst/>
                    </a:prstGeom>
                    <a:ln>
                      <a:noFill/>
                    </a:ln>
                    <a:extLst>
                      <a:ext uri="{53640926-AAD7-44D8-BBD7-CCE9431645EC}">
                        <a14:shadowObscured xmlns:a14="http://schemas.microsoft.com/office/drawing/2010/main"/>
                      </a:ext>
                    </a:extLst>
                  </pic:spPr>
                </pic:pic>
              </a:graphicData>
            </a:graphic>
          </wp:inline>
        </w:drawing>
      </w:r>
    </w:p>
    <w:p w14:paraId="29439D37" w14:textId="16AEB700" w:rsidR="0013165C" w:rsidRPr="004707AB" w:rsidRDefault="0013165C" w:rsidP="0013165C">
      <w:pPr>
        <w:widowControl/>
        <w:ind w:left="708"/>
        <w:rPr>
          <w:rFonts w:eastAsia="OptimaLTStd"/>
          <w:u w:val="single"/>
          <w:lang w:val="es-MX"/>
        </w:rPr>
      </w:pPr>
      <w:r w:rsidRPr="004707AB">
        <w:rPr>
          <w:rFonts w:eastAsia="OptimaLTStd"/>
          <w:lang w:val="es-MX"/>
        </w:rPr>
        <w:t>Fuente: portal MINFIN.</w:t>
      </w:r>
    </w:p>
    <w:p w14:paraId="53F676BF" w14:textId="77777777" w:rsidR="00C42AA3" w:rsidRDefault="00C42AA3" w:rsidP="00C42AA3">
      <w:pPr>
        <w:autoSpaceDE w:val="0"/>
        <w:autoSpaceDN w:val="0"/>
        <w:adjustRightInd w:val="0"/>
        <w:spacing w:line="276" w:lineRule="auto"/>
        <w:jc w:val="both"/>
        <w:rPr>
          <w:rFonts w:eastAsia="OptimaLTStd"/>
          <w:color w:val="000000"/>
          <w:sz w:val="24"/>
          <w:szCs w:val="24"/>
          <w:lang w:val="es-MX"/>
        </w:rPr>
      </w:pPr>
    </w:p>
    <w:p w14:paraId="51979E92" w14:textId="77777777" w:rsidR="00E648CF" w:rsidRPr="0013165C" w:rsidRDefault="00E648CF" w:rsidP="00E648CF">
      <w:pPr>
        <w:pStyle w:val="Sinespaciado"/>
        <w:ind w:left="708"/>
        <w:jc w:val="both"/>
        <w:rPr>
          <w:rFonts w:ascii="Times New Roman" w:eastAsia="OptimaLTStd" w:hAnsi="Times New Roman"/>
          <w:sz w:val="24"/>
          <w:szCs w:val="24"/>
        </w:rPr>
      </w:pPr>
    </w:p>
    <w:p w14:paraId="543C1231" w14:textId="77777777" w:rsidR="00C42AA3" w:rsidRPr="005A4BBD" w:rsidRDefault="00C42AA3" w:rsidP="00E648CF">
      <w:pPr>
        <w:pStyle w:val="Ttulo1"/>
        <w:widowControl/>
        <w:numPr>
          <w:ilvl w:val="2"/>
          <w:numId w:val="5"/>
        </w:numPr>
        <w:ind w:right="49"/>
        <w:jc w:val="left"/>
        <w:rPr>
          <w:color w:val="auto"/>
          <w:sz w:val="24"/>
          <w:szCs w:val="24"/>
        </w:rPr>
      </w:pPr>
      <w:bookmarkStart w:id="108" w:name="_Toc47433650"/>
      <w:bookmarkStart w:id="109" w:name="_Toc49939745"/>
      <w:bookmarkEnd w:id="105"/>
      <w:r w:rsidRPr="005A4BBD">
        <w:rPr>
          <w:color w:val="auto"/>
          <w:sz w:val="24"/>
          <w:szCs w:val="24"/>
        </w:rPr>
        <w:t>Riesgo de desastres provocados por fenómenos naturales</w:t>
      </w:r>
      <w:bookmarkEnd w:id="108"/>
      <w:bookmarkEnd w:id="109"/>
    </w:p>
    <w:p w14:paraId="1F92D292" w14:textId="77777777" w:rsidR="00C42AA3" w:rsidRDefault="00C42AA3" w:rsidP="00E648CF">
      <w:pPr>
        <w:ind w:left="567"/>
        <w:jc w:val="both"/>
        <w:rPr>
          <w:sz w:val="24"/>
          <w:szCs w:val="24"/>
        </w:rPr>
      </w:pPr>
    </w:p>
    <w:p w14:paraId="5EA4ECAD" w14:textId="76EA5D09" w:rsidR="00C42AA3" w:rsidRDefault="00C42AA3" w:rsidP="00E648CF">
      <w:pPr>
        <w:pStyle w:val="Sinespaciado"/>
        <w:ind w:left="567"/>
        <w:jc w:val="both"/>
        <w:rPr>
          <w:rFonts w:ascii="Times New Roman" w:eastAsia="OptimaLTStd" w:hAnsi="Times New Roman"/>
          <w:color w:val="000000"/>
          <w:sz w:val="24"/>
          <w:szCs w:val="24"/>
          <w:lang w:val="es-MX" w:eastAsia="es-ES"/>
        </w:rPr>
      </w:pPr>
      <w:r>
        <w:rPr>
          <w:rFonts w:ascii="Times New Roman" w:eastAsia="OptimaLTStd" w:hAnsi="Times New Roman"/>
          <w:color w:val="000000"/>
          <w:sz w:val="24"/>
          <w:szCs w:val="24"/>
          <w:lang w:val="es-MX" w:eastAsia="es-ES"/>
        </w:rPr>
        <w:t xml:space="preserve">Durante el periodo septiembre 2019 – julio 2020 los principales fenómenos naturales que han causado desastres son </w:t>
      </w:r>
      <w:r w:rsidR="003438B8">
        <w:rPr>
          <w:rFonts w:ascii="Times New Roman" w:eastAsia="OptimaLTStd" w:hAnsi="Times New Roman"/>
          <w:color w:val="000000"/>
          <w:sz w:val="24"/>
          <w:szCs w:val="24"/>
          <w:lang w:val="es-MX" w:eastAsia="es-ES"/>
        </w:rPr>
        <w:t>hidrometeorológicos</w:t>
      </w:r>
      <w:r>
        <w:rPr>
          <w:rFonts w:ascii="Times New Roman" w:eastAsia="OptimaLTStd" w:hAnsi="Times New Roman"/>
          <w:color w:val="000000"/>
          <w:sz w:val="24"/>
          <w:szCs w:val="24"/>
          <w:lang w:val="es-MX" w:eastAsia="es-ES"/>
        </w:rPr>
        <w:t>, específicamente las tormentas tropicales Amanda y Cristóbal entre mayo y junio 2020.</w:t>
      </w:r>
    </w:p>
    <w:p w14:paraId="7818872E" w14:textId="77777777" w:rsidR="00C42AA3" w:rsidRDefault="00C42AA3" w:rsidP="00E648CF">
      <w:pPr>
        <w:pStyle w:val="Sinespaciado"/>
        <w:ind w:left="567"/>
        <w:jc w:val="both"/>
        <w:rPr>
          <w:rFonts w:ascii="Times New Roman" w:eastAsia="OptimaLTStd" w:hAnsi="Times New Roman"/>
          <w:color w:val="000000"/>
          <w:sz w:val="24"/>
          <w:szCs w:val="24"/>
          <w:lang w:val="es-MX" w:eastAsia="es-ES"/>
        </w:rPr>
      </w:pPr>
    </w:p>
    <w:p w14:paraId="6006E3D9" w14:textId="77777777" w:rsidR="00C42AA3" w:rsidRPr="00BF174D" w:rsidRDefault="00C42AA3" w:rsidP="00E648CF">
      <w:pPr>
        <w:pStyle w:val="Sinespaciado"/>
        <w:ind w:left="567"/>
        <w:jc w:val="both"/>
        <w:rPr>
          <w:rFonts w:ascii="Times New Roman" w:eastAsia="OptimaLTStd" w:hAnsi="Times New Roman"/>
          <w:color w:val="000000"/>
          <w:sz w:val="24"/>
          <w:szCs w:val="24"/>
          <w:lang w:val="es-MX" w:eastAsia="es-ES"/>
        </w:rPr>
      </w:pPr>
      <w:r w:rsidRPr="00BF174D">
        <w:rPr>
          <w:rFonts w:ascii="Times New Roman" w:eastAsia="OptimaLTStd" w:hAnsi="Times New Roman"/>
          <w:color w:val="000000"/>
          <w:sz w:val="24"/>
          <w:szCs w:val="24"/>
          <w:lang w:val="es-MX" w:eastAsia="es-ES"/>
        </w:rPr>
        <w:t>El </w:t>
      </w:r>
      <w:hyperlink r:id="rId63" w:tooltip="24 de mayo" w:history="1">
        <w:r w:rsidRPr="00BF174D">
          <w:rPr>
            <w:rFonts w:ascii="Times New Roman" w:eastAsia="OptimaLTStd" w:hAnsi="Times New Roman"/>
            <w:color w:val="000000"/>
            <w:sz w:val="24"/>
            <w:szCs w:val="24"/>
            <w:lang w:val="es-MX" w:eastAsia="es-ES"/>
          </w:rPr>
          <w:t>24 de mayo</w:t>
        </w:r>
      </w:hyperlink>
      <w:r w:rsidRPr="00BF174D">
        <w:rPr>
          <w:rFonts w:ascii="Times New Roman" w:eastAsia="OptimaLTStd" w:hAnsi="Times New Roman"/>
          <w:color w:val="000000"/>
          <w:sz w:val="24"/>
          <w:szCs w:val="24"/>
          <w:lang w:val="es-MX" w:eastAsia="es-ES"/>
        </w:rPr>
        <w:t> de </w:t>
      </w:r>
      <w:hyperlink r:id="rId64" w:tooltip="2020" w:history="1">
        <w:r w:rsidRPr="00BF174D">
          <w:rPr>
            <w:rFonts w:ascii="Times New Roman" w:eastAsia="OptimaLTStd" w:hAnsi="Times New Roman"/>
            <w:color w:val="000000"/>
            <w:sz w:val="24"/>
            <w:szCs w:val="24"/>
            <w:lang w:val="es-MX" w:eastAsia="es-ES"/>
          </w:rPr>
          <w:t>2020</w:t>
        </w:r>
      </w:hyperlink>
      <w:r w:rsidRPr="00BF174D">
        <w:rPr>
          <w:rFonts w:ascii="Times New Roman" w:eastAsia="OptimaLTStd" w:hAnsi="Times New Roman"/>
          <w:color w:val="000000"/>
          <w:sz w:val="24"/>
          <w:szCs w:val="24"/>
          <w:lang w:val="es-MX" w:eastAsia="es-ES"/>
        </w:rPr>
        <w:t>, el </w:t>
      </w:r>
      <w:hyperlink r:id="rId65" w:tooltip="Centro Nacional de Huracanes" w:history="1">
        <w:r w:rsidRPr="00BF174D">
          <w:rPr>
            <w:rFonts w:ascii="Times New Roman" w:eastAsia="OptimaLTStd" w:hAnsi="Times New Roman"/>
            <w:color w:val="000000"/>
            <w:sz w:val="24"/>
            <w:szCs w:val="24"/>
            <w:lang w:val="es-MX" w:eastAsia="es-ES"/>
          </w:rPr>
          <w:t>Centro Nacional de Huracanes</w:t>
        </w:r>
      </w:hyperlink>
      <w:r w:rsidRPr="00BF174D">
        <w:rPr>
          <w:rFonts w:ascii="Times New Roman" w:eastAsia="OptimaLTStd" w:hAnsi="Times New Roman"/>
          <w:color w:val="000000"/>
          <w:sz w:val="24"/>
          <w:szCs w:val="24"/>
          <w:lang w:val="es-MX" w:eastAsia="es-ES"/>
        </w:rPr>
        <w:t> (NHC) discutió por primera vez la posibilidad de ciclogénesis tropical debido a una amplia área de baja presión que se pronostica que se formará frente a la costa de </w:t>
      </w:r>
      <w:hyperlink r:id="rId66" w:tooltip="El Salvador" w:history="1">
        <w:r w:rsidRPr="00BF174D">
          <w:rPr>
            <w:rFonts w:ascii="Times New Roman" w:eastAsia="OptimaLTStd" w:hAnsi="Times New Roman"/>
            <w:color w:val="000000"/>
            <w:sz w:val="24"/>
            <w:szCs w:val="24"/>
            <w:lang w:val="es-MX" w:eastAsia="es-ES"/>
          </w:rPr>
          <w:t>El Salvador</w:t>
        </w:r>
      </w:hyperlink>
      <w:r w:rsidRPr="00BF174D">
        <w:rPr>
          <w:rFonts w:ascii="Times New Roman" w:eastAsia="OptimaLTStd" w:hAnsi="Times New Roman"/>
          <w:color w:val="000000"/>
          <w:sz w:val="24"/>
          <w:szCs w:val="24"/>
          <w:lang w:val="es-MX" w:eastAsia="es-ES"/>
        </w:rPr>
        <w:t> y su </w:t>
      </w:r>
      <w:hyperlink r:id="rId67" w:tooltip="Ola tropical" w:history="1">
        <w:r w:rsidRPr="00BF174D">
          <w:rPr>
            <w:rFonts w:ascii="Times New Roman" w:eastAsia="OptimaLTStd" w:hAnsi="Times New Roman"/>
            <w:color w:val="000000"/>
            <w:sz w:val="24"/>
            <w:szCs w:val="24"/>
            <w:lang w:val="es-MX" w:eastAsia="es-ES"/>
          </w:rPr>
          <w:t>ola tropical</w:t>
        </w:r>
      </w:hyperlink>
      <w:r w:rsidRPr="00BF174D">
        <w:rPr>
          <w:rFonts w:ascii="Times New Roman" w:eastAsia="OptimaLTStd" w:hAnsi="Times New Roman"/>
          <w:color w:val="000000"/>
          <w:sz w:val="24"/>
          <w:szCs w:val="24"/>
          <w:lang w:val="es-MX" w:eastAsia="es-ES"/>
        </w:rPr>
        <w:t> asociada. Para el </w:t>
      </w:r>
      <w:hyperlink r:id="rId68" w:tooltip="30 de mayo" w:history="1">
        <w:r w:rsidRPr="00BF174D">
          <w:rPr>
            <w:rFonts w:ascii="Times New Roman" w:eastAsia="OptimaLTStd" w:hAnsi="Times New Roman"/>
            <w:color w:val="000000"/>
            <w:sz w:val="24"/>
            <w:szCs w:val="24"/>
            <w:lang w:val="es-MX" w:eastAsia="es-ES"/>
          </w:rPr>
          <w:t>30 de mayo</w:t>
        </w:r>
      </w:hyperlink>
      <w:r w:rsidRPr="00BF174D">
        <w:rPr>
          <w:rFonts w:ascii="Times New Roman" w:eastAsia="OptimaLTStd" w:hAnsi="Times New Roman"/>
          <w:color w:val="000000"/>
          <w:sz w:val="24"/>
          <w:szCs w:val="24"/>
          <w:lang w:val="es-MX" w:eastAsia="es-ES"/>
        </w:rPr>
        <w:t xml:space="preserve">, el sistema alcanzó la convección </w:t>
      </w:r>
    </w:p>
    <w:p w14:paraId="035FEAA8" w14:textId="77777777" w:rsidR="00C42AA3" w:rsidRPr="00BF174D" w:rsidRDefault="00C42AA3" w:rsidP="00E648CF">
      <w:pPr>
        <w:pStyle w:val="Sinespaciado"/>
        <w:ind w:left="567"/>
        <w:jc w:val="both"/>
        <w:rPr>
          <w:rFonts w:ascii="Times New Roman" w:eastAsia="OptimaLTStd" w:hAnsi="Times New Roman"/>
          <w:color w:val="000000"/>
          <w:sz w:val="24"/>
          <w:szCs w:val="24"/>
          <w:lang w:val="es-MX" w:eastAsia="es-ES"/>
        </w:rPr>
      </w:pPr>
      <w:r w:rsidRPr="00BF174D">
        <w:rPr>
          <w:rFonts w:ascii="Times New Roman" w:eastAsia="OptimaLTStd" w:hAnsi="Times New Roman"/>
          <w:color w:val="000000"/>
          <w:sz w:val="24"/>
          <w:szCs w:val="24"/>
          <w:lang w:val="es-MX" w:eastAsia="es-ES"/>
        </w:rPr>
        <w:t>para ser designado como depresión tropical Dos-E.</w:t>
      </w:r>
    </w:p>
    <w:p w14:paraId="11B9D4F3" w14:textId="77777777" w:rsidR="00C42AA3" w:rsidRDefault="00C42AA3" w:rsidP="00E648CF">
      <w:pPr>
        <w:pStyle w:val="Sinespaciado"/>
        <w:ind w:left="567"/>
        <w:jc w:val="both"/>
        <w:rPr>
          <w:rFonts w:ascii="Times New Roman" w:hAnsi="Times New Roman"/>
          <w:sz w:val="24"/>
          <w:szCs w:val="24"/>
        </w:rPr>
      </w:pPr>
    </w:p>
    <w:p w14:paraId="212B1E4F" w14:textId="77777777" w:rsidR="00C42AA3" w:rsidRDefault="00C42AA3" w:rsidP="00E648CF">
      <w:pPr>
        <w:pStyle w:val="Sinespaciado"/>
        <w:ind w:left="567"/>
        <w:jc w:val="both"/>
        <w:rPr>
          <w:rFonts w:ascii="Times New Roman" w:eastAsia="OptimaLTStd" w:hAnsi="Times New Roman"/>
          <w:color w:val="000000"/>
          <w:sz w:val="24"/>
          <w:szCs w:val="24"/>
          <w:lang w:val="es-MX" w:eastAsia="es-ES"/>
        </w:rPr>
      </w:pPr>
      <w:r w:rsidRPr="00BF174D">
        <w:rPr>
          <w:rFonts w:ascii="Times New Roman" w:eastAsia="OptimaLTStd" w:hAnsi="Times New Roman"/>
          <w:color w:val="000000"/>
          <w:sz w:val="24"/>
          <w:szCs w:val="24"/>
          <w:lang w:val="es-MX" w:eastAsia="es-ES"/>
        </w:rPr>
        <w:t>La depresión se intensificó y las estimaciones satelitales permitieron al </w:t>
      </w:r>
      <w:hyperlink r:id="rId69" w:tooltip="Centro Nacional de Huracanes" w:history="1">
        <w:r w:rsidRPr="00BF174D">
          <w:rPr>
            <w:rFonts w:ascii="Times New Roman" w:eastAsia="OptimaLTStd" w:hAnsi="Times New Roman"/>
            <w:color w:val="000000"/>
            <w:sz w:val="24"/>
            <w:szCs w:val="24"/>
            <w:lang w:val="es-MX" w:eastAsia="es-ES"/>
          </w:rPr>
          <w:t>Centro Nacional de Huracanes</w:t>
        </w:r>
      </w:hyperlink>
      <w:r w:rsidRPr="00BF174D">
        <w:rPr>
          <w:rFonts w:ascii="Times New Roman" w:eastAsia="OptimaLTStd" w:hAnsi="Times New Roman"/>
          <w:color w:val="000000"/>
          <w:sz w:val="24"/>
          <w:szCs w:val="24"/>
          <w:lang w:val="es-MX" w:eastAsia="es-ES"/>
        </w:rPr>
        <w:t> (NHC) actualizar la depresión tropical a la tormenta tropical Amanda el </w:t>
      </w:r>
      <w:hyperlink r:id="rId70" w:tooltip="31 de mayo" w:history="1">
        <w:r w:rsidRPr="00BF174D">
          <w:rPr>
            <w:rFonts w:ascii="Times New Roman" w:eastAsia="OptimaLTStd" w:hAnsi="Times New Roman"/>
            <w:color w:val="000000"/>
            <w:sz w:val="24"/>
            <w:szCs w:val="24"/>
            <w:lang w:val="es-MX" w:eastAsia="es-ES"/>
          </w:rPr>
          <w:t>31 de mayo</w:t>
        </w:r>
      </w:hyperlink>
      <w:r w:rsidRPr="00BF174D">
        <w:rPr>
          <w:rFonts w:ascii="Times New Roman" w:eastAsia="OptimaLTStd" w:hAnsi="Times New Roman"/>
          <w:color w:val="000000"/>
          <w:sz w:val="24"/>
          <w:szCs w:val="24"/>
          <w:lang w:val="es-MX" w:eastAsia="es-ES"/>
        </w:rPr>
        <w:t>, la primera tormenta nombrada de la temporada. Solo tres horas después de ser nombrada, a las 12:00 UTC, Amanda tocó tierra en el sureste de </w:t>
      </w:r>
      <w:hyperlink r:id="rId71" w:tooltip="Guatemala" w:history="1">
        <w:r w:rsidRPr="00BF174D">
          <w:rPr>
            <w:rFonts w:ascii="Times New Roman" w:eastAsia="OptimaLTStd" w:hAnsi="Times New Roman"/>
            <w:color w:val="000000"/>
            <w:sz w:val="24"/>
            <w:szCs w:val="24"/>
            <w:lang w:val="es-MX" w:eastAsia="es-ES"/>
          </w:rPr>
          <w:t>Guatemala</w:t>
        </w:r>
      </w:hyperlink>
      <w:r w:rsidRPr="00BF174D">
        <w:rPr>
          <w:rFonts w:ascii="Times New Roman" w:eastAsia="OptimaLTStd" w:hAnsi="Times New Roman"/>
          <w:color w:val="000000"/>
          <w:sz w:val="24"/>
          <w:szCs w:val="24"/>
          <w:lang w:val="es-MX" w:eastAsia="es-ES"/>
        </w:rPr>
        <w:t xml:space="preserve"> y comenzó a extender fuertes lluvias hacia el interior. se debilitó rápidamente y se disipó sobre el país más tarde ese día, ​ y sus </w:t>
      </w:r>
      <w:r w:rsidRPr="00BF174D">
        <w:rPr>
          <w:rFonts w:ascii="Times New Roman" w:eastAsia="OptimaLTStd" w:hAnsi="Times New Roman"/>
          <w:color w:val="000000"/>
          <w:sz w:val="24"/>
          <w:szCs w:val="24"/>
          <w:lang w:val="es-MX" w:eastAsia="es-ES"/>
        </w:rPr>
        <w:lastRenderedPageBreak/>
        <w:t>remanentes continuaron hacia el norte. Sus restos más tarde se regeneraron en la depresión tropical Tres y más tarde la tormenta tropical Cristóbal, el 1 de junio.</w:t>
      </w:r>
    </w:p>
    <w:p w14:paraId="5BF58370" w14:textId="3CA62DE7" w:rsidR="00C42AA3" w:rsidRPr="0013165C" w:rsidRDefault="00C42AA3" w:rsidP="0013165C">
      <w:pPr>
        <w:pStyle w:val="Epgrafe"/>
        <w:keepNext/>
        <w:ind w:left="567" w:right="49"/>
        <w:rPr>
          <w:color w:val="auto"/>
          <w:sz w:val="24"/>
          <w:szCs w:val="24"/>
        </w:rPr>
      </w:pPr>
      <w:r w:rsidRPr="0013165C">
        <w:rPr>
          <w:color w:val="auto"/>
          <w:sz w:val="24"/>
          <w:szCs w:val="24"/>
        </w:rPr>
        <w:t>Figura</w:t>
      </w:r>
      <w:r w:rsidR="0013165C">
        <w:rPr>
          <w:color w:val="auto"/>
          <w:sz w:val="24"/>
          <w:szCs w:val="24"/>
        </w:rPr>
        <w:t xml:space="preserve"> 3</w:t>
      </w:r>
    </w:p>
    <w:p w14:paraId="74C0430A" w14:textId="77777777" w:rsidR="00C42AA3" w:rsidRPr="0013165C" w:rsidRDefault="00C42AA3" w:rsidP="0013165C">
      <w:pPr>
        <w:pStyle w:val="Epgrafe"/>
        <w:keepNext/>
        <w:ind w:left="567" w:right="49"/>
        <w:rPr>
          <w:color w:val="auto"/>
          <w:sz w:val="24"/>
          <w:szCs w:val="24"/>
        </w:rPr>
      </w:pPr>
      <w:r w:rsidRPr="0013165C">
        <w:rPr>
          <w:color w:val="auto"/>
          <w:sz w:val="24"/>
          <w:szCs w:val="24"/>
        </w:rPr>
        <w:t>Tormentas Tropicales Amanda y Cristóbal</w:t>
      </w:r>
    </w:p>
    <w:p w14:paraId="0ED8D14B" w14:textId="77777777" w:rsidR="00C42AA3" w:rsidRPr="00703D52" w:rsidRDefault="00C42AA3" w:rsidP="00C42AA3">
      <w:pPr>
        <w:pStyle w:val="Sinespaciado"/>
        <w:jc w:val="both"/>
        <w:rPr>
          <w:rFonts w:ascii="Times New Roman" w:hAnsi="Times New Roman"/>
          <w:sz w:val="24"/>
          <w:szCs w:val="24"/>
          <w:lang w:val="es-MX"/>
        </w:rPr>
      </w:pPr>
    </w:p>
    <w:p w14:paraId="2EE1EB0F" w14:textId="77777777" w:rsidR="00C42AA3" w:rsidRDefault="00C42AA3" w:rsidP="00C42AA3">
      <w:pPr>
        <w:pStyle w:val="Sinespaciado"/>
        <w:jc w:val="both"/>
        <w:rPr>
          <w:rFonts w:ascii="Times New Roman" w:hAnsi="Times New Roman"/>
          <w:sz w:val="24"/>
          <w:szCs w:val="24"/>
        </w:rPr>
      </w:pPr>
      <w:r w:rsidRPr="00085BC9">
        <w:rPr>
          <w:rFonts w:ascii="Times New Roman" w:hAnsi="Times New Roman"/>
          <w:noProof/>
          <w:sz w:val="24"/>
          <w:szCs w:val="24"/>
          <w:lang w:eastAsia="es-ES"/>
        </w:rPr>
        <mc:AlternateContent>
          <mc:Choice Requires="wps">
            <w:drawing>
              <wp:anchor distT="45720" distB="45720" distL="114300" distR="114300" simplePos="0" relativeHeight="251691008" behindDoc="0" locked="0" layoutInCell="1" allowOverlap="1" wp14:anchorId="6EB718B9" wp14:editId="013C565D">
                <wp:simplePos x="0" y="0"/>
                <wp:positionH relativeFrom="column">
                  <wp:posOffset>3769360</wp:posOffset>
                </wp:positionH>
                <wp:positionV relativeFrom="paragraph">
                  <wp:posOffset>29845</wp:posOffset>
                </wp:positionV>
                <wp:extent cx="2082800" cy="427990"/>
                <wp:effectExtent l="0" t="0" r="12700" b="10160"/>
                <wp:wrapNone/>
                <wp:docPr id="21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82800" cy="427990"/>
                        </a:xfrm>
                        <a:prstGeom prst="rect">
                          <a:avLst/>
                        </a:prstGeom>
                        <a:solidFill>
                          <a:schemeClr val="accent1">
                            <a:lumMod val="60000"/>
                            <a:lumOff val="40000"/>
                          </a:schemeClr>
                        </a:solidFill>
                        <a:ln>
                          <a:solidFill>
                            <a:schemeClr val="bg1"/>
                          </a:solidFill>
                          <a:headEnd/>
                          <a:tailEnd/>
                        </a:ln>
                      </wps:spPr>
                      <wps:style>
                        <a:lnRef idx="2">
                          <a:schemeClr val="dk1"/>
                        </a:lnRef>
                        <a:fillRef idx="1">
                          <a:schemeClr val="lt1"/>
                        </a:fillRef>
                        <a:effectRef idx="0">
                          <a:schemeClr val="dk1"/>
                        </a:effectRef>
                        <a:fontRef idx="minor">
                          <a:schemeClr val="dk1"/>
                        </a:fontRef>
                      </wps:style>
                      <wps:txbx>
                        <w:txbxContent>
                          <w:p w14:paraId="7F9B1099" w14:textId="77777777" w:rsidR="00963B9C" w:rsidRPr="00F751E8" w:rsidRDefault="00963B9C" w:rsidP="00C42AA3">
                            <w:pPr>
                              <w:jc w:val="center"/>
                              <w:rPr>
                                <w:rFonts w:ascii="Arial" w:hAnsi="Arial" w:cs="Arial"/>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F751E8">
                              <w:rPr>
                                <w:rFonts w:ascii="Arial" w:hAnsi="Arial" w:cs="Arial"/>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Tormenta Tropical</w:t>
                            </w:r>
                          </w:p>
                          <w:p w14:paraId="7AD8C726" w14:textId="77777777" w:rsidR="00963B9C" w:rsidRPr="00F751E8" w:rsidRDefault="00963B9C" w:rsidP="00C42AA3">
                            <w:pPr>
                              <w:jc w:val="center"/>
                              <w:rPr>
                                <w:rFonts w:ascii="Arial" w:hAnsi="Arial" w:cs="Arial"/>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F751E8">
                              <w:rPr>
                                <w:rFonts w:ascii="Arial" w:hAnsi="Arial" w:cs="Arial"/>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“Cristóbal”</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shape w14:anchorId="6EB718B9" id="Cuadro de texto 2" o:spid="_x0000_s1045" type="#_x0000_t202" style="position:absolute;left:0;text-align:left;margin-left:296.8pt;margin-top:2.35pt;width:164pt;height:33.7pt;z-index:2516910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" fillcolor="#8eaadb [1940]" strokecolor="white [3212]" strokeweight="2pt">
                <v:textbox>
                  <w:txbxContent>
                    <w:p w14:paraId="7F9B1099" w14:textId="77777777" w:rsidR="00963B9C" w:rsidRPr="00F751E8" w:rsidRDefault="00963B9C" w:rsidP="00C42AA3">
                      <w:pPr>
                        <w:jc w:val="center"/>
                        <w:rPr>
                          <w:rFonts w:ascii="Arial" w:hAnsi="Arial" w:cs="Arial"/>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F751E8">
                        <w:rPr>
                          <w:rFonts w:ascii="Arial" w:hAnsi="Arial" w:cs="Arial"/>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Tormenta Tropical</w:t>
                      </w:r>
                    </w:p>
                    <w:p w14:paraId="7AD8C726" w14:textId="77777777" w:rsidR="00963B9C" w:rsidRPr="00F751E8" w:rsidRDefault="00963B9C" w:rsidP="00C42AA3">
                      <w:pPr>
                        <w:jc w:val="center"/>
                        <w:rPr>
                          <w:rFonts w:ascii="Arial" w:hAnsi="Arial" w:cs="Arial"/>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F751E8">
                        <w:rPr>
                          <w:rFonts w:ascii="Arial" w:hAnsi="Arial" w:cs="Arial"/>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“Cristóbal”</w:t>
                      </w:r>
                    </w:p>
                  </w:txbxContent>
                </v:textbox>
              </v:shape>
            </w:pict>
          </mc:Fallback>
        </mc:AlternateContent>
      </w:r>
      <w:r w:rsidRPr="00085BC9">
        <w:rPr>
          <w:rFonts w:ascii="Times New Roman" w:hAnsi="Times New Roman"/>
          <w:noProof/>
          <w:sz w:val="24"/>
          <w:szCs w:val="24"/>
          <w:lang w:eastAsia="es-ES"/>
        </w:rPr>
        <mc:AlternateContent>
          <mc:Choice Requires="wps">
            <w:drawing>
              <wp:anchor distT="45720" distB="45720" distL="114300" distR="114300" simplePos="0" relativeHeight="251692032" behindDoc="0" locked="0" layoutInCell="1" allowOverlap="1" wp14:anchorId="02C9E9A8" wp14:editId="17158A88">
                <wp:simplePos x="0" y="0"/>
                <wp:positionH relativeFrom="column">
                  <wp:posOffset>489585</wp:posOffset>
                </wp:positionH>
                <wp:positionV relativeFrom="paragraph">
                  <wp:posOffset>26035</wp:posOffset>
                </wp:positionV>
                <wp:extent cx="2360930" cy="1404620"/>
                <wp:effectExtent l="0" t="0" r="19685" b="20320"/>
                <wp:wrapNone/>
                <wp:docPr id="8"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4F81BD">
                            <a:lumMod val="60000"/>
                            <a:lumOff val="40000"/>
                          </a:srgbClr>
                        </a:solidFill>
                        <a:ln w="25400" cap="flat" cmpd="sng" algn="ctr">
                          <a:solidFill>
                            <a:sysClr val="window" lastClr="FFFFFF"/>
                          </a:solidFill>
                          <a:prstDash val="solid"/>
                          <a:headEnd/>
                          <a:tailEnd/>
                        </a:ln>
                        <a:effectLst/>
                      </wps:spPr>
                      <wps:txbx>
                        <w:txbxContent>
                          <w:p w14:paraId="695CF74F" w14:textId="77777777" w:rsidR="00963B9C" w:rsidRPr="00F751E8" w:rsidRDefault="00963B9C" w:rsidP="00C42AA3">
                            <w:pPr>
                              <w:jc w:val="center"/>
                              <w:rPr>
                                <w:rFonts w:ascii="Arial" w:hAnsi="Arial" w:cs="Arial"/>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F751E8">
                              <w:rPr>
                                <w:rFonts w:ascii="Arial" w:hAnsi="Arial" w:cs="Arial"/>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Tormenta Tropical</w:t>
                            </w:r>
                          </w:p>
                          <w:p w14:paraId="2E88914E" w14:textId="77777777" w:rsidR="00963B9C" w:rsidRPr="00F751E8" w:rsidRDefault="00963B9C" w:rsidP="00C42AA3">
                            <w:pPr>
                              <w:jc w:val="center"/>
                              <w:rPr>
                                <w:rFonts w:ascii="Arial" w:hAnsi="Arial" w:cs="Arial"/>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F751E8">
                              <w:rPr>
                                <w:rFonts w:ascii="Arial" w:hAnsi="Arial" w:cs="Arial"/>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Pr>
                                <w:rFonts w:ascii="Arial" w:hAnsi="Arial" w:cs="Arial"/>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Amanda</w:t>
                            </w:r>
                            <w:r w:rsidRPr="00F751E8">
                              <w:rPr>
                                <w:rFonts w:ascii="Arial" w:hAnsi="Arial" w:cs="Arial"/>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xmlns:w16se="http://schemas.microsoft.com/office/word/2015/wordml/symex" xmlns:w15="http://schemas.microsoft.com/office/word/2012/wordml" xmlns:cx="http://schemas.microsoft.com/office/drawing/2014/chartex">
            <w:pict>
              <v:shape w14:anchorId="02C9E9A8" id="_x0000_s1046" type="#_x0000_t202" style="position:absolute;left:0;text-align:left;margin-left:38.55pt;margin-top:2.05pt;width:185.9pt;height:110.6pt;z-index:251692032;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" fillcolor="#95b3d7" strokecolor="window" strokeweight="2pt">
                <v:textbox style="mso-fit-shape-to-text:t">
                  <w:txbxContent>
                    <w:p w14:paraId="695CF74F" w14:textId="77777777" w:rsidR="00963B9C" w:rsidRPr="00F751E8" w:rsidRDefault="00963B9C" w:rsidP="00C42AA3">
                      <w:pPr>
                        <w:jc w:val="center"/>
                        <w:rPr>
                          <w:rFonts w:ascii="Arial" w:hAnsi="Arial" w:cs="Arial"/>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F751E8">
                        <w:rPr>
                          <w:rFonts w:ascii="Arial" w:hAnsi="Arial" w:cs="Arial"/>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Tormenta Tropical</w:t>
                      </w:r>
                    </w:p>
                    <w:p w14:paraId="2E88914E" w14:textId="77777777" w:rsidR="00963B9C" w:rsidRPr="00F751E8" w:rsidRDefault="00963B9C" w:rsidP="00C42AA3">
                      <w:pPr>
                        <w:jc w:val="center"/>
                        <w:rPr>
                          <w:rFonts w:ascii="Arial" w:hAnsi="Arial" w:cs="Arial"/>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F751E8">
                        <w:rPr>
                          <w:rFonts w:ascii="Arial" w:hAnsi="Arial" w:cs="Arial"/>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Pr>
                          <w:rFonts w:ascii="Arial" w:hAnsi="Arial" w:cs="Arial"/>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Amanda</w:t>
                      </w:r>
                      <w:r w:rsidRPr="00F751E8">
                        <w:rPr>
                          <w:rFonts w:ascii="Arial" w:hAnsi="Arial" w:cs="Arial"/>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p>
                  </w:txbxContent>
                </v:textbox>
              </v:shape>
            </w:pict>
          </mc:Fallback>
        </mc:AlternateContent>
      </w:r>
    </w:p>
    <w:p w14:paraId="2C037CDC" w14:textId="77777777" w:rsidR="00C42AA3" w:rsidRDefault="00C42AA3" w:rsidP="00C42AA3">
      <w:pPr>
        <w:pStyle w:val="Sinespaciado"/>
        <w:jc w:val="both"/>
        <w:rPr>
          <w:rFonts w:ascii="Times New Roman" w:hAnsi="Times New Roman"/>
          <w:sz w:val="24"/>
          <w:szCs w:val="24"/>
        </w:rPr>
      </w:pPr>
    </w:p>
    <w:p w14:paraId="1CD9D8AB" w14:textId="77777777" w:rsidR="00C42AA3" w:rsidRDefault="00C42AA3" w:rsidP="00C42AA3">
      <w:pPr>
        <w:pStyle w:val="Sinespaciado"/>
        <w:jc w:val="both"/>
        <w:rPr>
          <w:rFonts w:ascii="Times New Roman" w:hAnsi="Times New Roman"/>
          <w:sz w:val="24"/>
          <w:szCs w:val="24"/>
        </w:rPr>
      </w:pPr>
    </w:p>
    <w:p w14:paraId="6C59DC4E" w14:textId="77777777" w:rsidR="00C42AA3" w:rsidRDefault="00C42AA3" w:rsidP="00C42AA3">
      <w:pPr>
        <w:pStyle w:val="Sinespaciado"/>
        <w:jc w:val="right"/>
        <w:rPr>
          <w:rFonts w:ascii="Times New Roman" w:hAnsi="Times New Roman"/>
          <w:sz w:val="24"/>
          <w:szCs w:val="24"/>
        </w:rPr>
      </w:pPr>
      <w:r>
        <w:rPr>
          <w:noProof/>
          <w:lang w:eastAsia="es-ES"/>
        </w:rPr>
        <w:drawing>
          <wp:inline distT="0" distB="0" distL="0" distR="0" wp14:anchorId="307040BC" wp14:editId="5D7035C3">
            <wp:extent cx="3060700" cy="1732915"/>
            <wp:effectExtent l="0" t="0" r="6350" b="635"/>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72" cstate="print">
                      <a:extLst>
                        <a:ext uri="{28A0092B-C50C-407E-A947-70E740481C1C}">
                          <a14:useLocalDpi xmlns:a14="http://schemas.microsoft.com/office/drawing/2010/main" val="0"/>
                        </a:ext>
                      </a:extLst>
                    </a:blip>
                    <a:srcRect l="11859" r="8758" b="24580"/>
                    <a:stretch/>
                  </pic:blipFill>
                  <pic:spPr bwMode="auto">
                    <a:xfrm>
                      <a:off x="0" y="0"/>
                      <a:ext cx="3060700" cy="1732915"/>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t xml:space="preserve"> </w:t>
      </w:r>
      <w:r>
        <w:rPr>
          <w:noProof/>
          <w:lang w:eastAsia="es-ES"/>
        </w:rPr>
        <w:drawing>
          <wp:inline distT="0" distB="0" distL="0" distR="0" wp14:anchorId="34CB6AA5" wp14:editId="7AC71434">
            <wp:extent cx="3018155" cy="1732184"/>
            <wp:effectExtent l="0" t="0" r="0" b="1905"/>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3018155" cy="1732184"/>
                    </a:xfrm>
                    <a:prstGeom prst="rect">
                      <a:avLst/>
                    </a:prstGeom>
                    <a:noFill/>
                    <a:ln>
                      <a:noFill/>
                    </a:ln>
                  </pic:spPr>
                </pic:pic>
              </a:graphicData>
            </a:graphic>
          </wp:inline>
        </w:drawing>
      </w:r>
    </w:p>
    <w:p w14:paraId="27229AB3" w14:textId="77777777" w:rsidR="00C42AA3" w:rsidRDefault="00C42AA3" w:rsidP="00C42AA3">
      <w:pPr>
        <w:pStyle w:val="Sinespaciado"/>
        <w:jc w:val="center"/>
        <w:rPr>
          <w:rFonts w:ascii="Times New Roman" w:hAnsi="Times New Roman"/>
          <w:sz w:val="24"/>
          <w:szCs w:val="24"/>
        </w:rPr>
      </w:pPr>
      <w:r>
        <w:rPr>
          <w:noProof/>
          <w:lang w:eastAsia="es-ES"/>
        </w:rPr>
        <w:drawing>
          <wp:inline distT="0" distB="0" distL="0" distR="0" wp14:anchorId="425F0E0B" wp14:editId="53AA9F46">
            <wp:extent cx="5041900" cy="1854200"/>
            <wp:effectExtent l="0" t="0" r="6350" b="0"/>
            <wp:docPr id="9" name="Imagen 9" descr="Imax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xe"/>
                    <pic:cNvPicPr>
                      <a:picLocks noChangeAspect="1" noChangeArrowheads="1"/>
                    </pic:cNvPicPr>
                  </pic:nvPicPr>
                  <pic:blipFill rotWithShape="1">
                    <a:blip r:embed="rId74">
                      <a:extLst>
                        <a:ext uri="{28A0092B-C50C-407E-A947-70E740481C1C}">
                          <a14:useLocalDpi xmlns:a14="http://schemas.microsoft.com/office/drawing/2010/main" val="0"/>
                        </a:ext>
                      </a:extLst>
                    </a:blip>
                    <a:srcRect l="6729" t="37545" r="13528" b="39802"/>
                    <a:stretch/>
                  </pic:blipFill>
                  <pic:spPr bwMode="auto">
                    <a:xfrm>
                      <a:off x="0" y="0"/>
                      <a:ext cx="5041900" cy="1854200"/>
                    </a:xfrm>
                    <a:prstGeom prst="rect">
                      <a:avLst/>
                    </a:prstGeom>
                    <a:noFill/>
                    <a:ln>
                      <a:noFill/>
                    </a:ln>
                    <a:extLst>
                      <a:ext uri="{53640926-AAD7-44D8-BBD7-CCE9431645EC}">
                        <a14:shadowObscured xmlns:a14="http://schemas.microsoft.com/office/drawing/2010/main"/>
                      </a:ext>
                    </a:extLst>
                  </pic:spPr>
                </pic:pic>
              </a:graphicData>
            </a:graphic>
          </wp:inline>
        </w:drawing>
      </w:r>
    </w:p>
    <w:p w14:paraId="75957AAC" w14:textId="77777777" w:rsidR="00C42AA3" w:rsidRDefault="00C42AA3" w:rsidP="00C42AA3">
      <w:pPr>
        <w:pStyle w:val="Sinespaciado"/>
        <w:jc w:val="both"/>
        <w:rPr>
          <w:rFonts w:ascii="Times New Roman" w:hAnsi="Times New Roman"/>
          <w:sz w:val="24"/>
          <w:szCs w:val="24"/>
        </w:rPr>
      </w:pPr>
    </w:p>
    <w:p w14:paraId="02901ACA" w14:textId="77777777" w:rsidR="00C42AA3" w:rsidRPr="004707AB" w:rsidRDefault="00C42AA3" w:rsidP="00C42AA3">
      <w:pPr>
        <w:pStyle w:val="Sinespaciado"/>
        <w:ind w:left="1416"/>
        <w:rPr>
          <w:rFonts w:ascii="Times New Roman" w:hAnsi="Times New Roman"/>
          <w:sz w:val="20"/>
          <w:szCs w:val="20"/>
        </w:rPr>
      </w:pPr>
      <w:r w:rsidRPr="004707AB">
        <w:rPr>
          <w:rFonts w:ascii="Times New Roman" w:hAnsi="Times New Roman"/>
          <w:sz w:val="20"/>
          <w:szCs w:val="20"/>
        </w:rPr>
        <w:t>Fuente: INSIVUMEH</w:t>
      </w:r>
    </w:p>
    <w:p w14:paraId="6D606610" w14:textId="77777777" w:rsidR="00C42AA3" w:rsidRDefault="00C42AA3" w:rsidP="00C42AA3">
      <w:pPr>
        <w:pStyle w:val="Sinespaciado"/>
        <w:jc w:val="both"/>
        <w:rPr>
          <w:rFonts w:ascii="Times New Roman" w:hAnsi="Times New Roman"/>
          <w:sz w:val="24"/>
          <w:szCs w:val="24"/>
        </w:rPr>
      </w:pPr>
    </w:p>
    <w:p w14:paraId="263853E0" w14:textId="77777777" w:rsidR="00C42AA3" w:rsidRPr="00BF174D" w:rsidRDefault="00C42AA3" w:rsidP="00E648CF">
      <w:pPr>
        <w:pStyle w:val="Sinespaciado"/>
        <w:ind w:left="708"/>
        <w:jc w:val="both"/>
        <w:rPr>
          <w:rFonts w:ascii="Times New Roman" w:eastAsia="OptimaLTStd" w:hAnsi="Times New Roman"/>
          <w:color w:val="000000"/>
          <w:sz w:val="24"/>
          <w:szCs w:val="24"/>
          <w:lang w:val="es-MX" w:eastAsia="es-ES"/>
        </w:rPr>
      </w:pPr>
      <w:r w:rsidRPr="00BF174D">
        <w:rPr>
          <w:rFonts w:ascii="Times New Roman" w:eastAsia="OptimaLTStd" w:hAnsi="Times New Roman"/>
          <w:color w:val="000000"/>
          <w:sz w:val="24"/>
          <w:szCs w:val="24"/>
          <w:lang w:val="es-MX" w:eastAsia="es-ES"/>
        </w:rPr>
        <w:t>Amanda y Cristóbal causaron lluvias excesivas y fuertes vientos que dejaron inundaciones y deslizamientos de tierra alrededor del este y centro-norte de Guatemala. El Coordinador Nacional para la Reducción de Desastres (CONRED) informa que las tormentas afectaron colectivamente a más de 394,000 personas al 4 de junio, dejando a 881 personas sin hogar y causando dos muertes. Las tormentas dañaron 880 hogares y pusieron en riesgo otros 967. </w:t>
      </w:r>
    </w:p>
    <w:p w14:paraId="59F67DAF" w14:textId="77777777" w:rsidR="00C42AA3" w:rsidRPr="00BF174D" w:rsidRDefault="00C42AA3" w:rsidP="00E648CF">
      <w:pPr>
        <w:pStyle w:val="Sinespaciado"/>
        <w:ind w:left="708"/>
        <w:jc w:val="both"/>
        <w:rPr>
          <w:rFonts w:ascii="Times New Roman" w:eastAsia="OptimaLTStd" w:hAnsi="Times New Roman"/>
          <w:color w:val="000000"/>
          <w:sz w:val="24"/>
          <w:szCs w:val="24"/>
          <w:lang w:val="es-MX" w:eastAsia="es-ES"/>
        </w:rPr>
      </w:pPr>
    </w:p>
    <w:p w14:paraId="60407D16" w14:textId="77777777" w:rsidR="00C42AA3" w:rsidRPr="00BF174D" w:rsidRDefault="00C42AA3" w:rsidP="00E648CF">
      <w:pPr>
        <w:pStyle w:val="Sinespaciado"/>
        <w:ind w:left="708"/>
        <w:jc w:val="both"/>
        <w:rPr>
          <w:rFonts w:ascii="Times New Roman" w:eastAsia="OptimaLTStd" w:hAnsi="Times New Roman"/>
          <w:color w:val="000000"/>
          <w:sz w:val="24"/>
          <w:szCs w:val="24"/>
          <w:lang w:val="es-MX" w:eastAsia="es-ES"/>
        </w:rPr>
      </w:pPr>
      <w:r w:rsidRPr="00BF174D">
        <w:rPr>
          <w:rFonts w:ascii="Times New Roman" w:eastAsia="OptimaLTStd" w:hAnsi="Times New Roman"/>
          <w:color w:val="000000"/>
          <w:sz w:val="24"/>
          <w:szCs w:val="24"/>
          <w:lang w:val="es-MX" w:eastAsia="es-ES"/>
        </w:rPr>
        <w:t>De acuerdo con Reliefweb, las lluvias</w:t>
      </w:r>
      <w:r>
        <w:rPr>
          <w:rFonts w:ascii="Times New Roman" w:eastAsia="OptimaLTStd" w:hAnsi="Times New Roman"/>
          <w:color w:val="000000"/>
          <w:sz w:val="24"/>
          <w:szCs w:val="24"/>
          <w:lang w:val="es-MX" w:eastAsia="es-ES"/>
        </w:rPr>
        <w:t xml:space="preserve"> de </w:t>
      </w:r>
      <w:r w:rsidRPr="00BF174D">
        <w:rPr>
          <w:rFonts w:ascii="Times New Roman" w:eastAsia="OptimaLTStd" w:hAnsi="Times New Roman"/>
          <w:color w:val="000000"/>
          <w:sz w:val="24"/>
          <w:szCs w:val="24"/>
          <w:lang w:val="es-MX" w:eastAsia="es-ES"/>
        </w:rPr>
        <w:t>la</w:t>
      </w:r>
      <w:r>
        <w:rPr>
          <w:rFonts w:ascii="Times New Roman" w:eastAsia="OptimaLTStd" w:hAnsi="Times New Roman"/>
          <w:color w:val="000000"/>
          <w:sz w:val="24"/>
          <w:szCs w:val="24"/>
          <w:lang w:val="es-MX" w:eastAsia="es-ES"/>
        </w:rPr>
        <w:t>s</w:t>
      </w:r>
      <w:r w:rsidRPr="00BF174D">
        <w:rPr>
          <w:rFonts w:ascii="Times New Roman" w:eastAsia="OptimaLTStd" w:hAnsi="Times New Roman"/>
          <w:color w:val="000000"/>
          <w:sz w:val="24"/>
          <w:szCs w:val="24"/>
          <w:lang w:val="es-MX" w:eastAsia="es-ES"/>
        </w:rPr>
        <w:t xml:space="preserve"> tormenta</w:t>
      </w:r>
      <w:r>
        <w:rPr>
          <w:rFonts w:ascii="Times New Roman" w:eastAsia="OptimaLTStd" w:hAnsi="Times New Roman"/>
          <w:color w:val="000000"/>
          <w:sz w:val="24"/>
          <w:szCs w:val="24"/>
          <w:lang w:val="es-MX" w:eastAsia="es-ES"/>
        </w:rPr>
        <w:t>s</w:t>
      </w:r>
      <w:r w:rsidRPr="00BF174D">
        <w:rPr>
          <w:rFonts w:ascii="Times New Roman" w:eastAsia="OptimaLTStd" w:hAnsi="Times New Roman"/>
          <w:color w:val="000000"/>
          <w:sz w:val="24"/>
          <w:szCs w:val="24"/>
          <w:lang w:val="es-MX" w:eastAsia="es-ES"/>
        </w:rPr>
        <w:t xml:space="preserve"> tropical Amanda</w:t>
      </w:r>
      <w:r>
        <w:rPr>
          <w:rFonts w:ascii="Times New Roman" w:eastAsia="OptimaLTStd" w:hAnsi="Times New Roman"/>
          <w:color w:val="000000"/>
          <w:sz w:val="24"/>
          <w:szCs w:val="24"/>
          <w:lang w:val="es-MX" w:eastAsia="es-ES"/>
        </w:rPr>
        <w:t xml:space="preserve"> y Cristóbal</w:t>
      </w:r>
      <w:r w:rsidRPr="00BF174D">
        <w:rPr>
          <w:rFonts w:ascii="Times New Roman" w:eastAsia="OptimaLTStd" w:hAnsi="Times New Roman"/>
          <w:color w:val="000000"/>
          <w:sz w:val="24"/>
          <w:szCs w:val="24"/>
          <w:lang w:val="es-MX" w:eastAsia="es-ES"/>
        </w:rPr>
        <w:t xml:space="preserve"> provocaron inundaciones, derrumbes en carreteras, crecida de ríos, dejando a 469 mil personas afectadas, 2 mil damnificadas, 5 mil evacuadas, 2 heridas, 5</w:t>
      </w:r>
      <w:r>
        <w:rPr>
          <w:rFonts w:ascii="Times New Roman" w:eastAsia="OptimaLTStd" w:hAnsi="Times New Roman"/>
          <w:color w:val="000000"/>
          <w:sz w:val="24"/>
          <w:szCs w:val="24"/>
          <w:lang w:val="es-MX" w:eastAsia="es-ES"/>
        </w:rPr>
        <w:t xml:space="preserve"> </w:t>
      </w:r>
      <w:r w:rsidRPr="00BF174D">
        <w:rPr>
          <w:rFonts w:ascii="Times New Roman" w:eastAsia="OptimaLTStd" w:hAnsi="Times New Roman"/>
          <w:color w:val="000000"/>
          <w:sz w:val="24"/>
          <w:szCs w:val="24"/>
          <w:lang w:val="es-MX" w:eastAsia="es-ES"/>
        </w:rPr>
        <w:t>fallecidas, y 795 albergadas. 14 albergues fueron habilitados.</w:t>
      </w:r>
    </w:p>
    <w:p w14:paraId="250B9F05" w14:textId="77777777" w:rsidR="00C42AA3" w:rsidRPr="00BF174D" w:rsidRDefault="00C42AA3" w:rsidP="00E648CF">
      <w:pPr>
        <w:pStyle w:val="Sinespaciado"/>
        <w:ind w:left="708"/>
        <w:jc w:val="both"/>
        <w:rPr>
          <w:rFonts w:ascii="Times New Roman" w:eastAsia="OptimaLTStd" w:hAnsi="Times New Roman"/>
          <w:color w:val="000000"/>
          <w:sz w:val="24"/>
          <w:szCs w:val="24"/>
          <w:lang w:val="es-MX" w:eastAsia="es-ES"/>
        </w:rPr>
      </w:pPr>
    </w:p>
    <w:p w14:paraId="49E0371E" w14:textId="77777777" w:rsidR="00C42AA3" w:rsidRPr="00BF174D" w:rsidRDefault="00C42AA3" w:rsidP="00E648CF">
      <w:pPr>
        <w:pStyle w:val="Sinespaciado"/>
        <w:ind w:left="708"/>
        <w:jc w:val="both"/>
        <w:rPr>
          <w:rFonts w:ascii="Times New Roman" w:eastAsia="OptimaLTStd" w:hAnsi="Times New Roman"/>
          <w:color w:val="000000"/>
          <w:sz w:val="24"/>
          <w:szCs w:val="24"/>
          <w:lang w:val="es-MX" w:eastAsia="es-ES"/>
        </w:rPr>
      </w:pPr>
      <w:r w:rsidRPr="00BF174D">
        <w:rPr>
          <w:rFonts w:ascii="Times New Roman" w:eastAsia="OptimaLTStd" w:hAnsi="Times New Roman"/>
          <w:color w:val="000000"/>
          <w:sz w:val="24"/>
          <w:szCs w:val="24"/>
          <w:lang w:val="es-MX" w:eastAsia="es-ES"/>
        </w:rPr>
        <w:t>En daños a infraestructura dej</w:t>
      </w:r>
      <w:r>
        <w:rPr>
          <w:rFonts w:ascii="Times New Roman" w:eastAsia="OptimaLTStd" w:hAnsi="Times New Roman"/>
          <w:color w:val="000000"/>
          <w:sz w:val="24"/>
          <w:szCs w:val="24"/>
          <w:lang w:val="es-MX" w:eastAsia="es-ES"/>
        </w:rPr>
        <w:t xml:space="preserve">aron </w:t>
      </w:r>
      <w:r w:rsidRPr="00BF174D">
        <w:rPr>
          <w:rFonts w:ascii="Times New Roman" w:eastAsia="OptimaLTStd" w:hAnsi="Times New Roman"/>
          <w:color w:val="000000"/>
          <w:sz w:val="24"/>
          <w:szCs w:val="24"/>
          <w:lang w:val="es-MX" w:eastAsia="es-ES"/>
        </w:rPr>
        <w:t xml:space="preserve">1 mil viviendas con daño leve, 961 viviendas con daño moderado 35 con daño severo. </w:t>
      </w:r>
      <w:r>
        <w:rPr>
          <w:rFonts w:ascii="Times New Roman" w:eastAsia="OptimaLTStd" w:hAnsi="Times New Roman"/>
          <w:color w:val="000000"/>
          <w:sz w:val="24"/>
          <w:szCs w:val="24"/>
          <w:lang w:val="es-MX" w:eastAsia="es-ES"/>
        </w:rPr>
        <w:t xml:space="preserve"> T</w:t>
      </w:r>
      <w:r w:rsidRPr="00BF174D">
        <w:rPr>
          <w:rFonts w:ascii="Times New Roman" w:eastAsia="OptimaLTStd" w:hAnsi="Times New Roman"/>
          <w:color w:val="000000"/>
          <w:sz w:val="24"/>
          <w:szCs w:val="24"/>
          <w:lang w:val="es-MX" w:eastAsia="es-ES"/>
        </w:rPr>
        <w:t xml:space="preserve">ambién </w:t>
      </w:r>
      <w:r>
        <w:rPr>
          <w:rFonts w:ascii="Times New Roman" w:eastAsia="OptimaLTStd" w:hAnsi="Times New Roman"/>
          <w:color w:val="000000"/>
          <w:sz w:val="24"/>
          <w:szCs w:val="24"/>
          <w:lang w:val="es-MX" w:eastAsia="es-ES"/>
        </w:rPr>
        <w:t>dañaron</w:t>
      </w:r>
      <w:r w:rsidRPr="00BF174D">
        <w:rPr>
          <w:rFonts w:ascii="Times New Roman" w:eastAsia="OptimaLTStd" w:hAnsi="Times New Roman"/>
          <w:color w:val="000000"/>
          <w:sz w:val="24"/>
          <w:szCs w:val="24"/>
          <w:lang w:val="es-MX" w:eastAsia="es-ES"/>
        </w:rPr>
        <w:t xml:space="preserve"> en gran medida los medios de vida en las regiones montañosas del Pacífico lo cual repercute en la seguridad alimentaria y nutricional.</w:t>
      </w:r>
    </w:p>
    <w:p w14:paraId="39AF4B7F" w14:textId="77777777" w:rsidR="00C42AA3" w:rsidRPr="00BF174D" w:rsidRDefault="00C42AA3" w:rsidP="00E648CF">
      <w:pPr>
        <w:pStyle w:val="Sinespaciado"/>
        <w:ind w:left="708"/>
        <w:jc w:val="both"/>
        <w:rPr>
          <w:rFonts w:ascii="Times New Roman" w:eastAsia="OptimaLTStd" w:hAnsi="Times New Roman"/>
          <w:color w:val="000000"/>
          <w:sz w:val="24"/>
          <w:szCs w:val="24"/>
          <w:lang w:val="es-MX" w:eastAsia="es-ES"/>
        </w:rPr>
      </w:pPr>
    </w:p>
    <w:p w14:paraId="14F01990" w14:textId="77777777" w:rsidR="00C42AA3" w:rsidRPr="00E25CE0" w:rsidRDefault="00C42AA3" w:rsidP="00E648CF">
      <w:pPr>
        <w:pStyle w:val="Ttulo3"/>
        <w:widowControl/>
        <w:spacing w:before="240" w:after="60"/>
        <w:ind w:left="708"/>
        <w:jc w:val="both"/>
        <w:rPr>
          <w:sz w:val="24"/>
          <w:szCs w:val="24"/>
          <w:u w:val="none"/>
        </w:rPr>
      </w:pPr>
      <w:bookmarkStart w:id="110" w:name="_Toc47433651"/>
      <w:bookmarkStart w:id="111" w:name="_Toc49939746"/>
      <w:r w:rsidRPr="00E25CE0">
        <w:rPr>
          <w:sz w:val="24"/>
          <w:szCs w:val="24"/>
          <w:u w:val="none"/>
        </w:rPr>
        <w:lastRenderedPageBreak/>
        <w:t>Estrategia Financiera Ante el Riesgo de Desastres</w:t>
      </w:r>
      <w:bookmarkEnd w:id="110"/>
      <w:bookmarkEnd w:id="111"/>
    </w:p>
    <w:p w14:paraId="5A11554B" w14:textId="77777777" w:rsidR="00C42AA3" w:rsidRPr="009562D6" w:rsidRDefault="00C42AA3" w:rsidP="00E648CF">
      <w:pPr>
        <w:ind w:left="708"/>
        <w:jc w:val="both"/>
        <w:rPr>
          <w:sz w:val="24"/>
          <w:szCs w:val="24"/>
        </w:rPr>
      </w:pPr>
    </w:p>
    <w:p w14:paraId="66020FFC" w14:textId="77777777" w:rsidR="00C42AA3" w:rsidRPr="0013165C" w:rsidRDefault="00C42AA3" w:rsidP="00E648CF">
      <w:pPr>
        <w:pStyle w:val="Sinespaciado"/>
        <w:ind w:left="708"/>
        <w:jc w:val="both"/>
        <w:rPr>
          <w:rFonts w:ascii="Times New Roman" w:eastAsia="OptimaLTStd" w:hAnsi="Times New Roman"/>
          <w:color w:val="000000"/>
          <w:sz w:val="24"/>
          <w:szCs w:val="24"/>
          <w:lang w:val="es-MX" w:eastAsia="es-ES"/>
        </w:rPr>
      </w:pPr>
      <w:r w:rsidRPr="0013165C">
        <w:rPr>
          <w:rFonts w:ascii="Times New Roman" w:eastAsia="OptimaLTStd" w:hAnsi="Times New Roman"/>
          <w:color w:val="000000"/>
          <w:sz w:val="24"/>
          <w:szCs w:val="24"/>
          <w:lang w:val="es-MX" w:eastAsia="es-ES"/>
        </w:rPr>
        <w:t xml:space="preserve">Derivado de los impactos negativos en las finanzas públicas que tienen los desastres, el Ministerio de Finanzas Públicas implementa desde abril de 2018 la Estrategia Financiera Ante el Riesgo de Desastres. </w:t>
      </w:r>
    </w:p>
    <w:p w14:paraId="782C2C68" w14:textId="77777777" w:rsidR="00C42AA3" w:rsidRPr="0013165C" w:rsidRDefault="00C42AA3" w:rsidP="00E648CF">
      <w:pPr>
        <w:pStyle w:val="Sinespaciado"/>
        <w:ind w:left="708"/>
        <w:jc w:val="both"/>
        <w:rPr>
          <w:rFonts w:ascii="Times New Roman" w:eastAsia="OptimaLTStd" w:hAnsi="Times New Roman"/>
          <w:color w:val="000000"/>
          <w:sz w:val="24"/>
          <w:szCs w:val="24"/>
          <w:lang w:val="es-MX" w:eastAsia="es-ES"/>
        </w:rPr>
      </w:pPr>
    </w:p>
    <w:p w14:paraId="51B08745" w14:textId="67403A18" w:rsidR="00C42AA3" w:rsidRPr="0013165C" w:rsidRDefault="00C42AA3" w:rsidP="00E648CF">
      <w:pPr>
        <w:pStyle w:val="Sinespaciado"/>
        <w:ind w:left="708"/>
        <w:jc w:val="both"/>
        <w:rPr>
          <w:rFonts w:ascii="Times New Roman" w:eastAsia="OptimaLTStd" w:hAnsi="Times New Roman"/>
          <w:color w:val="000000"/>
          <w:sz w:val="24"/>
          <w:szCs w:val="24"/>
          <w:lang w:val="es-MX" w:eastAsia="es-ES"/>
        </w:rPr>
      </w:pPr>
      <w:r w:rsidRPr="0013165C">
        <w:rPr>
          <w:rFonts w:ascii="Times New Roman" w:eastAsia="OptimaLTStd" w:hAnsi="Times New Roman"/>
          <w:color w:val="000000"/>
          <w:sz w:val="24"/>
          <w:szCs w:val="24"/>
          <w:lang w:val="es-MX" w:eastAsia="es-ES"/>
        </w:rPr>
        <w:t xml:space="preserve">Para el ejercicio fiscal 2019, los avances de la estrategia consistieron en la contratación de instrumentos de transferencia de riesgo, siendo estos, una cobertura de seguro paramétrico contra exceso de lluvias con el Fondo de Seguro contra Riesgo de Catástrofe del Caribe (CCRIF-SPC, por sus siglas en inglés) y una segunda línea de crédito contingente con desembolso diferido ante catástrofes (CAT-DDO, por sus siglas en </w:t>
      </w:r>
      <w:r w:rsidR="0013165C" w:rsidRPr="0013165C">
        <w:rPr>
          <w:rFonts w:ascii="Times New Roman" w:eastAsia="OptimaLTStd" w:hAnsi="Times New Roman"/>
          <w:color w:val="000000"/>
          <w:sz w:val="24"/>
          <w:szCs w:val="24"/>
          <w:lang w:val="es-MX" w:eastAsia="es-ES"/>
        </w:rPr>
        <w:t>inglés</w:t>
      </w:r>
      <w:r w:rsidRPr="0013165C">
        <w:rPr>
          <w:rFonts w:ascii="Times New Roman" w:eastAsia="OptimaLTStd" w:hAnsi="Times New Roman"/>
          <w:color w:val="000000"/>
          <w:sz w:val="24"/>
          <w:szCs w:val="24"/>
          <w:lang w:val="es-MX" w:eastAsia="es-ES"/>
        </w:rPr>
        <w:t xml:space="preserve">) con el Banco Mundial. </w:t>
      </w:r>
    </w:p>
    <w:p w14:paraId="7C4234B5" w14:textId="77777777" w:rsidR="00C42AA3" w:rsidRDefault="00C42AA3" w:rsidP="00E648CF">
      <w:pPr>
        <w:ind w:left="708"/>
        <w:jc w:val="both"/>
        <w:rPr>
          <w:sz w:val="24"/>
          <w:szCs w:val="24"/>
        </w:rPr>
      </w:pPr>
    </w:p>
    <w:p w14:paraId="12ED115F" w14:textId="77777777" w:rsidR="00C42AA3" w:rsidRPr="00E25CE0" w:rsidRDefault="00C42AA3" w:rsidP="00E648CF">
      <w:pPr>
        <w:pStyle w:val="Ttulo3"/>
        <w:widowControl/>
        <w:spacing w:before="240" w:after="60"/>
        <w:ind w:left="708"/>
        <w:jc w:val="both"/>
        <w:rPr>
          <w:sz w:val="24"/>
          <w:szCs w:val="24"/>
          <w:u w:val="none"/>
        </w:rPr>
      </w:pPr>
      <w:bookmarkStart w:id="112" w:name="_Toc47433652"/>
      <w:bookmarkStart w:id="113" w:name="_Toc49939747"/>
      <w:r w:rsidRPr="00E25CE0">
        <w:rPr>
          <w:sz w:val="24"/>
          <w:szCs w:val="24"/>
          <w:u w:val="none"/>
        </w:rPr>
        <w:t>Cobertura con seguro paramétrico</w:t>
      </w:r>
      <w:bookmarkEnd w:id="112"/>
      <w:r>
        <w:rPr>
          <w:sz w:val="24"/>
          <w:szCs w:val="24"/>
          <w:u w:val="none"/>
        </w:rPr>
        <w:t xml:space="preserve"> contra exceso de lluvias</w:t>
      </w:r>
      <w:bookmarkEnd w:id="113"/>
    </w:p>
    <w:p w14:paraId="2BC028AE" w14:textId="77777777" w:rsidR="00C42AA3" w:rsidRPr="00E25CE0" w:rsidRDefault="00C42AA3" w:rsidP="00E648CF">
      <w:pPr>
        <w:ind w:left="708"/>
      </w:pPr>
    </w:p>
    <w:p w14:paraId="05E55369" w14:textId="77777777" w:rsidR="00C42AA3" w:rsidRPr="0013165C" w:rsidRDefault="00C42AA3" w:rsidP="00E648CF">
      <w:pPr>
        <w:pStyle w:val="Sinespaciado"/>
        <w:ind w:left="708"/>
        <w:jc w:val="both"/>
        <w:rPr>
          <w:rFonts w:ascii="Times New Roman" w:eastAsia="OptimaLTStd" w:hAnsi="Times New Roman"/>
          <w:color w:val="000000"/>
          <w:sz w:val="24"/>
          <w:szCs w:val="24"/>
          <w:lang w:val="es-MX" w:eastAsia="es-ES"/>
        </w:rPr>
      </w:pPr>
      <w:r w:rsidRPr="0013165C">
        <w:rPr>
          <w:rFonts w:ascii="Times New Roman" w:eastAsia="OptimaLTStd" w:hAnsi="Times New Roman"/>
          <w:color w:val="000000"/>
          <w:sz w:val="24"/>
          <w:szCs w:val="24"/>
          <w:lang w:val="es-MX" w:eastAsia="es-ES"/>
        </w:rPr>
        <w:t>Durante el ejercicio fiscal 2019 el Gobierno de Guatemala, por medio del Ministerio de Finanzas Públicas, realizó la negociación de una cobertura de seguro paramétrico</w:t>
      </w:r>
      <w:r w:rsidRPr="0013165C">
        <w:rPr>
          <w:rFonts w:ascii="Times New Roman" w:eastAsia="OptimaLTStd" w:hAnsi="Times New Roman"/>
          <w:color w:val="000000"/>
          <w:sz w:val="24"/>
          <w:szCs w:val="24"/>
          <w:lang w:val="es-MX" w:eastAsia="es-ES"/>
        </w:rPr>
        <w:footnoteReference w:id="2"/>
      </w:r>
      <w:r w:rsidRPr="0013165C">
        <w:rPr>
          <w:rFonts w:ascii="Times New Roman" w:eastAsia="OptimaLTStd" w:hAnsi="Times New Roman"/>
          <w:color w:val="000000"/>
          <w:sz w:val="24"/>
          <w:szCs w:val="24"/>
          <w:lang w:val="es-MX" w:eastAsia="es-ES"/>
        </w:rPr>
        <w:t xml:space="preserve"> contra el exceso de lluvia.  La compra de la póliza de cobertura se hizo para el periodo julio 2019 - junio de 2020.  La prima de la póliza ascendió a un monto total de US$500,000 con lo cual se aseguró una cobertura mínima por el mismo monto y una cobertura máxima de US$4.67 millones. </w:t>
      </w:r>
    </w:p>
    <w:p w14:paraId="49BD9F76" w14:textId="77777777" w:rsidR="00C42AA3" w:rsidRDefault="00C42AA3" w:rsidP="00E648CF">
      <w:pPr>
        <w:ind w:left="708"/>
        <w:jc w:val="both"/>
        <w:rPr>
          <w:sz w:val="24"/>
          <w:szCs w:val="24"/>
        </w:rPr>
      </w:pPr>
    </w:p>
    <w:p w14:paraId="0A9B542D" w14:textId="77777777" w:rsidR="00C42AA3" w:rsidRPr="0013165C" w:rsidRDefault="00C42AA3" w:rsidP="00E648CF">
      <w:pPr>
        <w:pStyle w:val="Sinespaciado"/>
        <w:ind w:left="708"/>
        <w:jc w:val="both"/>
        <w:rPr>
          <w:rFonts w:ascii="Times New Roman" w:eastAsia="OptimaLTStd" w:hAnsi="Times New Roman"/>
          <w:color w:val="000000"/>
          <w:sz w:val="24"/>
          <w:szCs w:val="24"/>
          <w:lang w:val="es-MX" w:eastAsia="es-ES"/>
        </w:rPr>
      </w:pPr>
      <w:r w:rsidRPr="0013165C">
        <w:rPr>
          <w:rFonts w:ascii="Times New Roman" w:eastAsia="OptimaLTStd" w:hAnsi="Times New Roman"/>
          <w:color w:val="000000"/>
          <w:sz w:val="24"/>
          <w:szCs w:val="24"/>
          <w:lang w:val="es-MX" w:eastAsia="es-ES"/>
        </w:rPr>
        <w:t xml:space="preserve">El Ministerio de Finanzas Públicas realizó un trabajo técnico para la elección de la prima que mejor se ajusta a las necesidades del país, tomando en cuenta que se tenía como restricción una asignación presupuestaria de hasta US$500,000 para la compra de la póliza. </w:t>
      </w:r>
    </w:p>
    <w:p w14:paraId="03F901D1" w14:textId="77777777" w:rsidR="00C42AA3" w:rsidRPr="0013165C" w:rsidRDefault="00C42AA3" w:rsidP="00E648CF">
      <w:pPr>
        <w:pStyle w:val="Sinespaciado"/>
        <w:ind w:left="708"/>
        <w:jc w:val="both"/>
        <w:rPr>
          <w:rFonts w:ascii="Times New Roman" w:eastAsia="OptimaLTStd" w:hAnsi="Times New Roman"/>
          <w:color w:val="000000"/>
          <w:sz w:val="24"/>
          <w:szCs w:val="24"/>
          <w:lang w:val="es-MX" w:eastAsia="es-ES"/>
        </w:rPr>
      </w:pPr>
    </w:p>
    <w:p w14:paraId="3539850D" w14:textId="728FF79A" w:rsidR="00C42AA3" w:rsidRDefault="00C42AA3" w:rsidP="00DF3713">
      <w:pPr>
        <w:pStyle w:val="Sinespaciado"/>
        <w:ind w:left="708"/>
        <w:jc w:val="both"/>
        <w:rPr>
          <w:rFonts w:eastAsia="OptimaLTStd"/>
          <w:color w:val="000000"/>
          <w:sz w:val="24"/>
          <w:szCs w:val="24"/>
          <w:lang w:val="es-MX"/>
        </w:rPr>
      </w:pPr>
      <w:r w:rsidRPr="0013165C">
        <w:rPr>
          <w:rFonts w:ascii="Times New Roman" w:eastAsia="OptimaLTStd" w:hAnsi="Times New Roman"/>
          <w:color w:val="000000"/>
          <w:sz w:val="24"/>
          <w:szCs w:val="24"/>
          <w:lang w:val="es-MX" w:eastAsia="es-ES"/>
        </w:rPr>
        <w:t>Con esta restricción, se tomó la decisión, basada en modelos matemáticos-financieros, que la mejor opción de compra se encontraba descrita por los siguientes parámetros:</w:t>
      </w:r>
    </w:p>
    <w:p w14:paraId="181AB5E6" w14:textId="77777777" w:rsidR="00DF3713" w:rsidRPr="00DF3713" w:rsidRDefault="00DF3713" w:rsidP="00DF3713">
      <w:pPr>
        <w:pStyle w:val="Sinespaciado"/>
        <w:ind w:left="708"/>
        <w:jc w:val="both"/>
        <w:rPr>
          <w:rFonts w:ascii="Times New Roman" w:eastAsia="OptimaLTStd" w:hAnsi="Times New Roman"/>
          <w:color w:val="000000"/>
          <w:sz w:val="24"/>
          <w:szCs w:val="24"/>
          <w:lang w:val="es-MX" w:eastAsia="es-ES"/>
        </w:rPr>
      </w:pPr>
    </w:p>
    <w:p w14:paraId="7AB2012A" w14:textId="77777777" w:rsidR="00C42AA3" w:rsidRPr="00947DE4" w:rsidRDefault="00C42AA3" w:rsidP="00C42AA3">
      <w:pPr>
        <w:pStyle w:val="Prrafodelista"/>
        <w:numPr>
          <w:ilvl w:val="0"/>
          <w:numId w:val="34"/>
        </w:numPr>
        <w:jc w:val="both"/>
        <w:rPr>
          <w:sz w:val="24"/>
          <w:szCs w:val="24"/>
        </w:rPr>
      </w:pPr>
      <w:r w:rsidRPr="00947DE4">
        <w:rPr>
          <w:sz w:val="24"/>
          <w:szCs w:val="24"/>
        </w:rPr>
        <w:t>Período de retorno: 5 años</w:t>
      </w:r>
    </w:p>
    <w:p w14:paraId="19E39701" w14:textId="77777777" w:rsidR="00C42AA3" w:rsidRPr="00947DE4" w:rsidRDefault="00C42AA3" w:rsidP="00C42AA3">
      <w:pPr>
        <w:pStyle w:val="Prrafodelista"/>
        <w:numPr>
          <w:ilvl w:val="0"/>
          <w:numId w:val="34"/>
        </w:numPr>
        <w:jc w:val="both"/>
        <w:rPr>
          <w:sz w:val="24"/>
          <w:szCs w:val="24"/>
        </w:rPr>
      </w:pPr>
      <w:r w:rsidRPr="00947DE4">
        <w:rPr>
          <w:sz w:val="24"/>
          <w:szCs w:val="24"/>
        </w:rPr>
        <w:t>Punto de activación: US$39.5 millones</w:t>
      </w:r>
    </w:p>
    <w:p w14:paraId="4B24C6D2" w14:textId="77777777" w:rsidR="00C42AA3" w:rsidRPr="00947DE4" w:rsidRDefault="00C42AA3" w:rsidP="00C42AA3">
      <w:pPr>
        <w:pStyle w:val="Prrafodelista"/>
        <w:numPr>
          <w:ilvl w:val="0"/>
          <w:numId w:val="34"/>
        </w:numPr>
        <w:jc w:val="both"/>
        <w:rPr>
          <w:sz w:val="24"/>
          <w:szCs w:val="24"/>
        </w:rPr>
      </w:pPr>
      <w:r w:rsidRPr="00947DE4">
        <w:rPr>
          <w:sz w:val="24"/>
          <w:szCs w:val="24"/>
        </w:rPr>
        <w:t>Límite de responsabilidad: 100 años</w:t>
      </w:r>
    </w:p>
    <w:p w14:paraId="5CEC4EBD" w14:textId="77777777" w:rsidR="00C42AA3" w:rsidRPr="00947DE4" w:rsidRDefault="00C42AA3" w:rsidP="00C42AA3">
      <w:pPr>
        <w:pStyle w:val="Prrafodelista"/>
        <w:numPr>
          <w:ilvl w:val="0"/>
          <w:numId w:val="34"/>
        </w:numPr>
        <w:jc w:val="both"/>
        <w:rPr>
          <w:sz w:val="24"/>
          <w:szCs w:val="24"/>
        </w:rPr>
      </w:pPr>
      <w:r w:rsidRPr="00947DE4">
        <w:rPr>
          <w:sz w:val="24"/>
          <w:szCs w:val="24"/>
        </w:rPr>
        <w:t>Límite total: US$170,700,000</w:t>
      </w:r>
    </w:p>
    <w:p w14:paraId="70958A70" w14:textId="77777777" w:rsidR="00C42AA3" w:rsidRDefault="00C42AA3" w:rsidP="00C42AA3">
      <w:pPr>
        <w:pStyle w:val="Prrafodelista"/>
        <w:numPr>
          <w:ilvl w:val="0"/>
          <w:numId w:val="34"/>
        </w:numPr>
        <w:jc w:val="both"/>
        <w:rPr>
          <w:sz w:val="24"/>
          <w:szCs w:val="24"/>
        </w:rPr>
      </w:pPr>
      <w:r w:rsidRPr="00947DE4">
        <w:rPr>
          <w:sz w:val="24"/>
          <w:szCs w:val="24"/>
        </w:rPr>
        <w:t xml:space="preserve">Límite de cobertura: US$4.67 millones </w:t>
      </w:r>
    </w:p>
    <w:p w14:paraId="33ECEC77" w14:textId="77777777" w:rsidR="00C42AA3" w:rsidRPr="00947DE4" w:rsidRDefault="00C42AA3" w:rsidP="00C42AA3">
      <w:pPr>
        <w:pStyle w:val="Prrafodelista"/>
        <w:jc w:val="both"/>
        <w:rPr>
          <w:sz w:val="24"/>
          <w:szCs w:val="24"/>
        </w:rPr>
      </w:pPr>
    </w:p>
    <w:p w14:paraId="23385BC9" w14:textId="77777777" w:rsidR="00C42AA3" w:rsidRPr="0013165C" w:rsidRDefault="00C42AA3" w:rsidP="00DF3713">
      <w:pPr>
        <w:pStyle w:val="Sinespaciado"/>
        <w:ind w:left="708"/>
        <w:jc w:val="both"/>
        <w:rPr>
          <w:rFonts w:ascii="Times New Roman" w:eastAsia="OptimaLTStd" w:hAnsi="Times New Roman"/>
          <w:color w:val="000000"/>
          <w:sz w:val="24"/>
          <w:szCs w:val="24"/>
          <w:lang w:val="es-MX" w:eastAsia="es-ES"/>
        </w:rPr>
      </w:pPr>
      <w:r w:rsidRPr="0013165C">
        <w:rPr>
          <w:rFonts w:ascii="Times New Roman" w:eastAsia="OptimaLTStd" w:hAnsi="Times New Roman"/>
          <w:color w:val="000000"/>
          <w:sz w:val="24"/>
          <w:szCs w:val="24"/>
          <w:lang w:val="es-MX" w:eastAsia="es-ES"/>
        </w:rPr>
        <w:t xml:space="preserve">De acuerdo con el modelo, se espera que la cobertura de seguro paramétrico genere derecho a pago para Guatemala, en promedio, cada 5 años. </w:t>
      </w:r>
    </w:p>
    <w:p w14:paraId="4425FD98" w14:textId="77777777" w:rsidR="00C42AA3" w:rsidRPr="0013165C" w:rsidRDefault="00C42AA3" w:rsidP="0013165C">
      <w:pPr>
        <w:pStyle w:val="Sinespaciado"/>
        <w:jc w:val="both"/>
        <w:rPr>
          <w:rFonts w:ascii="Times New Roman" w:eastAsia="OptimaLTStd" w:hAnsi="Times New Roman"/>
          <w:color w:val="000000"/>
          <w:sz w:val="24"/>
          <w:szCs w:val="24"/>
          <w:lang w:val="es-MX" w:eastAsia="es-ES"/>
        </w:rPr>
      </w:pPr>
    </w:p>
    <w:p w14:paraId="007E8651" w14:textId="08B346A8" w:rsidR="00C42AA3" w:rsidRPr="0013165C" w:rsidRDefault="00C42AA3" w:rsidP="00DF3713">
      <w:pPr>
        <w:pStyle w:val="Sinespaciado"/>
        <w:ind w:left="708"/>
        <w:jc w:val="both"/>
        <w:rPr>
          <w:rFonts w:ascii="Times New Roman" w:eastAsia="OptimaLTStd" w:hAnsi="Times New Roman"/>
          <w:color w:val="000000"/>
          <w:sz w:val="24"/>
          <w:szCs w:val="24"/>
          <w:lang w:val="es-MX" w:eastAsia="es-ES"/>
        </w:rPr>
      </w:pPr>
      <w:r w:rsidRPr="0013165C">
        <w:rPr>
          <w:rFonts w:ascii="Times New Roman" w:eastAsia="OptimaLTStd" w:hAnsi="Times New Roman"/>
          <w:color w:val="000000"/>
          <w:sz w:val="24"/>
          <w:szCs w:val="24"/>
          <w:lang w:val="es-MX" w:eastAsia="es-ES"/>
        </w:rPr>
        <w:t xml:space="preserve">El seguro paramétrico genera una posible activación y revisión de pago según el modelo </w:t>
      </w:r>
      <w:r w:rsidR="0013165C" w:rsidRPr="0013165C">
        <w:rPr>
          <w:rFonts w:ascii="Times New Roman" w:eastAsia="OptimaLTStd" w:hAnsi="Times New Roman"/>
          <w:color w:val="000000"/>
          <w:sz w:val="24"/>
          <w:szCs w:val="24"/>
          <w:lang w:val="es-MX" w:eastAsia="es-ES"/>
        </w:rPr>
        <w:t>fisicomatemático</w:t>
      </w:r>
      <w:r w:rsidRPr="0013165C">
        <w:rPr>
          <w:rFonts w:ascii="Times New Roman" w:eastAsia="OptimaLTStd" w:hAnsi="Times New Roman"/>
          <w:color w:val="000000"/>
          <w:sz w:val="24"/>
          <w:szCs w:val="24"/>
          <w:lang w:val="es-MX" w:eastAsia="es-ES"/>
        </w:rPr>
        <w:t xml:space="preserve"> si se presenta lluvia por arriba de 63mm en 24 horas o un acumulado de 97.5mm en 72 horas en más de 1,700 km2 en donde, según el modelo, se encuentren activos asegurados</w:t>
      </w:r>
      <w:r w:rsidRPr="0013165C">
        <w:rPr>
          <w:rFonts w:ascii="Times New Roman" w:eastAsia="OptimaLTStd" w:hAnsi="Times New Roman"/>
          <w:color w:val="000000"/>
          <w:sz w:val="24"/>
          <w:szCs w:val="24"/>
          <w:vertAlign w:val="superscript"/>
          <w:lang w:val="es-MX" w:eastAsia="es-ES"/>
        </w:rPr>
        <w:footnoteReference w:id="3"/>
      </w:r>
      <w:r w:rsidRPr="0013165C">
        <w:rPr>
          <w:rFonts w:ascii="Times New Roman" w:eastAsia="OptimaLTStd" w:hAnsi="Times New Roman"/>
          <w:color w:val="000000"/>
          <w:sz w:val="24"/>
          <w:szCs w:val="24"/>
          <w:lang w:val="es-MX" w:eastAsia="es-ES"/>
        </w:rPr>
        <w:t xml:space="preserve">. </w:t>
      </w:r>
    </w:p>
    <w:p w14:paraId="10F37997" w14:textId="77777777" w:rsidR="00C42AA3" w:rsidRDefault="00C42AA3" w:rsidP="00C42AA3">
      <w:pPr>
        <w:widowControl/>
        <w:spacing w:after="200" w:line="276" w:lineRule="auto"/>
        <w:rPr>
          <w:rFonts w:eastAsia="OptimaLTStd"/>
          <w:b/>
          <w:bCs/>
          <w:color w:val="000000"/>
        </w:rPr>
      </w:pPr>
    </w:p>
    <w:p w14:paraId="678C571E" w14:textId="6D7D7509" w:rsidR="00C42AA3" w:rsidRPr="0013165C" w:rsidRDefault="00C42AA3" w:rsidP="0013165C">
      <w:pPr>
        <w:pStyle w:val="Epgrafe"/>
        <w:keepNext/>
        <w:ind w:left="567" w:right="49"/>
        <w:rPr>
          <w:color w:val="auto"/>
          <w:sz w:val="24"/>
          <w:szCs w:val="24"/>
        </w:rPr>
      </w:pPr>
      <w:r w:rsidRPr="0013165C">
        <w:rPr>
          <w:color w:val="auto"/>
          <w:sz w:val="24"/>
          <w:szCs w:val="24"/>
        </w:rPr>
        <w:t>Figura</w:t>
      </w:r>
      <w:r w:rsidR="0013165C">
        <w:rPr>
          <w:color w:val="auto"/>
          <w:sz w:val="24"/>
          <w:szCs w:val="24"/>
        </w:rPr>
        <w:t xml:space="preserve"> 4</w:t>
      </w:r>
    </w:p>
    <w:p w14:paraId="0DF70742" w14:textId="00FFD2C2" w:rsidR="00C42AA3" w:rsidRDefault="00C42AA3" w:rsidP="0013165C">
      <w:pPr>
        <w:pStyle w:val="Epgrafe"/>
        <w:keepNext/>
        <w:ind w:left="567" w:right="49"/>
        <w:rPr>
          <w:color w:val="auto"/>
          <w:sz w:val="24"/>
          <w:szCs w:val="24"/>
        </w:rPr>
      </w:pPr>
      <w:r w:rsidRPr="0013165C">
        <w:rPr>
          <w:color w:val="auto"/>
          <w:sz w:val="24"/>
          <w:szCs w:val="24"/>
        </w:rPr>
        <w:t>Mecanismo de activación y pago de seguro paramétrico contratado</w:t>
      </w:r>
    </w:p>
    <w:p w14:paraId="714512F2" w14:textId="77777777" w:rsidR="0013165C" w:rsidRPr="0013165C" w:rsidRDefault="0013165C" w:rsidP="0013165C">
      <w:pPr>
        <w:rPr>
          <w:rFonts w:eastAsia="OptimaLTStd"/>
        </w:rPr>
      </w:pPr>
    </w:p>
    <w:p w14:paraId="58DE399B" w14:textId="77777777" w:rsidR="00C42AA3" w:rsidRPr="00BD3A46" w:rsidRDefault="00C42AA3" w:rsidP="00C42AA3">
      <w:pPr>
        <w:pStyle w:val="Sinespaciado"/>
        <w:jc w:val="center"/>
        <w:rPr>
          <w:rFonts w:ascii="Times New Roman" w:eastAsia="OptimaLTStd" w:hAnsi="Times New Roman"/>
          <w:color w:val="000000"/>
          <w:sz w:val="24"/>
          <w:szCs w:val="24"/>
          <w:lang w:val="es-MX" w:eastAsia="es-ES"/>
        </w:rPr>
      </w:pPr>
    </w:p>
    <w:p w14:paraId="6054C5D9" w14:textId="77777777" w:rsidR="00C42AA3" w:rsidRDefault="00C42AA3" w:rsidP="00DF3713">
      <w:pPr>
        <w:jc w:val="center"/>
      </w:pPr>
      <w:r>
        <w:rPr>
          <w:noProof/>
          <w:lang w:val="es-ES"/>
        </w:rPr>
        <w:drawing>
          <wp:inline distT="0" distB="0" distL="0" distR="0" wp14:anchorId="53AD341E" wp14:editId="6C97E126">
            <wp:extent cx="5924085" cy="3540369"/>
            <wp:effectExtent l="0" t="0" r="635" b="3175"/>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990981" cy="3580348"/>
                    </a:xfrm>
                    <a:prstGeom prst="rect">
                      <a:avLst/>
                    </a:prstGeom>
                    <a:noFill/>
                    <a:ln>
                      <a:noFill/>
                    </a:ln>
                  </pic:spPr>
                </pic:pic>
              </a:graphicData>
            </a:graphic>
          </wp:inline>
        </w:drawing>
      </w:r>
    </w:p>
    <w:p w14:paraId="2F370E2B" w14:textId="77777777" w:rsidR="00C42AA3" w:rsidRPr="001A56A1" w:rsidRDefault="00C42AA3" w:rsidP="00C42AA3">
      <w:pPr>
        <w:ind w:left="708"/>
        <w:jc w:val="both"/>
        <w:rPr>
          <w:szCs w:val="24"/>
        </w:rPr>
      </w:pPr>
      <w:r w:rsidRPr="001A56A1">
        <w:rPr>
          <w:szCs w:val="24"/>
        </w:rPr>
        <w:t>Fuente: MINFIN DTF información póliza contratada</w:t>
      </w:r>
    </w:p>
    <w:p w14:paraId="6E275685" w14:textId="77777777" w:rsidR="00C42AA3" w:rsidRDefault="00C42AA3" w:rsidP="00C42AA3">
      <w:pPr>
        <w:jc w:val="both"/>
        <w:rPr>
          <w:sz w:val="24"/>
          <w:szCs w:val="24"/>
        </w:rPr>
      </w:pPr>
    </w:p>
    <w:p w14:paraId="762F106B" w14:textId="77777777" w:rsidR="00C42AA3" w:rsidRPr="0013165C" w:rsidRDefault="00C42AA3" w:rsidP="00DF3713">
      <w:pPr>
        <w:pStyle w:val="Sinespaciado"/>
        <w:ind w:left="708"/>
        <w:jc w:val="both"/>
        <w:rPr>
          <w:rFonts w:ascii="Times New Roman" w:hAnsi="Times New Roman"/>
          <w:sz w:val="24"/>
          <w:szCs w:val="24"/>
        </w:rPr>
      </w:pPr>
      <w:r w:rsidRPr="0013165C">
        <w:rPr>
          <w:rFonts w:ascii="Times New Roman" w:hAnsi="Times New Roman"/>
          <w:sz w:val="24"/>
          <w:szCs w:val="24"/>
        </w:rPr>
        <w:t>A partir de la contratación de la póliza, se han registrado tres eventos CARE</w:t>
      </w:r>
      <w:r w:rsidRPr="0013165C">
        <w:rPr>
          <w:rFonts w:ascii="Times New Roman" w:hAnsi="Times New Roman"/>
          <w:sz w:val="24"/>
          <w:szCs w:val="24"/>
          <w:vertAlign w:val="superscript"/>
        </w:rPr>
        <w:footnoteReference w:id="4"/>
      </w:r>
      <w:r w:rsidRPr="0013165C">
        <w:rPr>
          <w:rFonts w:ascii="Times New Roman" w:hAnsi="Times New Roman"/>
          <w:sz w:val="24"/>
          <w:szCs w:val="24"/>
          <w:vertAlign w:val="superscript"/>
        </w:rPr>
        <w:t xml:space="preserve"> </w:t>
      </w:r>
      <w:r w:rsidRPr="0013165C">
        <w:rPr>
          <w:rFonts w:ascii="Times New Roman" w:hAnsi="Times New Roman"/>
          <w:sz w:val="24"/>
          <w:szCs w:val="24"/>
        </w:rPr>
        <w:t>de los cuáles uno de ellos generó un pago por US$3.6 millones, esto debido al paso de la Tormenta Tropical Amanda y a la afectación indirecta de la Tormenta Tropical Cristóbal, durante el período del 31 de mayo al 12 de junio de 2020</w:t>
      </w:r>
      <w:r w:rsidRPr="0013165C">
        <w:rPr>
          <w:rFonts w:ascii="Times New Roman" w:hAnsi="Times New Roman"/>
          <w:sz w:val="24"/>
          <w:szCs w:val="24"/>
          <w:vertAlign w:val="superscript"/>
        </w:rPr>
        <w:footnoteReference w:id="5"/>
      </w:r>
      <w:r w:rsidRPr="0013165C">
        <w:rPr>
          <w:rFonts w:ascii="Times New Roman" w:hAnsi="Times New Roman"/>
          <w:sz w:val="24"/>
          <w:szCs w:val="24"/>
        </w:rPr>
        <w:t>.  Este pago representa una relación de 7 a 1 respecto de los beneficios recibidos en función del costo de la prima pagada por el Gobierno de Guatemala a CCRIF para la cobertura del período julio 2019-junio 2020. y los recursos podrán ser utilizados para reactivar la economía en los lugares más afectados por esas tormentas.</w:t>
      </w:r>
    </w:p>
    <w:p w14:paraId="0695CC7D" w14:textId="77777777" w:rsidR="00C42AA3" w:rsidRPr="0013165C" w:rsidRDefault="00C42AA3" w:rsidP="0013165C">
      <w:pPr>
        <w:pStyle w:val="Sinespaciado"/>
        <w:jc w:val="both"/>
        <w:rPr>
          <w:rFonts w:ascii="Times New Roman" w:hAnsi="Times New Roman"/>
          <w:sz w:val="24"/>
          <w:szCs w:val="24"/>
        </w:rPr>
      </w:pPr>
    </w:p>
    <w:p w14:paraId="3BD29560" w14:textId="77777777" w:rsidR="00C42AA3" w:rsidRPr="0013165C" w:rsidRDefault="00C42AA3" w:rsidP="00DF3713">
      <w:pPr>
        <w:pStyle w:val="Sinespaciado"/>
        <w:ind w:left="708"/>
        <w:jc w:val="both"/>
        <w:rPr>
          <w:rFonts w:ascii="Times New Roman" w:hAnsi="Times New Roman"/>
          <w:sz w:val="24"/>
          <w:szCs w:val="24"/>
        </w:rPr>
      </w:pPr>
      <w:r w:rsidRPr="0013165C">
        <w:rPr>
          <w:rFonts w:ascii="Times New Roman" w:hAnsi="Times New Roman"/>
          <w:sz w:val="24"/>
          <w:szCs w:val="24"/>
        </w:rPr>
        <w:t xml:space="preserve">Para el período julio 2020-junio 2021 se negoció la renovación de la póliza contratada aprovechando la opción brindada por CCRIF (con el apoyo del fondo de donantes) de ampliar la cobertura sin costo adicional, derivado de la emergencia suscitada por la pandemia de COVID-19. Así, el Gobierno de Guatemala, desembolsó por la recontratación de la póliza US$500,000 pero en este período el país tendrá una cobertura mínima por US$750,000 y máxima de US$7 millones. </w:t>
      </w:r>
    </w:p>
    <w:p w14:paraId="18B96609" w14:textId="77777777" w:rsidR="00C42AA3" w:rsidRPr="005166B1" w:rsidRDefault="00C42AA3" w:rsidP="00C42AA3">
      <w:pPr>
        <w:jc w:val="both"/>
        <w:rPr>
          <w:sz w:val="24"/>
          <w:szCs w:val="24"/>
        </w:rPr>
      </w:pPr>
    </w:p>
    <w:p w14:paraId="1B8C18CD" w14:textId="77777777" w:rsidR="00C42AA3" w:rsidRPr="004707AB" w:rsidRDefault="00C42AA3" w:rsidP="00DF3713">
      <w:pPr>
        <w:pStyle w:val="Ttulo3"/>
        <w:widowControl/>
        <w:spacing w:before="240" w:after="60"/>
        <w:ind w:left="708"/>
        <w:jc w:val="both"/>
        <w:rPr>
          <w:sz w:val="24"/>
          <w:szCs w:val="24"/>
          <w:u w:val="none"/>
        </w:rPr>
      </w:pPr>
      <w:bookmarkStart w:id="114" w:name="_Toc47433653"/>
      <w:bookmarkStart w:id="115" w:name="_Toc49939748"/>
      <w:r w:rsidRPr="004707AB">
        <w:rPr>
          <w:sz w:val="24"/>
          <w:szCs w:val="24"/>
          <w:u w:val="none"/>
        </w:rPr>
        <w:t>Préstamo con desembolso diferido ante catástrofes</w:t>
      </w:r>
      <w:bookmarkEnd w:id="114"/>
      <w:bookmarkEnd w:id="115"/>
    </w:p>
    <w:p w14:paraId="68A0266B" w14:textId="77777777" w:rsidR="00C42AA3" w:rsidRPr="009562D6" w:rsidRDefault="00C42AA3" w:rsidP="00C42AA3">
      <w:pPr>
        <w:keepNext/>
        <w:rPr>
          <w:sz w:val="24"/>
          <w:szCs w:val="24"/>
          <w:lang w:val="es-MX"/>
        </w:rPr>
      </w:pPr>
    </w:p>
    <w:p w14:paraId="62EECEAE" w14:textId="77777777" w:rsidR="00C42AA3" w:rsidRPr="004707AB" w:rsidRDefault="00C42AA3" w:rsidP="00DF3713">
      <w:pPr>
        <w:pStyle w:val="Sinespaciado"/>
        <w:ind w:left="708"/>
        <w:jc w:val="both"/>
        <w:rPr>
          <w:rFonts w:ascii="Times New Roman" w:hAnsi="Times New Roman"/>
          <w:sz w:val="24"/>
          <w:szCs w:val="24"/>
        </w:rPr>
      </w:pPr>
      <w:r w:rsidRPr="004707AB">
        <w:rPr>
          <w:rFonts w:ascii="Times New Roman" w:hAnsi="Times New Roman"/>
          <w:sz w:val="24"/>
          <w:szCs w:val="24"/>
        </w:rPr>
        <w:t>Como parte de los instrumentos financieros que contempla la implementación de la Estrategia Financiera Ante el Riesgo de Desastre, se negoció El Segundo Préstamo para políticas de desarrollo para la gestión de riesgos de desastres por un monto de US$200 millones</w:t>
      </w:r>
      <w:r w:rsidRPr="004707AB">
        <w:rPr>
          <w:rFonts w:ascii="Times New Roman" w:hAnsi="Times New Roman"/>
        </w:rPr>
        <w:footnoteReference w:id="6"/>
      </w:r>
      <w:r w:rsidRPr="004707AB">
        <w:rPr>
          <w:rFonts w:ascii="Times New Roman" w:hAnsi="Times New Roman"/>
          <w:sz w:val="24"/>
          <w:szCs w:val="24"/>
        </w:rPr>
        <w:t xml:space="preserve">. Este préstamo cuenta con la opción de desembolso diferido ante catástrofes (CAT DDO, por sus siglas en inglés) y su activación y desembolso dependen únicamente de una declaratoria oficial de calamidad pública por parte del Estado de Guatemala. </w:t>
      </w:r>
    </w:p>
    <w:p w14:paraId="7E7BD40E" w14:textId="77777777" w:rsidR="00C42AA3" w:rsidRPr="009562D6" w:rsidRDefault="00C42AA3" w:rsidP="00C42AA3">
      <w:pPr>
        <w:jc w:val="both"/>
        <w:rPr>
          <w:sz w:val="24"/>
          <w:szCs w:val="24"/>
        </w:rPr>
      </w:pPr>
    </w:p>
    <w:p w14:paraId="6F831E09" w14:textId="77777777" w:rsidR="00C42AA3" w:rsidRPr="004707AB" w:rsidRDefault="00C42AA3" w:rsidP="00DF3713">
      <w:pPr>
        <w:pStyle w:val="Sinespaciado"/>
        <w:ind w:left="708"/>
        <w:jc w:val="both"/>
        <w:rPr>
          <w:rFonts w:ascii="Times New Roman" w:hAnsi="Times New Roman"/>
          <w:sz w:val="24"/>
          <w:szCs w:val="24"/>
        </w:rPr>
      </w:pPr>
      <w:r w:rsidRPr="004707AB">
        <w:rPr>
          <w:rFonts w:ascii="Times New Roman" w:hAnsi="Times New Roman"/>
          <w:sz w:val="24"/>
          <w:szCs w:val="24"/>
        </w:rPr>
        <w:t>En mayo 2019 el Directorio Ejecutivo del Banco Mundial aprobó el préstamo negociado, el cual tiene como objetivo aumentar la capacidad del Estado de Guatemala para movilizar recursos rápidamente luego de eventos naturales adversos o de emergencias de salud y para apoyar la modernización del marco legal e institucional del país para gestionar riesgos de desastres y climáticos.</w:t>
      </w:r>
    </w:p>
    <w:p w14:paraId="14243057" w14:textId="77777777" w:rsidR="00C42AA3" w:rsidRPr="004707AB" w:rsidRDefault="00C42AA3" w:rsidP="004707AB">
      <w:pPr>
        <w:pStyle w:val="Sinespaciado"/>
        <w:jc w:val="both"/>
        <w:rPr>
          <w:rFonts w:ascii="Times New Roman" w:hAnsi="Times New Roman"/>
          <w:sz w:val="24"/>
          <w:szCs w:val="24"/>
        </w:rPr>
      </w:pPr>
    </w:p>
    <w:p w14:paraId="4B5F30D4" w14:textId="77777777" w:rsidR="00C42AA3" w:rsidRPr="00DF3713" w:rsidRDefault="00C42AA3" w:rsidP="00DF3713">
      <w:pPr>
        <w:pStyle w:val="Sinespaciado"/>
        <w:ind w:left="708"/>
        <w:jc w:val="both"/>
        <w:rPr>
          <w:rFonts w:ascii="Times New Roman" w:hAnsi="Times New Roman"/>
          <w:sz w:val="24"/>
          <w:szCs w:val="24"/>
        </w:rPr>
      </w:pPr>
      <w:r w:rsidRPr="00DF3713">
        <w:rPr>
          <w:rFonts w:ascii="Times New Roman" w:hAnsi="Times New Roman"/>
          <w:sz w:val="24"/>
          <w:szCs w:val="24"/>
        </w:rPr>
        <w:t xml:space="preserve">El CAT DDO, ofrece recursos financieros inmediatos para actividades de respuesta y recuperación luego de eventos de alto impacto como terremotos, erupciones volcánicas, inundaciones y huracanes, o emergencias de salud como brotes de enfermedades contagiosas. </w:t>
      </w:r>
    </w:p>
    <w:p w14:paraId="1DE109D6" w14:textId="77777777" w:rsidR="00C42AA3" w:rsidRPr="00DF3713" w:rsidRDefault="00C42AA3" w:rsidP="00DF3713">
      <w:pPr>
        <w:pStyle w:val="Sinespaciado"/>
        <w:ind w:left="708"/>
        <w:jc w:val="both"/>
        <w:rPr>
          <w:rFonts w:ascii="Times New Roman" w:hAnsi="Times New Roman"/>
          <w:sz w:val="24"/>
          <w:szCs w:val="24"/>
        </w:rPr>
      </w:pPr>
    </w:p>
    <w:p w14:paraId="5D4321E5" w14:textId="77777777" w:rsidR="00C42AA3" w:rsidRPr="004707AB" w:rsidRDefault="00C42AA3" w:rsidP="00DF3713">
      <w:pPr>
        <w:pStyle w:val="Sinespaciado"/>
        <w:ind w:left="708"/>
        <w:jc w:val="both"/>
        <w:rPr>
          <w:rFonts w:ascii="Times New Roman" w:hAnsi="Times New Roman"/>
          <w:sz w:val="24"/>
          <w:szCs w:val="24"/>
        </w:rPr>
      </w:pPr>
      <w:r w:rsidRPr="004707AB">
        <w:rPr>
          <w:rFonts w:ascii="Times New Roman" w:hAnsi="Times New Roman"/>
          <w:sz w:val="24"/>
          <w:szCs w:val="24"/>
        </w:rPr>
        <w:t>El Préstamo aprobado en el Decreto Número 10-2020, fue activado mediante la declaratoria del Estado de Calamidad Pública por medio del Acuerdo Gubernativo 5-2020.</w:t>
      </w:r>
    </w:p>
    <w:p w14:paraId="543BEE6D" w14:textId="77777777" w:rsidR="00DF3713" w:rsidRDefault="00DF3713" w:rsidP="004707AB">
      <w:pPr>
        <w:pStyle w:val="Epgrafe"/>
        <w:keepNext/>
        <w:ind w:left="567" w:right="49"/>
        <w:rPr>
          <w:color w:val="auto"/>
          <w:sz w:val="24"/>
          <w:szCs w:val="24"/>
        </w:rPr>
      </w:pPr>
    </w:p>
    <w:p w14:paraId="64B5A04A" w14:textId="43DEC517" w:rsidR="00C42AA3" w:rsidRPr="004707AB" w:rsidRDefault="004707AB" w:rsidP="004707AB">
      <w:pPr>
        <w:pStyle w:val="Epgrafe"/>
        <w:keepNext/>
        <w:ind w:left="567" w:right="49"/>
        <w:rPr>
          <w:color w:val="auto"/>
          <w:sz w:val="24"/>
          <w:szCs w:val="24"/>
        </w:rPr>
      </w:pPr>
      <w:r>
        <w:rPr>
          <w:color w:val="auto"/>
          <w:sz w:val="24"/>
          <w:szCs w:val="24"/>
        </w:rPr>
        <w:t>Tabla 10</w:t>
      </w:r>
    </w:p>
    <w:p w14:paraId="26D32ED8" w14:textId="77777777" w:rsidR="00C42AA3" w:rsidRPr="004707AB" w:rsidRDefault="00C42AA3" w:rsidP="004707AB">
      <w:pPr>
        <w:pStyle w:val="Epgrafe"/>
        <w:keepNext/>
        <w:ind w:left="567" w:right="49"/>
        <w:rPr>
          <w:color w:val="auto"/>
          <w:sz w:val="24"/>
          <w:szCs w:val="24"/>
        </w:rPr>
      </w:pPr>
      <w:r w:rsidRPr="004707AB">
        <w:rPr>
          <w:color w:val="auto"/>
          <w:sz w:val="24"/>
          <w:szCs w:val="24"/>
        </w:rPr>
        <w:t xml:space="preserve">Préstamo contingente CAT-DDO </w:t>
      </w:r>
    </w:p>
    <w:p w14:paraId="0EB8E6E5" w14:textId="77777777" w:rsidR="00C42AA3" w:rsidRPr="004707AB" w:rsidRDefault="00C42AA3" w:rsidP="004707AB">
      <w:pPr>
        <w:pStyle w:val="Epgrafe"/>
        <w:keepNext/>
        <w:ind w:left="567" w:right="49"/>
        <w:rPr>
          <w:color w:val="auto"/>
          <w:sz w:val="24"/>
          <w:szCs w:val="24"/>
        </w:rPr>
      </w:pPr>
      <w:r w:rsidRPr="004707AB">
        <w:rPr>
          <w:color w:val="auto"/>
          <w:sz w:val="24"/>
          <w:szCs w:val="24"/>
        </w:rPr>
        <w:t>Cifras en millones de U.S. Dólares y Quetzales</w:t>
      </w:r>
    </w:p>
    <w:p w14:paraId="667E8B2C" w14:textId="77777777" w:rsidR="00C42AA3" w:rsidRPr="009562D6" w:rsidRDefault="00C42AA3" w:rsidP="00C42AA3">
      <w:pPr>
        <w:autoSpaceDE w:val="0"/>
        <w:autoSpaceDN w:val="0"/>
        <w:adjustRightInd w:val="0"/>
        <w:rPr>
          <w:rFonts w:eastAsia="OptimaLTStd"/>
          <w:color w:val="000000"/>
          <w:sz w:val="24"/>
          <w:szCs w:val="24"/>
          <w:lang w:val="es-MX"/>
        </w:rPr>
      </w:pPr>
    </w:p>
    <w:tbl>
      <w:tblPr>
        <w:tblW w:w="9019" w:type="dxa"/>
        <w:jc w:val="center"/>
        <w:tblLayout w:type="fixed"/>
        <w:tblCellMar>
          <w:left w:w="70" w:type="dxa"/>
          <w:right w:w="70" w:type="dxa"/>
        </w:tblCellMar>
        <w:tblLook w:val="04A0" w:firstRow="1" w:lastRow="0" w:firstColumn="1" w:lastColumn="0" w:noHBand="0" w:noVBand="1"/>
      </w:tblPr>
      <w:tblGrid>
        <w:gridCol w:w="3327"/>
        <w:gridCol w:w="962"/>
        <w:gridCol w:w="1118"/>
        <w:gridCol w:w="894"/>
        <w:gridCol w:w="1193"/>
        <w:gridCol w:w="1525"/>
      </w:tblGrid>
      <w:tr w:rsidR="00C42AA3" w:rsidRPr="00BA455B" w14:paraId="68163B7F" w14:textId="77777777" w:rsidTr="00DF3713">
        <w:trPr>
          <w:trHeight w:val="367"/>
          <w:jc w:val="center"/>
        </w:trPr>
        <w:tc>
          <w:tcPr>
            <w:tcW w:w="3327" w:type="dxa"/>
            <w:tcBorders>
              <w:top w:val="single" w:sz="4" w:space="0" w:color="auto"/>
              <w:left w:val="single" w:sz="4" w:space="0" w:color="auto"/>
              <w:bottom w:val="single" w:sz="4" w:space="0" w:color="auto"/>
              <w:right w:val="single" w:sz="4" w:space="0" w:color="auto"/>
            </w:tcBorders>
            <w:shd w:val="clear" w:color="000000" w:fill="DDEBF7"/>
            <w:noWrap/>
            <w:vAlign w:val="center"/>
            <w:hideMark/>
          </w:tcPr>
          <w:p w14:paraId="1FAE08BA" w14:textId="77777777" w:rsidR="00C42AA3" w:rsidRPr="00BA455B" w:rsidRDefault="00C42AA3" w:rsidP="003C60DB">
            <w:pPr>
              <w:jc w:val="center"/>
              <w:rPr>
                <w:b/>
                <w:bCs/>
                <w:color w:val="000000"/>
                <w:lang w:val="es-GT" w:eastAsia="es-GT"/>
              </w:rPr>
            </w:pPr>
            <w:r w:rsidRPr="00BA455B">
              <w:rPr>
                <w:b/>
                <w:bCs/>
                <w:color w:val="000000"/>
                <w:lang w:val="es-GT" w:eastAsia="es-GT"/>
              </w:rPr>
              <w:t>Decreto Número 10-2020</w:t>
            </w:r>
          </w:p>
        </w:tc>
        <w:tc>
          <w:tcPr>
            <w:tcW w:w="2080" w:type="dxa"/>
            <w:gridSpan w:val="2"/>
            <w:tcBorders>
              <w:top w:val="single" w:sz="4" w:space="0" w:color="auto"/>
              <w:left w:val="nil"/>
              <w:bottom w:val="single" w:sz="4" w:space="0" w:color="auto"/>
              <w:right w:val="single" w:sz="4" w:space="0" w:color="auto"/>
            </w:tcBorders>
            <w:shd w:val="clear" w:color="000000" w:fill="DDEBF7"/>
            <w:vAlign w:val="center"/>
            <w:hideMark/>
          </w:tcPr>
          <w:p w14:paraId="72919711" w14:textId="77777777" w:rsidR="00C42AA3" w:rsidRPr="00BA455B" w:rsidRDefault="00C42AA3" w:rsidP="003C60DB">
            <w:pPr>
              <w:jc w:val="center"/>
              <w:rPr>
                <w:b/>
                <w:bCs/>
                <w:color w:val="000000"/>
                <w:lang w:val="es-GT" w:eastAsia="es-GT"/>
              </w:rPr>
            </w:pPr>
            <w:r w:rsidRPr="00BA455B">
              <w:rPr>
                <w:b/>
                <w:bCs/>
                <w:color w:val="000000"/>
                <w:lang w:val="es-GT" w:eastAsia="es-GT"/>
              </w:rPr>
              <w:t>Millones</w:t>
            </w:r>
          </w:p>
        </w:tc>
        <w:tc>
          <w:tcPr>
            <w:tcW w:w="894" w:type="dxa"/>
            <w:tcBorders>
              <w:top w:val="single" w:sz="4" w:space="0" w:color="auto"/>
              <w:left w:val="nil"/>
              <w:bottom w:val="single" w:sz="4" w:space="0" w:color="auto"/>
              <w:right w:val="single" w:sz="4" w:space="0" w:color="auto"/>
            </w:tcBorders>
            <w:shd w:val="clear" w:color="000000" w:fill="DDEBF7"/>
            <w:noWrap/>
            <w:vAlign w:val="center"/>
            <w:hideMark/>
          </w:tcPr>
          <w:p w14:paraId="565D5CAA" w14:textId="77777777" w:rsidR="00C42AA3" w:rsidRPr="00BA455B" w:rsidRDefault="00C42AA3" w:rsidP="003C60DB">
            <w:pPr>
              <w:jc w:val="center"/>
              <w:rPr>
                <w:b/>
                <w:bCs/>
                <w:color w:val="000000"/>
                <w:lang w:val="es-GT" w:eastAsia="es-GT"/>
              </w:rPr>
            </w:pPr>
            <w:r w:rsidRPr="00BA455B">
              <w:rPr>
                <w:b/>
                <w:bCs/>
                <w:color w:val="000000"/>
                <w:lang w:val="es-GT" w:eastAsia="es-GT"/>
              </w:rPr>
              <w:t>Entidad</w:t>
            </w:r>
          </w:p>
        </w:tc>
        <w:tc>
          <w:tcPr>
            <w:tcW w:w="1193" w:type="dxa"/>
            <w:tcBorders>
              <w:top w:val="single" w:sz="4" w:space="0" w:color="auto"/>
              <w:left w:val="nil"/>
              <w:bottom w:val="single" w:sz="4" w:space="0" w:color="auto"/>
              <w:right w:val="single" w:sz="4" w:space="0" w:color="auto"/>
            </w:tcBorders>
            <w:shd w:val="clear" w:color="000000" w:fill="DDEBF7"/>
            <w:vAlign w:val="center"/>
            <w:hideMark/>
          </w:tcPr>
          <w:p w14:paraId="56B8B867" w14:textId="77777777" w:rsidR="00C42AA3" w:rsidRPr="00BA455B" w:rsidRDefault="00C42AA3" w:rsidP="003C60DB">
            <w:pPr>
              <w:jc w:val="center"/>
              <w:rPr>
                <w:b/>
                <w:bCs/>
                <w:color w:val="000000"/>
                <w:lang w:val="es-GT" w:eastAsia="es-GT"/>
              </w:rPr>
            </w:pPr>
            <w:r w:rsidRPr="00BA455B">
              <w:rPr>
                <w:b/>
                <w:bCs/>
                <w:color w:val="000000"/>
                <w:lang w:val="es-GT" w:eastAsia="es-GT"/>
              </w:rPr>
              <w:t xml:space="preserve">Fecha Aprobación </w:t>
            </w:r>
          </w:p>
        </w:tc>
        <w:tc>
          <w:tcPr>
            <w:tcW w:w="1525" w:type="dxa"/>
            <w:tcBorders>
              <w:top w:val="single" w:sz="4" w:space="0" w:color="auto"/>
              <w:left w:val="nil"/>
              <w:bottom w:val="single" w:sz="4" w:space="0" w:color="auto"/>
              <w:right w:val="single" w:sz="4" w:space="0" w:color="auto"/>
            </w:tcBorders>
            <w:shd w:val="clear" w:color="000000" w:fill="DDEBF7"/>
            <w:vAlign w:val="center"/>
            <w:hideMark/>
          </w:tcPr>
          <w:p w14:paraId="07872EAC" w14:textId="77777777" w:rsidR="00C42AA3" w:rsidRPr="00BA455B" w:rsidRDefault="00C42AA3" w:rsidP="003C60DB">
            <w:pPr>
              <w:jc w:val="center"/>
              <w:rPr>
                <w:b/>
                <w:bCs/>
                <w:color w:val="000000"/>
                <w:lang w:val="es-GT" w:eastAsia="es-GT"/>
              </w:rPr>
            </w:pPr>
            <w:r>
              <w:rPr>
                <w:b/>
                <w:bCs/>
                <w:color w:val="000000"/>
                <w:lang w:val="es-GT" w:eastAsia="es-GT"/>
              </w:rPr>
              <w:t>Plazo</w:t>
            </w:r>
          </w:p>
        </w:tc>
      </w:tr>
      <w:tr w:rsidR="00C42AA3" w:rsidRPr="00BA455B" w14:paraId="0DB8D102" w14:textId="77777777" w:rsidTr="00DF3713">
        <w:trPr>
          <w:trHeight w:val="813"/>
          <w:jc w:val="center"/>
        </w:trPr>
        <w:tc>
          <w:tcPr>
            <w:tcW w:w="3327" w:type="dxa"/>
            <w:tcBorders>
              <w:top w:val="nil"/>
              <w:left w:val="single" w:sz="4" w:space="0" w:color="auto"/>
              <w:bottom w:val="single" w:sz="4" w:space="0" w:color="auto"/>
              <w:right w:val="single" w:sz="4" w:space="0" w:color="auto"/>
            </w:tcBorders>
            <w:shd w:val="clear" w:color="auto" w:fill="auto"/>
            <w:vAlign w:val="center"/>
            <w:hideMark/>
          </w:tcPr>
          <w:p w14:paraId="37F56E20" w14:textId="77777777" w:rsidR="00C42AA3" w:rsidRDefault="00C42AA3" w:rsidP="003C60DB">
            <w:pPr>
              <w:jc w:val="both"/>
              <w:rPr>
                <w:color w:val="000000"/>
                <w:lang w:val="es-GT" w:eastAsia="es-GT"/>
              </w:rPr>
            </w:pPr>
            <w:r w:rsidRPr="00BA455B">
              <w:rPr>
                <w:color w:val="000000"/>
                <w:lang w:val="es-GT" w:eastAsia="es-GT"/>
              </w:rPr>
              <w:t>Segundo Préstamo para Políticas de Desarrollo sobre Gestión del Riesgo de Desastres, con una Opción de</w:t>
            </w:r>
            <w:r w:rsidRPr="00BA455B">
              <w:rPr>
                <w:color w:val="000000"/>
                <w:lang w:val="es-GT" w:eastAsia="es-GT"/>
              </w:rPr>
              <w:br/>
              <w:t xml:space="preserve">Desembolso Diferido ante Catástrofes (CAT-DDO) </w:t>
            </w:r>
          </w:p>
          <w:p w14:paraId="5D8E862F" w14:textId="77777777" w:rsidR="00C42AA3" w:rsidRPr="00BA455B" w:rsidRDefault="00C42AA3" w:rsidP="003C60DB">
            <w:pPr>
              <w:jc w:val="both"/>
              <w:rPr>
                <w:color w:val="000000"/>
                <w:lang w:val="es-GT" w:eastAsia="es-GT"/>
              </w:rPr>
            </w:pPr>
          </w:p>
        </w:tc>
        <w:tc>
          <w:tcPr>
            <w:tcW w:w="962" w:type="dxa"/>
            <w:tcBorders>
              <w:top w:val="nil"/>
              <w:left w:val="nil"/>
              <w:bottom w:val="single" w:sz="4" w:space="0" w:color="auto"/>
              <w:right w:val="single" w:sz="4" w:space="0" w:color="auto"/>
            </w:tcBorders>
            <w:shd w:val="clear" w:color="auto" w:fill="auto"/>
            <w:noWrap/>
            <w:vAlign w:val="center"/>
            <w:hideMark/>
          </w:tcPr>
          <w:p w14:paraId="3FBE9AA2" w14:textId="77777777" w:rsidR="00C42AA3" w:rsidRPr="00BA455B" w:rsidRDefault="00C42AA3" w:rsidP="003C60DB">
            <w:pPr>
              <w:jc w:val="right"/>
              <w:rPr>
                <w:color w:val="000000"/>
                <w:lang w:val="es-GT" w:eastAsia="es-GT"/>
              </w:rPr>
            </w:pPr>
            <w:r w:rsidRPr="00BA455B">
              <w:rPr>
                <w:color w:val="000000"/>
                <w:lang w:val="es-GT" w:eastAsia="es-GT"/>
              </w:rPr>
              <w:t>$200.00</w:t>
            </w:r>
          </w:p>
        </w:tc>
        <w:tc>
          <w:tcPr>
            <w:tcW w:w="1117" w:type="dxa"/>
            <w:tcBorders>
              <w:top w:val="nil"/>
              <w:left w:val="nil"/>
              <w:bottom w:val="single" w:sz="4" w:space="0" w:color="auto"/>
              <w:right w:val="single" w:sz="4" w:space="0" w:color="auto"/>
            </w:tcBorders>
            <w:shd w:val="clear" w:color="auto" w:fill="auto"/>
            <w:noWrap/>
            <w:vAlign w:val="center"/>
            <w:hideMark/>
          </w:tcPr>
          <w:p w14:paraId="0E3EFF5D" w14:textId="77777777" w:rsidR="00C42AA3" w:rsidRPr="00BA455B" w:rsidRDefault="00C42AA3" w:rsidP="003C60DB">
            <w:pPr>
              <w:jc w:val="right"/>
              <w:rPr>
                <w:color w:val="000000"/>
                <w:lang w:val="es-GT" w:eastAsia="es-GT"/>
              </w:rPr>
            </w:pPr>
            <w:r w:rsidRPr="00BA455B">
              <w:rPr>
                <w:color w:val="000000"/>
                <w:lang w:val="es-GT" w:eastAsia="es-GT"/>
              </w:rPr>
              <w:t>Q1,539.55</w:t>
            </w:r>
          </w:p>
        </w:tc>
        <w:tc>
          <w:tcPr>
            <w:tcW w:w="894" w:type="dxa"/>
            <w:tcBorders>
              <w:top w:val="nil"/>
              <w:left w:val="nil"/>
              <w:bottom w:val="single" w:sz="4" w:space="0" w:color="auto"/>
              <w:right w:val="single" w:sz="4" w:space="0" w:color="auto"/>
            </w:tcBorders>
            <w:shd w:val="clear" w:color="auto" w:fill="auto"/>
            <w:noWrap/>
            <w:vAlign w:val="center"/>
            <w:hideMark/>
          </w:tcPr>
          <w:p w14:paraId="21D74357" w14:textId="77777777" w:rsidR="00C42AA3" w:rsidRPr="00BA455B" w:rsidRDefault="00C42AA3" w:rsidP="003C60DB">
            <w:pPr>
              <w:jc w:val="center"/>
              <w:rPr>
                <w:color w:val="000000"/>
                <w:lang w:val="es-GT" w:eastAsia="es-GT"/>
              </w:rPr>
            </w:pPr>
            <w:r w:rsidRPr="00BA455B">
              <w:rPr>
                <w:color w:val="000000"/>
                <w:lang w:val="es-GT" w:eastAsia="es-GT"/>
              </w:rPr>
              <w:t>Banco Mundial</w:t>
            </w:r>
          </w:p>
        </w:tc>
        <w:tc>
          <w:tcPr>
            <w:tcW w:w="1193" w:type="dxa"/>
            <w:tcBorders>
              <w:top w:val="nil"/>
              <w:left w:val="nil"/>
              <w:bottom w:val="single" w:sz="4" w:space="0" w:color="auto"/>
              <w:right w:val="single" w:sz="4" w:space="0" w:color="auto"/>
            </w:tcBorders>
            <w:shd w:val="clear" w:color="auto" w:fill="auto"/>
            <w:noWrap/>
            <w:vAlign w:val="center"/>
            <w:hideMark/>
          </w:tcPr>
          <w:p w14:paraId="5A3F2F0E" w14:textId="77777777" w:rsidR="00C42AA3" w:rsidRPr="00BA455B" w:rsidRDefault="00C42AA3" w:rsidP="00DF3713">
            <w:pPr>
              <w:jc w:val="center"/>
              <w:rPr>
                <w:color w:val="000000"/>
                <w:lang w:val="es-GT" w:eastAsia="es-GT"/>
              </w:rPr>
            </w:pPr>
            <w:r w:rsidRPr="00BA455B">
              <w:rPr>
                <w:color w:val="000000"/>
                <w:lang w:val="es-GT" w:eastAsia="es-GT"/>
              </w:rPr>
              <w:t>1/04/2020</w:t>
            </w:r>
          </w:p>
        </w:tc>
        <w:tc>
          <w:tcPr>
            <w:tcW w:w="1525" w:type="dxa"/>
            <w:tcBorders>
              <w:top w:val="nil"/>
              <w:left w:val="nil"/>
              <w:bottom w:val="single" w:sz="4" w:space="0" w:color="auto"/>
              <w:right w:val="single" w:sz="4" w:space="0" w:color="auto"/>
            </w:tcBorders>
            <w:shd w:val="clear" w:color="auto" w:fill="auto"/>
            <w:noWrap/>
            <w:vAlign w:val="center"/>
            <w:hideMark/>
          </w:tcPr>
          <w:p w14:paraId="44FD0CBE" w14:textId="77777777" w:rsidR="00C42AA3" w:rsidRDefault="00C42AA3" w:rsidP="00DF3713">
            <w:pPr>
              <w:jc w:val="center"/>
              <w:rPr>
                <w:color w:val="000000"/>
                <w:lang w:val="es-GT" w:eastAsia="es-GT"/>
              </w:rPr>
            </w:pPr>
            <w:r>
              <w:rPr>
                <w:color w:val="000000"/>
                <w:lang w:val="es-GT" w:eastAsia="es-GT"/>
              </w:rPr>
              <w:t>25 años</w:t>
            </w:r>
          </w:p>
          <w:p w14:paraId="3ADEBB00" w14:textId="77777777" w:rsidR="00C42AA3" w:rsidRPr="00BA455B" w:rsidRDefault="00C42AA3" w:rsidP="00DF3713">
            <w:pPr>
              <w:jc w:val="center"/>
              <w:rPr>
                <w:color w:val="000000"/>
                <w:lang w:val="es-GT" w:eastAsia="es-GT"/>
              </w:rPr>
            </w:pPr>
            <w:r>
              <w:rPr>
                <w:color w:val="000000"/>
                <w:lang w:val="es-GT" w:eastAsia="es-GT"/>
              </w:rPr>
              <w:t>10 años de período de gracia</w:t>
            </w:r>
          </w:p>
        </w:tc>
      </w:tr>
    </w:tbl>
    <w:p w14:paraId="063703AF" w14:textId="77777777" w:rsidR="00C42AA3" w:rsidRPr="00A62974" w:rsidRDefault="00C42AA3" w:rsidP="00C42AA3">
      <w:pPr>
        <w:ind w:left="708"/>
        <w:jc w:val="both"/>
        <w:rPr>
          <w:sz w:val="18"/>
          <w:szCs w:val="18"/>
          <w:lang w:val="es-MX"/>
        </w:rPr>
      </w:pPr>
      <w:r w:rsidRPr="004707AB">
        <w:rPr>
          <w:rFonts w:eastAsia="OptimaLTStd"/>
          <w:color w:val="000000"/>
          <w:lang w:val="es-MX"/>
        </w:rPr>
        <w:t>Fuente: DTF MINFIN, con información publicaciones Diario de Centroamérica.</w:t>
      </w:r>
    </w:p>
    <w:p w14:paraId="07950EC5" w14:textId="77777777" w:rsidR="00C42AA3" w:rsidRDefault="00C42AA3" w:rsidP="00C42AA3">
      <w:pPr>
        <w:ind w:left="708"/>
        <w:jc w:val="both"/>
        <w:rPr>
          <w:rFonts w:eastAsia="OptimaLTStd"/>
          <w:color w:val="000000"/>
          <w:sz w:val="18"/>
          <w:szCs w:val="18"/>
          <w:lang w:val="es-MX"/>
        </w:rPr>
      </w:pPr>
    </w:p>
    <w:p w14:paraId="53130CCF" w14:textId="05F0C8E4" w:rsidR="008C102B" w:rsidRPr="004707AB" w:rsidRDefault="00C42AA3" w:rsidP="00DF3713">
      <w:pPr>
        <w:pStyle w:val="Sinespaciado"/>
        <w:ind w:left="708"/>
        <w:jc w:val="both"/>
        <w:rPr>
          <w:rFonts w:ascii="Times New Roman" w:hAnsi="Times New Roman"/>
          <w:sz w:val="24"/>
          <w:szCs w:val="24"/>
        </w:rPr>
      </w:pPr>
      <w:r w:rsidRPr="004707AB">
        <w:rPr>
          <w:rFonts w:ascii="Times New Roman" w:hAnsi="Times New Roman"/>
          <w:sz w:val="24"/>
          <w:szCs w:val="24"/>
        </w:rPr>
        <w:t xml:space="preserve">La recontratación de la Póliza de cobertura por exceso de lluvias y la contratación del Crédito contingente se realizaron en función de los objetivos de la Estrategia Financiera ante el riesgo de desastres, misma que, permite optimizar los esfuerzos fiscales en la gestión de riesgo y aumentar la resiliencia fiscal ante desastres, mediante el uso de instrumentos costo efectivos que maximizan la inversión pública, y contribuyen a enfrentar los efectos económicos de la pandemia COVID-19. </w:t>
      </w:r>
    </w:p>
    <w:sectPr w:rsidR="008C102B" w:rsidRPr="004707AB" w:rsidSect="00EC0893">
      <w:headerReference w:type="even" r:id="rId76"/>
      <w:headerReference w:type="default" r:id="rId77"/>
      <w:footerReference w:type="even" r:id="rId78"/>
      <w:footerReference w:type="default" r:id="rId79"/>
      <w:pgSz w:w="12240" w:h="15840" w:code="1"/>
      <w:pgMar w:top="1531" w:right="1134" w:bottom="1418" w:left="1134" w:header="397" w:footer="590" w:gutter="0"/>
      <w:cols w:space="720"/>
      <w:titlePg/>
      <w:docGrid w:linePitch="27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253670BB" w14:textId="77777777" w:rsidR="006B27F3" w:rsidRDefault="006B27F3">
      <w:r>
        <w:separator/>
      </w:r>
    </w:p>
  </w:endnote>
  <w:endnote w:type="continuationSeparator" w:id="0">
    <w:p w14:paraId="00B405D1" w14:textId="77777777" w:rsidR="006B27F3" w:rsidRDefault="006B27F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Helvetica">
    <w:panose1 w:val="020B0604020202020204"/>
    <w:charset w:val="00"/>
    <w:family w:val="swiss"/>
    <w:notTrueType/>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 w:name="CG Times">
    <w:altName w:val="Times New Roman"/>
    <w:charset w:val="00"/>
    <w:family w:val="roman"/>
    <w:pitch w:val="variable"/>
    <w:sig w:usb0="00000287" w:usb1="00000000" w:usb2="00000000" w:usb3="00000000" w:csb0="0000009F" w:csb1="00000000"/>
  </w:font>
  <w:font w:name="SimSun">
    <w:altName w:val="宋体"/>
    <w:panose1 w:val="02010600030101010101"/>
    <w:charset w:val="86"/>
    <w:family w:val="auto"/>
    <w:pitch w:val="variable"/>
    <w:sig w:usb0="00000003" w:usb1="288F0000" w:usb2="00000016" w:usb3="00000000" w:csb0="00040001" w:csb1="00000000"/>
  </w:font>
  <w:font w:name="Andada">
    <w:altName w:val="Cambria"/>
    <w:panose1 w:val="00000000000000000000"/>
    <w:charset w:val="00"/>
    <w:family w:val="roman"/>
    <w:notTrueType/>
    <w:pitch w:val="default"/>
    <w:sig w:usb0="00000003" w:usb1="00000000" w:usb2="00000000" w:usb3="00000000" w:csb0="00000001" w:csb1="00000000"/>
  </w:font>
  <w:font w:name="Malgun Gothic">
    <w:panose1 w:val="020B0503020000020004"/>
    <w:charset w:val="81"/>
    <w:family w:val="swiss"/>
    <w:pitch w:val="variable"/>
    <w:sig w:usb0="900002AF" w:usb1="29D77CFB" w:usb2="00000012" w:usb3="00000000" w:csb0="0008008D" w:csb1="00000000"/>
  </w:font>
  <w:font w:name="Myriad Pro">
    <w:altName w:val="Segoe UI"/>
    <w:panose1 w:val="00000000000000000000"/>
    <w:charset w:val="00"/>
    <w:family w:val="swiss"/>
    <w:notTrueType/>
    <w:pitch w:val="variable"/>
    <w:sig w:usb0="20000287" w:usb1="00000001" w:usb2="00000000" w:usb3="00000000" w:csb0="0000019F" w:csb1="00000000"/>
  </w:font>
  <w:font w:name="Myriad Pro Cond">
    <w:altName w:val="Segoe UI"/>
    <w:panose1 w:val="00000000000000000000"/>
    <w:charset w:val="00"/>
    <w:family w:val="swiss"/>
    <w:notTrueType/>
    <w:pitch w:val="variable"/>
    <w:sig w:usb0="20000287" w:usb1="00000001" w:usb2="00000000" w:usb3="00000000" w:csb0="0000019F" w:csb1="00000000"/>
  </w:font>
  <w:font w:name="OptimaLTStd">
    <w:altName w:val="Yu Gothic"/>
    <w:panose1 w:val="00000000000000000000"/>
    <w:charset w:val="80"/>
    <w:family w:val="swiss"/>
    <w:notTrueType/>
    <w:pitch w:val="default"/>
    <w:sig w:usb0="00000001" w:usb1="08070000" w:usb2="00000010" w:usb3="00000000" w:csb0="00020000" w:csb1="00000000"/>
  </w:font>
  <w:font w:name="Times">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AFF" w:usb1="C0007843" w:usb2="00000009" w:usb3="00000000" w:csb0="000001FF" w:csb1="00000000"/>
  </w:font>
  <w:font w:name="Berylium">
    <w:altName w:val="Calibri"/>
    <w:charset w:val="00"/>
    <w:family w:val="auto"/>
    <w:pitch w:val="variable"/>
    <w:sig w:usb0="A00000AF" w:usb1="0000004A" w:usb2="00000000" w:usb3="00000000" w:csb0="00000193"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678764683"/>
      <w:docPartObj>
        <w:docPartGallery w:val="Page Numbers (Bottom of Page)"/>
        <w:docPartUnique/>
      </w:docPartObj>
    </w:sdtPr>
    <w:sdtEndPr>
      <w:rPr>
        <w:b/>
        <w:i/>
        <w:noProof/>
        <w:color w:val="003399"/>
        <w:sz w:val="18"/>
      </w:rPr>
    </w:sdtEndPr>
    <w:sdtContent>
      <w:p w14:paraId="5176DEAA" w14:textId="04FD9EA8" w:rsidR="00963B9C" w:rsidRPr="00DD2A5D" w:rsidRDefault="00963B9C" w:rsidP="000E17C6">
        <w:pPr>
          <w:jc w:val="center"/>
          <w:rPr>
            <w:b/>
            <w:i/>
            <w:color w:val="003399"/>
            <w:sz w:val="18"/>
          </w:rPr>
        </w:pPr>
        <w:r w:rsidRPr="00D568B2">
          <w:rPr>
            <w:b/>
            <w:i/>
            <w:noProof/>
            <w:color w:val="003399"/>
            <w:sz w:val="18"/>
            <w:lang w:val="es-ES"/>
          </w:rPr>
          <mc:AlternateContent>
            <mc:Choice Requires="wps">
              <w:drawing>
                <wp:anchor distT="0" distB="0" distL="114300" distR="114300" simplePos="0" relativeHeight="251700224" behindDoc="0" locked="0" layoutInCell="1" allowOverlap="1" wp14:anchorId="491239BB" wp14:editId="5B3D85B6">
                  <wp:simplePos x="0" y="0"/>
                  <wp:positionH relativeFrom="rightMargin">
                    <wp:posOffset>2005330</wp:posOffset>
                  </wp:positionH>
                  <wp:positionV relativeFrom="bottomMargin">
                    <wp:posOffset>-1848485</wp:posOffset>
                  </wp:positionV>
                  <wp:extent cx="396240" cy="370840"/>
                  <wp:effectExtent l="0" t="0" r="22860" b="10160"/>
                  <wp:wrapNone/>
                  <wp:docPr id="1415" name="Óvalo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flipH="1">
                            <a:off x="0" y="0"/>
                            <a:ext cx="396240" cy="370840"/>
                          </a:xfrm>
                          <a:prstGeom prst="ellipse">
                            <a:avLst/>
                          </a:prstGeom>
                          <a:noFill/>
                          <a:ln w="12700">
                            <a:solidFill>
                              <a:srgbClr val="003399"/>
                            </a:solidFill>
                            <a:round/>
                            <a:headEnd/>
                            <a:tailEnd/>
                          </a:ln>
                          <a:extLst>
                            <a:ext uri="{909E8E84-426E-40DD-AFC4-6F175D3DCCD1}">
                              <a14:hiddenFill xmlns:a14="http://schemas.microsoft.com/office/drawing/2010/main">
                                <a:solidFill>
                                  <a:srgbClr val="C0504D"/>
                                </a:solidFill>
                              </a14:hiddenFill>
                            </a:ext>
                          </a:extLst>
                        </wps:spPr>
                        <wps:txbx>
                          <w:txbxContent>
                            <w:p w14:paraId="38B10882" w14:textId="6E2806A8" w:rsidR="00963B9C" w:rsidRPr="009A62D8" w:rsidRDefault="00963B9C" w:rsidP="00D568B2">
                              <w:pPr>
                                <w:pStyle w:val="Piedepgina"/>
                                <w:jc w:val="center"/>
                                <w:rPr>
                                  <w:b/>
                                  <w:color w:val="003399"/>
                                </w:rPr>
                              </w:pPr>
                              <w:r w:rsidRPr="009A62D8">
                                <w:rPr>
                                  <w:b/>
                                  <w:color w:val="003399"/>
                                </w:rPr>
                                <w:fldChar w:fldCharType="begin"/>
                              </w:r>
                              <w:r w:rsidRPr="009A62D8">
                                <w:rPr>
                                  <w:b/>
                                  <w:color w:val="003399"/>
                                </w:rPr>
                                <w:instrText>PAGE  \* MERGEFORMAT</w:instrText>
                              </w:r>
                              <w:r w:rsidRPr="009A62D8">
                                <w:rPr>
                                  <w:b/>
                                  <w:color w:val="003399"/>
                                </w:rPr>
                                <w:fldChar w:fldCharType="separate"/>
                              </w:r>
                              <w:r w:rsidR="00C36F10" w:rsidRPr="00C36F10">
                                <w:rPr>
                                  <w:b/>
                                  <w:noProof/>
                                  <w:color w:val="003399"/>
                                  <w:lang w:val="es-ES"/>
                                </w:rPr>
                                <w:t>64</w:t>
                              </w:r>
                              <w:r w:rsidRPr="009A62D8">
                                <w:rPr>
                                  <w:b/>
                                  <w:color w:val="003399"/>
                                </w:rPr>
                                <w:fldChar w:fldCharType="end"/>
                              </w:r>
                            </w:p>
                          </w:txbxContent>
                        </wps:txbx>
                        <wps:bodyPr rot="0" vert="horz" wrap="square" lIns="0" tIns="0" rIns="0" bIns="0" anchor="ctr" anchorCtr="0" upright="1">
                          <a:noAutofit/>
                        </wps:bodyPr>
                      </wps:wsp>
                    </a:graphicData>
                  </a:graphic>
                  <wp14:sizeRelH relativeFrom="page">
                    <wp14:pctWidth>0</wp14:pctWidth>
                  </wp14:sizeRelH>
                  <wp14:sizeRelV relativeFrom="bottomMargin">
                    <wp14:pctHeight>0</wp14:pctHeight>
                  </wp14:sizeRelV>
                </wp:anchor>
              </w:drawing>
            </mc:Choice>
            <mc:Fallback>
              <w:pict>
                <v:oval id="Óvalo 6" o:spid="_x0000_s1049" style="position:absolute;left:0;text-align:left;margin-left:157.9pt;margin-top:-145.55pt;width:31.2pt;height:29.2pt;rotation:180;flip:x;z-index:251700224;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bottom-margin-area;mso-width-percent:0;mso-height-percent:0;mso-width-relative:page;mso-height-relative:bottom-margin-area;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" filled="f" fillcolor="#c0504d" strokecolor="#039" strokeweight="1pt">
                  <v:textbox inset="0,0,0,0">
                    <w:txbxContent>
                      <w:p w14:paraId="38B10882" w14:textId="6E2806A8" w:rsidR="00963B9C" w:rsidRPr="009A62D8" w:rsidRDefault="00963B9C" w:rsidP="00D568B2">
                        <w:pPr>
                          <w:pStyle w:val="Piedepgina"/>
                          <w:jc w:val="center"/>
                          <w:rPr>
                            <w:b/>
                            <w:color w:val="003399"/>
                          </w:rPr>
                        </w:pPr>
                        <w:r w:rsidRPr="009A62D8">
                          <w:rPr>
                            <w:b/>
                            <w:color w:val="003399"/>
                          </w:rPr>
                          <w:fldChar w:fldCharType="begin"/>
                        </w:r>
                        <w:r w:rsidRPr="009A62D8">
                          <w:rPr>
                            <w:b/>
                            <w:color w:val="003399"/>
                          </w:rPr>
                          <w:instrText>PAGE  \* MERGEFORMAT</w:instrText>
                        </w:r>
                        <w:r w:rsidRPr="009A62D8">
                          <w:rPr>
                            <w:b/>
                            <w:color w:val="003399"/>
                          </w:rPr>
                          <w:fldChar w:fldCharType="separate"/>
                        </w:r>
                        <w:r w:rsidR="00C36F10" w:rsidRPr="00C36F10">
                          <w:rPr>
                            <w:b/>
                            <w:noProof/>
                            <w:color w:val="003399"/>
                            <w:lang w:val="es-ES"/>
                          </w:rPr>
                          <w:t>64</w:t>
                        </w:r>
                        <w:r w:rsidRPr="009A62D8">
                          <w:rPr>
                            <w:b/>
                            <w:color w:val="003399"/>
                          </w:rPr>
                          <w:fldChar w:fldCharType="end"/>
                        </w:r>
                      </w:p>
                    </w:txbxContent>
                  </v:textbox>
                  <w10:wrap anchorx="margin" anchory="margin"/>
                </v:oval>
              </w:pict>
            </mc:Fallback>
          </mc:AlternateContent>
        </w:r>
        <w:r w:rsidRPr="00D568B2">
          <w:rPr>
            <w:b/>
            <w:i/>
            <w:noProof/>
            <w:color w:val="003399"/>
            <w:sz w:val="18"/>
            <w:lang w:val="es-ES"/>
          </w:rPr>
          <mc:AlternateContent>
            <mc:Choice Requires="wps">
              <w:drawing>
                <wp:anchor distT="0" distB="0" distL="114300" distR="114300" simplePos="0" relativeHeight="251701248" behindDoc="0" locked="0" layoutInCell="1" allowOverlap="1" wp14:anchorId="623F7B98" wp14:editId="38756650">
                  <wp:simplePos x="0" y="0"/>
                  <wp:positionH relativeFrom="rightMargin">
                    <wp:posOffset>2005330</wp:posOffset>
                  </wp:positionH>
                  <wp:positionV relativeFrom="bottomMargin">
                    <wp:posOffset>-1848485</wp:posOffset>
                  </wp:positionV>
                  <wp:extent cx="396240" cy="370840"/>
                  <wp:effectExtent l="0" t="0" r="22860" b="10160"/>
                  <wp:wrapNone/>
                  <wp:docPr id="1416" name="Óvalo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flipH="1">
                            <a:off x="0" y="0"/>
                            <a:ext cx="396240" cy="370840"/>
                          </a:xfrm>
                          <a:prstGeom prst="ellipse">
                            <a:avLst/>
                          </a:prstGeom>
                          <a:noFill/>
                          <a:ln w="12700">
                            <a:solidFill>
                              <a:srgbClr val="003399"/>
                            </a:solidFill>
                            <a:round/>
                            <a:headEnd/>
                            <a:tailEnd/>
                          </a:ln>
                          <a:extLst>
                            <a:ext uri="{909E8E84-426E-40DD-AFC4-6F175D3DCCD1}">
                              <a14:hiddenFill xmlns:a14="http://schemas.microsoft.com/office/drawing/2010/main">
                                <a:solidFill>
                                  <a:srgbClr val="C0504D"/>
                                </a:solidFill>
                              </a14:hiddenFill>
                            </a:ext>
                          </a:extLst>
                        </wps:spPr>
                        <wps:txbx>
                          <w:txbxContent>
                            <w:p w14:paraId="72059351" w14:textId="2662FFC9" w:rsidR="00963B9C" w:rsidRPr="009A62D8" w:rsidRDefault="00963B9C" w:rsidP="00D568B2">
                              <w:pPr>
                                <w:pStyle w:val="Piedepgina"/>
                                <w:jc w:val="center"/>
                                <w:rPr>
                                  <w:b/>
                                  <w:color w:val="003399"/>
                                </w:rPr>
                              </w:pPr>
                              <w:r w:rsidRPr="009A62D8">
                                <w:rPr>
                                  <w:b/>
                                  <w:color w:val="003399"/>
                                </w:rPr>
                                <w:fldChar w:fldCharType="begin"/>
                              </w:r>
                              <w:r w:rsidRPr="009A62D8">
                                <w:rPr>
                                  <w:b/>
                                  <w:color w:val="003399"/>
                                </w:rPr>
                                <w:instrText>PAGE  \* MERGEFORMAT</w:instrText>
                              </w:r>
                              <w:r w:rsidRPr="009A62D8">
                                <w:rPr>
                                  <w:b/>
                                  <w:color w:val="003399"/>
                                </w:rPr>
                                <w:fldChar w:fldCharType="separate"/>
                              </w:r>
                              <w:r w:rsidR="00C36F10" w:rsidRPr="00C36F10">
                                <w:rPr>
                                  <w:b/>
                                  <w:noProof/>
                                  <w:color w:val="003399"/>
                                  <w:lang w:val="es-ES"/>
                                </w:rPr>
                                <w:t>64</w:t>
                              </w:r>
                              <w:r w:rsidRPr="009A62D8">
                                <w:rPr>
                                  <w:b/>
                                  <w:color w:val="003399"/>
                                </w:rPr>
                                <w:fldChar w:fldCharType="end"/>
                              </w:r>
                            </w:p>
                          </w:txbxContent>
                        </wps:txbx>
                        <wps:bodyPr rot="0" vert="horz" wrap="square" lIns="0" tIns="0" rIns="0" bIns="0" anchor="ctr" anchorCtr="0" upright="1">
                          <a:noAutofit/>
                        </wps:bodyPr>
                      </wps:wsp>
                    </a:graphicData>
                  </a:graphic>
                  <wp14:sizeRelH relativeFrom="page">
                    <wp14:pctWidth>0</wp14:pctWidth>
                  </wp14:sizeRelH>
                  <wp14:sizeRelV relativeFrom="bottomMargin">
                    <wp14:pctHeight>0</wp14:pctHeight>
                  </wp14:sizeRelV>
                </wp:anchor>
              </w:drawing>
            </mc:Choice>
            <mc:Fallback>
              <w:pict>
                <v:oval id="_x0000_s1050" style="position:absolute;left:0;text-align:left;margin-left:157.9pt;margin-top:-145.55pt;width:31.2pt;height:29.2pt;rotation:180;flip:x;z-index:251701248;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bottom-margin-area;mso-width-percent:0;mso-height-percent:0;mso-width-relative:page;mso-height-relative:bottom-margin-area;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" filled="f" fillcolor="#c0504d" strokecolor="#039" strokeweight="1pt">
                  <v:textbox inset="0,0,0,0">
                    <w:txbxContent>
                      <w:p w14:paraId="72059351" w14:textId="2662FFC9" w:rsidR="00963B9C" w:rsidRPr="009A62D8" w:rsidRDefault="00963B9C" w:rsidP="00D568B2">
                        <w:pPr>
                          <w:pStyle w:val="Piedepgina"/>
                          <w:jc w:val="center"/>
                          <w:rPr>
                            <w:b/>
                            <w:color w:val="003399"/>
                          </w:rPr>
                        </w:pPr>
                        <w:r w:rsidRPr="009A62D8">
                          <w:rPr>
                            <w:b/>
                            <w:color w:val="003399"/>
                          </w:rPr>
                          <w:fldChar w:fldCharType="begin"/>
                        </w:r>
                        <w:r w:rsidRPr="009A62D8">
                          <w:rPr>
                            <w:b/>
                            <w:color w:val="003399"/>
                          </w:rPr>
                          <w:instrText>PAGE  \* MERGEFORMAT</w:instrText>
                        </w:r>
                        <w:r w:rsidRPr="009A62D8">
                          <w:rPr>
                            <w:b/>
                            <w:color w:val="003399"/>
                          </w:rPr>
                          <w:fldChar w:fldCharType="separate"/>
                        </w:r>
                        <w:r w:rsidR="00C36F10" w:rsidRPr="00C36F10">
                          <w:rPr>
                            <w:b/>
                            <w:noProof/>
                            <w:color w:val="003399"/>
                            <w:lang w:val="es-ES"/>
                          </w:rPr>
                          <w:t>64</w:t>
                        </w:r>
                        <w:r w:rsidRPr="009A62D8">
                          <w:rPr>
                            <w:b/>
                            <w:color w:val="003399"/>
                          </w:rPr>
                          <w:fldChar w:fldCharType="end"/>
                        </w:r>
                      </w:p>
                    </w:txbxContent>
                  </v:textbox>
                  <w10:wrap anchorx="margin" anchory="margin"/>
                </v:oval>
              </w:pict>
            </mc:Fallback>
          </mc:AlternateContent>
        </w:r>
        <w:r w:rsidRPr="00DD2A5D">
          <w:rPr>
            <w:b/>
            <w:i/>
            <w:color w:val="003399"/>
            <w:sz w:val="18"/>
          </w:rPr>
          <w:t xml:space="preserve"> </w:t>
        </w:r>
        <w:r>
          <w:rPr>
            <w:b/>
            <w:i/>
            <w:color w:val="003399"/>
            <w:sz w:val="18"/>
          </w:rPr>
          <w:t xml:space="preserve">Proyecto de </w:t>
        </w:r>
        <w:r w:rsidRPr="00DD2A5D">
          <w:rPr>
            <w:b/>
            <w:i/>
            <w:color w:val="003399"/>
            <w:sz w:val="18"/>
          </w:rPr>
          <w:t>Presupuesto General de Ingresos y Egresos del Est</w:t>
        </w:r>
        <w:r>
          <w:rPr>
            <w:b/>
            <w:i/>
            <w:color w:val="003399"/>
            <w:sz w:val="18"/>
          </w:rPr>
          <w:t>a</w:t>
        </w:r>
        <w:r w:rsidR="004E24B2">
          <w:rPr>
            <w:b/>
            <w:i/>
            <w:color w:val="003399"/>
            <w:sz w:val="18"/>
          </w:rPr>
          <w:t>do para el Ejercicio Fiscal 2021</w:t>
        </w:r>
        <w:r>
          <w:rPr>
            <w:b/>
            <w:i/>
            <w:color w:val="003399"/>
            <w:sz w:val="18"/>
          </w:rPr>
          <w:t xml:space="preserve"> y Multianual </w:t>
        </w:r>
        <w:r w:rsidR="004E24B2">
          <w:rPr>
            <w:b/>
            <w:i/>
            <w:color w:val="003399"/>
            <w:sz w:val="18"/>
          </w:rPr>
          <w:t>2021</w:t>
        </w:r>
        <w:r w:rsidRPr="00DD2A5D">
          <w:rPr>
            <w:b/>
            <w:i/>
            <w:color w:val="003399"/>
            <w:sz w:val="18"/>
          </w:rPr>
          <w:t>-202</w:t>
        </w:r>
        <w:r w:rsidR="004E24B2">
          <w:rPr>
            <w:b/>
            <w:i/>
            <w:color w:val="003399"/>
            <w:sz w:val="18"/>
          </w:rPr>
          <w:t>5</w:t>
        </w:r>
      </w:p>
      <w:p w14:paraId="5848FADF" w14:textId="79EA896E" w:rsidR="00963B9C" w:rsidRPr="00D568B2" w:rsidRDefault="00963B9C">
        <w:pPr>
          <w:pStyle w:val="Piedepgina"/>
          <w:jc w:val="center"/>
          <w:rPr>
            <w:b/>
            <w:i/>
            <w:noProof/>
            <w:color w:val="003399"/>
            <w:sz w:val="18"/>
          </w:rPr>
        </w:pPr>
        <w:r w:rsidRPr="00D568B2">
          <w:rPr>
            <w:b/>
            <w:i/>
            <w:noProof/>
            <w:color w:val="003399"/>
            <w:sz w:val="18"/>
          </w:rPr>
          <w:t xml:space="preserve">Página </w:t>
        </w:r>
        <w:r w:rsidRPr="00D568B2">
          <w:rPr>
            <w:b/>
            <w:i/>
            <w:noProof/>
            <w:color w:val="003399"/>
            <w:sz w:val="18"/>
          </w:rPr>
          <w:fldChar w:fldCharType="begin"/>
        </w:r>
        <w:r w:rsidRPr="00D568B2">
          <w:rPr>
            <w:b/>
            <w:i/>
            <w:noProof/>
            <w:color w:val="003399"/>
            <w:sz w:val="18"/>
          </w:rPr>
          <w:instrText>PAGE   \* MERGEFORMAT</w:instrText>
        </w:r>
        <w:r w:rsidRPr="00D568B2">
          <w:rPr>
            <w:b/>
            <w:i/>
            <w:noProof/>
            <w:color w:val="003399"/>
            <w:sz w:val="18"/>
          </w:rPr>
          <w:fldChar w:fldCharType="separate"/>
        </w:r>
        <w:r w:rsidR="00C36F10">
          <w:rPr>
            <w:b/>
            <w:i/>
            <w:noProof/>
            <w:color w:val="003399"/>
            <w:sz w:val="18"/>
          </w:rPr>
          <w:t>64</w:t>
        </w:r>
        <w:r w:rsidRPr="00D568B2">
          <w:rPr>
            <w:b/>
            <w:i/>
            <w:noProof/>
            <w:color w:val="003399"/>
            <w:sz w:val="18"/>
          </w:rPr>
          <w:fldChar w:fldCharType="end"/>
        </w:r>
      </w:p>
    </w:sdtContent>
  </w:sdt>
  <w:p w14:paraId="02CD120F" w14:textId="77777777" w:rsidR="00963B9C" w:rsidRPr="009147EA" w:rsidRDefault="00963B9C" w:rsidP="009147EA">
    <w:pPr>
      <w:pStyle w:val="Piedep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b/>
        <w:i/>
        <w:color w:val="003399"/>
        <w:sz w:val="18"/>
      </w:rPr>
      <w:id w:val="1083336129"/>
      <w:docPartObj>
        <w:docPartGallery w:val="Page Numbers (Bottom of Page)"/>
        <w:docPartUnique/>
      </w:docPartObj>
    </w:sdtPr>
    <w:sdtEndPr/>
    <w:sdtContent>
      <w:p w14:paraId="2FC5F70A" w14:textId="77777777" w:rsidR="00963B9C" w:rsidRPr="00DD2A5D" w:rsidRDefault="00963B9C" w:rsidP="00E27B05">
        <w:pPr>
          <w:jc w:val="center"/>
          <w:rPr>
            <w:b/>
            <w:i/>
            <w:color w:val="003399"/>
            <w:sz w:val="18"/>
          </w:rPr>
        </w:pPr>
        <w:r w:rsidRPr="00D568B2">
          <w:rPr>
            <w:b/>
            <w:i/>
            <w:noProof/>
            <w:color w:val="003399"/>
            <w:sz w:val="18"/>
            <w:lang w:val="es-ES"/>
          </w:rPr>
          <mc:AlternateContent>
            <mc:Choice Requires="wps">
              <w:drawing>
                <wp:anchor distT="0" distB="0" distL="114300" distR="114300" simplePos="0" relativeHeight="251657728" behindDoc="0" locked="0" layoutInCell="1" allowOverlap="1" wp14:anchorId="0AE2DAB7" wp14:editId="3BED552E">
                  <wp:simplePos x="0" y="0"/>
                  <wp:positionH relativeFrom="rightMargin">
                    <wp:posOffset>2005330</wp:posOffset>
                  </wp:positionH>
                  <wp:positionV relativeFrom="bottomMargin">
                    <wp:posOffset>-1848485</wp:posOffset>
                  </wp:positionV>
                  <wp:extent cx="396240" cy="370840"/>
                  <wp:effectExtent l="0" t="0" r="22860" b="10160"/>
                  <wp:wrapNone/>
                  <wp:docPr id="12" name="Óvalo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flipH="1">
                            <a:off x="0" y="0"/>
                            <a:ext cx="396240" cy="370840"/>
                          </a:xfrm>
                          <a:prstGeom prst="ellipse">
                            <a:avLst/>
                          </a:prstGeom>
                          <a:noFill/>
                          <a:ln w="12700">
                            <a:solidFill>
                              <a:srgbClr val="003399"/>
                            </a:solidFill>
                            <a:round/>
                            <a:headEnd/>
                            <a:tailEnd/>
                          </a:ln>
                          <a:extLst>
                            <a:ext uri="{909E8E84-426E-40DD-AFC4-6F175D3DCCD1}">
                              <a14:hiddenFill xmlns:a14="http://schemas.microsoft.com/office/drawing/2010/main">
                                <a:solidFill>
                                  <a:srgbClr val="C0504D"/>
                                </a:solidFill>
                              </a14:hiddenFill>
                            </a:ext>
                          </a:extLst>
                        </wps:spPr>
                        <wps:txbx>
                          <w:txbxContent>
                            <w:p w14:paraId="7E0CE37E" w14:textId="6A25D021" w:rsidR="00963B9C" w:rsidRPr="009A62D8" w:rsidRDefault="00963B9C" w:rsidP="00D568B2">
                              <w:pPr>
                                <w:pStyle w:val="Piedepgina"/>
                                <w:jc w:val="center"/>
                                <w:rPr>
                                  <w:b/>
                                  <w:color w:val="003399"/>
                                </w:rPr>
                              </w:pPr>
                              <w:r w:rsidRPr="009A62D8">
                                <w:rPr>
                                  <w:b/>
                                  <w:color w:val="003399"/>
                                </w:rPr>
                                <w:fldChar w:fldCharType="begin"/>
                              </w:r>
                              <w:r w:rsidRPr="009A62D8">
                                <w:rPr>
                                  <w:b/>
                                  <w:color w:val="003399"/>
                                </w:rPr>
                                <w:instrText>PAGE  \* MERGEFORMAT</w:instrText>
                              </w:r>
                              <w:r w:rsidRPr="009A62D8">
                                <w:rPr>
                                  <w:b/>
                                  <w:color w:val="003399"/>
                                </w:rPr>
                                <w:fldChar w:fldCharType="separate"/>
                              </w:r>
                              <w:r w:rsidR="00C36F10" w:rsidRPr="00C36F10">
                                <w:rPr>
                                  <w:b/>
                                  <w:noProof/>
                                  <w:color w:val="003399"/>
                                  <w:lang w:val="es-ES"/>
                                </w:rPr>
                                <w:t>63</w:t>
                              </w:r>
                              <w:r w:rsidRPr="009A62D8">
                                <w:rPr>
                                  <w:b/>
                                  <w:color w:val="003399"/>
                                </w:rPr>
                                <w:fldChar w:fldCharType="end"/>
                              </w:r>
                            </w:p>
                          </w:txbxContent>
                        </wps:txbx>
                        <wps:bodyPr rot="0" vert="horz" wrap="square" lIns="0" tIns="0" rIns="0" bIns="0" anchor="ctr" anchorCtr="0" upright="1">
                          <a:noAutofit/>
                        </wps:bodyPr>
                      </wps:wsp>
                    </a:graphicData>
                  </a:graphic>
                  <wp14:sizeRelH relativeFrom="page">
                    <wp14:pctWidth>0</wp14:pctWidth>
                  </wp14:sizeRelH>
                  <wp14:sizeRelV relativeFrom="bottomMargin">
                    <wp14:pctHeight>0</wp14:pctHeight>
                  </wp14:sizeRelV>
                </wp:anchor>
              </w:drawing>
            </mc:Choice>
            <mc:Fallback>
              <w:pict>
                <v:oval id="_x0000_s1051" style="position:absolute;left:0;text-align:left;margin-left:157.9pt;margin-top:-145.55pt;width:31.2pt;height:29.2pt;rotation:180;flip:x;z-index:251657728;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bottom-margin-area;mso-width-percent:0;mso-height-percent:0;mso-width-relative:page;mso-height-relative:bottom-margin-area;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" filled="f" fillcolor="#c0504d" strokecolor="#039" strokeweight="1pt">
                  <v:textbox inset="0,0,0,0">
                    <w:txbxContent>
                      <w:p w14:paraId="7E0CE37E" w14:textId="6A25D021" w:rsidR="00963B9C" w:rsidRPr="009A62D8" w:rsidRDefault="00963B9C" w:rsidP="00D568B2">
                        <w:pPr>
                          <w:pStyle w:val="Piedepgina"/>
                          <w:jc w:val="center"/>
                          <w:rPr>
                            <w:b/>
                            <w:color w:val="003399"/>
                          </w:rPr>
                        </w:pPr>
                        <w:r w:rsidRPr="009A62D8">
                          <w:rPr>
                            <w:b/>
                            <w:color w:val="003399"/>
                          </w:rPr>
                          <w:fldChar w:fldCharType="begin"/>
                        </w:r>
                        <w:r w:rsidRPr="009A62D8">
                          <w:rPr>
                            <w:b/>
                            <w:color w:val="003399"/>
                          </w:rPr>
                          <w:instrText>PAGE  \* MERGEFORMAT</w:instrText>
                        </w:r>
                        <w:r w:rsidRPr="009A62D8">
                          <w:rPr>
                            <w:b/>
                            <w:color w:val="003399"/>
                          </w:rPr>
                          <w:fldChar w:fldCharType="separate"/>
                        </w:r>
                        <w:r w:rsidR="00C36F10" w:rsidRPr="00C36F10">
                          <w:rPr>
                            <w:b/>
                            <w:noProof/>
                            <w:color w:val="003399"/>
                            <w:lang w:val="es-ES"/>
                          </w:rPr>
                          <w:t>63</w:t>
                        </w:r>
                        <w:r w:rsidRPr="009A62D8">
                          <w:rPr>
                            <w:b/>
                            <w:color w:val="003399"/>
                          </w:rPr>
                          <w:fldChar w:fldCharType="end"/>
                        </w:r>
                      </w:p>
                    </w:txbxContent>
                  </v:textbox>
                  <w10:wrap anchorx="margin" anchory="margin"/>
                </v:oval>
              </w:pict>
            </mc:Fallback>
          </mc:AlternateContent>
        </w:r>
        <w:r w:rsidRPr="00D568B2">
          <w:rPr>
            <w:b/>
            <w:i/>
            <w:noProof/>
            <w:color w:val="003399"/>
            <w:sz w:val="18"/>
            <w:lang w:val="es-ES"/>
          </w:rPr>
          <mc:AlternateContent>
            <mc:Choice Requires="wps">
              <w:drawing>
                <wp:anchor distT="0" distB="0" distL="114300" distR="114300" simplePos="0" relativeHeight="251660800" behindDoc="0" locked="0" layoutInCell="1" allowOverlap="1" wp14:anchorId="1AE9901E" wp14:editId="0D4A908A">
                  <wp:simplePos x="0" y="0"/>
                  <wp:positionH relativeFrom="rightMargin">
                    <wp:posOffset>2005330</wp:posOffset>
                  </wp:positionH>
                  <wp:positionV relativeFrom="bottomMargin">
                    <wp:posOffset>-1848485</wp:posOffset>
                  </wp:positionV>
                  <wp:extent cx="396240" cy="370840"/>
                  <wp:effectExtent l="0" t="0" r="22860" b="10160"/>
                  <wp:wrapNone/>
                  <wp:docPr id="1408" name="Óvalo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flipH="1">
                            <a:off x="0" y="0"/>
                            <a:ext cx="396240" cy="370840"/>
                          </a:xfrm>
                          <a:prstGeom prst="ellipse">
                            <a:avLst/>
                          </a:prstGeom>
                          <a:noFill/>
                          <a:ln w="12700">
                            <a:solidFill>
                              <a:srgbClr val="003399"/>
                            </a:solidFill>
                            <a:round/>
                            <a:headEnd/>
                            <a:tailEnd/>
                          </a:ln>
                          <a:extLst>
                            <a:ext uri="{909E8E84-426E-40DD-AFC4-6F175D3DCCD1}">
                              <a14:hiddenFill xmlns:a14="http://schemas.microsoft.com/office/drawing/2010/main">
                                <a:solidFill>
                                  <a:srgbClr val="C0504D"/>
                                </a:solidFill>
                              </a14:hiddenFill>
                            </a:ext>
                          </a:extLst>
                        </wps:spPr>
                        <wps:txbx>
                          <w:txbxContent>
                            <w:p w14:paraId="08FF2AB6" w14:textId="0ADF9955" w:rsidR="00963B9C" w:rsidRPr="009A62D8" w:rsidRDefault="00963B9C" w:rsidP="00D568B2">
                              <w:pPr>
                                <w:pStyle w:val="Piedepgina"/>
                                <w:jc w:val="center"/>
                                <w:rPr>
                                  <w:b/>
                                  <w:color w:val="003399"/>
                                </w:rPr>
                              </w:pPr>
                              <w:r w:rsidRPr="009A62D8">
                                <w:rPr>
                                  <w:b/>
                                  <w:color w:val="003399"/>
                                </w:rPr>
                                <w:fldChar w:fldCharType="begin"/>
                              </w:r>
                              <w:r w:rsidRPr="009A62D8">
                                <w:rPr>
                                  <w:b/>
                                  <w:color w:val="003399"/>
                                </w:rPr>
                                <w:instrText>PAGE  \* MERGEFORMAT</w:instrText>
                              </w:r>
                              <w:r w:rsidRPr="009A62D8">
                                <w:rPr>
                                  <w:b/>
                                  <w:color w:val="003399"/>
                                </w:rPr>
                                <w:fldChar w:fldCharType="separate"/>
                              </w:r>
                              <w:r w:rsidR="00C36F10" w:rsidRPr="00C36F10">
                                <w:rPr>
                                  <w:b/>
                                  <w:noProof/>
                                  <w:color w:val="003399"/>
                                  <w:lang w:val="es-ES"/>
                                </w:rPr>
                                <w:t>63</w:t>
                              </w:r>
                              <w:r w:rsidRPr="009A62D8">
                                <w:rPr>
                                  <w:b/>
                                  <w:color w:val="003399"/>
                                </w:rPr>
                                <w:fldChar w:fldCharType="end"/>
                              </w:r>
                            </w:p>
                          </w:txbxContent>
                        </wps:txbx>
                        <wps:bodyPr rot="0" vert="horz" wrap="square" lIns="0" tIns="0" rIns="0" bIns="0" anchor="ctr" anchorCtr="0" upright="1">
                          <a:noAutofit/>
                        </wps:bodyPr>
                      </wps:wsp>
                    </a:graphicData>
                  </a:graphic>
                  <wp14:sizeRelH relativeFrom="page">
                    <wp14:pctWidth>0</wp14:pctWidth>
                  </wp14:sizeRelH>
                  <wp14:sizeRelV relativeFrom="bottomMargin">
                    <wp14:pctHeight>0</wp14:pctHeight>
                  </wp14:sizeRelV>
                </wp:anchor>
              </w:drawing>
            </mc:Choice>
            <mc:Fallback>
              <w:pict>
                <v:oval id="_x0000_s1052" style="position:absolute;left:0;text-align:left;margin-left:157.9pt;margin-top:-145.55pt;width:31.2pt;height:29.2pt;rotation:180;flip:x;z-index:251660800;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bottom-margin-area;mso-width-percent:0;mso-height-percent:0;mso-width-relative:page;mso-height-relative:bottom-margin-area;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" filled="f" fillcolor="#c0504d" strokecolor="#039" strokeweight="1pt">
                  <v:textbox inset="0,0,0,0">
                    <w:txbxContent>
                      <w:p w14:paraId="08FF2AB6" w14:textId="0ADF9955" w:rsidR="00963B9C" w:rsidRPr="009A62D8" w:rsidRDefault="00963B9C" w:rsidP="00D568B2">
                        <w:pPr>
                          <w:pStyle w:val="Piedepgina"/>
                          <w:jc w:val="center"/>
                          <w:rPr>
                            <w:b/>
                            <w:color w:val="003399"/>
                          </w:rPr>
                        </w:pPr>
                        <w:r w:rsidRPr="009A62D8">
                          <w:rPr>
                            <w:b/>
                            <w:color w:val="003399"/>
                          </w:rPr>
                          <w:fldChar w:fldCharType="begin"/>
                        </w:r>
                        <w:r w:rsidRPr="009A62D8">
                          <w:rPr>
                            <w:b/>
                            <w:color w:val="003399"/>
                          </w:rPr>
                          <w:instrText>PAGE  \* MERGEFORMAT</w:instrText>
                        </w:r>
                        <w:r w:rsidRPr="009A62D8">
                          <w:rPr>
                            <w:b/>
                            <w:color w:val="003399"/>
                          </w:rPr>
                          <w:fldChar w:fldCharType="separate"/>
                        </w:r>
                        <w:r w:rsidR="00C36F10" w:rsidRPr="00C36F10">
                          <w:rPr>
                            <w:b/>
                            <w:noProof/>
                            <w:color w:val="003399"/>
                            <w:lang w:val="es-ES"/>
                          </w:rPr>
                          <w:t>63</w:t>
                        </w:r>
                        <w:r w:rsidRPr="009A62D8">
                          <w:rPr>
                            <w:b/>
                            <w:color w:val="003399"/>
                          </w:rPr>
                          <w:fldChar w:fldCharType="end"/>
                        </w:r>
                      </w:p>
                    </w:txbxContent>
                  </v:textbox>
                  <w10:wrap anchorx="margin" anchory="margin"/>
                </v:oval>
              </w:pict>
            </mc:Fallback>
          </mc:AlternateContent>
        </w:r>
        <w:r>
          <w:rPr>
            <w:b/>
            <w:i/>
            <w:color w:val="003399"/>
            <w:sz w:val="18"/>
          </w:rPr>
          <w:t>Proyecto de</w:t>
        </w:r>
        <w:r w:rsidRPr="00DD2A5D">
          <w:rPr>
            <w:b/>
            <w:i/>
            <w:color w:val="003399"/>
            <w:sz w:val="18"/>
          </w:rPr>
          <w:t xml:space="preserve"> Presupuesto General de Ingresos y Egresos del Est</w:t>
        </w:r>
        <w:r>
          <w:rPr>
            <w:b/>
            <w:i/>
            <w:color w:val="003399"/>
            <w:sz w:val="18"/>
          </w:rPr>
          <w:t>ado para el Ejercicio Fiscal 2021 y Multianual 2021</w:t>
        </w:r>
        <w:r w:rsidRPr="00DD2A5D">
          <w:rPr>
            <w:b/>
            <w:i/>
            <w:color w:val="003399"/>
            <w:sz w:val="18"/>
          </w:rPr>
          <w:t>-202</w:t>
        </w:r>
        <w:r>
          <w:rPr>
            <w:b/>
            <w:i/>
            <w:color w:val="003399"/>
            <w:sz w:val="18"/>
          </w:rPr>
          <w:t>5</w:t>
        </w:r>
      </w:p>
      <w:p w14:paraId="58A307E2" w14:textId="51ABE5BA" w:rsidR="00963B9C" w:rsidRPr="00D568B2" w:rsidRDefault="00963B9C">
        <w:pPr>
          <w:pStyle w:val="Piedepgina"/>
          <w:jc w:val="center"/>
          <w:rPr>
            <w:b/>
            <w:i/>
            <w:color w:val="003399"/>
            <w:sz w:val="18"/>
          </w:rPr>
        </w:pPr>
        <w:r w:rsidRPr="00D568B2">
          <w:rPr>
            <w:b/>
            <w:i/>
            <w:color w:val="003399"/>
            <w:sz w:val="18"/>
          </w:rPr>
          <w:t xml:space="preserve">Página </w:t>
        </w:r>
        <w:r w:rsidRPr="00D568B2">
          <w:rPr>
            <w:b/>
            <w:i/>
            <w:color w:val="003399"/>
            <w:sz w:val="18"/>
          </w:rPr>
          <w:fldChar w:fldCharType="begin"/>
        </w:r>
        <w:r w:rsidRPr="00D568B2">
          <w:rPr>
            <w:b/>
            <w:i/>
            <w:color w:val="003399"/>
            <w:sz w:val="18"/>
          </w:rPr>
          <w:instrText>PAGE   \* MERGEFORMAT</w:instrText>
        </w:r>
        <w:r w:rsidRPr="00D568B2">
          <w:rPr>
            <w:b/>
            <w:i/>
            <w:color w:val="003399"/>
            <w:sz w:val="18"/>
          </w:rPr>
          <w:fldChar w:fldCharType="separate"/>
        </w:r>
        <w:r w:rsidR="00C36F10">
          <w:rPr>
            <w:b/>
            <w:i/>
            <w:noProof/>
            <w:color w:val="003399"/>
            <w:sz w:val="18"/>
          </w:rPr>
          <w:t>63</w:t>
        </w:r>
        <w:r w:rsidRPr="00D568B2">
          <w:rPr>
            <w:b/>
            <w:i/>
            <w:color w:val="003399"/>
            <w:sz w:val="18"/>
          </w:rPr>
          <w:fldChar w:fldCharType="end"/>
        </w:r>
      </w:p>
    </w:sdtContent>
  </w:sdt>
  <w:p w14:paraId="01724D5C" w14:textId="77777777" w:rsidR="00963B9C" w:rsidRPr="007242E5" w:rsidRDefault="00963B9C" w:rsidP="00463517">
    <w:pPr>
      <w:ind w:left="476"/>
      <w:jc w:val="center"/>
      <w:rPr>
        <w:b/>
        <w:i/>
        <w:color w:val="003399"/>
        <w:sz w:val="18"/>
        <w:szCs w:val="22"/>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50AFAE5C" w14:textId="77777777" w:rsidR="006B27F3" w:rsidRDefault="006B27F3">
      <w:r>
        <w:separator/>
      </w:r>
    </w:p>
  </w:footnote>
  <w:footnote w:type="continuationSeparator" w:id="0">
    <w:p w14:paraId="49109D5B" w14:textId="77777777" w:rsidR="006B27F3" w:rsidRDefault="006B27F3">
      <w:r>
        <w:continuationSeparator/>
      </w:r>
    </w:p>
  </w:footnote>
  <w:footnote w:id="1">
    <w:p w14:paraId="0097B61C" w14:textId="77777777" w:rsidR="00963B9C" w:rsidRPr="00CA6F37" w:rsidRDefault="00963B9C" w:rsidP="007D30E4">
      <w:pPr>
        <w:autoSpaceDE w:val="0"/>
        <w:autoSpaceDN w:val="0"/>
        <w:adjustRightInd w:val="0"/>
        <w:jc w:val="both"/>
        <w:rPr>
          <w:rFonts w:eastAsia="OptimaLTStd"/>
          <w:color w:val="000000"/>
        </w:rPr>
      </w:pPr>
      <w:r w:rsidRPr="00D4798D">
        <w:rPr>
          <w:rStyle w:val="Refdenotaalpie"/>
          <w:sz w:val="16"/>
          <w:szCs w:val="16"/>
        </w:rPr>
        <w:footnoteRef/>
      </w:r>
      <w:r>
        <w:t xml:space="preserve"> </w:t>
      </w:r>
      <w:r w:rsidRPr="00D4798D">
        <w:rPr>
          <w:rFonts w:eastAsia="OptimaLTStd"/>
          <w:color w:val="000000"/>
          <w:sz w:val="16"/>
          <w:szCs w:val="16"/>
        </w:rPr>
        <w:t>Los desastres biológicos se originan por la proliferación de agentes, como bacterias, virus y toxinas, que pueden ocasionar la muerte o incapacitar a personas, provocar danos en los animales y las cosechas, y degradar el ambiente. Algunos ejemplos de amenazas biológicas: colera, dengue, fiebre amarilla y los virus de Ébola y Marburgo. CEPAL, 2014. Manual para la Evaluación de Desastres.</w:t>
      </w:r>
    </w:p>
  </w:footnote>
  <w:footnote w:id="2">
    <w:p w14:paraId="6482D254" w14:textId="56556A7A" w:rsidR="00963B9C" w:rsidRPr="003704E8" w:rsidRDefault="00963B9C" w:rsidP="00C42AA3">
      <w:pPr>
        <w:pStyle w:val="Textonotapie"/>
      </w:pPr>
      <w:r>
        <w:rPr>
          <w:rStyle w:val="Refdenotaalpie"/>
        </w:rPr>
        <w:footnoteRef/>
      </w:r>
      <w:r>
        <w:t xml:space="preserve"> </w:t>
      </w:r>
      <w:r w:rsidRPr="003704E8">
        <w:t>Un seguro paramétrico es aquel d</w:t>
      </w:r>
      <w:r>
        <w:t xml:space="preserve">onde los pagos se modelan por medio de modelos fisicomatemáticos y no requieren de la intervención de un ajustador para el cálculo de pago. </w:t>
      </w:r>
    </w:p>
  </w:footnote>
  <w:footnote w:id="3">
    <w:p w14:paraId="09CBBCE8" w14:textId="77777777" w:rsidR="00963B9C" w:rsidRPr="003C6706" w:rsidRDefault="00963B9C" w:rsidP="00C42AA3">
      <w:pPr>
        <w:pStyle w:val="Textonotapie"/>
      </w:pPr>
      <w:r>
        <w:rPr>
          <w:rStyle w:val="Refdenotaalpie"/>
        </w:rPr>
        <w:footnoteRef/>
      </w:r>
      <w:r>
        <w:t xml:space="preserve"> El modelo de CCRIF en su capa de exposición no necesariamente se incluyen todos los activos del país. Esta situación no tiene consecuencias para el asegurado, ya que en principio no se está pagando prima sobre esos activos no incluidos. </w:t>
      </w:r>
    </w:p>
  </w:footnote>
  <w:footnote w:id="4">
    <w:p w14:paraId="681AC255" w14:textId="77777777" w:rsidR="00963B9C" w:rsidRPr="00074020" w:rsidRDefault="00963B9C" w:rsidP="00C42AA3">
      <w:pPr>
        <w:pStyle w:val="Textonotapie"/>
      </w:pPr>
      <w:r>
        <w:rPr>
          <w:rStyle w:val="Refdenotaalpie"/>
        </w:rPr>
        <w:footnoteRef/>
      </w:r>
      <w:r>
        <w:t xml:space="preserve"> Un evento CARE es aquel que, por los niveles generados de lluvias, obligan a la revisión de generación de derecho de pago. </w:t>
      </w:r>
    </w:p>
  </w:footnote>
  <w:footnote w:id="5">
    <w:p w14:paraId="659E1D9B" w14:textId="77777777" w:rsidR="00963B9C" w:rsidRPr="00280429" w:rsidRDefault="00963B9C" w:rsidP="00C42AA3">
      <w:pPr>
        <w:pStyle w:val="Textonotapie"/>
      </w:pPr>
      <w:r>
        <w:rPr>
          <w:rStyle w:val="Refdenotaalpie"/>
        </w:rPr>
        <w:footnoteRef/>
      </w:r>
      <w:r>
        <w:t xml:space="preserve"> Aunque la póliza ya se encontraba vencida al finalizar el evento, en la misma se consigna que el CCRIF se compromete a pagar todos aquellos eventos que inicien durante el período de cobertura, aunque su finalización sea posterior a la misma. </w:t>
      </w:r>
    </w:p>
  </w:footnote>
  <w:footnote w:id="6">
    <w:p w14:paraId="7DE29E45" w14:textId="77777777" w:rsidR="00963B9C" w:rsidRPr="0026523E" w:rsidRDefault="00963B9C" w:rsidP="00C42AA3">
      <w:pPr>
        <w:pStyle w:val="Textonotapie"/>
        <w:rPr>
          <w:sz w:val="16"/>
          <w:szCs w:val="16"/>
        </w:rPr>
      </w:pPr>
      <w:r w:rsidRPr="0026523E">
        <w:rPr>
          <w:rStyle w:val="Refdenotaalpie"/>
          <w:sz w:val="16"/>
          <w:szCs w:val="16"/>
        </w:rPr>
        <w:footnoteRef/>
      </w:r>
      <w:r w:rsidRPr="0026523E">
        <w:rPr>
          <w:sz w:val="16"/>
          <w:szCs w:val="16"/>
        </w:rPr>
        <w:t xml:space="preserve"> Préstamo pendiente de aprobación por el Congreso de la República </w:t>
      </w:r>
      <w:r>
        <w:rPr>
          <w:sz w:val="16"/>
          <w:szCs w:val="16"/>
        </w:rPr>
        <w:t>de Guatemala</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B760450" w14:textId="77777777" w:rsidR="00963B9C" w:rsidRPr="009A62D8" w:rsidRDefault="00963B9C" w:rsidP="009A62D8">
    <w:pPr>
      <w:pStyle w:val="Encabezado"/>
    </w:pPr>
    <w:r>
      <w:rPr>
        <w:noProof/>
        <w:lang w:val="es-ES"/>
      </w:rPr>
      <mc:AlternateContent>
        <mc:Choice Requires="wps">
          <w:drawing>
            <wp:anchor distT="0" distB="0" distL="114300" distR="114300" simplePos="0" relativeHeight="251683840" behindDoc="0" locked="0" layoutInCell="1" allowOverlap="1" wp14:anchorId="64C769FE" wp14:editId="513A18ED">
              <wp:simplePos x="0" y="0"/>
              <wp:positionH relativeFrom="column">
                <wp:posOffset>-82360</wp:posOffset>
              </wp:positionH>
              <wp:positionV relativeFrom="paragraph">
                <wp:posOffset>103505</wp:posOffset>
              </wp:positionV>
              <wp:extent cx="6346800" cy="554400"/>
              <wp:effectExtent l="0" t="0" r="0" b="0"/>
              <wp:wrapNone/>
              <wp:docPr id="5"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46800" cy="554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DFE220C" w14:textId="77777777" w:rsidR="00963B9C" w:rsidRDefault="00963B9C" w:rsidP="009147EA">
                          <w:pPr>
                            <w:rPr>
                              <w:b/>
                              <w:i/>
                              <w:color w:val="003399"/>
                            </w:rPr>
                          </w:pPr>
                        </w:p>
                        <w:p w14:paraId="696CF016" w14:textId="77777777" w:rsidR="00963B9C" w:rsidRDefault="00963B9C" w:rsidP="009147EA">
                          <w:pPr>
                            <w:rPr>
                              <w:b/>
                              <w:i/>
                              <w:color w:val="003399"/>
                            </w:rPr>
                          </w:pPr>
                        </w:p>
                        <w:p w14:paraId="13437202" w14:textId="77777777" w:rsidR="00963B9C" w:rsidRPr="007242E5" w:rsidRDefault="00963B9C" w:rsidP="009147EA">
                          <w:pPr>
                            <w:rPr>
                              <w:b/>
                              <w:i/>
                              <w:color w:val="003399"/>
                            </w:rPr>
                          </w:pPr>
                          <w:r>
                            <w:rPr>
                              <w:b/>
                              <w:i/>
                              <w:color w:val="003399"/>
                            </w:rPr>
                            <w:t>Consideraciones acerca de los Riesgos Fiscales</w:t>
                          </w:r>
                        </w:p>
                        <w:p w14:paraId="1D796D6D" w14:textId="77777777" w:rsidR="00963B9C" w:rsidRDefault="00963B9C" w:rsidP="00201635">
                          <w:pPr>
                            <w:jc w:val="right"/>
                          </w:pPr>
                        </w:p>
                        <w:p w14:paraId="5667B900" w14:textId="77777777" w:rsidR="00963B9C" w:rsidRPr="007242E5" w:rsidRDefault="00963B9C" w:rsidP="00201635">
                          <w:pPr>
                            <w:ind w:left="-70"/>
                            <w:rPr>
                              <w:rFonts w:ascii="Berylium" w:hAnsi="Berylium"/>
                              <w:b/>
                              <w:color w:val="003399"/>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shapetype w14:anchorId="64C769FE" id="_x0000_t202" coordsize="21600,21600" o:spt="202" path="m,l,21600r21600,l21600,xe">
              <v:stroke joinstyle="miter"/>
              <v:path gradientshapeok="t" o:connecttype="rect"/>
            </v:shapetype>
            <v:shape id="_x0000_s1047" type="#_x0000_t202" style="position:absolute;margin-left:-6.5pt;margin-top:8.15pt;width:499.75pt;height:43.6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" filled="f" stroked="f">
              <v:textbox>
                <w:txbxContent>
                  <w:p w14:paraId="0DFE220C" w14:textId="77777777" w:rsidR="00963B9C" w:rsidRDefault="00963B9C" w:rsidP="009147EA">
                    <w:pPr>
                      <w:rPr>
                        <w:b/>
                        <w:i/>
                        <w:color w:val="003399"/>
                      </w:rPr>
                    </w:pPr>
                  </w:p>
                  <w:p w14:paraId="696CF016" w14:textId="77777777" w:rsidR="00963B9C" w:rsidRDefault="00963B9C" w:rsidP="009147EA">
                    <w:pPr>
                      <w:rPr>
                        <w:b/>
                        <w:i/>
                        <w:color w:val="003399"/>
                      </w:rPr>
                    </w:pPr>
                  </w:p>
                  <w:p w14:paraId="13437202" w14:textId="77777777" w:rsidR="00963B9C" w:rsidRPr="007242E5" w:rsidRDefault="00963B9C" w:rsidP="009147EA">
                    <w:pPr>
                      <w:rPr>
                        <w:b/>
                        <w:i/>
                        <w:color w:val="003399"/>
                      </w:rPr>
                    </w:pPr>
                    <w:r>
                      <w:rPr>
                        <w:b/>
                        <w:i/>
                        <w:color w:val="003399"/>
                      </w:rPr>
                      <w:t>Consideraciones acerca de los Riesgos Fiscales</w:t>
                    </w:r>
                  </w:p>
                  <w:p w14:paraId="1D796D6D" w14:textId="77777777" w:rsidR="00963B9C" w:rsidRDefault="00963B9C" w:rsidP="00201635">
                    <w:pPr>
                      <w:jc w:val="right"/>
                    </w:pPr>
                  </w:p>
                  <w:p w14:paraId="5667B900" w14:textId="77777777" w:rsidR="00963B9C" w:rsidRPr="007242E5" w:rsidRDefault="00963B9C" w:rsidP="00201635">
                    <w:pPr>
                      <w:ind w:left="-70"/>
                      <w:rPr>
                        <w:rFonts w:ascii="Berylium" w:hAnsi="Berylium"/>
                        <w:b/>
                        <w:color w:val="003399"/>
                      </w:rPr>
                    </w:pPr>
                  </w:p>
                </w:txbxContent>
              </v:textbox>
            </v:shape>
          </w:pict>
        </mc:Fallback>
      </mc:AlternateConten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A85EBEA" w14:textId="77777777" w:rsidR="00963B9C" w:rsidRDefault="00963B9C" w:rsidP="00DA23ED">
    <w:pPr>
      <w:rPr>
        <w:rFonts w:ascii="Berylium" w:hAnsi="Berylium"/>
        <w:b/>
        <w:color w:val="003399"/>
      </w:rPr>
    </w:pPr>
    <w:r>
      <w:rPr>
        <w:noProof/>
        <w:lang w:val="es-ES"/>
      </w:rPr>
      <mc:AlternateContent>
        <mc:Choice Requires="wps">
          <w:drawing>
            <wp:anchor distT="0" distB="0" distL="114300" distR="114300" simplePos="0" relativeHeight="251695104" behindDoc="0" locked="0" layoutInCell="1" allowOverlap="1" wp14:anchorId="3CDB2C44" wp14:editId="3F3E0352">
              <wp:simplePos x="0" y="0"/>
              <wp:positionH relativeFrom="column">
                <wp:posOffset>108395</wp:posOffset>
              </wp:positionH>
              <wp:positionV relativeFrom="paragraph">
                <wp:posOffset>142240</wp:posOffset>
              </wp:positionV>
              <wp:extent cx="6346279" cy="552659"/>
              <wp:effectExtent l="0" t="0" r="0" b="0"/>
              <wp:wrapNone/>
              <wp:docPr id="1414"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46279" cy="5526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B326756" w14:textId="77777777" w:rsidR="00963B9C" w:rsidRDefault="00963B9C" w:rsidP="009147EA">
                          <w:pPr>
                            <w:ind w:left="142"/>
                            <w:jc w:val="right"/>
                            <w:rPr>
                              <w:b/>
                              <w:i/>
                              <w:color w:val="003399"/>
                            </w:rPr>
                          </w:pPr>
                        </w:p>
                        <w:p w14:paraId="67B31C04" w14:textId="77777777" w:rsidR="00963B9C" w:rsidRDefault="00963B9C" w:rsidP="009147EA">
                          <w:pPr>
                            <w:ind w:left="142"/>
                            <w:jc w:val="right"/>
                            <w:rPr>
                              <w:b/>
                              <w:i/>
                              <w:color w:val="003399"/>
                            </w:rPr>
                          </w:pPr>
                        </w:p>
                        <w:p w14:paraId="5D46B41F" w14:textId="77777777" w:rsidR="00963B9C" w:rsidRPr="007242E5" w:rsidRDefault="00963B9C" w:rsidP="00AC5060">
                          <w:pPr>
                            <w:jc w:val="right"/>
                            <w:rPr>
                              <w:b/>
                              <w:i/>
                              <w:color w:val="003399"/>
                            </w:rPr>
                          </w:pPr>
                          <w:r>
                            <w:rPr>
                              <w:b/>
                              <w:i/>
                              <w:color w:val="003399"/>
                            </w:rPr>
                            <w:t xml:space="preserve">   Consideraciones acerca de los Riesgos Fiscales</w:t>
                          </w:r>
                        </w:p>
                        <w:p w14:paraId="7C78EDF6" w14:textId="77777777" w:rsidR="00963B9C" w:rsidRPr="00300A1A" w:rsidRDefault="00963B9C" w:rsidP="00AC5060">
                          <w:pPr>
                            <w:rPr>
                              <w:rFonts w:ascii="Berylium" w:hAnsi="Berylium"/>
                              <w:b/>
                              <w:color w:val="003399"/>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shapetype w14:anchorId="3CDB2C44" id="_x0000_t202" coordsize="21600,21600" o:spt="202" path="m,l,21600r21600,l21600,xe">
              <v:stroke joinstyle="miter"/>
              <v:path gradientshapeok="t" o:connecttype="rect"/>
            </v:shapetype>
            <v:shape id="_x0000_s1048" type="#_x0000_t202" style="position:absolute;margin-left:8.55pt;margin-top:11.2pt;width:499.7pt;height:43.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" filled="f" stroked="f">
              <v:textbox>
                <w:txbxContent>
                  <w:p w14:paraId="4B326756" w14:textId="77777777" w:rsidR="00963B9C" w:rsidRDefault="00963B9C" w:rsidP="009147EA">
                    <w:pPr>
                      <w:ind w:left="142"/>
                      <w:jc w:val="right"/>
                      <w:rPr>
                        <w:b/>
                        <w:i/>
                        <w:color w:val="003399"/>
                      </w:rPr>
                    </w:pPr>
                  </w:p>
                  <w:p w14:paraId="67B31C04" w14:textId="77777777" w:rsidR="00963B9C" w:rsidRDefault="00963B9C" w:rsidP="009147EA">
                    <w:pPr>
                      <w:ind w:left="142"/>
                      <w:jc w:val="right"/>
                      <w:rPr>
                        <w:b/>
                        <w:i/>
                        <w:color w:val="003399"/>
                      </w:rPr>
                    </w:pPr>
                  </w:p>
                  <w:p w14:paraId="5D46B41F" w14:textId="77777777" w:rsidR="00963B9C" w:rsidRPr="007242E5" w:rsidRDefault="00963B9C" w:rsidP="00AC5060">
                    <w:pPr>
                      <w:jc w:val="right"/>
                      <w:rPr>
                        <w:b/>
                        <w:i/>
                        <w:color w:val="003399"/>
                      </w:rPr>
                    </w:pPr>
                    <w:r>
                      <w:rPr>
                        <w:b/>
                        <w:i/>
                        <w:color w:val="003399"/>
                      </w:rPr>
                      <w:t xml:space="preserve">   Consideraciones acerca de los Riesgos Fiscales</w:t>
                    </w:r>
                  </w:p>
                  <w:p w14:paraId="7C78EDF6" w14:textId="77777777" w:rsidR="00963B9C" w:rsidRPr="00300A1A" w:rsidRDefault="00963B9C" w:rsidP="00AC5060">
                    <w:pPr>
                      <w:rPr>
                        <w:rFonts w:ascii="Berylium" w:hAnsi="Berylium"/>
                        <w:b/>
                        <w:color w:val="003399"/>
                      </w:rPr>
                    </w:pPr>
                  </w:p>
                </w:txbxContent>
              </v:textbox>
            </v:shape>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9"/>
    <w:multiLevelType w:val="singleLevel"/>
    <w:tmpl w:val="DA709A66"/>
    <w:lvl w:ilvl="0">
      <w:start w:val="1"/>
      <w:numFmt w:val="bullet"/>
      <w:pStyle w:val="Listaconvietas"/>
      <w:lvlText w:val=""/>
      <w:lvlJc w:val="left"/>
      <w:pPr>
        <w:tabs>
          <w:tab w:val="num" w:pos="360"/>
        </w:tabs>
        <w:ind w:left="360" w:hanging="360"/>
      </w:pPr>
      <w:rPr>
        <w:rFonts w:ascii="Symbol" w:hAnsi="Symbol" w:hint="default"/>
      </w:rPr>
    </w:lvl>
  </w:abstractNum>
  <w:abstractNum w:abstractNumId="1">
    <w:nsid w:val="00852FDB"/>
    <w:multiLevelType w:val="hybridMultilevel"/>
    <w:tmpl w:val="3E3630D8"/>
    <w:lvl w:ilvl="0" w:tplc="100A0001">
      <w:start w:val="1"/>
      <w:numFmt w:val="bullet"/>
      <w:lvlText w:val=""/>
      <w:lvlJc w:val="left"/>
      <w:pPr>
        <w:ind w:left="1068" w:hanging="360"/>
      </w:pPr>
      <w:rPr>
        <w:rFonts w:ascii="Symbol" w:hAnsi="Symbol" w:hint="default"/>
      </w:rPr>
    </w:lvl>
    <w:lvl w:ilvl="1" w:tplc="100A0003" w:tentative="1">
      <w:start w:val="1"/>
      <w:numFmt w:val="bullet"/>
      <w:lvlText w:val="o"/>
      <w:lvlJc w:val="left"/>
      <w:pPr>
        <w:ind w:left="1788" w:hanging="360"/>
      </w:pPr>
      <w:rPr>
        <w:rFonts w:ascii="Courier New" w:hAnsi="Courier New" w:cs="Courier New" w:hint="default"/>
      </w:rPr>
    </w:lvl>
    <w:lvl w:ilvl="2" w:tplc="100A0005" w:tentative="1">
      <w:start w:val="1"/>
      <w:numFmt w:val="bullet"/>
      <w:lvlText w:val=""/>
      <w:lvlJc w:val="left"/>
      <w:pPr>
        <w:ind w:left="2508" w:hanging="360"/>
      </w:pPr>
      <w:rPr>
        <w:rFonts w:ascii="Wingdings" w:hAnsi="Wingdings" w:hint="default"/>
      </w:rPr>
    </w:lvl>
    <w:lvl w:ilvl="3" w:tplc="100A0001" w:tentative="1">
      <w:start w:val="1"/>
      <w:numFmt w:val="bullet"/>
      <w:lvlText w:val=""/>
      <w:lvlJc w:val="left"/>
      <w:pPr>
        <w:ind w:left="3228" w:hanging="360"/>
      </w:pPr>
      <w:rPr>
        <w:rFonts w:ascii="Symbol" w:hAnsi="Symbol" w:hint="default"/>
      </w:rPr>
    </w:lvl>
    <w:lvl w:ilvl="4" w:tplc="100A0003" w:tentative="1">
      <w:start w:val="1"/>
      <w:numFmt w:val="bullet"/>
      <w:lvlText w:val="o"/>
      <w:lvlJc w:val="left"/>
      <w:pPr>
        <w:ind w:left="3948" w:hanging="360"/>
      </w:pPr>
      <w:rPr>
        <w:rFonts w:ascii="Courier New" w:hAnsi="Courier New" w:cs="Courier New" w:hint="default"/>
      </w:rPr>
    </w:lvl>
    <w:lvl w:ilvl="5" w:tplc="100A0005" w:tentative="1">
      <w:start w:val="1"/>
      <w:numFmt w:val="bullet"/>
      <w:lvlText w:val=""/>
      <w:lvlJc w:val="left"/>
      <w:pPr>
        <w:ind w:left="4668" w:hanging="360"/>
      </w:pPr>
      <w:rPr>
        <w:rFonts w:ascii="Wingdings" w:hAnsi="Wingdings" w:hint="default"/>
      </w:rPr>
    </w:lvl>
    <w:lvl w:ilvl="6" w:tplc="100A0001" w:tentative="1">
      <w:start w:val="1"/>
      <w:numFmt w:val="bullet"/>
      <w:lvlText w:val=""/>
      <w:lvlJc w:val="left"/>
      <w:pPr>
        <w:ind w:left="5388" w:hanging="360"/>
      </w:pPr>
      <w:rPr>
        <w:rFonts w:ascii="Symbol" w:hAnsi="Symbol" w:hint="default"/>
      </w:rPr>
    </w:lvl>
    <w:lvl w:ilvl="7" w:tplc="100A0003" w:tentative="1">
      <w:start w:val="1"/>
      <w:numFmt w:val="bullet"/>
      <w:lvlText w:val="o"/>
      <w:lvlJc w:val="left"/>
      <w:pPr>
        <w:ind w:left="6108" w:hanging="360"/>
      </w:pPr>
      <w:rPr>
        <w:rFonts w:ascii="Courier New" w:hAnsi="Courier New" w:cs="Courier New" w:hint="default"/>
      </w:rPr>
    </w:lvl>
    <w:lvl w:ilvl="8" w:tplc="100A0005" w:tentative="1">
      <w:start w:val="1"/>
      <w:numFmt w:val="bullet"/>
      <w:lvlText w:val=""/>
      <w:lvlJc w:val="left"/>
      <w:pPr>
        <w:ind w:left="6828" w:hanging="360"/>
      </w:pPr>
      <w:rPr>
        <w:rFonts w:ascii="Wingdings" w:hAnsi="Wingdings" w:hint="default"/>
      </w:rPr>
    </w:lvl>
  </w:abstractNum>
  <w:abstractNum w:abstractNumId="2">
    <w:nsid w:val="04845B56"/>
    <w:multiLevelType w:val="hybridMultilevel"/>
    <w:tmpl w:val="65282382"/>
    <w:lvl w:ilvl="0" w:tplc="100A0001">
      <w:start w:val="1"/>
      <w:numFmt w:val="bullet"/>
      <w:lvlText w:val=""/>
      <w:lvlJc w:val="left"/>
      <w:pPr>
        <w:ind w:left="927" w:hanging="360"/>
      </w:pPr>
      <w:rPr>
        <w:rFonts w:ascii="Symbol" w:hAnsi="Symbol" w:hint="default"/>
      </w:rPr>
    </w:lvl>
    <w:lvl w:ilvl="1" w:tplc="100A0003" w:tentative="1">
      <w:start w:val="1"/>
      <w:numFmt w:val="bullet"/>
      <w:lvlText w:val="o"/>
      <w:lvlJc w:val="left"/>
      <w:pPr>
        <w:ind w:left="1440" w:hanging="360"/>
      </w:pPr>
      <w:rPr>
        <w:rFonts w:ascii="Courier New" w:hAnsi="Courier New" w:cs="Courier New" w:hint="default"/>
      </w:rPr>
    </w:lvl>
    <w:lvl w:ilvl="2" w:tplc="100A0005" w:tentative="1">
      <w:start w:val="1"/>
      <w:numFmt w:val="bullet"/>
      <w:lvlText w:val=""/>
      <w:lvlJc w:val="left"/>
      <w:pPr>
        <w:ind w:left="2160" w:hanging="360"/>
      </w:pPr>
      <w:rPr>
        <w:rFonts w:ascii="Wingdings" w:hAnsi="Wingdings" w:hint="default"/>
      </w:rPr>
    </w:lvl>
    <w:lvl w:ilvl="3" w:tplc="100A0001" w:tentative="1">
      <w:start w:val="1"/>
      <w:numFmt w:val="bullet"/>
      <w:lvlText w:val=""/>
      <w:lvlJc w:val="left"/>
      <w:pPr>
        <w:ind w:left="2880" w:hanging="360"/>
      </w:pPr>
      <w:rPr>
        <w:rFonts w:ascii="Symbol" w:hAnsi="Symbol" w:hint="default"/>
      </w:rPr>
    </w:lvl>
    <w:lvl w:ilvl="4" w:tplc="100A0003" w:tentative="1">
      <w:start w:val="1"/>
      <w:numFmt w:val="bullet"/>
      <w:lvlText w:val="o"/>
      <w:lvlJc w:val="left"/>
      <w:pPr>
        <w:ind w:left="3600" w:hanging="360"/>
      </w:pPr>
      <w:rPr>
        <w:rFonts w:ascii="Courier New" w:hAnsi="Courier New" w:cs="Courier New" w:hint="default"/>
      </w:rPr>
    </w:lvl>
    <w:lvl w:ilvl="5" w:tplc="100A0005" w:tentative="1">
      <w:start w:val="1"/>
      <w:numFmt w:val="bullet"/>
      <w:lvlText w:val=""/>
      <w:lvlJc w:val="left"/>
      <w:pPr>
        <w:ind w:left="4320" w:hanging="360"/>
      </w:pPr>
      <w:rPr>
        <w:rFonts w:ascii="Wingdings" w:hAnsi="Wingdings" w:hint="default"/>
      </w:rPr>
    </w:lvl>
    <w:lvl w:ilvl="6" w:tplc="100A0001" w:tentative="1">
      <w:start w:val="1"/>
      <w:numFmt w:val="bullet"/>
      <w:lvlText w:val=""/>
      <w:lvlJc w:val="left"/>
      <w:pPr>
        <w:ind w:left="5040" w:hanging="360"/>
      </w:pPr>
      <w:rPr>
        <w:rFonts w:ascii="Symbol" w:hAnsi="Symbol" w:hint="default"/>
      </w:rPr>
    </w:lvl>
    <w:lvl w:ilvl="7" w:tplc="100A0003" w:tentative="1">
      <w:start w:val="1"/>
      <w:numFmt w:val="bullet"/>
      <w:lvlText w:val="o"/>
      <w:lvlJc w:val="left"/>
      <w:pPr>
        <w:ind w:left="5760" w:hanging="360"/>
      </w:pPr>
      <w:rPr>
        <w:rFonts w:ascii="Courier New" w:hAnsi="Courier New" w:cs="Courier New" w:hint="default"/>
      </w:rPr>
    </w:lvl>
    <w:lvl w:ilvl="8" w:tplc="100A0005" w:tentative="1">
      <w:start w:val="1"/>
      <w:numFmt w:val="bullet"/>
      <w:lvlText w:val=""/>
      <w:lvlJc w:val="left"/>
      <w:pPr>
        <w:ind w:left="6480" w:hanging="360"/>
      </w:pPr>
      <w:rPr>
        <w:rFonts w:ascii="Wingdings" w:hAnsi="Wingdings" w:hint="default"/>
      </w:rPr>
    </w:lvl>
  </w:abstractNum>
  <w:abstractNum w:abstractNumId="3">
    <w:nsid w:val="0C3E67EA"/>
    <w:multiLevelType w:val="multilevel"/>
    <w:tmpl w:val="100A001F"/>
    <w:styleLink w:val="Estilo2"/>
    <w:lvl w:ilvl="0">
      <w:start w:val="3"/>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
    <w:nsid w:val="10AA7537"/>
    <w:multiLevelType w:val="hybridMultilevel"/>
    <w:tmpl w:val="0658CA44"/>
    <w:lvl w:ilvl="0" w:tplc="080A0017">
      <w:start w:val="1"/>
      <w:numFmt w:val="lowerLetter"/>
      <w:lvlText w:val="%1)"/>
      <w:lvlJc w:val="left"/>
      <w:pPr>
        <w:ind w:left="1068" w:hanging="360"/>
      </w:pPr>
    </w:lvl>
    <w:lvl w:ilvl="1" w:tplc="080A0019" w:tentative="1">
      <w:start w:val="1"/>
      <w:numFmt w:val="lowerLetter"/>
      <w:lvlText w:val="%2."/>
      <w:lvlJc w:val="left"/>
      <w:pPr>
        <w:ind w:left="1788" w:hanging="360"/>
      </w:pPr>
    </w:lvl>
    <w:lvl w:ilvl="2" w:tplc="080A001B" w:tentative="1">
      <w:start w:val="1"/>
      <w:numFmt w:val="lowerRoman"/>
      <w:lvlText w:val="%3."/>
      <w:lvlJc w:val="right"/>
      <w:pPr>
        <w:ind w:left="2508" w:hanging="180"/>
      </w:pPr>
    </w:lvl>
    <w:lvl w:ilvl="3" w:tplc="080A000F" w:tentative="1">
      <w:start w:val="1"/>
      <w:numFmt w:val="decimal"/>
      <w:lvlText w:val="%4."/>
      <w:lvlJc w:val="left"/>
      <w:pPr>
        <w:ind w:left="3228" w:hanging="360"/>
      </w:pPr>
    </w:lvl>
    <w:lvl w:ilvl="4" w:tplc="080A0019" w:tentative="1">
      <w:start w:val="1"/>
      <w:numFmt w:val="lowerLetter"/>
      <w:lvlText w:val="%5."/>
      <w:lvlJc w:val="left"/>
      <w:pPr>
        <w:ind w:left="3948" w:hanging="360"/>
      </w:pPr>
    </w:lvl>
    <w:lvl w:ilvl="5" w:tplc="080A001B" w:tentative="1">
      <w:start w:val="1"/>
      <w:numFmt w:val="lowerRoman"/>
      <w:lvlText w:val="%6."/>
      <w:lvlJc w:val="right"/>
      <w:pPr>
        <w:ind w:left="4668" w:hanging="180"/>
      </w:pPr>
    </w:lvl>
    <w:lvl w:ilvl="6" w:tplc="080A000F" w:tentative="1">
      <w:start w:val="1"/>
      <w:numFmt w:val="decimal"/>
      <w:lvlText w:val="%7."/>
      <w:lvlJc w:val="left"/>
      <w:pPr>
        <w:ind w:left="5388" w:hanging="360"/>
      </w:pPr>
    </w:lvl>
    <w:lvl w:ilvl="7" w:tplc="080A0019" w:tentative="1">
      <w:start w:val="1"/>
      <w:numFmt w:val="lowerLetter"/>
      <w:lvlText w:val="%8."/>
      <w:lvlJc w:val="left"/>
      <w:pPr>
        <w:ind w:left="6108" w:hanging="360"/>
      </w:pPr>
    </w:lvl>
    <w:lvl w:ilvl="8" w:tplc="080A001B" w:tentative="1">
      <w:start w:val="1"/>
      <w:numFmt w:val="lowerRoman"/>
      <w:lvlText w:val="%9."/>
      <w:lvlJc w:val="right"/>
      <w:pPr>
        <w:ind w:left="6828" w:hanging="180"/>
      </w:pPr>
    </w:lvl>
  </w:abstractNum>
  <w:abstractNum w:abstractNumId="5">
    <w:nsid w:val="18204412"/>
    <w:multiLevelType w:val="hybridMultilevel"/>
    <w:tmpl w:val="BED8F2F0"/>
    <w:lvl w:ilvl="0" w:tplc="580A000F">
      <w:start w:val="1"/>
      <w:numFmt w:val="decimal"/>
      <w:lvlText w:val="%1."/>
      <w:lvlJc w:val="left"/>
      <w:pPr>
        <w:ind w:left="720" w:hanging="360"/>
      </w:pPr>
    </w:lvl>
    <w:lvl w:ilvl="1" w:tplc="580A0019" w:tentative="1">
      <w:start w:val="1"/>
      <w:numFmt w:val="lowerLetter"/>
      <w:lvlText w:val="%2."/>
      <w:lvlJc w:val="left"/>
      <w:pPr>
        <w:ind w:left="1440" w:hanging="360"/>
      </w:pPr>
    </w:lvl>
    <w:lvl w:ilvl="2" w:tplc="580A001B" w:tentative="1">
      <w:start w:val="1"/>
      <w:numFmt w:val="lowerRoman"/>
      <w:lvlText w:val="%3."/>
      <w:lvlJc w:val="right"/>
      <w:pPr>
        <w:ind w:left="2160" w:hanging="180"/>
      </w:pPr>
    </w:lvl>
    <w:lvl w:ilvl="3" w:tplc="580A000F" w:tentative="1">
      <w:start w:val="1"/>
      <w:numFmt w:val="decimal"/>
      <w:lvlText w:val="%4."/>
      <w:lvlJc w:val="left"/>
      <w:pPr>
        <w:ind w:left="2880" w:hanging="360"/>
      </w:pPr>
    </w:lvl>
    <w:lvl w:ilvl="4" w:tplc="580A0019" w:tentative="1">
      <w:start w:val="1"/>
      <w:numFmt w:val="lowerLetter"/>
      <w:lvlText w:val="%5."/>
      <w:lvlJc w:val="left"/>
      <w:pPr>
        <w:ind w:left="3600" w:hanging="360"/>
      </w:pPr>
    </w:lvl>
    <w:lvl w:ilvl="5" w:tplc="580A001B" w:tentative="1">
      <w:start w:val="1"/>
      <w:numFmt w:val="lowerRoman"/>
      <w:lvlText w:val="%6."/>
      <w:lvlJc w:val="right"/>
      <w:pPr>
        <w:ind w:left="4320" w:hanging="180"/>
      </w:pPr>
    </w:lvl>
    <w:lvl w:ilvl="6" w:tplc="580A000F" w:tentative="1">
      <w:start w:val="1"/>
      <w:numFmt w:val="decimal"/>
      <w:lvlText w:val="%7."/>
      <w:lvlJc w:val="left"/>
      <w:pPr>
        <w:ind w:left="5040" w:hanging="360"/>
      </w:pPr>
    </w:lvl>
    <w:lvl w:ilvl="7" w:tplc="580A0019" w:tentative="1">
      <w:start w:val="1"/>
      <w:numFmt w:val="lowerLetter"/>
      <w:lvlText w:val="%8."/>
      <w:lvlJc w:val="left"/>
      <w:pPr>
        <w:ind w:left="5760" w:hanging="360"/>
      </w:pPr>
    </w:lvl>
    <w:lvl w:ilvl="8" w:tplc="580A001B" w:tentative="1">
      <w:start w:val="1"/>
      <w:numFmt w:val="lowerRoman"/>
      <w:lvlText w:val="%9."/>
      <w:lvlJc w:val="right"/>
      <w:pPr>
        <w:ind w:left="6480" w:hanging="180"/>
      </w:pPr>
    </w:lvl>
  </w:abstractNum>
  <w:abstractNum w:abstractNumId="6">
    <w:nsid w:val="184B25EE"/>
    <w:multiLevelType w:val="hybridMultilevel"/>
    <w:tmpl w:val="B4D4CD3C"/>
    <w:lvl w:ilvl="0" w:tplc="100A0001">
      <w:start w:val="1"/>
      <w:numFmt w:val="bullet"/>
      <w:lvlText w:val=""/>
      <w:lvlJc w:val="left"/>
      <w:pPr>
        <w:ind w:left="1068" w:hanging="360"/>
      </w:pPr>
      <w:rPr>
        <w:rFonts w:ascii="Symbol" w:hAnsi="Symbol" w:hint="default"/>
      </w:rPr>
    </w:lvl>
    <w:lvl w:ilvl="1" w:tplc="100A0003" w:tentative="1">
      <w:start w:val="1"/>
      <w:numFmt w:val="bullet"/>
      <w:lvlText w:val="o"/>
      <w:lvlJc w:val="left"/>
      <w:pPr>
        <w:ind w:left="1440" w:hanging="360"/>
      </w:pPr>
      <w:rPr>
        <w:rFonts w:ascii="Courier New" w:hAnsi="Courier New" w:cs="Courier New" w:hint="default"/>
      </w:rPr>
    </w:lvl>
    <w:lvl w:ilvl="2" w:tplc="100A0005" w:tentative="1">
      <w:start w:val="1"/>
      <w:numFmt w:val="bullet"/>
      <w:lvlText w:val=""/>
      <w:lvlJc w:val="left"/>
      <w:pPr>
        <w:ind w:left="2160" w:hanging="360"/>
      </w:pPr>
      <w:rPr>
        <w:rFonts w:ascii="Wingdings" w:hAnsi="Wingdings" w:hint="default"/>
      </w:rPr>
    </w:lvl>
    <w:lvl w:ilvl="3" w:tplc="100A0001" w:tentative="1">
      <w:start w:val="1"/>
      <w:numFmt w:val="bullet"/>
      <w:lvlText w:val=""/>
      <w:lvlJc w:val="left"/>
      <w:pPr>
        <w:ind w:left="2880" w:hanging="360"/>
      </w:pPr>
      <w:rPr>
        <w:rFonts w:ascii="Symbol" w:hAnsi="Symbol" w:hint="default"/>
      </w:rPr>
    </w:lvl>
    <w:lvl w:ilvl="4" w:tplc="100A0003" w:tentative="1">
      <w:start w:val="1"/>
      <w:numFmt w:val="bullet"/>
      <w:lvlText w:val="o"/>
      <w:lvlJc w:val="left"/>
      <w:pPr>
        <w:ind w:left="3600" w:hanging="360"/>
      </w:pPr>
      <w:rPr>
        <w:rFonts w:ascii="Courier New" w:hAnsi="Courier New" w:cs="Courier New" w:hint="default"/>
      </w:rPr>
    </w:lvl>
    <w:lvl w:ilvl="5" w:tplc="100A0005" w:tentative="1">
      <w:start w:val="1"/>
      <w:numFmt w:val="bullet"/>
      <w:lvlText w:val=""/>
      <w:lvlJc w:val="left"/>
      <w:pPr>
        <w:ind w:left="4320" w:hanging="360"/>
      </w:pPr>
      <w:rPr>
        <w:rFonts w:ascii="Wingdings" w:hAnsi="Wingdings" w:hint="default"/>
      </w:rPr>
    </w:lvl>
    <w:lvl w:ilvl="6" w:tplc="100A0001" w:tentative="1">
      <w:start w:val="1"/>
      <w:numFmt w:val="bullet"/>
      <w:lvlText w:val=""/>
      <w:lvlJc w:val="left"/>
      <w:pPr>
        <w:ind w:left="5040" w:hanging="360"/>
      </w:pPr>
      <w:rPr>
        <w:rFonts w:ascii="Symbol" w:hAnsi="Symbol" w:hint="default"/>
      </w:rPr>
    </w:lvl>
    <w:lvl w:ilvl="7" w:tplc="100A0003" w:tentative="1">
      <w:start w:val="1"/>
      <w:numFmt w:val="bullet"/>
      <w:lvlText w:val="o"/>
      <w:lvlJc w:val="left"/>
      <w:pPr>
        <w:ind w:left="5760" w:hanging="360"/>
      </w:pPr>
      <w:rPr>
        <w:rFonts w:ascii="Courier New" w:hAnsi="Courier New" w:cs="Courier New" w:hint="default"/>
      </w:rPr>
    </w:lvl>
    <w:lvl w:ilvl="8" w:tplc="100A0005" w:tentative="1">
      <w:start w:val="1"/>
      <w:numFmt w:val="bullet"/>
      <w:lvlText w:val=""/>
      <w:lvlJc w:val="left"/>
      <w:pPr>
        <w:ind w:left="6480" w:hanging="360"/>
      </w:pPr>
      <w:rPr>
        <w:rFonts w:ascii="Wingdings" w:hAnsi="Wingdings" w:hint="default"/>
      </w:rPr>
    </w:lvl>
  </w:abstractNum>
  <w:abstractNum w:abstractNumId="7">
    <w:nsid w:val="1F67775F"/>
    <w:multiLevelType w:val="hybridMultilevel"/>
    <w:tmpl w:val="4D4E0C24"/>
    <w:lvl w:ilvl="0" w:tplc="080A0017">
      <w:start w:val="1"/>
      <w:numFmt w:val="lowerLetter"/>
      <w:lvlText w:val="%1)"/>
      <w:lvlJc w:val="left"/>
      <w:pPr>
        <w:ind w:left="360" w:hanging="360"/>
      </w:pPr>
      <w:rPr>
        <w:rFonts w:hint="default"/>
      </w:rPr>
    </w:lvl>
    <w:lvl w:ilvl="1" w:tplc="080A0019" w:tentative="1">
      <w:start w:val="1"/>
      <w:numFmt w:val="lowerLetter"/>
      <w:lvlText w:val="%2."/>
      <w:lvlJc w:val="left"/>
      <w:pPr>
        <w:ind w:left="1080" w:hanging="360"/>
      </w:pPr>
    </w:lvl>
    <w:lvl w:ilvl="2" w:tplc="080A001B" w:tentative="1">
      <w:start w:val="1"/>
      <w:numFmt w:val="lowerRoman"/>
      <w:lvlText w:val="%3."/>
      <w:lvlJc w:val="right"/>
      <w:pPr>
        <w:ind w:left="1800" w:hanging="180"/>
      </w:pPr>
    </w:lvl>
    <w:lvl w:ilvl="3" w:tplc="080A000F" w:tentative="1">
      <w:start w:val="1"/>
      <w:numFmt w:val="decimal"/>
      <w:lvlText w:val="%4."/>
      <w:lvlJc w:val="left"/>
      <w:pPr>
        <w:ind w:left="2520" w:hanging="360"/>
      </w:pPr>
    </w:lvl>
    <w:lvl w:ilvl="4" w:tplc="080A0019" w:tentative="1">
      <w:start w:val="1"/>
      <w:numFmt w:val="lowerLetter"/>
      <w:lvlText w:val="%5."/>
      <w:lvlJc w:val="left"/>
      <w:pPr>
        <w:ind w:left="3240" w:hanging="360"/>
      </w:pPr>
    </w:lvl>
    <w:lvl w:ilvl="5" w:tplc="080A001B" w:tentative="1">
      <w:start w:val="1"/>
      <w:numFmt w:val="lowerRoman"/>
      <w:lvlText w:val="%6."/>
      <w:lvlJc w:val="right"/>
      <w:pPr>
        <w:ind w:left="3960" w:hanging="180"/>
      </w:pPr>
    </w:lvl>
    <w:lvl w:ilvl="6" w:tplc="080A000F" w:tentative="1">
      <w:start w:val="1"/>
      <w:numFmt w:val="decimal"/>
      <w:lvlText w:val="%7."/>
      <w:lvlJc w:val="left"/>
      <w:pPr>
        <w:ind w:left="4680" w:hanging="360"/>
      </w:pPr>
    </w:lvl>
    <w:lvl w:ilvl="7" w:tplc="080A0019" w:tentative="1">
      <w:start w:val="1"/>
      <w:numFmt w:val="lowerLetter"/>
      <w:lvlText w:val="%8."/>
      <w:lvlJc w:val="left"/>
      <w:pPr>
        <w:ind w:left="5400" w:hanging="360"/>
      </w:pPr>
    </w:lvl>
    <w:lvl w:ilvl="8" w:tplc="080A001B" w:tentative="1">
      <w:start w:val="1"/>
      <w:numFmt w:val="lowerRoman"/>
      <w:lvlText w:val="%9."/>
      <w:lvlJc w:val="right"/>
      <w:pPr>
        <w:ind w:left="6120" w:hanging="180"/>
      </w:pPr>
    </w:lvl>
  </w:abstractNum>
  <w:abstractNum w:abstractNumId="8">
    <w:nsid w:val="21450DF7"/>
    <w:multiLevelType w:val="multilevel"/>
    <w:tmpl w:val="100A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9">
    <w:nsid w:val="21EE5FB1"/>
    <w:multiLevelType w:val="hybridMultilevel"/>
    <w:tmpl w:val="845E76C4"/>
    <w:lvl w:ilvl="0" w:tplc="100A0001">
      <w:start w:val="1"/>
      <w:numFmt w:val="bullet"/>
      <w:lvlText w:val=""/>
      <w:lvlJc w:val="left"/>
      <w:pPr>
        <w:ind w:left="927" w:hanging="360"/>
      </w:pPr>
      <w:rPr>
        <w:rFonts w:ascii="Symbol" w:hAnsi="Symbol" w:hint="default"/>
      </w:rPr>
    </w:lvl>
    <w:lvl w:ilvl="1" w:tplc="100A0003" w:tentative="1">
      <w:start w:val="1"/>
      <w:numFmt w:val="bullet"/>
      <w:lvlText w:val="o"/>
      <w:lvlJc w:val="left"/>
      <w:pPr>
        <w:ind w:left="1647" w:hanging="360"/>
      </w:pPr>
      <w:rPr>
        <w:rFonts w:ascii="Courier New" w:hAnsi="Courier New" w:cs="Courier New" w:hint="default"/>
      </w:rPr>
    </w:lvl>
    <w:lvl w:ilvl="2" w:tplc="100A0005" w:tentative="1">
      <w:start w:val="1"/>
      <w:numFmt w:val="bullet"/>
      <w:lvlText w:val=""/>
      <w:lvlJc w:val="left"/>
      <w:pPr>
        <w:ind w:left="2367" w:hanging="360"/>
      </w:pPr>
      <w:rPr>
        <w:rFonts w:ascii="Wingdings" w:hAnsi="Wingdings" w:hint="default"/>
      </w:rPr>
    </w:lvl>
    <w:lvl w:ilvl="3" w:tplc="100A0001" w:tentative="1">
      <w:start w:val="1"/>
      <w:numFmt w:val="bullet"/>
      <w:lvlText w:val=""/>
      <w:lvlJc w:val="left"/>
      <w:pPr>
        <w:ind w:left="3087" w:hanging="360"/>
      </w:pPr>
      <w:rPr>
        <w:rFonts w:ascii="Symbol" w:hAnsi="Symbol" w:hint="default"/>
      </w:rPr>
    </w:lvl>
    <w:lvl w:ilvl="4" w:tplc="100A0003" w:tentative="1">
      <w:start w:val="1"/>
      <w:numFmt w:val="bullet"/>
      <w:lvlText w:val="o"/>
      <w:lvlJc w:val="left"/>
      <w:pPr>
        <w:ind w:left="3807" w:hanging="360"/>
      </w:pPr>
      <w:rPr>
        <w:rFonts w:ascii="Courier New" w:hAnsi="Courier New" w:cs="Courier New" w:hint="default"/>
      </w:rPr>
    </w:lvl>
    <w:lvl w:ilvl="5" w:tplc="100A0005" w:tentative="1">
      <w:start w:val="1"/>
      <w:numFmt w:val="bullet"/>
      <w:lvlText w:val=""/>
      <w:lvlJc w:val="left"/>
      <w:pPr>
        <w:ind w:left="4527" w:hanging="360"/>
      </w:pPr>
      <w:rPr>
        <w:rFonts w:ascii="Wingdings" w:hAnsi="Wingdings" w:hint="default"/>
      </w:rPr>
    </w:lvl>
    <w:lvl w:ilvl="6" w:tplc="100A0001" w:tentative="1">
      <w:start w:val="1"/>
      <w:numFmt w:val="bullet"/>
      <w:lvlText w:val=""/>
      <w:lvlJc w:val="left"/>
      <w:pPr>
        <w:ind w:left="5247" w:hanging="360"/>
      </w:pPr>
      <w:rPr>
        <w:rFonts w:ascii="Symbol" w:hAnsi="Symbol" w:hint="default"/>
      </w:rPr>
    </w:lvl>
    <w:lvl w:ilvl="7" w:tplc="100A0003" w:tentative="1">
      <w:start w:val="1"/>
      <w:numFmt w:val="bullet"/>
      <w:lvlText w:val="o"/>
      <w:lvlJc w:val="left"/>
      <w:pPr>
        <w:ind w:left="5967" w:hanging="360"/>
      </w:pPr>
      <w:rPr>
        <w:rFonts w:ascii="Courier New" w:hAnsi="Courier New" w:cs="Courier New" w:hint="default"/>
      </w:rPr>
    </w:lvl>
    <w:lvl w:ilvl="8" w:tplc="100A0005" w:tentative="1">
      <w:start w:val="1"/>
      <w:numFmt w:val="bullet"/>
      <w:lvlText w:val=""/>
      <w:lvlJc w:val="left"/>
      <w:pPr>
        <w:ind w:left="6687" w:hanging="360"/>
      </w:pPr>
      <w:rPr>
        <w:rFonts w:ascii="Wingdings" w:hAnsi="Wingdings" w:hint="default"/>
      </w:rPr>
    </w:lvl>
  </w:abstractNum>
  <w:abstractNum w:abstractNumId="10">
    <w:nsid w:val="27397E89"/>
    <w:multiLevelType w:val="hybridMultilevel"/>
    <w:tmpl w:val="39F4A8E4"/>
    <w:lvl w:ilvl="0" w:tplc="100A0017">
      <w:start w:val="1"/>
      <w:numFmt w:val="lowerLetter"/>
      <w:lvlText w:val="%1)"/>
      <w:lvlJc w:val="left"/>
      <w:pPr>
        <w:ind w:left="720" w:hanging="360"/>
      </w:pPr>
      <w:rPr>
        <w:rFonts w:hint="default"/>
      </w:r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11">
    <w:nsid w:val="2AB93945"/>
    <w:multiLevelType w:val="multilevel"/>
    <w:tmpl w:val="86200ECE"/>
    <w:lvl w:ilvl="0">
      <w:start w:val="1"/>
      <w:numFmt w:val="decimal"/>
      <w:lvlText w:val="%1."/>
      <w:lvlJc w:val="left"/>
      <w:pPr>
        <w:ind w:left="785" w:hanging="360"/>
      </w:pPr>
      <w:rPr>
        <w:b/>
        <w:bCs/>
      </w:rPr>
    </w:lvl>
    <w:lvl w:ilvl="1">
      <w:start w:val="1"/>
      <w:numFmt w:val="decimal"/>
      <w:lvlText w:val="%1.%2."/>
      <w:lvlJc w:val="left"/>
      <w:pPr>
        <w:ind w:left="1140" w:hanging="432"/>
      </w:pPr>
      <w:rPr>
        <w:b/>
        <w:bCs/>
      </w:rPr>
    </w:lvl>
    <w:lvl w:ilvl="2">
      <w:start w:val="1"/>
      <w:numFmt w:val="decimal"/>
      <w:lvlText w:val="%1.%2.%3."/>
      <w:lvlJc w:val="left"/>
      <w:pPr>
        <w:ind w:left="1071" w:hanging="504"/>
      </w:pPr>
      <w:rPr>
        <w:sz w:val="24"/>
        <w:szCs w:val="24"/>
      </w:rPr>
    </w:lvl>
    <w:lvl w:ilvl="3">
      <w:start w:val="1"/>
      <w:numFmt w:val="decimal"/>
      <w:lvlText w:val="%1.%2.%3.%4."/>
      <w:lvlJc w:val="left"/>
      <w:pPr>
        <w:ind w:left="1356" w:hanging="648"/>
      </w:pPr>
      <w:rPr>
        <w:b/>
        <w:bCs w:val="0"/>
      </w:r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2">
    <w:nsid w:val="31A24AD2"/>
    <w:multiLevelType w:val="multilevel"/>
    <w:tmpl w:val="0C0A0025"/>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3">
    <w:nsid w:val="36674720"/>
    <w:multiLevelType w:val="multilevel"/>
    <w:tmpl w:val="10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4">
    <w:nsid w:val="38666B9B"/>
    <w:multiLevelType w:val="hybridMultilevel"/>
    <w:tmpl w:val="DEB0874C"/>
    <w:lvl w:ilvl="0" w:tplc="580A000F">
      <w:start w:val="1"/>
      <w:numFmt w:val="decimal"/>
      <w:lvlText w:val="%1."/>
      <w:lvlJc w:val="left"/>
      <w:pPr>
        <w:ind w:left="720" w:hanging="360"/>
      </w:pPr>
    </w:lvl>
    <w:lvl w:ilvl="1" w:tplc="580A0019" w:tentative="1">
      <w:start w:val="1"/>
      <w:numFmt w:val="lowerLetter"/>
      <w:lvlText w:val="%2."/>
      <w:lvlJc w:val="left"/>
      <w:pPr>
        <w:ind w:left="1440" w:hanging="360"/>
      </w:pPr>
    </w:lvl>
    <w:lvl w:ilvl="2" w:tplc="580A001B" w:tentative="1">
      <w:start w:val="1"/>
      <w:numFmt w:val="lowerRoman"/>
      <w:lvlText w:val="%3."/>
      <w:lvlJc w:val="right"/>
      <w:pPr>
        <w:ind w:left="2160" w:hanging="180"/>
      </w:pPr>
    </w:lvl>
    <w:lvl w:ilvl="3" w:tplc="580A000F" w:tentative="1">
      <w:start w:val="1"/>
      <w:numFmt w:val="decimal"/>
      <w:lvlText w:val="%4."/>
      <w:lvlJc w:val="left"/>
      <w:pPr>
        <w:ind w:left="2880" w:hanging="360"/>
      </w:pPr>
    </w:lvl>
    <w:lvl w:ilvl="4" w:tplc="580A0019" w:tentative="1">
      <w:start w:val="1"/>
      <w:numFmt w:val="lowerLetter"/>
      <w:lvlText w:val="%5."/>
      <w:lvlJc w:val="left"/>
      <w:pPr>
        <w:ind w:left="3600" w:hanging="360"/>
      </w:pPr>
    </w:lvl>
    <w:lvl w:ilvl="5" w:tplc="580A001B" w:tentative="1">
      <w:start w:val="1"/>
      <w:numFmt w:val="lowerRoman"/>
      <w:lvlText w:val="%6."/>
      <w:lvlJc w:val="right"/>
      <w:pPr>
        <w:ind w:left="4320" w:hanging="180"/>
      </w:pPr>
    </w:lvl>
    <w:lvl w:ilvl="6" w:tplc="580A000F" w:tentative="1">
      <w:start w:val="1"/>
      <w:numFmt w:val="decimal"/>
      <w:lvlText w:val="%7."/>
      <w:lvlJc w:val="left"/>
      <w:pPr>
        <w:ind w:left="5040" w:hanging="360"/>
      </w:pPr>
    </w:lvl>
    <w:lvl w:ilvl="7" w:tplc="580A0019" w:tentative="1">
      <w:start w:val="1"/>
      <w:numFmt w:val="lowerLetter"/>
      <w:lvlText w:val="%8."/>
      <w:lvlJc w:val="left"/>
      <w:pPr>
        <w:ind w:left="5760" w:hanging="360"/>
      </w:pPr>
    </w:lvl>
    <w:lvl w:ilvl="8" w:tplc="580A001B" w:tentative="1">
      <w:start w:val="1"/>
      <w:numFmt w:val="lowerRoman"/>
      <w:lvlText w:val="%9."/>
      <w:lvlJc w:val="right"/>
      <w:pPr>
        <w:ind w:left="6480" w:hanging="180"/>
      </w:pPr>
    </w:lvl>
  </w:abstractNum>
  <w:abstractNum w:abstractNumId="15">
    <w:nsid w:val="3E702246"/>
    <w:multiLevelType w:val="hybridMultilevel"/>
    <w:tmpl w:val="0756C1D2"/>
    <w:lvl w:ilvl="0" w:tplc="580A0001">
      <w:start w:val="1"/>
      <w:numFmt w:val="bullet"/>
      <w:lvlText w:val=""/>
      <w:lvlJc w:val="left"/>
      <w:pPr>
        <w:ind w:left="720" w:hanging="360"/>
      </w:pPr>
      <w:rPr>
        <w:rFonts w:ascii="Symbol" w:hAnsi="Symbol" w:hint="default"/>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16">
    <w:nsid w:val="3E9C39E8"/>
    <w:multiLevelType w:val="hybridMultilevel"/>
    <w:tmpl w:val="7DC447C8"/>
    <w:lvl w:ilvl="0" w:tplc="100A0001">
      <w:start w:val="1"/>
      <w:numFmt w:val="bullet"/>
      <w:lvlText w:val=""/>
      <w:lvlJc w:val="left"/>
      <w:pPr>
        <w:ind w:left="360" w:hanging="360"/>
      </w:pPr>
      <w:rPr>
        <w:rFonts w:ascii="Symbol" w:hAnsi="Symbol" w:hint="default"/>
      </w:rPr>
    </w:lvl>
    <w:lvl w:ilvl="1" w:tplc="100A0003" w:tentative="1">
      <w:start w:val="1"/>
      <w:numFmt w:val="bullet"/>
      <w:lvlText w:val="o"/>
      <w:lvlJc w:val="left"/>
      <w:pPr>
        <w:ind w:left="1080" w:hanging="360"/>
      </w:pPr>
      <w:rPr>
        <w:rFonts w:ascii="Courier New" w:hAnsi="Courier New" w:cs="Courier New" w:hint="default"/>
      </w:rPr>
    </w:lvl>
    <w:lvl w:ilvl="2" w:tplc="100A0005" w:tentative="1">
      <w:start w:val="1"/>
      <w:numFmt w:val="bullet"/>
      <w:lvlText w:val=""/>
      <w:lvlJc w:val="left"/>
      <w:pPr>
        <w:ind w:left="1800" w:hanging="360"/>
      </w:pPr>
      <w:rPr>
        <w:rFonts w:ascii="Wingdings" w:hAnsi="Wingdings" w:hint="default"/>
      </w:rPr>
    </w:lvl>
    <w:lvl w:ilvl="3" w:tplc="100A0001" w:tentative="1">
      <w:start w:val="1"/>
      <w:numFmt w:val="bullet"/>
      <w:lvlText w:val=""/>
      <w:lvlJc w:val="left"/>
      <w:pPr>
        <w:ind w:left="2520" w:hanging="360"/>
      </w:pPr>
      <w:rPr>
        <w:rFonts w:ascii="Symbol" w:hAnsi="Symbol" w:hint="default"/>
      </w:rPr>
    </w:lvl>
    <w:lvl w:ilvl="4" w:tplc="100A0003" w:tentative="1">
      <w:start w:val="1"/>
      <w:numFmt w:val="bullet"/>
      <w:lvlText w:val="o"/>
      <w:lvlJc w:val="left"/>
      <w:pPr>
        <w:ind w:left="3240" w:hanging="360"/>
      </w:pPr>
      <w:rPr>
        <w:rFonts w:ascii="Courier New" w:hAnsi="Courier New" w:cs="Courier New" w:hint="default"/>
      </w:rPr>
    </w:lvl>
    <w:lvl w:ilvl="5" w:tplc="100A0005" w:tentative="1">
      <w:start w:val="1"/>
      <w:numFmt w:val="bullet"/>
      <w:lvlText w:val=""/>
      <w:lvlJc w:val="left"/>
      <w:pPr>
        <w:ind w:left="3960" w:hanging="360"/>
      </w:pPr>
      <w:rPr>
        <w:rFonts w:ascii="Wingdings" w:hAnsi="Wingdings" w:hint="default"/>
      </w:rPr>
    </w:lvl>
    <w:lvl w:ilvl="6" w:tplc="100A0001" w:tentative="1">
      <w:start w:val="1"/>
      <w:numFmt w:val="bullet"/>
      <w:lvlText w:val=""/>
      <w:lvlJc w:val="left"/>
      <w:pPr>
        <w:ind w:left="4680" w:hanging="360"/>
      </w:pPr>
      <w:rPr>
        <w:rFonts w:ascii="Symbol" w:hAnsi="Symbol" w:hint="default"/>
      </w:rPr>
    </w:lvl>
    <w:lvl w:ilvl="7" w:tplc="100A0003" w:tentative="1">
      <w:start w:val="1"/>
      <w:numFmt w:val="bullet"/>
      <w:lvlText w:val="o"/>
      <w:lvlJc w:val="left"/>
      <w:pPr>
        <w:ind w:left="5400" w:hanging="360"/>
      </w:pPr>
      <w:rPr>
        <w:rFonts w:ascii="Courier New" w:hAnsi="Courier New" w:cs="Courier New" w:hint="default"/>
      </w:rPr>
    </w:lvl>
    <w:lvl w:ilvl="8" w:tplc="100A0005" w:tentative="1">
      <w:start w:val="1"/>
      <w:numFmt w:val="bullet"/>
      <w:lvlText w:val=""/>
      <w:lvlJc w:val="left"/>
      <w:pPr>
        <w:ind w:left="6120" w:hanging="360"/>
      </w:pPr>
      <w:rPr>
        <w:rFonts w:ascii="Wingdings" w:hAnsi="Wingdings" w:hint="default"/>
      </w:rPr>
    </w:lvl>
  </w:abstractNum>
  <w:abstractNum w:abstractNumId="17">
    <w:nsid w:val="44F24C66"/>
    <w:multiLevelType w:val="hybridMultilevel"/>
    <w:tmpl w:val="32985AB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8">
    <w:nsid w:val="45AE5ED2"/>
    <w:multiLevelType w:val="hybridMultilevel"/>
    <w:tmpl w:val="ED06ABC2"/>
    <w:lvl w:ilvl="0" w:tplc="100A0001">
      <w:start w:val="1"/>
      <w:numFmt w:val="bullet"/>
      <w:lvlText w:val=""/>
      <w:lvlJc w:val="left"/>
      <w:pPr>
        <w:ind w:left="1068" w:hanging="360"/>
      </w:pPr>
      <w:rPr>
        <w:rFonts w:ascii="Symbol" w:hAnsi="Symbol" w:hint="default"/>
      </w:rPr>
    </w:lvl>
    <w:lvl w:ilvl="1" w:tplc="100A0003" w:tentative="1">
      <w:start w:val="1"/>
      <w:numFmt w:val="bullet"/>
      <w:lvlText w:val="o"/>
      <w:lvlJc w:val="left"/>
      <w:pPr>
        <w:ind w:left="1788" w:hanging="360"/>
      </w:pPr>
      <w:rPr>
        <w:rFonts w:ascii="Courier New" w:hAnsi="Courier New" w:cs="Courier New" w:hint="default"/>
      </w:rPr>
    </w:lvl>
    <w:lvl w:ilvl="2" w:tplc="100A0005" w:tentative="1">
      <w:start w:val="1"/>
      <w:numFmt w:val="bullet"/>
      <w:lvlText w:val=""/>
      <w:lvlJc w:val="left"/>
      <w:pPr>
        <w:ind w:left="2508" w:hanging="360"/>
      </w:pPr>
      <w:rPr>
        <w:rFonts w:ascii="Wingdings" w:hAnsi="Wingdings" w:hint="default"/>
      </w:rPr>
    </w:lvl>
    <w:lvl w:ilvl="3" w:tplc="100A0001" w:tentative="1">
      <w:start w:val="1"/>
      <w:numFmt w:val="bullet"/>
      <w:lvlText w:val=""/>
      <w:lvlJc w:val="left"/>
      <w:pPr>
        <w:ind w:left="3228" w:hanging="360"/>
      </w:pPr>
      <w:rPr>
        <w:rFonts w:ascii="Symbol" w:hAnsi="Symbol" w:hint="default"/>
      </w:rPr>
    </w:lvl>
    <w:lvl w:ilvl="4" w:tplc="100A0003" w:tentative="1">
      <w:start w:val="1"/>
      <w:numFmt w:val="bullet"/>
      <w:lvlText w:val="o"/>
      <w:lvlJc w:val="left"/>
      <w:pPr>
        <w:ind w:left="3948" w:hanging="360"/>
      </w:pPr>
      <w:rPr>
        <w:rFonts w:ascii="Courier New" w:hAnsi="Courier New" w:cs="Courier New" w:hint="default"/>
      </w:rPr>
    </w:lvl>
    <w:lvl w:ilvl="5" w:tplc="100A0005" w:tentative="1">
      <w:start w:val="1"/>
      <w:numFmt w:val="bullet"/>
      <w:lvlText w:val=""/>
      <w:lvlJc w:val="left"/>
      <w:pPr>
        <w:ind w:left="4668" w:hanging="360"/>
      </w:pPr>
      <w:rPr>
        <w:rFonts w:ascii="Wingdings" w:hAnsi="Wingdings" w:hint="default"/>
      </w:rPr>
    </w:lvl>
    <w:lvl w:ilvl="6" w:tplc="100A0001" w:tentative="1">
      <w:start w:val="1"/>
      <w:numFmt w:val="bullet"/>
      <w:lvlText w:val=""/>
      <w:lvlJc w:val="left"/>
      <w:pPr>
        <w:ind w:left="5388" w:hanging="360"/>
      </w:pPr>
      <w:rPr>
        <w:rFonts w:ascii="Symbol" w:hAnsi="Symbol" w:hint="default"/>
      </w:rPr>
    </w:lvl>
    <w:lvl w:ilvl="7" w:tplc="100A0003" w:tentative="1">
      <w:start w:val="1"/>
      <w:numFmt w:val="bullet"/>
      <w:lvlText w:val="o"/>
      <w:lvlJc w:val="left"/>
      <w:pPr>
        <w:ind w:left="6108" w:hanging="360"/>
      </w:pPr>
      <w:rPr>
        <w:rFonts w:ascii="Courier New" w:hAnsi="Courier New" w:cs="Courier New" w:hint="default"/>
      </w:rPr>
    </w:lvl>
    <w:lvl w:ilvl="8" w:tplc="100A0005" w:tentative="1">
      <w:start w:val="1"/>
      <w:numFmt w:val="bullet"/>
      <w:lvlText w:val=""/>
      <w:lvlJc w:val="left"/>
      <w:pPr>
        <w:ind w:left="6828" w:hanging="360"/>
      </w:pPr>
      <w:rPr>
        <w:rFonts w:ascii="Wingdings" w:hAnsi="Wingdings" w:hint="default"/>
      </w:rPr>
    </w:lvl>
  </w:abstractNum>
  <w:abstractNum w:abstractNumId="19">
    <w:nsid w:val="48FC2904"/>
    <w:multiLevelType w:val="multilevel"/>
    <w:tmpl w:val="10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0">
    <w:nsid w:val="49C71059"/>
    <w:multiLevelType w:val="hybridMultilevel"/>
    <w:tmpl w:val="B1E67BBA"/>
    <w:lvl w:ilvl="0" w:tplc="580A000F">
      <w:start w:val="1"/>
      <w:numFmt w:val="decimal"/>
      <w:lvlText w:val="%1."/>
      <w:lvlJc w:val="left"/>
      <w:pPr>
        <w:ind w:left="720" w:hanging="360"/>
      </w:pPr>
    </w:lvl>
    <w:lvl w:ilvl="1" w:tplc="580A0019" w:tentative="1">
      <w:start w:val="1"/>
      <w:numFmt w:val="lowerLetter"/>
      <w:lvlText w:val="%2."/>
      <w:lvlJc w:val="left"/>
      <w:pPr>
        <w:ind w:left="1440" w:hanging="360"/>
      </w:pPr>
    </w:lvl>
    <w:lvl w:ilvl="2" w:tplc="580A001B" w:tentative="1">
      <w:start w:val="1"/>
      <w:numFmt w:val="lowerRoman"/>
      <w:lvlText w:val="%3."/>
      <w:lvlJc w:val="right"/>
      <w:pPr>
        <w:ind w:left="2160" w:hanging="180"/>
      </w:pPr>
    </w:lvl>
    <w:lvl w:ilvl="3" w:tplc="580A000F" w:tentative="1">
      <w:start w:val="1"/>
      <w:numFmt w:val="decimal"/>
      <w:lvlText w:val="%4."/>
      <w:lvlJc w:val="left"/>
      <w:pPr>
        <w:ind w:left="2880" w:hanging="360"/>
      </w:pPr>
    </w:lvl>
    <w:lvl w:ilvl="4" w:tplc="580A0019" w:tentative="1">
      <w:start w:val="1"/>
      <w:numFmt w:val="lowerLetter"/>
      <w:lvlText w:val="%5."/>
      <w:lvlJc w:val="left"/>
      <w:pPr>
        <w:ind w:left="3600" w:hanging="360"/>
      </w:pPr>
    </w:lvl>
    <w:lvl w:ilvl="5" w:tplc="580A001B" w:tentative="1">
      <w:start w:val="1"/>
      <w:numFmt w:val="lowerRoman"/>
      <w:lvlText w:val="%6."/>
      <w:lvlJc w:val="right"/>
      <w:pPr>
        <w:ind w:left="4320" w:hanging="180"/>
      </w:pPr>
    </w:lvl>
    <w:lvl w:ilvl="6" w:tplc="580A000F" w:tentative="1">
      <w:start w:val="1"/>
      <w:numFmt w:val="decimal"/>
      <w:lvlText w:val="%7."/>
      <w:lvlJc w:val="left"/>
      <w:pPr>
        <w:ind w:left="5040" w:hanging="360"/>
      </w:pPr>
    </w:lvl>
    <w:lvl w:ilvl="7" w:tplc="580A0019" w:tentative="1">
      <w:start w:val="1"/>
      <w:numFmt w:val="lowerLetter"/>
      <w:lvlText w:val="%8."/>
      <w:lvlJc w:val="left"/>
      <w:pPr>
        <w:ind w:left="5760" w:hanging="360"/>
      </w:pPr>
    </w:lvl>
    <w:lvl w:ilvl="8" w:tplc="580A001B" w:tentative="1">
      <w:start w:val="1"/>
      <w:numFmt w:val="lowerRoman"/>
      <w:lvlText w:val="%9."/>
      <w:lvlJc w:val="right"/>
      <w:pPr>
        <w:ind w:left="6480" w:hanging="180"/>
      </w:pPr>
    </w:lvl>
  </w:abstractNum>
  <w:abstractNum w:abstractNumId="21">
    <w:nsid w:val="4B107894"/>
    <w:multiLevelType w:val="hybridMultilevel"/>
    <w:tmpl w:val="51CEC67C"/>
    <w:lvl w:ilvl="0" w:tplc="100A0001">
      <w:start w:val="1"/>
      <w:numFmt w:val="bullet"/>
      <w:lvlText w:val=""/>
      <w:lvlJc w:val="left"/>
      <w:pPr>
        <w:ind w:left="927" w:hanging="360"/>
      </w:pPr>
      <w:rPr>
        <w:rFonts w:ascii="Symbol" w:hAnsi="Symbol" w:hint="default"/>
      </w:rPr>
    </w:lvl>
    <w:lvl w:ilvl="1" w:tplc="100A0003" w:tentative="1">
      <w:start w:val="1"/>
      <w:numFmt w:val="bullet"/>
      <w:lvlText w:val="o"/>
      <w:lvlJc w:val="left"/>
      <w:pPr>
        <w:ind w:left="1647" w:hanging="360"/>
      </w:pPr>
      <w:rPr>
        <w:rFonts w:ascii="Courier New" w:hAnsi="Courier New" w:cs="Courier New" w:hint="default"/>
      </w:rPr>
    </w:lvl>
    <w:lvl w:ilvl="2" w:tplc="100A0005" w:tentative="1">
      <w:start w:val="1"/>
      <w:numFmt w:val="bullet"/>
      <w:lvlText w:val=""/>
      <w:lvlJc w:val="left"/>
      <w:pPr>
        <w:ind w:left="2367" w:hanging="360"/>
      </w:pPr>
      <w:rPr>
        <w:rFonts w:ascii="Wingdings" w:hAnsi="Wingdings" w:hint="default"/>
      </w:rPr>
    </w:lvl>
    <w:lvl w:ilvl="3" w:tplc="100A0001" w:tentative="1">
      <w:start w:val="1"/>
      <w:numFmt w:val="bullet"/>
      <w:lvlText w:val=""/>
      <w:lvlJc w:val="left"/>
      <w:pPr>
        <w:ind w:left="3087" w:hanging="360"/>
      </w:pPr>
      <w:rPr>
        <w:rFonts w:ascii="Symbol" w:hAnsi="Symbol" w:hint="default"/>
      </w:rPr>
    </w:lvl>
    <w:lvl w:ilvl="4" w:tplc="100A0003" w:tentative="1">
      <w:start w:val="1"/>
      <w:numFmt w:val="bullet"/>
      <w:lvlText w:val="o"/>
      <w:lvlJc w:val="left"/>
      <w:pPr>
        <w:ind w:left="3807" w:hanging="360"/>
      </w:pPr>
      <w:rPr>
        <w:rFonts w:ascii="Courier New" w:hAnsi="Courier New" w:cs="Courier New" w:hint="default"/>
      </w:rPr>
    </w:lvl>
    <w:lvl w:ilvl="5" w:tplc="100A0005" w:tentative="1">
      <w:start w:val="1"/>
      <w:numFmt w:val="bullet"/>
      <w:lvlText w:val=""/>
      <w:lvlJc w:val="left"/>
      <w:pPr>
        <w:ind w:left="4527" w:hanging="360"/>
      </w:pPr>
      <w:rPr>
        <w:rFonts w:ascii="Wingdings" w:hAnsi="Wingdings" w:hint="default"/>
      </w:rPr>
    </w:lvl>
    <w:lvl w:ilvl="6" w:tplc="100A0001" w:tentative="1">
      <w:start w:val="1"/>
      <w:numFmt w:val="bullet"/>
      <w:lvlText w:val=""/>
      <w:lvlJc w:val="left"/>
      <w:pPr>
        <w:ind w:left="5247" w:hanging="360"/>
      </w:pPr>
      <w:rPr>
        <w:rFonts w:ascii="Symbol" w:hAnsi="Symbol" w:hint="default"/>
      </w:rPr>
    </w:lvl>
    <w:lvl w:ilvl="7" w:tplc="100A0003" w:tentative="1">
      <w:start w:val="1"/>
      <w:numFmt w:val="bullet"/>
      <w:lvlText w:val="o"/>
      <w:lvlJc w:val="left"/>
      <w:pPr>
        <w:ind w:left="5967" w:hanging="360"/>
      </w:pPr>
      <w:rPr>
        <w:rFonts w:ascii="Courier New" w:hAnsi="Courier New" w:cs="Courier New" w:hint="default"/>
      </w:rPr>
    </w:lvl>
    <w:lvl w:ilvl="8" w:tplc="100A0005" w:tentative="1">
      <w:start w:val="1"/>
      <w:numFmt w:val="bullet"/>
      <w:lvlText w:val=""/>
      <w:lvlJc w:val="left"/>
      <w:pPr>
        <w:ind w:left="6687" w:hanging="360"/>
      </w:pPr>
      <w:rPr>
        <w:rFonts w:ascii="Wingdings" w:hAnsi="Wingdings" w:hint="default"/>
      </w:rPr>
    </w:lvl>
  </w:abstractNum>
  <w:abstractNum w:abstractNumId="22">
    <w:nsid w:val="4F326E41"/>
    <w:multiLevelType w:val="multilevel"/>
    <w:tmpl w:val="140A0C78"/>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Symbol" w:hAnsi="Symbol"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
    <w:nsid w:val="53105CA7"/>
    <w:multiLevelType w:val="hybridMultilevel"/>
    <w:tmpl w:val="8668BB88"/>
    <w:lvl w:ilvl="0" w:tplc="100A0001">
      <w:start w:val="1"/>
      <w:numFmt w:val="bullet"/>
      <w:lvlText w:val=""/>
      <w:lvlJc w:val="left"/>
      <w:pPr>
        <w:ind w:left="720" w:hanging="360"/>
      </w:pPr>
      <w:rPr>
        <w:rFonts w:ascii="Symbol" w:hAnsi="Symbol" w:hint="default"/>
      </w:rPr>
    </w:lvl>
    <w:lvl w:ilvl="1" w:tplc="100A0003" w:tentative="1">
      <w:start w:val="1"/>
      <w:numFmt w:val="bullet"/>
      <w:lvlText w:val="o"/>
      <w:lvlJc w:val="left"/>
      <w:pPr>
        <w:ind w:left="1440" w:hanging="360"/>
      </w:pPr>
      <w:rPr>
        <w:rFonts w:ascii="Courier New" w:hAnsi="Courier New" w:cs="Courier New" w:hint="default"/>
      </w:rPr>
    </w:lvl>
    <w:lvl w:ilvl="2" w:tplc="100A0005" w:tentative="1">
      <w:start w:val="1"/>
      <w:numFmt w:val="bullet"/>
      <w:lvlText w:val=""/>
      <w:lvlJc w:val="left"/>
      <w:pPr>
        <w:ind w:left="2160" w:hanging="360"/>
      </w:pPr>
      <w:rPr>
        <w:rFonts w:ascii="Wingdings" w:hAnsi="Wingdings" w:hint="default"/>
      </w:rPr>
    </w:lvl>
    <w:lvl w:ilvl="3" w:tplc="100A0001" w:tentative="1">
      <w:start w:val="1"/>
      <w:numFmt w:val="bullet"/>
      <w:lvlText w:val=""/>
      <w:lvlJc w:val="left"/>
      <w:pPr>
        <w:ind w:left="2880" w:hanging="360"/>
      </w:pPr>
      <w:rPr>
        <w:rFonts w:ascii="Symbol" w:hAnsi="Symbol" w:hint="default"/>
      </w:rPr>
    </w:lvl>
    <w:lvl w:ilvl="4" w:tplc="100A0003" w:tentative="1">
      <w:start w:val="1"/>
      <w:numFmt w:val="bullet"/>
      <w:lvlText w:val="o"/>
      <w:lvlJc w:val="left"/>
      <w:pPr>
        <w:ind w:left="3600" w:hanging="360"/>
      </w:pPr>
      <w:rPr>
        <w:rFonts w:ascii="Courier New" w:hAnsi="Courier New" w:cs="Courier New" w:hint="default"/>
      </w:rPr>
    </w:lvl>
    <w:lvl w:ilvl="5" w:tplc="100A0005" w:tentative="1">
      <w:start w:val="1"/>
      <w:numFmt w:val="bullet"/>
      <w:lvlText w:val=""/>
      <w:lvlJc w:val="left"/>
      <w:pPr>
        <w:ind w:left="4320" w:hanging="360"/>
      </w:pPr>
      <w:rPr>
        <w:rFonts w:ascii="Wingdings" w:hAnsi="Wingdings" w:hint="default"/>
      </w:rPr>
    </w:lvl>
    <w:lvl w:ilvl="6" w:tplc="100A0001" w:tentative="1">
      <w:start w:val="1"/>
      <w:numFmt w:val="bullet"/>
      <w:lvlText w:val=""/>
      <w:lvlJc w:val="left"/>
      <w:pPr>
        <w:ind w:left="5040" w:hanging="360"/>
      </w:pPr>
      <w:rPr>
        <w:rFonts w:ascii="Symbol" w:hAnsi="Symbol" w:hint="default"/>
      </w:rPr>
    </w:lvl>
    <w:lvl w:ilvl="7" w:tplc="100A0003" w:tentative="1">
      <w:start w:val="1"/>
      <w:numFmt w:val="bullet"/>
      <w:lvlText w:val="o"/>
      <w:lvlJc w:val="left"/>
      <w:pPr>
        <w:ind w:left="5760" w:hanging="360"/>
      </w:pPr>
      <w:rPr>
        <w:rFonts w:ascii="Courier New" w:hAnsi="Courier New" w:cs="Courier New" w:hint="default"/>
      </w:rPr>
    </w:lvl>
    <w:lvl w:ilvl="8" w:tplc="100A0005" w:tentative="1">
      <w:start w:val="1"/>
      <w:numFmt w:val="bullet"/>
      <w:lvlText w:val=""/>
      <w:lvlJc w:val="left"/>
      <w:pPr>
        <w:ind w:left="6480" w:hanging="360"/>
      </w:pPr>
      <w:rPr>
        <w:rFonts w:ascii="Wingdings" w:hAnsi="Wingdings" w:hint="default"/>
      </w:rPr>
    </w:lvl>
  </w:abstractNum>
  <w:abstractNum w:abstractNumId="24">
    <w:nsid w:val="53CE5A5C"/>
    <w:multiLevelType w:val="multilevel"/>
    <w:tmpl w:val="54CC6DE0"/>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rPr>
        <w:sz w:val="24"/>
        <w:szCs w:val="24"/>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5">
    <w:nsid w:val="5FE23C37"/>
    <w:multiLevelType w:val="hybridMultilevel"/>
    <w:tmpl w:val="76FE6020"/>
    <w:lvl w:ilvl="0" w:tplc="580A000F">
      <w:start w:val="1"/>
      <w:numFmt w:val="decimal"/>
      <w:lvlText w:val="%1."/>
      <w:lvlJc w:val="left"/>
      <w:pPr>
        <w:ind w:left="720" w:hanging="360"/>
      </w:pPr>
    </w:lvl>
    <w:lvl w:ilvl="1" w:tplc="580A0019" w:tentative="1">
      <w:start w:val="1"/>
      <w:numFmt w:val="lowerLetter"/>
      <w:lvlText w:val="%2."/>
      <w:lvlJc w:val="left"/>
      <w:pPr>
        <w:ind w:left="1440" w:hanging="360"/>
      </w:pPr>
    </w:lvl>
    <w:lvl w:ilvl="2" w:tplc="580A001B" w:tentative="1">
      <w:start w:val="1"/>
      <w:numFmt w:val="lowerRoman"/>
      <w:lvlText w:val="%3."/>
      <w:lvlJc w:val="right"/>
      <w:pPr>
        <w:ind w:left="2160" w:hanging="180"/>
      </w:pPr>
    </w:lvl>
    <w:lvl w:ilvl="3" w:tplc="580A000F" w:tentative="1">
      <w:start w:val="1"/>
      <w:numFmt w:val="decimal"/>
      <w:lvlText w:val="%4."/>
      <w:lvlJc w:val="left"/>
      <w:pPr>
        <w:ind w:left="2880" w:hanging="360"/>
      </w:pPr>
    </w:lvl>
    <w:lvl w:ilvl="4" w:tplc="580A0019" w:tentative="1">
      <w:start w:val="1"/>
      <w:numFmt w:val="lowerLetter"/>
      <w:lvlText w:val="%5."/>
      <w:lvlJc w:val="left"/>
      <w:pPr>
        <w:ind w:left="3600" w:hanging="360"/>
      </w:pPr>
    </w:lvl>
    <w:lvl w:ilvl="5" w:tplc="580A001B" w:tentative="1">
      <w:start w:val="1"/>
      <w:numFmt w:val="lowerRoman"/>
      <w:lvlText w:val="%6."/>
      <w:lvlJc w:val="right"/>
      <w:pPr>
        <w:ind w:left="4320" w:hanging="180"/>
      </w:pPr>
    </w:lvl>
    <w:lvl w:ilvl="6" w:tplc="580A000F" w:tentative="1">
      <w:start w:val="1"/>
      <w:numFmt w:val="decimal"/>
      <w:lvlText w:val="%7."/>
      <w:lvlJc w:val="left"/>
      <w:pPr>
        <w:ind w:left="5040" w:hanging="360"/>
      </w:pPr>
    </w:lvl>
    <w:lvl w:ilvl="7" w:tplc="580A0019" w:tentative="1">
      <w:start w:val="1"/>
      <w:numFmt w:val="lowerLetter"/>
      <w:lvlText w:val="%8."/>
      <w:lvlJc w:val="left"/>
      <w:pPr>
        <w:ind w:left="5760" w:hanging="360"/>
      </w:pPr>
    </w:lvl>
    <w:lvl w:ilvl="8" w:tplc="580A001B" w:tentative="1">
      <w:start w:val="1"/>
      <w:numFmt w:val="lowerRoman"/>
      <w:lvlText w:val="%9."/>
      <w:lvlJc w:val="right"/>
      <w:pPr>
        <w:ind w:left="6480" w:hanging="180"/>
      </w:pPr>
    </w:lvl>
  </w:abstractNum>
  <w:abstractNum w:abstractNumId="26">
    <w:nsid w:val="60183E67"/>
    <w:multiLevelType w:val="multilevel"/>
    <w:tmpl w:val="100A0025"/>
    <w:styleLink w:val="Estilo1"/>
    <w:lvl w:ilvl="0">
      <w:start w:val="3"/>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27">
    <w:nsid w:val="604503B5"/>
    <w:multiLevelType w:val="multilevel"/>
    <w:tmpl w:val="AC0E14CA"/>
    <w:lvl w:ilvl="0">
      <w:start w:val="1"/>
      <w:numFmt w:val="decimal"/>
      <w:pStyle w:val="Ttulo11"/>
      <w:lvlText w:val="%1"/>
      <w:lvlJc w:val="left"/>
      <w:pPr>
        <w:ind w:left="432" w:hanging="432"/>
      </w:pPr>
    </w:lvl>
    <w:lvl w:ilvl="1">
      <w:start w:val="1"/>
      <w:numFmt w:val="decimal"/>
      <w:pStyle w:val="Ttulo21"/>
      <w:lvlText w:val="%1.%2"/>
      <w:lvlJc w:val="left"/>
      <w:pPr>
        <w:ind w:left="4262" w:hanging="576"/>
      </w:pPr>
      <w:rPr>
        <w:rFonts w:ascii="Times New Roman" w:hAnsi="Times New Roman" w:cs="Times New Roman" w:hint="default"/>
        <w:b/>
        <w:sz w:val="24"/>
      </w:rPr>
    </w:lvl>
    <w:lvl w:ilvl="2">
      <w:start w:val="1"/>
      <w:numFmt w:val="decimal"/>
      <w:pStyle w:val="Ttulo31"/>
      <w:lvlText w:val="%1.%2.%3"/>
      <w:lvlJc w:val="left"/>
      <w:pPr>
        <w:ind w:left="720" w:hanging="720"/>
      </w:pPr>
    </w:lvl>
    <w:lvl w:ilvl="3">
      <w:start w:val="1"/>
      <w:numFmt w:val="decimal"/>
      <w:pStyle w:val="Ttulo41"/>
      <w:lvlText w:val="%1.%2.%3.%4"/>
      <w:lvlJc w:val="left"/>
      <w:pPr>
        <w:ind w:left="864" w:hanging="864"/>
      </w:pPr>
    </w:lvl>
    <w:lvl w:ilvl="4">
      <w:start w:val="1"/>
      <w:numFmt w:val="decimal"/>
      <w:pStyle w:val="Ttulo51"/>
      <w:lvlText w:val="%1.%2.%3.%4.%5"/>
      <w:lvlJc w:val="left"/>
      <w:pPr>
        <w:ind w:left="1008" w:hanging="1008"/>
      </w:pPr>
    </w:lvl>
    <w:lvl w:ilvl="5">
      <w:start w:val="1"/>
      <w:numFmt w:val="decimal"/>
      <w:pStyle w:val="Ttulo61"/>
      <w:lvlText w:val="%1.%2.%3.%4.%5.%6"/>
      <w:lvlJc w:val="left"/>
      <w:pPr>
        <w:ind w:left="1152" w:hanging="1152"/>
      </w:pPr>
    </w:lvl>
    <w:lvl w:ilvl="6">
      <w:start w:val="1"/>
      <w:numFmt w:val="decimal"/>
      <w:pStyle w:val="Ttulo71"/>
      <w:lvlText w:val="%1.%2.%3.%4.%5.%6.%7"/>
      <w:lvlJc w:val="left"/>
      <w:pPr>
        <w:ind w:left="1296" w:hanging="1296"/>
      </w:pPr>
    </w:lvl>
    <w:lvl w:ilvl="7">
      <w:start w:val="1"/>
      <w:numFmt w:val="decimal"/>
      <w:pStyle w:val="Ttulo81"/>
      <w:lvlText w:val="%1.%2.%3.%4.%5.%6.%7.%8"/>
      <w:lvlJc w:val="left"/>
      <w:pPr>
        <w:ind w:left="1440" w:hanging="1440"/>
      </w:pPr>
    </w:lvl>
    <w:lvl w:ilvl="8">
      <w:start w:val="1"/>
      <w:numFmt w:val="decimal"/>
      <w:pStyle w:val="Ttulo91"/>
      <w:lvlText w:val="%1.%2.%3.%4.%5.%6.%7.%8.%9"/>
      <w:lvlJc w:val="left"/>
      <w:pPr>
        <w:ind w:left="1584" w:hanging="1584"/>
      </w:pPr>
    </w:lvl>
  </w:abstractNum>
  <w:abstractNum w:abstractNumId="28">
    <w:nsid w:val="64C100DA"/>
    <w:multiLevelType w:val="hybridMultilevel"/>
    <w:tmpl w:val="017A103E"/>
    <w:lvl w:ilvl="0" w:tplc="100A0001">
      <w:start w:val="1"/>
      <w:numFmt w:val="bullet"/>
      <w:lvlText w:val=""/>
      <w:lvlJc w:val="left"/>
      <w:pPr>
        <w:ind w:left="720" w:hanging="360"/>
      </w:pPr>
      <w:rPr>
        <w:rFonts w:ascii="Symbol" w:hAnsi="Symbol" w:hint="default"/>
      </w:rPr>
    </w:lvl>
    <w:lvl w:ilvl="1" w:tplc="100A0003" w:tentative="1">
      <w:start w:val="1"/>
      <w:numFmt w:val="bullet"/>
      <w:lvlText w:val="o"/>
      <w:lvlJc w:val="left"/>
      <w:pPr>
        <w:ind w:left="1440" w:hanging="360"/>
      </w:pPr>
      <w:rPr>
        <w:rFonts w:ascii="Courier New" w:hAnsi="Courier New" w:cs="Courier New" w:hint="default"/>
      </w:rPr>
    </w:lvl>
    <w:lvl w:ilvl="2" w:tplc="100A0005" w:tentative="1">
      <w:start w:val="1"/>
      <w:numFmt w:val="bullet"/>
      <w:lvlText w:val=""/>
      <w:lvlJc w:val="left"/>
      <w:pPr>
        <w:ind w:left="2160" w:hanging="360"/>
      </w:pPr>
      <w:rPr>
        <w:rFonts w:ascii="Wingdings" w:hAnsi="Wingdings" w:hint="default"/>
      </w:rPr>
    </w:lvl>
    <w:lvl w:ilvl="3" w:tplc="100A0001" w:tentative="1">
      <w:start w:val="1"/>
      <w:numFmt w:val="bullet"/>
      <w:lvlText w:val=""/>
      <w:lvlJc w:val="left"/>
      <w:pPr>
        <w:ind w:left="2880" w:hanging="360"/>
      </w:pPr>
      <w:rPr>
        <w:rFonts w:ascii="Symbol" w:hAnsi="Symbol" w:hint="default"/>
      </w:rPr>
    </w:lvl>
    <w:lvl w:ilvl="4" w:tplc="100A0003" w:tentative="1">
      <w:start w:val="1"/>
      <w:numFmt w:val="bullet"/>
      <w:lvlText w:val="o"/>
      <w:lvlJc w:val="left"/>
      <w:pPr>
        <w:ind w:left="3600" w:hanging="360"/>
      </w:pPr>
      <w:rPr>
        <w:rFonts w:ascii="Courier New" w:hAnsi="Courier New" w:cs="Courier New" w:hint="default"/>
      </w:rPr>
    </w:lvl>
    <w:lvl w:ilvl="5" w:tplc="100A0005" w:tentative="1">
      <w:start w:val="1"/>
      <w:numFmt w:val="bullet"/>
      <w:lvlText w:val=""/>
      <w:lvlJc w:val="left"/>
      <w:pPr>
        <w:ind w:left="4320" w:hanging="360"/>
      </w:pPr>
      <w:rPr>
        <w:rFonts w:ascii="Wingdings" w:hAnsi="Wingdings" w:hint="default"/>
      </w:rPr>
    </w:lvl>
    <w:lvl w:ilvl="6" w:tplc="100A0001" w:tentative="1">
      <w:start w:val="1"/>
      <w:numFmt w:val="bullet"/>
      <w:lvlText w:val=""/>
      <w:lvlJc w:val="left"/>
      <w:pPr>
        <w:ind w:left="5040" w:hanging="360"/>
      </w:pPr>
      <w:rPr>
        <w:rFonts w:ascii="Symbol" w:hAnsi="Symbol" w:hint="default"/>
      </w:rPr>
    </w:lvl>
    <w:lvl w:ilvl="7" w:tplc="100A0003" w:tentative="1">
      <w:start w:val="1"/>
      <w:numFmt w:val="bullet"/>
      <w:lvlText w:val="o"/>
      <w:lvlJc w:val="left"/>
      <w:pPr>
        <w:ind w:left="5760" w:hanging="360"/>
      </w:pPr>
      <w:rPr>
        <w:rFonts w:ascii="Courier New" w:hAnsi="Courier New" w:cs="Courier New" w:hint="default"/>
      </w:rPr>
    </w:lvl>
    <w:lvl w:ilvl="8" w:tplc="100A0005" w:tentative="1">
      <w:start w:val="1"/>
      <w:numFmt w:val="bullet"/>
      <w:lvlText w:val=""/>
      <w:lvlJc w:val="left"/>
      <w:pPr>
        <w:ind w:left="6480" w:hanging="360"/>
      </w:pPr>
      <w:rPr>
        <w:rFonts w:ascii="Wingdings" w:hAnsi="Wingdings" w:hint="default"/>
      </w:rPr>
    </w:lvl>
  </w:abstractNum>
  <w:abstractNum w:abstractNumId="29">
    <w:nsid w:val="683341A3"/>
    <w:multiLevelType w:val="hybridMultilevel"/>
    <w:tmpl w:val="9028CDC0"/>
    <w:lvl w:ilvl="0" w:tplc="100A0001">
      <w:start w:val="1"/>
      <w:numFmt w:val="bullet"/>
      <w:lvlText w:val=""/>
      <w:lvlJc w:val="left"/>
      <w:pPr>
        <w:ind w:left="927" w:hanging="360"/>
      </w:pPr>
      <w:rPr>
        <w:rFonts w:ascii="Symbol" w:hAnsi="Symbol" w:hint="default"/>
      </w:rPr>
    </w:lvl>
    <w:lvl w:ilvl="1" w:tplc="100A0003" w:tentative="1">
      <w:start w:val="1"/>
      <w:numFmt w:val="bullet"/>
      <w:lvlText w:val="o"/>
      <w:lvlJc w:val="left"/>
      <w:pPr>
        <w:ind w:left="1440" w:hanging="360"/>
      </w:pPr>
      <w:rPr>
        <w:rFonts w:ascii="Courier New" w:hAnsi="Courier New" w:cs="Courier New" w:hint="default"/>
      </w:rPr>
    </w:lvl>
    <w:lvl w:ilvl="2" w:tplc="100A0005" w:tentative="1">
      <w:start w:val="1"/>
      <w:numFmt w:val="bullet"/>
      <w:lvlText w:val=""/>
      <w:lvlJc w:val="left"/>
      <w:pPr>
        <w:ind w:left="2160" w:hanging="360"/>
      </w:pPr>
      <w:rPr>
        <w:rFonts w:ascii="Wingdings" w:hAnsi="Wingdings" w:hint="default"/>
      </w:rPr>
    </w:lvl>
    <w:lvl w:ilvl="3" w:tplc="100A0001" w:tentative="1">
      <w:start w:val="1"/>
      <w:numFmt w:val="bullet"/>
      <w:lvlText w:val=""/>
      <w:lvlJc w:val="left"/>
      <w:pPr>
        <w:ind w:left="2880" w:hanging="360"/>
      </w:pPr>
      <w:rPr>
        <w:rFonts w:ascii="Symbol" w:hAnsi="Symbol" w:hint="default"/>
      </w:rPr>
    </w:lvl>
    <w:lvl w:ilvl="4" w:tplc="100A0003" w:tentative="1">
      <w:start w:val="1"/>
      <w:numFmt w:val="bullet"/>
      <w:lvlText w:val="o"/>
      <w:lvlJc w:val="left"/>
      <w:pPr>
        <w:ind w:left="3600" w:hanging="360"/>
      </w:pPr>
      <w:rPr>
        <w:rFonts w:ascii="Courier New" w:hAnsi="Courier New" w:cs="Courier New" w:hint="default"/>
      </w:rPr>
    </w:lvl>
    <w:lvl w:ilvl="5" w:tplc="100A0005" w:tentative="1">
      <w:start w:val="1"/>
      <w:numFmt w:val="bullet"/>
      <w:lvlText w:val=""/>
      <w:lvlJc w:val="left"/>
      <w:pPr>
        <w:ind w:left="4320" w:hanging="360"/>
      </w:pPr>
      <w:rPr>
        <w:rFonts w:ascii="Wingdings" w:hAnsi="Wingdings" w:hint="default"/>
      </w:rPr>
    </w:lvl>
    <w:lvl w:ilvl="6" w:tplc="100A0001" w:tentative="1">
      <w:start w:val="1"/>
      <w:numFmt w:val="bullet"/>
      <w:lvlText w:val=""/>
      <w:lvlJc w:val="left"/>
      <w:pPr>
        <w:ind w:left="5040" w:hanging="360"/>
      </w:pPr>
      <w:rPr>
        <w:rFonts w:ascii="Symbol" w:hAnsi="Symbol" w:hint="default"/>
      </w:rPr>
    </w:lvl>
    <w:lvl w:ilvl="7" w:tplc="100A0003" w:tentative="1">
      <w:start w:val="1"/>
      <w:numFmt w:val="bullet"/>
      <w:lvlText w:val="o"/>
      <w:lvlJc w:val="left"/>
      <w:pPr>
        <w:ind w:left="5760" w:hanging="360"/>
      </w:pPr>
      <w:rPr>
        <w:rFonts w:ascii="Courier New" w:hAnsi="Courier New" w:cs="Courier New" w:hint="default"/>
      </w:rPr>
    </w:lvl>
    <w:lvl w:ilvl="8" w:tplc="100A0005" w:tentative="1">
      <w:start w:val="1"/>
      <w:numFmt w:val="bullet"/>
      <w:lvlText w:val=""/>
      <w:lvlJc w:val="left"/>
      <w:pPr>
        <w:ind w:left="6480" w:hanging="360"/>
      </w:pPr>
      <w:rPr>
        <w:rFonts w:ascii="Wingdings" w:hAnsi="Wingdings" w:hint="default"/>
      </w:rPr>
    </w:lvl>
  </w:abstractNum>
  <w:abstractNum w:abstractNumId="30">
    <w:nsid w:val="759C2CB1"/>
    <w:multiLevelType w:val="hybridMultilevel"/>
    <w:tmpl w:val="89FAB2B6"/>
    <w:lvl w:ilvl="0" w:tplc="100A0001">
      <w:start w:val="1"/>
      <w:numFmt w:val="bullet"/>
      <w:lvlText w:val=""/>
      <w:lvlJc w:val="left"/>
      <w:pPr>
        <w:ind w:left="720" w:hanging="360"/>
      </w:pPr>
      <w:rPr>
        <w:rFonts w:ascii="Symbol" w:hAnsi="Symbol" w:hint="default"/>
      </w:rPr>
    </w:lvl>
    <w:lvl w:ilvl="1" w:tplc="100A0003" w:tentative="1">
      <w:start w:val="1"/>
      <w:numFmt w:val="bullet"/>
      <w:lvlText w:val="o"/>
      <w:lvlJc w:val="left"/>
      <w:pPr>
        <w:ind w:left="1440" w:hanging="360"/>
      </w:pPr>
      <w:rPr>
        <w:rFonts w:ascii="Courier New" w:hAnsi="Courier New" w:cs="Courier New" w:hint="default"/>
      </w:rPr>
    </w:lvl>
    <w:lvl w:ilvl="2" w:tplc="100A0005" w:tentative="1">
      <w:start w:val="1"/>
      <w:numFmt w:val="bullet"/>
      <w:lvlText w:val=""/>
      <w:lvlJc w:val="left"/>
      <w:pPr>
        <w:ind w:left="2160" w:hanging="360"/>
      </w:pPr>
      <w:rPr>
        <w:rFonts w:ascii="Wingdings" w:hAnsi="Wingdings" w:hint="default"/>
      </w:rPr>
    </w:lvl>
    <w:lvl w:ilvl="3" w:tplc="100A0001" w:tentative="1">
      <w:start w:val="1"/>
      <w:numFmt w:val="bullet"/>
      <w:lvlText w:val=""/>
      <w:lvlJc w:val="left"/>
      <w:pPr>
        <w:ind w:left="2880" w:hanging="360"/>
      </w:pPr>
      <w:rPr>
        <w:rFonts w:ascii="Symbol" w:hAnsi="Symbol" w:hint="default"/>
      </w:rPr>
    </w:lvl>
    <w:lvl w:ilvl="4" w:tplc="100A0003" w:tentative="1">
      <w:start w:val="1"/>
      <w:numFmt w:val="bullet"/>
      <w:lvlText w:val="o"/>
      <w:lvlJc w:val="left"/>
      <w:pPr>
        <w:ind w:left="3600" w:hanging="360"/>
      </w:pPr>
      <w:rPr>
        <w:rFonts w:ascii="Courier New" w:hAnsi="Courier New" w:cs="Courier New" w:hint="default"/>
      </w:rPr>
    </w:lvl>
    <w:lvl w:ilvl="5" w:tplc="100A0005" w:tentative="1">
      <w:start w:val="1"/>
      <w:numFmt w:val="bullet"/>
      <w:lvlText w:val=""/>
      <w:lvlJc w:val="left"/>
      <w:pPr>
        <w:ind w:left="4320" w:hanging="360"/>
      </w:pPr>
      <w:rPr>
        <w:rFonts w:ascii="Wingdings" w:hAnsi="Wingdings" w:hint="default"/>
      </w:rPr>
    </w:lvl>
    <w:lvl w:ilvl="6" w:tplc="100A0001" w:tentative="1">
      <w:start w:val="1"/>
      <w:numFmt w:val="bullet"/>
      <w:lvlText w:val=""/>
      <w:lvlJc w:val="left"/>
      <w:pPr>
        <w:ind w:left="5040" w:hanging="360"/>
      </w:pPr>
      <w:rPr>
        <w:rFonts w:ascii="Symbol" w:hAnsi="Symbol" w:hint="default"/>
      </w:rPr>
    </w:lvl>
    <w:lvl w:ilvl="7" w:tplc="100A0003" w:tentative="1">
      <w:start w:val="1"/>
      <w:numFmt w:val="bullet"/>
      <w:lvlText w:val="o"/>
      <w:lvlJc w:val="left"/>
      <w:pPr>
        <w:ind w:left="5760" w:hanging="360"/>
      </w:pPr>
      <w:rPr>
        <w:rFonts w:ascii="Courier New" w:hAnsi="Courier New" w:cs="Courier New" w:hint="default"/>
      </w:rPr>
    </w:lvl>
    <w:lvl w:ilvl="8" w:tplc="100A0005" w:tentative="1">
      <w:start w:val="1"/>
      <w:numFmt w:val="bullet"/>
      <w:lvlText w:val=""/>
      <w:lvlJc w:val="left"/>
      <w:pPr>
        <w:ind w:left="6480" w:hanging="360"/>
      </w:pPr>
      <w:rPr>
        <w:rFonts w:ascii="Wingdings" w:hAnsi="Wingdings" w:hint="default"/>
      </w:rPr>
    </w:lvl>
  </w:abstractNum>
  <w:abstractNum w:abstractNumId="31">
    <w:nsid w:val="78856ADD"/>
    <w:multiLevelType w:val="hybridMultilevel"/>
    <w:tmpl w:val="20C47D94"/>
    <w:lvl w:ilvl="0" w:tplc="080A0017">
      <w:start w:val="1"/>
      <w:numFmt w:val="lowerLetter"/>
      <w:lvlText w:val="%1)"/>
      <w:lvlJc w:val="left"/>
      <w:pPr>
        <w:ind w:left="360" w:hanging="360"/>
      </w:pPr>
      <w:rPr>
        <w:rFonts w:hint="default"/>
      </w:rPr>
    </w:lvl>
    <w:lvl w:ilvl="1" w:tplc="080A0019" w:tentative="1">
      <w:start w:val="1"/>
      <w:numFmt w:val="lowerLetter"/>
      <w:lvlText w:val="%2."/>
      <w:lvlJc w:val="left"/>
      <w:pPr>
        <w:ind w:left="1080" w:hanging="360"/>
      </w:pPr>
    </w:lvl>
    <w:lvl w:ilvl="2" w:tplc="080A001B" w:tentative="1">
      <w:start w:val="1"/>
      <w:numFmt w:val="lowerRoman"/>
      <w:lvlText w:val="%3."/>
      <w:lvlJc w:val="right"/>
      <w:pPr>
        <w:ind w:left="1800" w:hanging="180"/>
      </w:pPr>
    </w:lvl>
    <w:lvl w:ilvl="3" w:tplc="080A000F" w:tentative="1">
      <w:start w:val="1"/>
      <w:numFmt w:val="decimal"/>
      <w:lvlText w:val="%4."/>
      <w:lvlJc w:val="left"/>
      <w:pPr>
        <w:ind w:left="2520" w:hanging="360"/>
      </w:pPr>
    </w:lvl>
    <w:lvl w:ilvl="4" w:tplc="080A0019" w:tentative="1">
      <w:start w:val="1"/>
      <w:numFmt w:val="lowerLetter"/>
      <w:lvlText w:val="%5."/>
      <w:lvlJc w:val="left"/>
      <w:pPr>
        <w:ind w:left="3240" w:hanging="360"/>
      </w:pPr>
    </w:lvl>
    <w:lvl w:ilvl="5" w:tplc="080A001B" w:tentative="1">
      <w:start w:val="1"/>
      <w:numFmt w:val="lowerRoman"/>
      <w:lvlText w:val="%6."/>
      <w:lvlJc w:val="right"/>
      <w:pPr>
        <w:ind w:left="3960" w:hanging="180"/>
      </w:pPr>
    </w:lvl>
    <w:lvl w:ilvl="6" w:tplc="080A000F" w:tentative="1">
      <w:start w:val="1"/>
      <w:numFmt w:val="decimal"/>
      <w:lvlText w:val="%7."/>
      <w:lvlJc w:val="left"/>
      <w:pPr>
        <w:ind w:left="4680" w:hanging="360"/>
      </w:pPr>
    </w:lvl>
    <w:lvl w:ilvl="7" w:tplc="080A0019" w:tentative="1">
      <w:start w:val="1"/>
      <w:numFmt w:val="lowerLetter"/>
      <w:lvlText w:val="%8."/>
      <w:lvlJc w:val="left"/>
      <w:pPr>
        <w:ind w:left="5400" w:hanging="360"/>
      </w:pPr>
    </w:lvl>
    <w:lvl w:ilvl="8" w:tplc="080A001B" w:tentative="1">
      <w:start w:val="1"/>
      <w:numFmt w:val="lowerRoman"/>
      <w:lvlText w:val="%9."/>
      <w:lvlJc w:val="right"/>
      <w:pPr>
        <w:ind w:left="6120" w:hanging="180"/>
      </w:pPr>
    </w:lvl>
  </w:abstractNum>
  <w:abstractNum w:abstractNumId="32">
    <w:nsid w:val="7B2221AF"/>
    <w:multiLevelType w:val="hybridMultilevel"/>
    <w:tmpl w:val="B7FE1960"/>
    <w:lvl w:ilvl="0" w:tplc="100A0017">
      <w:start w:val="1"/>
      <w:numFmt w:val="lowerLetter"/>
      <w:lvlText w:val="%1)"/>
      <w:lvlJc w:val="left"/>
      <w:pPr>
        <w:ind w:left="720" w:hanging="360"/>
      </w:pPr>
      <w:rPr>
        <w:rFonts w:hint="default"/>
      </w:rPr>
    </w:lvl>
    <w:lvl w:ilvl="1" w:tplc="100A0003" w:tentative="1">
      <w:start w:val="1"/>
      <w:numFmt w:val="bullet"/>
      <w:lvlText w:val="o"/>
      <w:lvlJc w:val="left"/>
      <w:pPr>
        <w:ind w:left="1440" w:hanging="360"/>
      </w:pPr>
      <w:rPr>
        <w:rFonts w:ascii="Courier New" w:hAnsi="Courier New" w:cs="Courier New" w:hint="default"/>
      </w:rPr>
    </w:lvl>
    <w:lvl w:ilvl="2" w:tplc="100A0005" w:tentative="1">
      <w:start w:val="1"/>
      <w:numFmt w:val="bullet"/>
      <w:lvlText w:val=""/>
      <w:lvlJc w:val="left"/>
      <w:pPr>
        <w:ind w:left="2160" w:hanging="360"/>
      </w:pPr>
      <w:rPr>
        <w:rFonts w:ascii="Wingdings" w:hAnsi="Wingdings" w:hint="default"/>
      </w:rPr>
    </w:lvl>
    <w:lvl w:ilvl="3" w:tplc="100A0001" w:tentative="1">
      <w:start w:val="1"/>
      <w:numFmt w:val="bullet"/>
      <w:lvlText w:val=""/>
      <w:lvlJc w:val="left"/>
      <w:pPr>
        <w:ind w:left="2880" w:hanging="360"/>
      </w:pPr>
      <w:rPr>
        <w:rFonts w:ascii="Symbol" w:hAnsi="Symbol" w:hint="default"/>
      </w:rPr>
    </w:lvl>
    <w:lvl w:ilvl="4" w:tplc="100A0003" w:tentative="1">
      <w:start w:val="1"/>
      <w:numFmt w:val="bullet"/>
      <w:lvlText w:val="o"/>
      <w:lvlJc w:val="left"/>
      <w:pPr>
        <w:ind w:left="3600" w:hanging="360"/>
      </w:pPr>
      <w:rPr>
        <w:rFonts w:ascii="Courier New" w:hAnsi="Courier New" w:cs="Courier New" w:hint="default"/>
      </w:rPr>
    </w:lvl>
    <w:lvl w:ilvl="5" w:tplc="100A0005" w:tentative="1">
      <w:start w:val="1"/>
      <w:numFmt w:val="bullet"/>
      <w:lvlText w:val=""/>
      <w:lvlJc w:val="left"/>
      <w:pPr>
        <w:ind w:left="4320" w:hanging="360"/>
      </w:pPr>
      <w:rPr>
        <w:rFonts w:ascii="Wingdings" w:hAnsi="Wingdings" w:hint="default"/>
      </w:rPr>
    </w:lvl>
    <w:lvl w:ilvl="6" w:tplc="100A0001" w:tentative="1">
      <w:start w:val="1"/>
      <w:numFmt w:val="bullet"/>
      <w:lvlText w:val=""/>
      <w:lvlJc w:val="left"/>
      <w:pPr>
        <w:ind w:left="5040" w:hanging="360"/>
      </w:pPr>
      <w:rPr>
        <w:rFonts w:ascii="Symbol" w:hAnsi="Symbol" w:hint="default"/>
      </w:rPr>
    </w:lvl>
    <w:lvl w:ilvl="7" w:tplc="100A0003" w:tentative="1">
      <w:start w:val="1"/>
      <w:numFmt w:val="bullet"/>
      <w:lvlText w:val="o"/>
      <w:lvlJc w:val="left"/>
      <w:pPr>
        <w:ind w:left="5760" w:hanging="360"/>
      </w:pPr>
      <w:rPr>
        <w:rFonts w:ascii="Courier New" w:hAnsi="Courier New" w:cs="Courier New" w:hint="default"/>
      </w:rPr>
    </w:lvl>
    <w:lvl w:ilvl="8" w:tplc="100A0005" w:tentative="1">
      <w:start w:val="1"/>
      <w:numFmt w:val="bullet"/>
      <w:lvlText w:val=""/>
      <w:lvlJc w:val="left"/>
      <w:pPr>
        <w:ind w:left="6480" w:hanging="360"/>
      </w:pPr>
      <w:rPr>
        <w:rFonts w:ascii="Wingdings" w:hAnsi="Wingdings" w:hint="default"/>
      </w:rPr>
    </w:lvl>
  </w:abstractNum>
  <w:abstractNum w:abstractNumId="33">
    <w:nsid w:val="7FCF7AAA"/>
    <w:multiLevelType w:val="hybridMultilevel"/>
    <w:tmpl w:val="4FB64970"/>
    <w:lvl w:ilvl="0" w:tplc="100A000D">
      <w:start w:val="1"/>
      <w:numFmt w:val="bullet"/>
      <w:lvlText w:val=""/>
      <w:lvlJc w:val="left"/>
      <w:pPr>
        <w:ind w:left="720" w:hanging="360"/>
      </w:pPr>
      <w:rPr>
        <w:rFonts w:ascii="Wingdings" w:hAnsi="Wingdings" w:hint="default"/>
      </w:rPr>
    </w:lvl>
    <w:lvl w:ilvl="1" w:tplc="100A0003" w:tentative="1">
      <w:start w:val="1"/>
      <w:numFmt w:val="bullet"/>
      <w:lvlText w:val="o"/>
      <w:lvlJc w:val="left"/>
      <w:pPr>
        <w:ind w:left="1440" w:hanging="360"/>
      </w:pPr>
      <w:rPr>
        <w:rFonts w:ascii="Courier New" w:hAnsi="Courier New" w:cs="Courier New" w:hint="default"/>
      </w:rPr>
    </w:lvl>
    <w:lvl w:ilvl="2" w:tplc="100A0005" w:tentative="1">
      <w:start w:val="1"/>
      <w:numFmt w:val="bullet"/>
      <w:lvlText w:val=""/>
      <w:lvlJc w:val="left"/>
      <w:pPr>
        <w:ind w:left="2160" w:hanging="360"/>
      </w:pPr>
      <w:rPr>
        <w:rFonts w:ascii="Wingdings" w:hAnsi="Wingdings" w:hint="default"/>
      </w:rPr>
    </w:lvl>
    <w:lvl w:ilvl="3" w:tplc="100A0001" w:tentative="1">
      <w:start w:val="1"/>
      <w:numFmt w:val="bullet"/>
      <w:lvlText w:val=""/>
      <w:lvlJc w:val="left"/>
      <w:pPr>
        <w:ind w:left="2880" w:hanging="360"/>
      </w:pPr>
      <w:rPr>
        <w:rFonts w:ascii="Symbol" w:hAnsi="Symbol" w:hint="default"/>
      </w:rPr>
    </w:lvl>
    <w:lvl w:ilvl="4" w:tplc="100A0003" w:tentative="1">
      <w:start w:val="1"/>
      <w:numFmt w:val="bullet"/>
      <w:lvlText w:val="o"/>
      <w:lvlJc w:val="left"/>
      <w:pPr>
        <w:ind w:left="3600" w:hanging="360"/>
      </w:pPr>
      <w:rPr>
        <w:rFonts w:ascii="Courier New" w:hAnsi="Courier New" w:cs="Courier New" w:hint="default"/>
      </w:rPr>
    </w:lvl>
    <w:lvl w:ilvl="5" w:tplc="100A0005" w:tentative="1">
      <w:start w:val="1"/>
      <w:numFmt w:val="bullet"/>
      <w:lvlText w:val=""/>
      <w:lvlJc w:val="left"/>
      <w:pPr>
        <w:ind w:left="4320" w:hanging="360"/>
      </w:pPr>
      <w:rPr>
        <w:rFonts w:ascii="Wingdings" w:hAnsi="Wingdings" w:hint="default"/>
      </w:rPr>
    </w:lvl>
    <w:lvl w:ilvl="6" w:tplc="100A0001" w:tentative="1">
      <w:start w:val="1"/>
      <w:numFmt w:val="bullet"/>
      <w:lvlText w:val=""/>
      <w:lvlJc w:val="left"/>
      <w:pPr>
        <w:ind w:left="5040" w:hanging="360"/>
      </w:pPr>
      <w:rPr>
        <w:rFonts w:ascii="Symbol" w:hAnsi="Symbol" w:hint="default"/>
      </w:rPr>
    </w:lvl>
    <w:lvl w:ilvl="7" w:tplc="100A0003" w:tentative="1">
      <w:start w:val="1"/>
      <w:numFmt w:val="bullet"/>
      <w:lvlText w:val="o"/>
      <w:lvlJc w:val="left"/>
      <w:pPr>
        <w:ind w:left="5760" w:hanging="360"/>
      </w:pPr>
      <w:rPr>
        <w:rFonts w:ascii="Courier New" w:hAnsi="Courier New" w:cs="Courier New" w:hint="default"/>
      </w:rPr>
    </w:lvl>
    <w:lvl w:ilvl="8" w:tplc="100A0005" w:tentative="1">
      <w:start w:val="1"/>
      <w:numFmt w:val="bullet"/>
      <w:lvlText w:val=""/>
      <w:lvlJc w:val="left"/>
      <w:pPr>
        <w:ind w:left="6480" w:hanging="360"/>
      </w:pPr>
      <w:rPr>
        <w:rFonts w:ascii="Wingdings" w:hAnsi="Wingdings" w:hint="default"/>
      </w:rPr>
    </w:lvl>
  </w:abstractNum>
  <w:num w:numId="1">
    <w:abstractNumId w:val="26"/>
  </w:num>
  <w:num w:numId="2">
    <w:abstractNumId w:val="3"/>
  </w:num>
  <w:num w:numId="3">
    <w:abstractNumId w:val="0"/>
  </w:num>
  <w:num w:numId="4">
    <w:abstractNumId w:val="27"/>
  </w:num>
  <w:num w:numId="5">
    <w:abstractNumId w:val="11"/>
  </w:num>
  <w:num w:numId="6">
    <w:abstractNumId w:val="20"/>
  </w:num>
  <w:num w:numId="7">
    <w:abstractNumId w:val="25"/>
  </w:num>
  <w:num w:numId="8">
    <w:abstractNumId w:val="14"/>
  </w:num>
  <w:num w:numId="9">
    <w:abstractNumId w:val="5"/>
  </w:num>
  <w:num w:numId="10">
    <w:abstractNumId w:val="32"/>
  </w:num>
  <w:num w:numId="11">
    <w:abstractNumId w:val="30"/>
  </w:num>
  <w:num w:numId="12">
    <w:abstractNumId w:val="10"/>
  </w:num>
  <w:num w:numId="13">
    <w:abstractNumId w:val="13"/>
  </w:num>
  <w:num w:numId="14">
    <w:abstractNumId w:val="19"/>
  </w:num>
  <w:num w:numId="15">
    <w:abstractNumId w:val="16"/>
  </w:num>
  <w:num w:numId="16">
    <w:abstractNumId w:val="28"/>
  </w:num>
  <w:num w:numId="17">
    <w:abstractNumId w:val="33"/>
  </w:num>
  <w:num w:numId="18">
    <w:abstractNumId w:val="17"/>
  </w:num>
  <w:num w:numId="19">
    <w:abstractNumId w:val="12"/>
  </w:num>
  <w:num w:numId="20">
    <w:abstractNumId w:val="7"/>
  </w:num>
  <w:num w:numId="21">
    <w:abstractNumId w:val="4"/>
  </w:num>
  <w:num w:numId="22">
    <w:abstractNumId w:val="31"/>
  </w:num>
  <w:num w:numId="23">
    <w:abstractNumId w:val="1"/>
  </w:num>
  <w:num w:numId="24">
    <w:abstractNumId w:val="18"/>
  </w:num>
  <w:num w:numId="25">
    <w:abstractNumId w:val="9"/>
  </w:num>
  <w:num w:numId="26">
    <w:abstractNumId w:val="2"/>
  </w:num>
  <w:num w:numId="27">
    <w:abstractNumId w:val="29"/>
  </w:num>
  <w:num w:numId="28">
    <w:abstractNumId w:val="21"/>
  </w:num>
  <w:num w:numId="29">
    <w:abstractNumId w:val="23"/>
  </w:num>
  <w:num w:numId="30">
    <w:abstractNumId w:val="22"/>
  </w:num>
  <w:num w:numId="31">
    <w:abstractNumId w:val="24"/>
  </w:num>
  <w:num w:numId="32">
    <w:abstractNumId w:val="15"/>
  </w:num>
  <w:num w:numId="33">
    <w:abstractNumId w:val="8"/>
  </w:num>
  <w:num w:numId="34">
    <w:abstractNumId w:val="6"/>
  </w:num>
  <w:numIdMacAtCleanup w:val="1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mirrorMargins/>
  <w:defaultTabStop w:val="708"/>
  <w:hyphenationZone w:val="425"/>
  <w:evenAndOddHeaders/>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475EF"/>
    <w:rsid w:val="0000013D"/>
    <w:rsid w:val="000009EC"/>
    <w:rsid w:val="00000B24"/>
    <w:rsid w:val="00000FE6"/>
    <w:rsid w:val="000011D2"/>
    <w:rsid w:val="0000199E"/>
    <w:rsid w:val="00001E6E"/>
    <w:rsid w:val="00001FC8"/>
    <w:rsid w:val="00002F38"/>
    <w:rsid w:val="000030EE"/>
    <w:rsid w:val="0000315F"/>
    <w:rsid w:val="00003212"/>
    <w:rsid w:val="00003F5D"/>
    <w:rsid w:val="000045D4"/>
    <w:rsid w:val="000045E9"/>
    <w:rsid w:val="00004655"/>
    <w:rsid w:val="00004D50"/>
    <w:rsid w:val="00004F81"/>
    <w:rsid w:val="00004FD5"/>
    <w:rsid w:val="0000577B"/>
    <w:rsid w:val="000057EA"/>
    <w:rsid w:val="00006888"/>
    <w:rsid w:val="000075D1"/>
    <w:rsid w:val="000079F8"/>
    <w:rsid w:val="00007BB4"/>
    <w:rsid w:val="00007D77"/>
    <w:rsid w:val="00007E1D"/>
    <w:rsid w:val="000106CD"/>
    <w:rsid w:val="00010919"/>
    <w:rsid w:val="00010BFE"/>
    <w:rsid w:val="0001142F"/>
    <w:rsid w:val="000116C3"/>
    <w:rsid w:val="00011ED1"/>
    <w:rsid w:val="00011FA3"/>
    <w:rsid w:val="00012C3D"/>
    <w:rsid w:val="00012E75"/>
    <w:rsid w:val="00012EC6"/>
    <w:rsid w:val="0001337F"/>
    <w:rsid w:val="00013D51"/>
    <w:rsid w:val="000144B3"/>
    <w:rsid w:val="000144C5"/>
    <w:rsid w:val="0001462B"/>
    <w:rsid w:val="00014EF4"/>
    <w:rsid w:val="00014F35"/>
    <w:rsid w:val="0001526A"/>
    <w:rsid w:val="000155E3"/>
    <w:rsid w:val="00016142"/>
    <w:rsid w:val="00016DAB"/>
    <w:rsid w:val="00016E7A"/>
    <w:rsid w:val="000173FB"/>
    <w:rsid w:val="00017590"/>
    <w:rsid w:val="0001768C"/>
    <w:rsid w:val="00020018"/>
    <w:rsid w:val="000203CF"/>
    <w:rsid w:val="00020569"/>
    <w:rsid w:val="0002076B"/>
    <w:rsid w:val="00020FF6"/>
    <w:rsid w:val="0002128E"/>
    <w:rsid w:val="000214EB"/>
    <w:rsid w:val="00021897"/>
    <w:rsid w:val="00021940"/>
    <w:rsid w:val="00021BC6"/>
    <w:rsid w:val="00021C43"/>
    <w:rsid w:val="0002257D"/>
    <w:rsid w:val="000226B3"/>
    <w:rsid w:val="00022705"/>
    <w:rsid w:val="00022DEC"/>
    <w:rsid w:val="00022EA2"/>
    <w:rsid w:val="00022EF4"/>
    <w:rsid w:val="00023051"/>
    <w:rsid w:val="000234E6"/>
    <w:rsid w:val="00023E05"/>
    <w:rsid w:val="0002423D"/>
    <w:rsid w:val="0002454E"/>
    <w:rsid w:val="000247C0"/>
    <w:rsid w:val="00024CB8"/>
    <w:rsid w:val="0002546E"/>
    <w:rsid w:val="00025544"/>
    <w:rsid w:val="00025564"/>
    <w:rsid w:val="00026089"/>
    <w:rsid w:val="00026D0D"/>
    <w:rsid w:val="00027187"/>
    <w:rsid w:val="00027364"/>
    <w:rsid w:val="00027677"/>
    <w:rsid w:val="0003000B"/>
    <w:rsid w:val="0003055A"/>
    <w:rsid w:val="00031D61"/>
    <w:rsid w:val="00032129"/>
    <w:rsid w:val="00032760"/>
    <w:rsid w:val="0003283F"/>
    <w:rsid w:val="00032E59"/>
    <w:rsid w:val="000332EA"/>
    <w:rsid w:val="00033EDC"/>
    <w:rsid w:val="00034789"/>
    <w:rsid w:val="00034C4B"/>
    <w:rsid w:val="00035ED3"/>
    <w:rsid w:val="00035F15"/>
    <w:rsid w:val="000361B0"/>
    <w:rsid w:val="0003640F"/>
    <w:rsid w:val="0003652A"/>
    <w:rsid w:val="000367DA"/>
    <w:rsid w:val="00036939"/>
    <w:rsid w:val="00036D41"/>
    <w:rsid w:val="00036FAF"/>
    <w:rsid w:val="000373D5"/>
    <w:rsid w:val="00037ADC"/>
    <w:rsid w:val="0004035D"/>
    <w:rsid w:val="00040BDF"/>
    <w:rsid w:val="000414C6"/>
    <w:rsid w:val="0004155B"/>
    <w:rsid w:val="000417A8"/>
    <w:rsid w:val="000423A9"/>
    <w:rsid w:val="000427BC"/>
    <w:rsid w:val="00042D85"/>
    <w:rsid w:val="00043A56"/>
    <w:rsid w:val="00043F55"/>
    <w:rsid w:val="00044788"/>
    <w:rsid w:val="000448A9"/>
    <w:rsid w:val="0004608A"/>
    <w:rsid w:val="000468DF"/>
    <w:rsid w:val="00046ADB"/>
    <w:rsid w:val="000479B6"/>
    <w:rsid w:val="00047C71"/>
    <w:rsid w:val="00047DDB"/>
    <w:rsid w:val="000509FD"/>
    <w:rsid w:val="00050A36"/>
    <w:rsid w:val="00050A8A"/>
    <w:rsid w:val="00050F19"/>
    <w:rsid w:val="00051F4C"/>
    <w:rsid w:val="0005238F"/>
    <w:rsid w:val="000526B5"/>
    <w:rsid w:val="000528D5"/>
    <w:rsid w:val="0005381B"/>
    <w:rsid w:val="00053C58"/>
    <w:rsid w:val="000540E1"/>
    <w:rsid w:val="0005432D"/>
    <w:rsid w:val="00054931"/>
    <w:rsid w:val="00054D25"/>
    <w:rsid w:val="000551E2"/>
    <w:rsid w:val="0005597F"/>
    <w:rsid w:val="00056555"/>
    <w:rsid w:val="000572AF"/>
    <w:rsid w:val="00057717"/>
    <w:rsid w:val="0006017B"/>
    <w:rsid w:val="000605CB"/>
    <w:rsid w:val="00060655"/>
    <w:rsid w:val="00060743"/>
    <w:rsid w:val="000610F9"/>
    <w:rsid w:val="00061D52"/>
    <w:rsid w:val="00061DBE"/>
    <w:rsid w:val="000640AB"/>
    <w:rsid w:val="00064444"/>
    <w:rsid w:val="00064BB6"/>
    <w:rsid w:val="00064F26"/>
    <w:rsid w:val="00065C3E"/>
    <w:rsid w:val="00065DDE"/>
    <w:rsid w:val="00065FC5"/>
    <w:rsid w:val="000661B1"/>
    <w:rsid w:val="00066C27"/>
    <w:rsid w:val="000671B5"/>
    <w:rsid w:val="00067456"/>
    <w:rsid w:val="00067F55"/>
    <w:rsid w:val="00070035"/>
    <w:rsid w:val="00070266"/>
    <w:rsid w:val="000702E1"/>
    <w:rsid w:val="00070381"/>
    <w:rsid w:val="00070B60"/>
    <w:rsid w:val="0007175B"/>
    <w:rsid w:val="000723DC"/>
    <w:rsid w:val="000727F8"/>
    <w:rsid w:val="0007441B"/>
    <w:rsid w:val="0007442B"/>
    <w:rsid w:val="00074491"/>
    <w:rsid w:val="00075770"/>
    <w:rsid w:val="00075A92"/>
    <w:rsid w:val="00075E4E"/>
    <w:rsid w:val="00075F75"/>
    <w:rsid w:val="00076261"/>
    <w:rsid w:val="000763FA"/>
    <w:rsid w:val="00076575"/>
    <w:rsid w:val="00076AA3"/>
    <w:rsid w:val="000776E4"/>
    <w:rsid w:val="000776F4"/>
    <w:rsid w:val="00077A05"/>
    <w:rsid w:val="0008052B"/>
    <w:rsid w:val="00080884"/>
    <w:rsid w:val="00080DFD"/>
    <w:rsid w:val="00081744"/>
    <w:rsid w:val="00082331"/>
    <w:rsid w:val="000824B9"/>
    <w:rsid w:val="00082934"/>
    <w:rsid w:val="00082FDB"/>
    <w:rsid w:val="000834F0"/>
    <w:rsid w:val="00083950"/>
    <w:rsid w:val="00084388"/>
    <w:rsid w:val="00084EC7"/>
    <w:rsid w:val="000854D1"/>
    <w:rsid w:val="000857DA"/>
    <w:rsid w:val="00085BC9"/>
    <w:rsid w:val="0008660C"/>
    <w:rsid w:val="0008660F"/>
    <w:rsid w:val="00086CDE"/>
    <w:rsid w:val="00086EE0"/>
    <w:rsid w:val="00086F02"/>
    <w:rsid w:val="0008743F"/>
    <w:rsid w:val="0008751B"/>
    <w:rsid w:val="000875C8"/>
    <w:rsid w:val="00087787"/>
    <w:rsid w:val="00087968"/>
    <w:rsid w:val="000902C0"/>
    <w:rsid w:val="000902C5"/>
    <w:rsid w:val="000906B6"/>
    <w:rsid w:val="0009156C"/>
    <w:rsid w:val="00091BD8"/>
    <w:rsid w:val="0009225C"/>
    <w:rsid w:val="000924CD"/>
    <w:rsid w:val="00093D69"/>
    <w:rsid w:val="00093D78"/>
    <w:rsid w:val="00094120"/>
    <w:rsid w:val="000944FD"/>
    <w:rsid w:val="0009450B"/>
    <w:rsid w:val="0009454C"/>
    <w:rsid w:val="000945B9"/>
    <w:rsid w:val="000948A9"/>
    <w:rsid w:val="0009533B"/>
    <w:rsid w:val="00095566"/>
    <w:rsid w:val="00095A03"/>
    <w:rsid w:val="00095C8B"/>
    <w:rsid w:val="00096E7E"/>
    <w:rsid w:val="00097062"/>
    <w:rsid w:val="0009707C"/>
    <w:rsid w:val="0009743A"/>
    <w:rsid w:val="0009749C"/>
    <w:rsid w:val="00097F1F"/>
    <w:rsid w:val="000A06E5"/>
    <w:rsid w:val="000A0D02"/>
    <w:rsid w:val="000A0F33"/>
    <w:rsid w:val="000A1F93"/>
    <w:rsid w:val="000A2DEF"/>
    <w:rsid w:val="000A36AF"/>
    <w:rsid w:val="000A3834"/>
    <w:rsid w:val="000A3D77"/>
    <w:rsid w:val="000A43FF"/>
    <w:rsid w:val="000A4B17"/>
    <w:rsid w:val="000A4D5B"/>
    <w:rsid w:val="000A4F0D"/>
    <w:rsid w:val="000A52E8"/>
    <w:rsid w:val="000A5457"/>
    <w:rsid w:val="000A56DD"/>
    <w:rsid w:val="000A5B08"/>
    <w:rsid w:val="000A5C2B"/>
    <w:rsid w:val="000A62AF"/>
    <w:rsid w:val="000A6681"/>
    <w:rsid w:val="000A6B2A"/>
    <w:rsid w:val="000A7ACC"/>
    <w:rsid w:val="000A7DDB"/>
    <w:rsid w:val="000B09C4"/>
    <w:rsid w:val="000B0AB4"/>
    <w:rsid w:val="000B1000"/>
    <w:rsid w:val="000B1597"/>
    <w:rsid w:val="000B1C61"/>
    <w:rsid w:val="000B1F4B"/>
    <w:rsid w:val="000B1FB3"/>
    <w:rsid w:val="000B22FB"/>
    <w:rsid w:val="000B3952"/>
    <w:rsid w:val="000B52F4"/>
    <w:rsid w:val="000B56AA"/>
    <w:rsid w:val="000B5898"/>
    <w:rsid w:val="000B610C"/>
    <w:rsid w:val="000B69B8"/>
    <w:rsid w:val="000B7854"/>
    <w:rsid w:val="000B7A3F"/>
    <w:rsid w:val="000C09CE"/>
    <w:rsid w:val="000C0C40"/>
    <w:rsid w:val="000C218B"/>
    <w:rsid w:val="000C21A6"/>
    <w:rsid w:val="000C26A3"/>
    <w:rsid w:val="000C2785"/>
    <w:rsid w:val="000C29D9"/>
    <w:rsid w:val="000C3042"/>
    <w:rsid w:val="000C33AF"/>
    <w:rsid w:val="000C3469"/>
    <w:rsid w:val="000C366E"/>
    <w:rsid w:val="000C3E91"/>
    <w:rsid w:val="000C4777"/>
    <w:rsid w:val="000C48B6"/>
    <w:rsid w:val="000C4F8F"/>
    <w:rsid w:val="000C507A"/>
    <w:rsid w:val="000C525D"/>
    <w:rsid w:val="000C545D"/>
    <w:rsid w:val="000C57A7"/>
    <w:rsid w:val="000C5987"/>
    <w:rsid w:val="000C59FE"/>
    <w:rsid w:val="000C5B06"/>
    <w:rsid w:val="000C65AE"/>
    <w:rsid w:val="000C6805"/>
    <w:rsid w:val="000C6A6C"/>
    <w:rsid w:val="000C6B2B"/>
    <w:rsid w:val="000C702A"/>
    <w:rsid w:val="000C78A7"/>
    <w:rsid w:val="000C7EBD"/>
    <w:rsid w:val="000D06FE"/>
    <w:rsid w:val="000D0C0D"/>
    <w:rsid w:val="000D1611"/>
    <w:rsid w:val="000D16DA"/>
    <w:rsid w:val="000D1DF0"/>
    <w:rsid w:val="000D224F"/>
    <w:rsid w:val="000D257A"/>
    <w:rsid w:val="000D2AB7"/>
    <w:rsid w:val="000D31D5"/>
    <w:rsid w:val="000D418B"/>
    <w:rsid w:val="000D4554"/>
    <w:rsid w:val="000D47F3"/>
    <w:rsid w:val="000D4D6B"/>
    <w:rsid w:val="000D55F2"/>
    <w:rsid w:val="000D5657"/>
    <w:rsid w:val="000D5A35"/>
    <w:rsid w:val="000D6DB6"/>
    <w:rsid w:val="000D6E1E"/>
    <w:rsid w:val="000D75BD"/>
    <w:rsid w:val="000D7A8C"/>
    <w:rsid w:val="000D7F67"/>
    <w:rsid w:val="000E00BF"/>
    <w:rsid w:val="000E0447"/>
    <w:rsid w:val="000E144A"/>
    <w:rsid w:val="000E164B"/>
    <w:rsid w:val="000E17C6"/>
    <w:rsid w:val="000E228C"/>
    <w:rsid w:val="000E22E7"/>
    <w:rsid w:val="000E2DE7"/>
    <w:rsid w:val="000E2E50"/>
    <w:rsid w:val="000E385A"/>
    <w:rsid w:val="000E4200"/>
    <w:rsid w:val="000E4980"/>
    <w:rsid w:val="000E5249"/>
    <w:rsid w:val="000E57FE"/>
    <w:rsid w:val="000E5857"/>
    <w:rsid w:val="000E5CDF"/>
    <w:rsid w:val="000E60ED"/>
    <w:rsid w:val="000E633A"/>
    <w:rsid w:val="000E7116"/>
    <w:rsid w:val="000F0284"/>
    <w:rsid w:val="000F0434"/>
    <w:rsid w:val="000F085C"/>
    <w:rsid w:val="000F1054"/>
    <w:rsid w:val="000F11BF"/>
    <w:rsid w:val="000F1541"/>
    <w:rsid w:val="000F1C5F"/>
    <w:rsid w:val="000F1DFC"/>
    <w:rsid w:val="000F24CC"/>
    <w:rsid w:val="000F2AE3"/>
    <w:rsid w:val="000F2C9F"/>
    <w:rsid w:val="000F2F66"/>
    <w:rsid w:val="000F3273"/>
    <w:rsid w:val="000F3ACD"/>
    <w:rsid w:val="000F3C45"/>
    <w:rsid w:val="000F4087"/>
    <w:rsid w:val="000F412E"/>
    <w:rsid w:val="000F4A60"/>
    <w:rsid w:val="000F4AB6"/>
    <w:rsid w:val="000F4BCF"/>
    <w:rsid w:val="000F4F48"/>
    <w:rsid w:val="000F5139"/>
    <w:rsid w:val="000F57E2"/>
    <w:rsid w:val="000F592F"/>
    <w:rsid w:val="000F5CF1"/>
    <w:rsid w:val="000F5DC3"/>
    <w:rsid w:val="000F5E9F"/>
    <w:rsid w:val="000F7261"/>
    <w:rsid w:val="000F7518"/>
    <w:rsid w:val="000F775D"/>
    <w:rsid w:val="00100605"/>
    <w:rsid w:val="00100DA3"/>
    <w:rsid w:val="001017DD"/>
    <w:rsid w:val="00101E77"/>
    <w:rsid w:val="001021E5"/>
    <w:rsid w:val="00103683"/>
    <w:rsid w:val="001038D7"/>
    <w:rsid w:val="00103AB3"/>
    <w:rsid w:val="0010590D"/>
    <w:rsid w:val="00105DC9"/>
    <w:rsid w:val="001061B8"/>
    <w:rsid w:val="0010663A"/>
    <w:rsid w:val="001069C7"/>
    <w:rsid w:val="00106C2E"/>
    <w:rsid w:val="00107545"/>
    <w:rsid w:val="00107735"/>
    <w:rsid w:val="0010797E"/>
    <w:rsid w:val="00107FAE"/>
    <w:rsid w:val="00110069"/>
    <w:rsid w:val="001105BC"/>
    <w:rsid w:val="00110DDE"/>
    <w:rsid w:val="00110FF6"/>
    <w:rsid w:val="0011105C"/>
    <w:rsid w:val="00111114"/>
    <w:rsid w:val="00112080"/>
    <w:rsid w:val="001123CC"/>
    <w:rsid w:val="00112EA4"/>
    <w:rsid w:val="001130CC"/>
    <w:rsid w:val="00113298"/>
    <w:rsid w:val="001135E6"/>
    <w:rsid w:val="001137ED"/>
    <w:rsid w:val="001138B2"/>
    <w:rsid w:val="00113EBC"/>
    <w:rsid w:val="00114DF7"/>
    <w:rsid w:val="00114F11"/>
    <w:rsid w:val="00115F29"/>
    <w:rsid w:val="00116980"/>
    <w:rsid w:val="0011762B"/>
    <w:rsid w:val="001203DD"/>
    <w:rsid w:val="0012076B"/>
    <w:rsid w:val="00120CFD"/>
    <w:rsid w:val="00121567"/>
    <w:rsid w:val="001215DB"/>
    <w:rsid w:val="00121F28"/>
    <w:rsid w:val="0012287F"/>
    <w:rsid w:val="00122D95"/>
    <w:rsid w:val="00122EB8"/>
    <w:rsid w:val="00122EC5"/>
    <w:rsid w:val="00122ECB"/>
    <w:rsid w:val="001230A7"/>
    <w:rsid w:val="0012339C"/>
    <w:rsid w:val="00123601"/>
    <w:rsid w:val="0012431B"/>
    <w:rsid w:val="0012463C"/>
    <w:rsid w:val="0012514F"/>
    <w:rsid w:val="0012695F"/>
    <w:rsid w:val="001269FF"/>
    <w:rsid w:val="00127A73"/>
    <w:rsid w:val="00130886"/>
    <w:rsid w:val="001311E1"/>
    <w:rsid w:val="0013165C"/>
    <w:rsid w:val="001316B1"/>
    <w:rsid w:val="00131E10"/>
    <w:rsid w:val="00131E86"/>
    <w:rsid w:val="0013226A"/>
    <w:rsid w:val="00132539"/>
    <w:rsid w:val="00132D42"/>
    <w:rsid w:val="00132D4D"/>
    <w:rsid w:val="001335F8"/>
    <w:rsid w:val="001337D3"/>
    <w:rsid w:val="001338B8"/>
    <w:rsid w:val="00133BA3"/>
    <w:rsid w:val="00133BFB"/>
    <w:rsid w:val="00134262"/>
    <w:rsid w:val="00134B35"/>
    <w:rsid w:val="00135A5F"/>
    <w:rsid w:val="00135BD5"/>
    <w:rsid w:val="00135F87"/>
    <w:rsid w:val="001361CF"/>
    <w:rsid w:val="0013680F"/>
    <w:rsid w:val="00137121"/>
    <w:rsid w:val="001376EA"/>
    <w:rsid w:val="00137A51"/>
    <w:rsid w:val="00137D3A"/>
    <w:rsid w:val="00137E38"/>
    <w:rsid w:val="00140276"/>
    <w:rsid w:val="00140640"/>
    <w:rsid w:val="00140657"/>
    <w:rsid w:val="001407EC"/>
    <w:rsid w:val="00140DD7"/>
    <w:rsid w:val="00140F41"/>
    <w:rsid w:val="001411B0"/>
    <w:rsid w:val="0014169E"/>
    <w:rsid w:val="00141969"/>
    <w:rsid w:val="00141CB3"/>
    <w:rsid w:val="0014204B"/>
    <w:rsid w:val="00142200"/>
    <w:rsid w:val="00142B91"/>
    <w:rsid w:val="00142BF2"/>
    <w:rsid w:val="00144016"/>
    <w:rsid w:val="00144874"/>
    <w:rsid w:val="00145030"/>
    <w:rsid w:val="001455DF"/>
    <w:rsid w:val="0014561E"/>
    <w:rsid w:val="00146518"/>
    <w:rsid w:val="0014674A"/>
    <w:rsid w:val="001468A2"/>
    <w:rsid w:val="00147492"/>
    <w:rsid w:val="001474F4"/>
    <w:rsid w:val="00147932"/>
    <w:rsid w:val="00147CF8"/>
    <w:rsid w:val="00151506"/>
    <w:rsid w:val="00151ABA"/>
    <w:rsid w:val="00151C8A"/>
    <w:rsid w:val="00152001"/>
    <w:rsid w:val="001522E8"/>
    <w:rsid w:val="00152697"/>
    <w:rsid w:val="001526BF"/>
    <w:rsid w:val="00152A14"/>
    <w:rsid w:val="00152C30"/>
    <w:rsid w:val="00153037"/>
    <w:rsid w:val="001530E3"/>
    <w:rsid w:val="00153379"/>
    <w:rsid w:val="001536A0"/>
    <w:rsid w:val="0015427E"/>
    <w:rsid w:val="00154516"/>
    <w:rsid w:val="00154F72"/>
    <w:rsid w:val="001551F7"/>
    <w:rsid w:val="00155231"/>
    <w:rsid w:val="001554A0"/>
    <w:rsid w:val="00156000"/>
    <w:rsid w:val="00156048"/>
    <w:rsid w:val="00156F2D"/>
    <w:rsid w:val="00156FFC"/>
    <w:rsid w:val="001575E8"/>
    <w:rsid w:val="0015770E"/>
    <w:rsid w:val="00157BEF"/>
    <w:rsid w:val="00157CAE"/>
    <w:rsid w:val="00160097"/>
    <w:rsid w:val="00161F9B"/>
    <w:rsid w:val="00162E6E"/>
    <w:rsid w:val="00163084"/>
    <w:rsid w:val="001632A4"/>
    <w:rsid w:val="00163831"/>
    <w:rsid w:val="00163CC2"/>
    <w:rsid w:val="00164106"/>
    <w:rsid w:val="001642B8"/>
    <w:rsid w:val="00164F1B"/>
    <w:rsid w:val="00165718"/>
    <w:rsid w:val="00165936"/>
    <w:rsid w:val="00165B82"/>
    <w:rsid w:val="001661F3"/>
    <w:rsid w:val="00166460"/>
    <w:rsid w:val="00166A77"/>
    <w:rsid w:val="00167D0A"/>
    <w:rsid w:val="001711AD"/>
    <w:rsid w:val="001713BC"/>
    <w:rsid w:val="00171A97"/>
    <w:rsid w:val="00172179"/>
    <w:rsid w:val="00172FE7"/>
    <w:rsid w:val="00173A21"/>
    <w:rsid w:val="001740A8"/>
    <w:rsid w:val="00174214"/>
    <w:rsid w:val="00174970"/>
    <w:rsid w:val="00174BC6"/>
    <w:rsid w:val="00174C9E"/>
    <w:rsid w:val="00174D4F"/>
    <w:rsid w:val="001757AD"/>
    <w:rsid w:val="0017608C"/>
    <w:rsid w:val="001766F6"/>
    <w:rsid w:val="00176CA7"/>
    <w:rsid w:val="00177057"/>
    <w:rsid w:val="0017727B"/>
    <w:rsid w:val="00180C38"/>
    <w:rsid w:val="00180E81"/>
    <w:rsid w:val="00180F22"/>
    <w:rsid w:val="0018236D"/>
    <w:rsid w:val="0018263E"/>
    <w:rsid w:val="0018272A"/>
    <w:rsid w:val="00182C72"/>
    <w:rsid w:val="00183590"/>
    <w:rsid w:val="00183A5F"/>
    <w:rsid w:val="00183EB5"/>
    <w:rsid w:val="00183F5F"/>
    <w:rsid w:val="00183F78"/>
    <w:rsid w:val="00184D16"/>
    <w:rsid w:val="001868E0"/>
    <w:rsid w:val="001871E2"/>
    <w:rsid w:val="00187F62"/>
    <w:rsid w:val="00187FC9"/>
    <w:rsid w:val="00190320"/>
    <w:rsid w:val="00190B60"/>
    <w:rsid w:val="00191617"/>
    <w:rsid w:val="001921EA"/>
    <w:rsid w:val="0019220F"/>
    <w:rsid w:val="00192FBD"/>
    <w:rsid w:val="0019382F"/>
    <w:rsid w:val="00193DFD"/>
    <w:rsid w:val="00194C35"/>
    <w:rsid w:val="00195CDE"/>
    <w:rsid w:val="001967AA"/>
    <w:rsid w:val="001968D0"/>
    <w:rsid w:val="001969FF"/>
    <w:rsid w:val="00196EFA"/>
    <w:rsid w:val="001975BA"/>
    <w:rsid w:val="00197946"/>
    <w:rsid w:val="00197DD8"/>
    <w:rsid w:val="00197E56"/>
    <w:rsid w:val="001A011C"/>
    <w:rsid w:val="001A1EF1"/>
    <w:rsid w:val="001A255B"/>
    <w:rsid w:val="001A31D7"/>
    <w:rsid w:val="001A39F5"/>
    <w:rsid w:val="001A3B94"/>
    <w:rsid w:val="001A3FAE"/>
    <w:rsid w:val="001A42C8"/>
    <w:rsid w:val="001A462F"/>
    <w:rsid w:val="001A538D"/>
    <w:rsid w:val="001A542C"/>
    <w:rsid w:val="001A57C7"/>
    <w:rsid w:val="001A5D16"/>
    <w:rsid w:val="001A5EA3"/>
    <w:rsid w:val="001A5F59"/>
    <w:rsid w:val="001A637D"/>
    <w:rsid w:val="001A638F"/>
    <w:rsid w:val="001A6BEE"/>
    <w:rsid w:val="001A6D09"/>
    <w:rsid w:val="001A778B"/>
    <w:rsid w:val="001A7DC6"/>
    <w:rsid w:val="001B02FB"/>
    <w:rsid w:val="001B03CA"/>
    <w:rsid w:val="001B06B8"/>
    <w:rsid w:val="001B0BBD"/>
    <w:rsid w:val="001B0DE0"/>
    <w:rsid w:val="001B1C79"/>
    <w:rsid w:val="001B1E4D"/>
    <w:rsid w:val="001B2CD0"/>
    <w:rsid w:val="001B30EA"/>
    <w:rsid w:val="001B3449"/>
    <w:rsid w:val="001B37A8"/>
    <w:rsid w:val="001B43E8"/>
    <w:rsid w:val="001B4605"/>
    <w:rsid w:val="001B4835"/>
    <w:rsid w:val="001B4934"/>
    <w:rsid w:val="001B508D"/>
    <w:rsid w:val="001B5245"/>
    <w:rsid w:val="001B5AEA"/>
    <w:rsid w:val="001B5E47"/>
    <w:rsid w:val="001B5F3A"/>
    <w:rsid w:val="001B604B"/>
    <w:rsid w:val="001B6608"/>
    <w:rsid w:val="001B674B"/>
    <w:rsid w:val="001B6F56"/>
    <w:rsid w:val="001B7290"/>
    <w:rsid w:val="001C029C"/>
    <w:rsid w:val="001C068D"/>
    <w:rsid w:val="001C0F42"/>
    <w:rsid w:val="001C13E6"/>
    <w:rsid w:val="001C22FF"/>
    <w:rsid w:val="001C241A"/>
    <w:rsid w:val="001C24E9"/>
    <w:rsid w:val="001C262B"/>
    <w:rsid w:val="001C2AB9"/>
    <w:rsid w:val="001C3619"/>
    <w:rsid w:val="001C3B87"/>
    <w:rsid w:val="001C46BE"/>
    <w:rsid w:val="001C4E2C"/>
    <w:rsid w:val="001C5A8E"/>
    <w:rsid w:val="001C610F"/>
    <w:rsid w:val="001C626F"/>
    <w:rsid w:val="001C6493"/>
    <w:rsid w:val="001C64B8"/>
    <w:rsid w:val="001C7208"/>
    <w:rsid w:val="001D0528"/>
    <w:rsid w:val="001D0696"/>
    <w:rsid w:val="001D06EB"/>
    <w:rsid w:val="001D0729"/>
    <w:rsid w:val="001D0C7C"/>
    <w:rsid w:val="001D230C"/>
    <w:rsid w:val="001D308E"/>
    <w:rsid w:val="001D33EB"/>
    <w:rsid w:val="001D36DD"/>
    <w:rsid w:val="001D3F34"/>
    <w:rsid w:val="001D43AF"/>
    <w:rsid w:val="001D495E"/>
    <w:rsid w:val="001D4CD3"/>
    <w:rsid w:val="001D5501"/>
    <w:rsid w:val="001D62A3"/>
    <w:rsid w:val="001D65EB"/>
    <w:rsid w:val="001D6751"/>
    <w:rsid w:val="001D67D3"/>
    <w:rsid w:val="001D6EFF"/>
    <w:rsid w:val="001D7A4D"/>
    <w:rsid w:val="001D7C1C"/>
    <w:rsid w:val="001D7E7B"/>
    <w:rsid w:val="001E083D"/>
    <w:rsid w:val="001E0C1F"/>
    <w:rsid w:val="001E1674"/>
    <w:rsid w:val="001E1B03"/>
    <w:rsid w:val="001E2061"/>
    <w:rsid w:val="001E2828"/>
    <w:rsid w:val="001E43A9"/>
    <w:rsid w:val="001E4696"/>
    <w:rsid w:val="001E5904"/>
    <w:rsid w:val="001E64E4"/>
    <w:rsid w:val="001E67FF"/>
    <w:rsid w:val="001E7148"/>
    <w:rsid w:val="001E72BA"/>
    <w:rsid w:val="001E7AE2"/>
    <w:rsid w:val="001F0405"/>
    <w:rsid w:val="001F050B"/>
    <w:rsid w:val="001F0B2D"/>
    <w:rsid w:val="001F1327"/>
    <w:rsid w:val="001F1356"/>
    <w:rsid w:val="001F1901"/>
    <w:rsid w:val="001F234C"/>
    <w:rsid w:val="001F26EE"/>
    <w:rsid w:val="001F2E12"/>
    <w:rsid w:val="001F366D"/>
    <w:rsid w:val="001F4004"/>
    <w:rsid w:val="001F48BC"/>
    <w:rsid w:val="001F48E8"/>
    <w:rsid w:val="001F4C37"/>
    <w:rsid w:val="001F5615"/>
    <w:rsid w:val="001F59EA"/>
    <w:rsid w:val="001F5FD7"/>
    <w:rsid w:val="00201109"/>
    <w:rsid w:val="00201267"/>
    <w:rsid w:val="00201635"/>
    <w:rsid w:val="002016CF"/>
    <w:rsid w:val="00201841"/>
    <w:rsid w:val="00201A76"/>
    <w:rsid w:val="00201F3A"/>
    <w:rsid w:val="002025FF"/>
    <w:rsid w:val="00202CC1"/>
    <w:rsid w:val="00203D69"/>
    <w:rsid w:val="0020424E"/>
    <w:rsid w:val="002042E1"/>
    <w:rsid w:val="0020459F"/>
    <w:rsid w:val="0020492F"/>
    <w:rsid w:val="00204C03"/>
    <w:rsid w:val="002053BB"/>
    <w:rsid w:val="00205CAB"/>
    <w:rsid w:val="00205E75"/>
    <w:rsid w:val="002065BB"/>
    <w:rsid w:val="00206638"/>
    <w:rsid w:val="00206FF2"/>
    <w:rsid w:val="00207874"/>
    <w:rsid w:val="00207D97"/>
    <w:rsid w:val="002101DF"/>
    <w:rsid w:val="002119F3"/>
    <w:rsid w:val="00211DAF"/>
    <w:rsid w:val="00211F3C"/>
    <w:rsid w:val="00211FB9"/>
    <w:rsid w:val="002125D4"/>
    <w:rsid w:val="00213495"/>
    <w:rsid w:val="00213CA6"/>
    <w:rsid w:val="00213E21"/>
    <w:rsid w:val="00214614"/>
    <w:rsid w:val="00214E28"/>
    <w:rsid w:val="00215011"/>
    <w:rsid w:val="00215B5A"/>
    <w:rsid w:val="00216381"/>
    <w:rsid w:val="00217046"/>
    <w:rsid w:val="002174C1"/>
    <w:rsid w:val="00217AA0"/>
    <w:rsid w:val="0022008E"/>
    <w:rsid w:val="00220485"/>
    <w:rsid w:val="00220645"/>
    <w:rsid w:val="00220C95"/>
    <w:rsid w:val="0022143F"/>
    <w:rsid w:val="00222463"/>
    <w:rsid w:val="00222A64"/>
    <w:rsid w:val="00222E0A"/>
    <w:rsid w:val="002233DF"/>
    <w:rsid w:val="00223410"/>
    <w:rsid w:val="002243B1"/>
    <w:rsid w:val="002244F7"/>
    <w:rsid w:val="002249E1"/>
    <w:rsid w:val="00224C1E"/>
    <w:rsid w:val="00224F34"/>
    <w:rsid w:val="002256FC"/>
    <w:rsid w:val="0022585C"/>
    <w:rsid w:val="00225B68"/>
    <w:rsid w:val="00226395"/>
    <w:rsid w:val="002263F2"/>
    <w:rsid w:val="002266E7"/>
    <w:rsid w:val="00226A2D"/>
    <w:rsid w:val="002276F9"/>
    <w:rsid w:val="0022774B"/>
    <w:rsid w:val="00227855"/>
    <w:rsid w:val="00227DC4"/>
    <w:rsid w:val="0023092D"/>
    <w:rsid w:val="00230D32"/>
    <w:rsid w:val="00231261"/>
    <w:rsid w:val="00232AB9"/>
    <w:rsid w:val="0023385F"/>
    <w:rsid w:val="00233AAD"/>
    <w:rsid w:val="00234546"/>
    <w:rsid w:val="00234727"/>
    <w:rsid w:val="002347BD"/>
    <w:rsid w:val="002347E9"/>
    <w:rsid w:val="002349E7"/>
    <w:rsid w:val="00234A63"/>
    <w:rsid w:val="00235F16"/>
    <w:rsid w:val="00236492"/>
    <w:rsid w:val="00236659"/>
    <w:rsid w:val="00236779"/>
    <w:rsid w:val="00236C48"/>
    <w:rsid w:val="00236E95"/>
    <w:rsid w:val="0023743A"/>
    <w:rsid w:val="00237F0F"/>
    <w:rsid w:val="002400DB"/>
    <w:rsid w:val="00240300"/>
    <w:rsid w:val="00240A78"/>
    <w:rsid w:val="00240E3C"/>
    <w:rsid w:val="00241449"/>
    <w:rsid w:val="00241B3F"/>
    <w:rsid w:val="00241BB3"/>
    <w:rsid w:val="002426C8"/>
    <w:rsid w:val="002426E4"/>
    <w:rsid w:val="002427F0"/>
    <w:rsid w:val="0024291A"/>
    <w:rsid w:val="00242FB3"/>
    <w:rsid w:val="0024353F"/>
    <w:rsid w:val="00243994"/>
    <w:rsid w:val="002445F1"/>
    <w:rsid w:val="002448F8"/>
    <w:rsid w:val="002449EC"/>
    <w:rsid w:val="00244D65"/>
    <w:rsid w:val="0024502A"/>
    <w:rsid w:val="002452CC"/>
    <w:rsid w:val="0024547E"/>
    <w:rsid w:val="002458EE"/>
    <w:rsid w:val="0024635E"/>
    <w:rsid w:val="00246696"/>
    <w:rsid w:val="00246901"/>
    <w:rsid w:val="00246A61"/>
    <w:rsid w:val="00246D06"/>
    <w:rsid w:val="00246E0E"/>
    <w:rsid w:val="00247497"/>
    <w:rsid w:val="00247AC7"/>
    <w:rsid w:val="00250258"/>
    <w:rsid w:val="002504FC"/>
    <w:rsid w:val="00250F2B"/>
    <w:rsid w:val="002511F9"/>
    <w:rsid w:val="00251CDC"/>
    <w:rsid w:val="0025250B"/>
    <w:rsid w:val="00252792"/>
    <w:rsid w:val="00252CBD"/>
    <w:rsid w:val="002534C6"/>
    <w:rsid w:val="0025365A"/>
    <w:rsid w:val="00253898"/>
    <w:rsid w:val="00253C36"/>
    <w:rsid w:val="002559E5"/>
    <w:rsid w:val="00255F05"/>
    <w:rsid w:val="00256129"/>
    <w:rsid w:val="002565D3"/>
    <w:rsid w:val="00256C16"/>
    <w:rsid w:val="002577A7"/>
    <w:rsid w:val="0026009E"/>
    <w:rsid w:val="002602FD"/>
    <w:rsid w:val="002615FB"/>
    <w:rsid w:val="002617B6"/>
    <w:rsid w:val="0026193C"/>
    <w:rsid w:val="00262460"/>
    <w:rsid w:val="00262BEF"/>
    <w:rsid w:val="00262D89"/>
    <w:rsid w:val="002639D3"/>
    <w:rsid w:val="00263BF4"/>
    <w:rsid w:val="00263C37"/>
    <w:rsid w:val="00263FDB"/>
    <w:rsid w:val="002640AE"/>
    <w:rsid w:val="002643F9"/>
    <w:rsid w:val="0026523E"/>
    <w:rsid w:val="002652F6"/>
    <w:rsid w:val="0026532E"/>
    <w:rsid w:val="00266201"/>
    <w:rsid w:val="00266287"/>
    <w:rsid w:val="00266A5F"/>
    <w:rsid w:val="0026723F"/>
    <w:rsid w:val="002672F8"/>
    <w:rsid w:val="00267504"/>
    <w:rsid w:val="002675E1"/>
    <w:rsid w:val="00267BE2"/>
    <w:rsid w:val="002705D3"/>
    <w:rsid w:val="0027087E"/>
    <w:rsid w:val="00270BB1"/>
    <w:rsid w:val="00270ED2"/>
    <w:rsid w:val="002716AF"/>
    <w:rsid w:val="002716DF"/>
    <w:rsid w:val="002717DF"/>
    <w:rsid w:val="00271EBD"/>
    <w:rsid w:val="00272736"/>
    <w:rsid w:val="00272DBC"/>
    <w:rsid w:val="00274F32"/>
    <w:rsid w:val="00275209"/>
    <w:rsid w:val="00275AD4"/>
    <w:rsid w:val="00275E87"/>
    <w:rsid w:val="002768D9"/>
    <w:rsid w:val="002779B2"/>
    <w:rsid w:val="00277E72"/>
    <w:rsid w:val="00277EF3"/>
    <w:rsid w:val="00277F11"/>
    <w:rsid w:val="00280BB2"/>
    <w:rsid w:val="00281675"/>
    <w:rsid w:val="002821C7"/>
    <w:rsid w:val="002821D3"/>
    <w:rsid w:val="00283605"/>
    <w:rsid w:val="00283841"/>
    <w:rsid w:val="00284240"/>
    <w:rsid w:val="00284BBB"/>
    <w:rsid w:val="002850FD"/>
    <w:rsid w:val="002855E7"/>
    <w:rsid w:val="00285C45"/>
    <w:rsid w:val="00285D9D"/>
    <w:rsid w:val="00285FFE"/>
    <w:rsid w:val="00286141"/>
    <w:rsid w:val="00287224"/>
    <w:rsid w:val="002875D1"/>
    <w:rsid w:val="00287864"/>
    <w:rsid w:val="00287E30"/>
    <w:rsid w:val="00287EFF"/>
    <w:rsid w:val="00290DF2"/>
    <w:rsid w:val="0029154A"/>
    <w:rsid w:val="00291A99"/>
    <w:rsid w:val="00292269"/>
    <w:rsid w:val="002922BF"/>
    <w:rsid w:val="0029246F"/>
    <w:rsid w:val="00292CD0"/>
    <w:rsid w:val="0029322F"/>
    <w:rsid w:val="002933C8"/>
    <w:rsid w:val="002936DB"/>
    <w:rsid w:val="00293707"/>
    <w:rsid w:val="00293C4E"/>
    <w:rsid w:val="00294DF6"/>
    <w:rsid w:val="00295683"/>
    <w:rsid w:val="002958A8"/>
    <w:rsid w:val="00295A53"/>
    <w:rsid w:val="00296B58"/>
    <w:rsid w:val="00296E12"/>
    <w:rsid w:val="00297DEB"/>
    <w:rsid w:val="002A025E"/>
    <w:rsid w:val="002A0DAA"/>
    <w:rsid w:val="002A1069"/>
    <w:rsid w:val="002A11B9"/>
    <w:rsid w:val="002A12C5"/>
    <w:rsid w:val="002A26F6"/>
    <w:rsid w:val="002A3CFF"/>
    <w:rsid w:val="002A3E0A"/>
    <w:rsid w:val="002A45E2"/>
    <w:rsid w:val="002A47FD"/>
    <w:rsid w:val="002A4859"/>
    <w:rsid w:val="002A4B5F"/>
    <w:rsid w:val="002A4B6C"/>
    <w:rsid w:val="002A51C8"/>
    <w:rsid w:val="002A5D37"/>
    <w:rsid w:val="002A61E6"/>
    <w:rsid w:val="002A621C"/>
    <w:rsid w:val="002A6397"/>
    <w:rsid w:val="002A66F9"/>
    <w:rsid w:val="002A6893"/>
    <w:rsid w:val="002A6AAC"/>
    <w:rsid w:val="002A75B9"/>
    <w:rsid w:val="002A7C23"/>
    <w:rsid w:val="002B03D8"/>
    <w:rsid w:val="002B1D61"/>
    <w:rsid w:val="002B2DB0"/>
    <w:rsid w:val="002B3253"/>
    <w:rsid w:val="002B38E5"/>
    <w:rsid w:val="002B390F"/>
    <w:rsid w:val="002B3F66"/>
    <w:rsid w:val="002B49D8"/>
    <w:rsid w:val="002B4B70"/>
    <w:rsid w:val="002B4D01"/>
    <w:rsid w:val="002B4D67"/>
    <w:rsid w:val="002B4EF9"/>
    <w:rsid w:val="002B55CC"/>
    <w:rsid w:val="002B616F"/>
    <w:rsid w:val="002B6921"/>
    <w:rsid w:val="002B6AC4"/>
    <w:rsid w:val="002B78AD"/>
    <w:rsid w:val="002B7A5B"/>
    <w:rsid w:val="002B7FDE"/>
    <w:rsid w:val="002C0107"/>
    <w:rsid w:val="002C03CA"/>
    <w:rsid w:val="002C09F2"/>
    <w:rsid w:val="002C0FCE"/>
    <w:rsid w:val="002C12FE"/>
    <w:rsid w:val="002C157D"/>
    <w:rsid w:val="002C18B3"/>
    <w:rsid w:val="002C1E34"/>
    <w:rsid w:val="002C2150"/>
    <w:rsid w:val="002C2682"/>
    <w:rsid w:val="002C36B8"/>
    <w:rsid w:val="002C3B8B"/>
    <w:rsid w:val="002C44D9"/>
    <w:rsid w:val="002C4612"/>
    <w:rsid w:val="002C4761"/>
    <w:rsid w:val="002C56CF"/>
    <w:rsid w:val="002C5FCC"/>
    <w:rsid w:val="002C6264"/>
    <w:rsid w:val="002C64E4"/>
    <w:rsid w:val="002C66F4"/>
    <w:rsid w:val="002C7378"/>
    <w:rsid w:val="002C752A"/>
    <w:rsid w:val="002C7998"/>
    <w:rsid w:val="002C7C2B"/>
    <w:rsid w:val="002D0475"/>
    <w:rsid w:val="002D163A"/>
    <w:rsid w:val="002D167F"/>
    <w:rsid w:val="002D26B5"/>
    <w:rsid w:val="002D3456"/>
    <w:rsid w:val="002D4F9D"/>
    <w:rsid w:val="002D50C9"/>
    <w:rsid w:val="002D653F"/>
    <w:rsid w:val="002D6BBE"/>
    <w:rsid w:val="002D74EF"/>
    <w:rsid w:val="002D76CD"/>
    <w:rsid w:val="002D7711"/>
    <w:rsid w:val="002D778D"/>
    <w:rsid w:val="002D7B7D"/>
    <w:rsid w:val="002E0816"/>
    <w:rsid w:val="002E0C58"/>
    <w:rsid w:val="002E10A9"/>
    <w:rsid w:val="002E1668"/>
    <w:rsid w:val="002E1C66"/>
    <w:rsid w:val="002E2063"/>
    <w:rsid w:val="002E31E8"/>
    <w:rsid w:val="002E390A"/>
    <w:rsid w:val="002E3CE4"/>
    <w:rsid w:val="002E42B5"/>
    <w:rsid w:val="002E4536"/>
    <w:rsid w:val="002E4558"/>
    <w:rsid w:val="002E4652"/>
    <w:rsid w:val="002E4C8E"/>
    <w:rsid w:val="002E4E8B"/>
    <w:rsid w:val="002E52D7"/>
    <w:rsid w:val="002E5572"/>
    <w:rsid w:val="002E57C7"/>
    <w:rsid w:val="002E5952"/>
    <w:rsid w:val="002E5ACE"/>
    <w:rsid w:val="002E65BB"/>
    <w:rsid w:val="002E6752"/>
    <w:rsid w:val="002E6786"/>
    <w:rsid w:val="002E6ADA"/>
    <w:rsid w:val="002E728D"/>
    <w:rsid w:val="002E758E"/>
    <w:rsid w:val="002F075D"/>
    <w:rsid w:val="002F0C29"/>
    <w:rsid w:val="002F15C9"/>
    <w:rsid w:val="002F2377"/>
    <w:rsid w:val="002F2453"/>
    <w:rsid w:val="002F245A"/>
    <w:rsid w:val="002F2A0B"/>
    <w:rsid w:val="002F2C98"/>
    <w:rsid w:val="002F327A"/>
    <w:rsid w:val="002F3EDF"/>
    <w:rsid w:val="002F49C6"/>
    <w:rsid w:val="002F4D81"/>
    <w:rsid w:val="002F4E75"/>
    <w:rsid w:val="002F520E"/>
    <w:rsid w:val="002F59B1"/>
    <w:rsid w:val="002F612C"/>
    <w:rsid w:val="002F69DD"/>
    <w:rsid w:val="002F7080"/>
    <w:rsid w:val="002F74D6"/>
    <w:rsid w:val="002F7E52"/>
    <w:rsid w:val="00300001"/>
    <w:rsid w:val="003002A3"/>
    <w:rsid w:val="00300381"/>
    <w:rsid w:val="00300A1A"/>
    <w:rsid w:val="0030104E"/>
    <w:rsid w:val="003017E5"/>
    <w:rsid w:val="00302568"/>
    <w:rsid w:val="00302A0D"/>
    <w:rsid w:val="00302B10"/>
    <w:rsid w:val="00303331"/>
    <w:rsid w:val="003036AD"/>
    <w:rsid w:val="00303BB4"/>
    <w:rsid w:val="00303F46"/>
    <w:rsid w:val="003045FA"/>
    <w:rsid w:val="0030502F"/>
    <w:rsid w:val="0030562F"/>
    <w:rsid w:val="00305BEC"/>
    <w:rsid w:val="00305C7A"/>
    <w:rsid w:val="00305D6F"/>
    <w:rsid w:val="00306886"/>
    <w:rsid w:val="00306AB3"/>
    <w:rsid w:val="00307315"/>
    <w:rsid w:val="00307DC7"/>
    <w:rsid w:val="00310C60"/>
    <w:rsid w:val="00310FF9"/>
    <w:rsid w:val="00311031"/>
    <w:rsid w:val="00311489"/>
    <w:rsid w:val="00312139"/>
    <w:rsid w:val="003126A5"/>
    <w:rsid w:val="00313897"/>
    <w:rsid w:val="003143FB"/>
    <w:rsid w:val="00314A49"/>
    <w:rsid w:val="00314DEC"/>
    <w:rsid w:val="00314E90"/>
    <w:rsid w:val="00314EDB"/>
    <w:rsid w:val="00314F00"/>
    <w:rsid w:val="00315129"/>
    <w:rsid w:val="00315485"/>
    <w:rsid w:val="003156C0"/>
    <w:rsid w:val="003157D5"/>
    <w:rsid w:val="00315B77"/>
    <w:rsid w:val="003163A7"/>
    <w:rsid w:val="003168CE"/>
    <w:rsid w:val="00316905"/>
    <w:rsid w:val="00317201"/>
    <w:rsid w:val="00317AE6"/>
    <w:rsid w:val="00317D1D"/>
    <w:rsid w:val="00317FF9"/>
    <w:rsid w:val="003203FB"/>
    <w:rsid w:val="00320BBB"/>
    <w:rsid w:val="00320F7C"/>
    <w:rsid w:val="00321911"/>
    <w:rsid w:val="00321C90"/>
    <w:rsid w:val="00322FA2"/>
    <w:rsid w:val="00323BBE"/>
    <w:rsid w:val="0032460F"/>
    <w:rsid w:val="0032538C"/>
    <w:rsid w:val="003259E6"/>
    <w:rsid w:val="00325D00"/>
    <w:rsid w:val="00326283"/>
    <w:rsid w:val="00327BAB"/>
    <w:rsid w:val="00327EA8"/>
    <w:rsid w:val="00327F99"/>
    <w:rsid w:val="003302BC"/>
    <w:rsid w:val="003302C6"/>
    <w:rsid w:val="0033063D"/>
    <w:rsid w:val="00330E94"/>
    <w:rsid w:val="00331239"/>
    <w:rsid w:val="0033398A"/>
    <w:rsid w:val="00333D54"/>
    <w:rsid w:val="003347A1"/>
    <w:rsid w:val="00334B4E"/>
    <w:rsid w:val="00334C18"/>
    <w:rsid w:val="0033537E"/>
    <w:rsid w:val="00335566"/>
    <w:rsid w:val="00335572"/>
    <w:rsid w:val="00335734"/>
    <w:rsid w:val="00335915"/>
    <w:rsid w:val="00335C6E"/>
    <w:rsid w:val="00335E2B"/>
    <w:rsid w:val="0033611E"/>
    <w:rsid w:val="00336A12"/>
    <w:rsid w:val="003370D3"/>
    <w:rsid w:val="00337194"/>
    <w:rsid w:val="0033754D"/>
    <w:rsid w:val="0033794E"/>
    <w:rsid w:val="00337E21"/>
    <w:rsid w:val="00337EBF"/>
    <w:rsid w:val="0034021C"/>
    <w:rsid w:val="0034109F"/>
    <w:rsid w:val="00341308"/>
    <w:rsid w:val="003419E0"/>
    <w:rsid w:val="00341EBF"/>
    <w:rsid w:val="00342DE4"/>
    <w:rsid w:val="00342EDB"/>
    <w:rsid w:val="00342FDD"/>
    <w:rsid w:val="0034342E"/>
    <w:rsid w:val="003438B8"/>
    <w:rsid w:val="00343C7A"/>
    <w:rsid w:val="00343DF3"/>
    <w:rsid w:val="00343E4F"/>
    <w:rsid w:val="003442B6"/>
    <w:rsid w:val="00344301"/>
    <w:rsid w:val="003447E8"/>
    <w:rsid w:val="00345299"/>
    <w:rsid w:val="00345CC9"/>
    <w:rsid w:val="0034679E"/>
    <w:rsid w:val="00346976"/>
    <w:rsid w:val="00346C34"/>
    <w:rsid w:val="0034724D"/>
    <w:rsid w:val="00347283"/>
    <w:rsid w:val="00347A5E"/>
    <w:rsid w:val="00347D24"/>
    <w:rsid w:val="00350060"/>
    <w:rsid w:val="00350B94"/>
    <w:rsid w:val="00351940"/>
    <w:rsid w:val="00353DCD"/>
    <w:rsid w:val="003548C7"/>
    <w:rsid w:val="00354D5C"/>
    <w:rsid w:val="00354D8E"/>
    <w:rsid w:val="00354E76"/>
    <w:rsid w:val="00355AE7"/>
    <w:rsid w:val="00355D90"/>
    <w:rsid w:val="00355F51"/>
    <w:rsid w:val="00357471"/>
    <w:rsid w:val="003574A6"/>
    <w:rsid w:val="003605F4"/>
    <w:rsid w:val="00361592"/>
    <w:rsid w:val="00361E8E"/>
    <w:rsid w:val="003621BC"/>
    <w:rsid w:val="00362872"/>
    <w:rsid w:val="003628D4"/>
    <w:rsid w:val="00363206"/>
    <w:rsid w:val="003640B2"/>
    <w:rsid w:val="00364191"/>
    <w:rsid w:val="003644AF"/>
    <w:rsid w:val="0036469D"/>
    <w:rsid w:val="003648F1"/>
    <w:rsid w:val="00364D58"/>
    <w:rsid w:val="00365E11"/>
    <w:rsid w:val="003663E5"/>
    <w:rsid w:val="0036691C"/>
    <w:rsid w:val="00367CCE"/>
    <w:rsid w:val="00367FDE"/>
    <w:rsid w:val="00370876"/>
    <w:rsid w:val="00371049"/>
    <w:rsid w:val="0037125E"/>
    <w:rsid w:val="0037203B"/>
    <w:rsid w:val="00372E1B"/>
    <w:rsid w:val="003736B8"/>
    <w:rsid w:val="00373897"/>
    <w:rsid w:val="00373F05"/>
    <w:rsid w:val="00374190"/>
    <w:rsid w:val="003741FA"/>
    <w:rsid w:val="00374597"/>
    <w:rsid w:val="00374E1C"/>
    <w:rsid w:val="00375DAD"/>
    <w:rsid w:val="00376BBD"/>
    <w:rsid w:val="00377219"/>
    <w:rsid w:val="00377667"/>
    <w:rsid w:val="00377763"/>
    <w:rsid w:val="00377BF0"/>
    <w:rsid w:val="00380A65"/>
    <w:rsid w:val="00380A94"/>
    <w:rsid w:val="00380D92"/>
    <w:rsid w:val="00381CE5"/>
    <w:rsid w:val="0038245D"/>
    <w:rsid w:val="00382841"/>
    <w:rsid w:val="00382B86"/>
    <w:rsid w:val="003832A2"/>
    <w:rsid w:val="003835B7"/>
    <w:rsid w:val="00383A75"/>
    <w:rsid w:val="00383BB0"/>
    <w:rsid w:val="00383F32"/>
    <w:rsid w:val="0038438B"/>
    <w:rsid w:val="00384486"/>
    <w:rsid w:val="00384D67"/>
    <w:rsid w:val="00385A7E"/>
    <w:rsid w:val="00386708"/>
    <w:rsid w:val="00386796"/>
    <w:rsid w:val="003908D2"/>
    <w:rsid w:val="003909D1"/>
    <w:rsid w:val="00391EB2"/>
    <w:rsid w:val="00391ECD"/>
    <w:rsid w:val="00392C97"/>
    <w:rsid w:val="0039300A"/>
    <w:rsid w:val="00393202"/>
    <w:rsid w:val="003933CF"/>
    <w:rsid w:val="00393ADE"/>
    <w:rsid w:val="00394243"/>
    <w:rsid w:val="003945EE"/>
    <w:rsid w:val="0039535D"/>
    <w:rsid w:val="00395546"/>
    <w:rsid w:val="003957D2"/>
    <w:rsid w:val="00395947"/>
    <w:rsid w:val="00395B52"/>
    <w:rsid w:val="00395E5F"/>
    <w:rsid w:val="00395E8F"/>
    <w:rsid w:val="0039621B"/>
    <w:rsid w:val="003968D1"/>
    <w:rsid w:val="00396D2F"/>
    <w:rsid w:val="00396EB4"/>
    <w:rsid w:val="003973EC"/>
    <w:rsid w:val="003A0211"/>
    <w:rsid w:val="003A0696"/>
    <w:rsid w:val="003A16E7"/>
    <w:rsid w:val="003A19FB"/>
    <w:rsid w:val="003A2000"/>
    <w:rsid w:val="003A21FA"/>
    <w:rsid w:val="003A27BC"/>
    <w:rsid w:val="003A36E4"/>
    <w:rsid w:val="003A381B"/>
    <w:rsid w:val="003A3CA3"/>
    <w:rsid w:val="003A4D07"/>
    <w:rsid w:val="003A5ABA"/>
    <w:rsid w:val="003A5DBA"/>
    <w:rsid w:val="003A5E19"/>
    <w:rsid w:val="003A6118"/>
    <w:rsid w:val="003B0BD2"/>
    <w:rsid w:val="003B147C"/>
    <w:rsid w:val="003B1E5F"/>
    <w:rsid w:val="003B254D"/>
    <w:rsid w:val="003B2867"/>
    <w:rsid w:val="003B2D31"/>
    <w:rsid w:val="003B2ED5"/>
    <w:rsid w:val="003B3282"/>
    <w:rsid w:val="003B37A1"/>
    <w:rsid w:val="003B3C51"/>
    <w:rsid w:val="003B4A08"/>
    <w:rsid w:val="003B4B2E"/>
    <w:rsid w:val="003B4DA0"/>
    <w:rsid w:val="003B549F"/>
    <w:rsid w:val="003B5936"/>
    <w:rsid w:val="003B5E2E"/>
    <w:rsid w:val="003B5F2E"/>
    <w:rsid w:val="003B6AB2"/>
    <w:rsid w:val="003B7246"/>
    <w:rsid w:val="003B7D21"/>
    <w:rsid w:val="003C08CE"/>
    <w:rsid w:val="003C1097"/>
    <w:rsid w:val="003C1F6B"/>
    <w:rsid w:val="003C29A2"/>
    <w:rsid w:val="003C2C98"/>
    <w:rsid w:val="003C2F1C"/>
    <w:rsid w:val="003C36A6"/>
    <w:rsid w:val="003C3E1B"/>
    <w:rsid w:val="003C4105"/>
    <w:rsid w:val="003C4718"/>
    <w:rsid w:val="003C5B8F"/>
    <w:rsid w:val="003C60DB"/>
    <w:rsid w:val="003C6228"/>
    <w:rsid w:val="003C6575"/>
    <w:rsid w:val="003C65BF"/>
    <w:rsid w:val="003C6C96"/>
    <w:rsid w:val="003C6E6C"/>
    <w:rsid w:val="003C6FA1"/>
    <w:rsid w:val="003C72FE"/>
    <w:rsid w:val="003C766D"/>
    <w:rsid w:val="003C79EF"/>
    <w:rsid w:val="003C7A52"/>
    <w:rsid w:val="003D0211"/>
    <w:rsid w:val="003D139D"/>
    <w:rsid w:val="003D1651"/>
    <w:rsid w:val="003D188B"/>
    <w:rsid w:val="003D1F59"/>
    <w:rsid w:val="003D260D"/>
    <w:rsid w:val="003D2741"/>
    <w:rsid w:val="003D2C49"/>
    <w:rsid w:val="003D32C0"/>
    <w:rsid w:val="003D3C32"/>
    <w:rsid w:val="003D4049"/>
    <w:rsid w:val="003D4D79"/>
    <w:rsid w:val="003D5087"/>
    <w:rsid w:val="003D55BB"/>
    <w:rsid w:val="003D643D"/>
    <w:rsid w:val="003D6A4F"/>
    <w:rsid w:val="003D6AC1"/>
    <w:rsid w:val="003D6F55"/>
    <w:rsid w:val="003D6FD0"/>
    <w:rsid w:val="003D73F3"/>
    <w:rsid w:val="003D7975"/>
    <w:rsid w:val="003D7A45"/>
    <w:rsid w:val="003D7F18"/>
    <w:rsid w:val="003D7F5D"/>
    <w:rsid w:val="003E03BF"/>
    <w:rsid w:val="003E129B"/>
    <w:rsid w:val="003E1CC4"/>
    <w:rsid w:val="003E2197"/>
    <w:rsid w:val="003E2240"/>
    <w:rsid w:val="003E2F84"/>
    <w:rsid w:val="003E2FB3"/>
    <w:rsid w:val="003E4E2C"/>
    <w:rsid w:val="003E4F77"/>
    <w:rsid w:val="003E5B50"/>
    <w:rsid w:val="003E6587"/>
    <w:rsid w:val="003E6623"/>
    <w:rsid w:val="003E68CD"/>
    <w:rsid w:val="003E7033"/>
    <w:rsid w:val="003E732A"/>
    <w:rsid w:val="003E73C7"/>
    <w:rsid w:val="003E7657"/>
    <w:rsid w:val="003E7CC9"/>
    <w:rsid w:val="003F024C"/>
    <w:rsid w:val="003F0435"/>
    <w:rsid w:val="003F074F"/>
    <w:rsid w:val="003F0792"/>
    <w:rsid w:val="003F1984"/>
    <w:rsid w:val="003F233A"/>
    <w:rsid w:val="003F2A10"/>
    <w:rsid w:val="003F2A3D"/>
    <w:rsid w:val="003F2E89"/>
    <w:rsid w:val="003F2ED4"/>
    <w:rsid w:val="003F33B3"/>
    <w:rsid w:val="003F3539"/>
    <w:rsid w:val="003F3B36"/>
    <w:rsid w:val="003F3C37"/>
    <w:rsid w:val="003F3E0B"/>
    <w:rsid w:val="003F3FD0"/>
    <w:rsid w:val="003F4839"/>
    <w:rsid w:val="003F5027"/>
    <w:rsid w:val="003F5596"/>
    <w:rsid w:val="003F5AC5"/>
    <w:rsid w:val="003F5C92"/>
    <w:rsid w:val="003F6253"/>
    <w:rsid w:val="003F65D9"/>
    <w:rsid w:val="003F6CF4"/>
    <w:rsid w:val="003F758D"/>
    <w:rsid w:val="003F765A"/>
    <w:rsid w:val="003F7872"/>
    <w:rsid w:val="003F7B9A"/>
    <w:rsid w:val="004006A3"/>
    <w:rsid w:val="0040070E"/>
    <w:rsid w:val="0040082B"/>
    <w:rsid w:val="00400B3F"/>
    <w:rsid w:val="00400DFD"/>
    <w:rsid w:val="00400E15"/>
    <w:rsid w:val="00402218"/>
    <w:rsid w:val="0040301A"/>
    <w:rsid w:val="004042F3"/>
    <w:rsid w:val="00404497"/>
    <w:rsid w:val="00404849"/>
    <w:rsid w:val="004048FA"/>
    <w:rsid w:val="0040501A"/>
    <w:rsid w:val="00405859"/>
    <w:rsid w:val="0040616D"/>
    <w:rsid w:val="004061B1"/>
    <w:rsid w:val="004062CF"/>
    <w:rsid w:val="004066D1"/>
    <w:rsid w:val="00406AE5"/>
    <w:rsid w:val="00407377"/>
    <w:rsid w:val="0040785A"/>
    <w:rsid w:val="004079E0"/>
    <w:rsid w:val="00407A64"/>
    <w:rsid w:val="0041003D"/>
    <w:rsid w:val="0041196A"/>
    <w:rsid w:val="004125E1"/>
    <w:rsid w:val="0041267B"/>
    <w:rsid w:val="0041328B"/>
    <w:rsid w:val="004133F9"/>
    <w:rsid w:val="00413745"/>
    <w:rsid w:val="00413D4B"/>
    <w:rsid w:val="00413DE8"/>
    <w:rsid w:val="00414268"/>
    <w:rsid w:val="004148ED"/>
    <w:rsid w:val="00414B0C"/>
    <w:rsid w:val="00414CF9"/>
    <w:rsid w:val="00415C04"/>
    <w:rsid w:val="00416190"/>
    <w:rsid w:val="00416A49"/>
    <w:rsid w:val="00416D1A"/>
    <w:rsid w:val="00417EE3"/>
    <w:rsid w:val="004202E9"/>
    <w:rsid w:val="004209C5"/>
    <w:rsid w:val="004212F0"/>
    <w:rsid w:val="00421A29"/>
    <w:rsid w:val="00421CD7"/>
    <w:rsid w:val="00421F62"/>
    <w:rsid w:val="0042347F"/>
    <w:rsid w:val="00423598"/>
    <w:rsid w:val="00423DDE"/>
    <w:rsid w:val="00424272"/>
    <w:rsid w:val="0042429D"/>
    <w:rsid w:val="0042458D"/>
    <w:rsid w:val="00424AA9"/>
    <w:rsid w:val="00424B1C"/>
    <w:rsid w:val="00424B73"/>
    <w:rsid w:val="00424D26"/>
    <w:rsid w:val="00425787"/>
    <w:rsid w:val="00425BBE"/>
    <w:rsid w:val="00425DD0"/>
    <w:rsid w:val="00425F55"/>
    <w:rsid w:val="00426695"/>
    <w:rsid w:val="00426CF7"/>
    <w:rsid w:val="00427052"/>
    <w:rsid w:val="0042734D"/>
    <w:rsid w:val="0043006F"/>
    <w:rsid w:val="004303C9"/>
    <w:rsid w:val="004308D6"/>
    <w:rsid w:val="00430A79"/>
    <w:rsid w:val="00431550"/>
    <w:rsid w:val="00431DBA"/>
    <w:rsid w:val="00431DDC"/>
    <w:rsid w:val="004320BF"/>
    <w:rsid w:val="004321CB"/>
    <w:rsid w:val="0043296F"/>
    <w:rsid w:val="00432A2F"/>
    <w:rsid w:val="004330D5"/>
    <w:rsid w:val="004330E5"/>
    <w:rsid w:val="0043442B"/>
    <w:rsid w:val="00434456"/>
    <w:rsid w:val="0043486E"/>
    <w:rsid w:val="004355FB"/>
    <w:rsid w:val="00435B5F"/>
    <w:rsid w:val="00435BF1"/>
    <w:rsid w:val="004360A2"/>
    <w:rsid w:val="00436E82"/>
    <w:rsid w:val="00436EA7"/>
    <w:rsid w:val="004371E9"/>
    <w:rsid w:val="004374C7"/>
    <w:rsid w:val="0043761A"/>
    <w:rsid w:val="00437926"/>
    <w:rsid w:val="004379A8"/>
    <w:rsid w:val="00437A3B"/>
    <w:rsid w:val="00437D77"/>
    <w:rsid w:val="00437D9C"/>
    <w:rsid w:val="00440405"/>
    <w:rsid w:val="00440A45"/>
    <w:rsid w:val="00440D80"/>
    <w:rsid w:val="00441D14"/>
    <w:rsid w:val="00441F73"/>
    <w:rsid w:val="004421B4"/>
    <w:rsid w:val="00442610"/>
    <w:rsid w:val="00442A3E"/>
    <w:rsid w:val="00442BF1"/>
    <w:rsid w:val="00442C39"/>
    <w:rsid w:val="00442F7F"/>
    <w:rsid w:val="004435EF"/>
    <w:rsid w:val="0044373D"/>
    <w:rsid w:val="00443CB8"/>
    <w:rsid w:val="00443ED0"/>
    <w:rsid w:val="00444ECF"/>
    <w:rsid w:val="0044536D"/>
    <w:rsid w:val="00445504"/>
    <w:rsid w:val="00445770"/>
    <w:rsid w:val="00446433"/>
    <w:rsid w:val="00446CA4"/>
    <w:rsid w:val="004470FB"/>
    <w:rsid w:val="004473E4"/>
    <w:rsid w:val="004504F7"/>
    <w:rsid w:val="00450C23"/>
    <w:rsid w:val="004510A7"/>
    <w:rsid w:val="00451595"/>
    <w:rsid w:val="004518A8"/>
    <w:rsid w:val="00452369"/>
    <w:rsid w:val="00452454"/>
    <w:rsid w:val="00452488"/>
    <w:rsid w:val="00453760"/>
    <w:rsid w:val="00453ABD"/>
    <w:rsid w:val="00453E29"/>
    <w:rsid w:val="00453FF5"/>
    <w:rsid w:val="0045419F"/>
    <w:rsid w:val="004542BF"/>
    <w:rsid w:val="00454635"/>
    <w:rsid w:val="00454752"/>
    <w:rsid w:val="00454DBD"/>
    <w:rsid w:val="00455155"/>
    <w:rsid w:val="00455DDC"/>
    <w:rsid w:val="00456E8F"/>
    <w:rsid w:val="00457074"/>
    <w:rsid w:val="0046108F"/>
    <w:rsid w:val="0046177D"/>
    <w:rsid w:val="00461B2A"/>
    <w:rsid w:val="0046235C"/>
    <w:rsid w:val="00462538"/>
    <w:rsid w:val="00462915"/>
    <w:rsid w:val="00462F28"/>
    <w:rsid w:val="00462F4E"/>
    <w:rsid w:val="00462FE4"/>
    <w:rsid w:val="00463517"/>
    <w:rsid w:val="004637D6"/>
    <w:rsid w:val="00463B8A"/>
    <w:rsid w:val="004642DB"/>
    <w:rsid w:val="00464509"/>
    <w:rsid w:val="004647ED"/>
    <w:rsid w:val="00464D89"/>
    <w:rsid w:val="00465438"/>
    <w:rsid w:val="0046556F"/>
    <w:rsid w:val="00466629"/>
    <w:rsid w:val="00466A3B"/>
    <w:rsid w:val="00467228"/>
    <w:rsid w:val="0046766F"/>
    <w:rsid w:val="00467BED"/>
    <w:rsid w:val="00467D08"/>
    <w:rsid w:val="00470358"/>
    <w:rsid w:val="004706E4"/>
    <w:rsid w:val="004707AB"/>
    <w:rsid w:val="00470D63"/>
    <w:rsid w:val="00472BEE"/>
    <w:rsid w:val="00473467"/>
    <w:rsid w:val="00473959"/>
    <w:rsid w:val="00473E66"/>
    <w:rsid w:val="004747B1"/>
    <w:rsid w:val="00474A0E"/>
    <w:rsid w:val="00475FFF"/>
    <w:rsid w:val="0047606F"/>
    <w:rsid w:val="0047608F"/>
    <w:rsid w:val="00476255"/>
    <w:rsid w:val="00476850"/>
    <w:rsid w:val="00476925"/>
    <w:rsid w:val="00476C79"/>
    <w:rsid w:val="00480CAA"/>
    <w:rsid w:val="00480FB3"/>
    <w:rsid w:val="00481792"/>
    <w:rsid w:val="00481FAF"/>
    <w:rsid w:val="004821FF"/>
    <w:rsid w:val="00482670"/>
    <w:rsid w:val="00482D91"/>
    <w:rsid w:val="00482ED2"/>
    <w:rsid w:val="00483063"/>
    <w:rsid w:val="00483667"/>
    <w:rsid w:val="00483F36"/>
    <w:rsid w:val="00485200"/>
    <w:rsid w:val="00485A91"/>
    <w:rsid w:val="00486185"/>
    <w:rsid w:val="00486531"/>
    <w:rsid w:val="004865EB"/>
    <w:rsid w:val="00486C00"/>
    <w:rsid w:val="004877AD"/>
    <w:rsid w:val="00487A11"/>
    <w:rsid w:val="00487BE0"/>
    <w:rsid w:val="0049047E"/>
    <w:rsid w:val="00490EBA"/>
    <w:rsid w:val="004911C3"/>
    <w:rsid w:val="004914E1"/>
    <w:rsid w:val="004918A0"/>
    <w:rsid w:val="0049195A"/>
    <w:rsid w:val="0049237D"/>
    <w:rsid w:val="00492A22"/>
    <w:rsid w:val="00492BB1"/>
    <w:rsid w:val="00492F43"/>
    <w:rsid w:val="00493093"/>
    <w:rsid w:val="00493320"/>
    <w:rsid w:val="004938F3"/>
    <w:rsid w:val="004938F8"/>
    <w:rsid w:val="00493B39"/>
    <w:rsid w:val="004948BE"/>
    <w:rsid w:val="00494C4D"/>
    <w:rsid w:val="00494C5A"/>
    <w:rsid w:val="004953EE"/>
    <w:rsid w:val="0049574F"/>
    <w:rsid w:val="00495B74"/>
    <w:rsid w:val="00495C21"/>
    <w:rsid w:val="00495C36"/>
    <w:rsid w:val="00495CB4"/>
    <w:rsid w:val="0049668F"/>
    <w:rsid w:val="00496761"/>
    <w:rsid w:val="00496F22"/>
    <w:rsid w:val="00496F95"/>
    <w:rsid w:val="0049729D"/>
    <w:rsid w:val="00497F7D"/>
    <w:rsid w:val="004A19C5"/>
    <w:rsid w:val="004A2AED"/>
    <w:rsid w:val="004A2F3F"/>
    <w:rsid w:val="004A3A35"/>
    <w:rsid w:val="004A3AEE"/>
    <w:rsid w:val="004A3D25"/>
    <w:rsid w:val="004A3F75"/>
    <w:rsid w:val="004A4E43"/>
    <w:rsid w:val="004A5352"/>
    <w:rsid w:val="004A58FD"/>
    <w:rsid w:val="004A5C64"/>
    <w:rsid w:val="004A6A0C"/>
    <w:rsid w:val="004A6ED9"/>
    <w:rsid w:val="004A6EFF"/>
    <w:rsid w:val="004A74B5"/>
    <w:rsid w:val="004A784A"/>
    <w:rsid w:val="004B08C2"/>
    <w:rsid w:val="004B123A"/>
    <w:rsid w:val="004B124A"/>
    <w:rsid w:val="004B19DF"/>
    <w:rsid w:val="004B22D4"/>
    <w:rsid w:val="004B235A"/>
    <w:rsid w:val="004B23E2"/>
    <w:rsid w:val="004B2693"/>
    <w:rsid w:val="004B2A7A"/>
    <w:rsid w:val="004B2B00"/>
    <w:rsid w:val="004B2CFD"/>
    <w:rsid w:val="004B2F1E"/>
    <w:rsid w:val="004B3BB9"/>
    <w:rsid w:val="004B439C"/>
    <w:rsid w:val="004B4B8E"/>
    <w:rsid w:val="004B55B9"/>
    <w:rsid w:val="004B5BAE"/>
    <w:rsid w:val="004B5EBF"/>
    <w:rsid w:val="004B6330"/>
    <w:rsid w:val="004B65AC"/>
    <w:rsid w:val="004B7337"/>
    <w:rsid w:val="004B7468"/>
    <w:rsid w:val="004B77B3"/>
    <w:rsid w:val="004C012B"/>
    <w:rsid w:val="004C0430"/>
    <w:rsid w:val="004C0B3E"/>
    <w:rsid w:val="004C1C4F"/>
    <w:rsid w:val="004C27A4"/>
    <w:rsid w:val="004C314C"/>
    <w:rsid w:val="004C37AE"/>
    <w:rsid w:val="004C48DA"/>
    <w:rsid w:val="004C4D10"/>
    <w:rsid w:val="004C4F6F"/>
    <w:rsid w:val="004C503B"/>
    <w:rsid w:val="004C587D"/>
    <w:rsid w:val="004C60C7"/>
    <w:rsid w:val="004C672F"/>
    <w:rsid w:val="004C6D66"/>
    <w:rsid w:val="004C7951"/>
    <w:rsid w:val="004C79D5"/>
    <w:rsid w:val="004C7C08"/>
    <w:rsid w:val="004D0C6B"/>
    <w:rsid w:val="004D0D8E"/>
    <w:rsid w:val="004D0F8A"/>
    <w:rsid w:val="004D1D9B"/>
    <w:rsid w:val="004D1FE5"/>
    <w:rsid w:val="004D207B"/>
    <w:rsid w:val="004D23AD"/>
    <w:rsid w:val="004D2AC9"/>
    <w:rsid w:val="004D2B74"/>
    <w:rsid w:val="004D3400"/>
    <w:rsid w:val="004D37CD"/>
    <w:rsid w:val="004D38F8"/>
    <w:rsid w:val="004D3C1B"/>
    <w:rsid w:val="004D42A4"/>
    <w:rsid w:val="004D4C77"/>
    <w:rsid w:val="004D594D"/>
    <w:rsid w:val="004D59A1"/>
    <w:rsid w:val="004D68BF"/>
    <w:rsid w:val="004D7460"/>
    <w:rsid w:val="004D7F91"/>
    <w:rsid w:val="004D7FDD"/>
    <w:rsid w:val="004E02D0"/>
    <w:rsid w:val="004E03BC"/>
    <w:rsid w:val="004E2000"/>
    <w:rsid w:val="004E24B2"/>
    <w:rsid w:val="004E2FF1"/>
    <w:rsid w:val="004E30CA"/>
    <w:rsid w:val="004E400F"/>
    <w:rsid w:val="004E4DAA"/>
    <w:rsid w:val="004E55B2"/>
    <w:rsid w:val="004E5C12"/>
    <w:rsid w:val="004E5E4A"/>
    <w:rsid w:val="004E6424"/>
    <w:rsid w:val="004E7060"/>
    <w:rsid w:val="004E71C9"/>
    <w:rsid w:val="004E74FA"/>
    <w:rsid w:val="004E7CBF"/>
    <w:rsid w:val="004F0222"/>
    <w:rsid w:val="004F02F6"/>
    <w:rsid w:val="004F122B"/>
    <w:rsid w:val="004F1CEA"/>
    <w:rsid w:val="004F2215"/>
    <w:rsid w:val="004F22E4"/>
    <w:rsid w:val="004F2562"/>
    <w:rsid w:val="004F2E20"/>
    <w:rsid w:val="004F30E0"/>
    <w:rsid w:val="004F345F"/>
    <w:rsid w:val="004F3595"/>
    <w:rsid w:val="004F3E26"/>
    <w:rsid w:val="004F4875"/>
    <w:rsid w:val="004F677C"/>
    <w:rsid w:val="004F6F74"/>
    <w:rsid w:val="004F7077"/>
    <w:rsid w:val="005000E5"/>
    <w:rsid w:val="00500593"/>
    <w:rsid w:val="0050075B"/>
    <w:rsid w:val="00501B98"/>
    <w:rsid w:val="0050210C"/>
    <w:rsid w:val="00502283"/>
    <w:rsid w:val="0050231A"/>
    <w:rsid w:val="0050339F"/>
    <w:rsid w:val="005034C1"/>
    <w:rsid w:val="005035CA"/>
    <w:rsid w:val="0050377D"/>
    <w:rsid w:val="005058F4"/>
    <w:rsid w:val="00505D17"/>
    <w:rsid w:val="00505F4F"/>
    <w:rsid w:val="0050611F"/>
    <w:rsid w:val="005062EF"/>
    <w:rsid w:val="00506672"/>
    <w:rsid w:val="0050696C"/>
    <w:rsid w:val="00506983"/>
    <w:rsid w:val="00506B8B"/>
    <w:rsid w:val="00506EA0"/>
    <w:rsid w:val="00507684"/>
    <w:rsid w:val="00507798"/>
    <w:rsid w:val="00507A80"/>
    <w:rsid w:val="0051003B"/>
    <w:rsid w:val="005104F1"/>
    <w:rsid w:val="0051075A"/>
    <w:rsid w:val="00510D22"/>
    <w:rsid w:val="0051114C"/>
    <w:rsid w:val="005112A8"/>
    <w:rsid w:val="0051244C"/>
    <w:rsid w:val="00512ABD"/>
    <w:rsid w:val="00513573"/>
    <w:rsid w:val="00513A04"/>
    <w:rsid w:val="00513E04"/>
    <w:rsid w:val="00514051"/>
    <w:rsid w:val="005141CF"/>
    <w:rsid w:val="0051510D"/>
    <w:rsid w:val="005154A4"/>
    <w:rsid w:val="00515857"/>
    <w:rsid w:val="00515F11"/>
    <w:rsid w:val="00516325"/>
    <w:rsid w:val="00516354"/>
    <w:rsid w:val="00516383"/>
    <w:rsid w:val="00517363"/>
    <w:rsid w:val="005204A6"/>
    <w:rsid w:val="00520891"/>
    <w:rsid w:val="005211F5"/>
    <w:rsid w:val="00522226"/>
    <w:rsid w:val="00522915"/>
    <w:rsid w:val="00522BBE"/>
    <w:rsid w:val="00522F10"/>
    <w:rsid w:val="00523331"/>
    <w:rsid w:val="00523F33"/>
    <w:rsid w:val="00524805"/>
    <w:rsid w:val="00525015"/>
    <w:rsid w:val="00525482"/>
    <w:rsid w:val="00525A81"/>
    <w:rsid w:val="0052603D"/>
    <w:rsid w:val="005264A9"/>
    <w:rsid w:val="00526847"/>
    <w:rsid w:val="00526880"/>
    <w:rsid w:val="00526B42"/>
    <w:rsid w:val="005272D7"/>
    <w:rsid w:val="00527673"/>
    <w:rsid w:val="00527C27"/>
    <w:rsid w:val="00530254"/>
    <w:rsid w:val="00532318"/>
    <w:rsid w:val="0053269D"/>
    <w:rsid w:val="00532DAD"/>
    <w:rsid w:val="00532E14"/>
    <w:rsid w:val="00533115"/>
    <w:rsid w:val="00533762"/>
    <w:rsid w:val="00533872"/>
    <w:rsid w:val="00534288"/>
    <w:rsid w:val="005346BB"/>
    <w:rsid w:val="00535648"/>
    <w:rsid w:val="00535AE9"/>
    <w:rsid w:val="005360D9"/>
    <w:rsid w:val="005360DD"/>
    <w:rsid w:val="0053623D"/>
    <w:rsid w:val="00537305"/>
    <w:rsid w:val="00537A16"/>
    <w:rsid w:val="00537A9D"/>
    <w:rsid w:val="00540526"/>
    <w:rsid w:val="005417F4"/>
    <w:rsid w:val="005422E0"/>
    <w:rsid w:val="00542BBA"/>
    <w:rsid w:val="005432CF"/>
    <w:rsid w:val="0054353D"/>
    <w:rsid w:val="00543954"/>
    <w:rsid w:val="00543B48"/>
    <w:rsid w:val="00543D9E"/>
    <w:rsid w:val="0054472E"/>
    <w:rsid w:val="00544AD7"/>
    <w:rsid w:val="00544C8A"/>
    <w:rsid w:val="00545AAA"/>
    <w:rsid w:val="00546B39"/>
    <w:rsid w:val="00546C0F"/>
    <w:rsid w:val="00546D9C"/>
    <w:rsid w:val="005472AB"/>
    <w:rsid w:val="00547DEA"/>
    <w:rsid w:val="0055096A"/>
    <w:rsid w:val="00550DC5"/>
    <w:rsid w:val="00551571"/>
    <w:rsid w:val="005519ED"/>
    <w:rsid w:val="005519F6"/>
    <w:rsid w:val="00551AE3"/>
    <w:rsid w:val="00551D64"/>
    <w:rsid w:val="00551FD4"/>
    <w:rsid w:val="005524AA"/>
    <w:rsid w:val="00552543"/>
    <w:rsid w:val="00552D05"/>
    <w:rsid w:val="00552DFF"/>
    <w:rsid w:val="00552FB9"/>
    <w:rsid w:val="005533C0"/>
    <w:rsid w:val="00554149"/>
    <w:rsid w:val="00554C4F"/>
    <w:rsid w:val="0055506D"/>
    <w:rsid w:val="005553DB"/>
    <w:rsid w:val="0055553B"/>
    <w:rsid w:val="0055570D"/>
    <w:rsid w:val="00555B41"/>
    <w:rsid w:val="00555D54"/>
    <w:rsid w:val="005563F5"/>
    <w:rsid w:val="005569D6"/>
    <w:rsid w:val="00556AD4"/>
    <w:rsid w:val="00556BA1"/>
    <w:rsid w:val="00557739"/>
    <w:rsid w:val="0055782C"/>
    <w:rsid w:val="0055782F"/>
    <w:rsid w:val="00557F39"/>
    <w:rsid w:val="00560268"/>
    <w:rsid w:val="005605EA"/>
    <w:rsid w:val="00560B84"/>
    <w:rsid w:val="00560C87"/>
    <w:rsid w:val="00560D57"/>
    <w:rsid w:val="00561963"/>
    <w:rsid w:val="00562F1C"/>
    <w:rsid w:val="005633CB"/>
    <w:rsid w:val="005635C6"/>
    <w:rsid w:val="005638AA"/>
    <w:rsid w:val="00563982"/>
    <w:rsid w:val="00563CCE"/>
    <w:rsid w:val="0056435C"/>
    <w:rsid w:val="0056467D"/>
    <w:rsid w:val="00564F19"/>
    <w:rsid w:val="00565BC8"/>
    <w:rsid w:val="0056611A"/>
    <w:rsid w:val="0056691F"/>
    <w:rsid w:val="005676F5"/>
    <w:rsid w:val="00567749"/>
    <w:rsid w:val="00567A94"/>
    <w:rsid w:val="00567D2F"/>
    <w:rsid w:val="00570C84"/>
    <w:rsid w:val="00570EFC"/>
    <w:rsid w:val="0057240C"/>
    <w:rsid w:val="00572809"/>
    <w:rsid w:val="00573459"/>
    <w:rsid w:val="00573BDF"/>
    <w:rsid w:val="00573EF1"/>
    <w:rsid w:val="005742D5"/>
    <w:rsid w:val="00574BA5"/>
    <w:rsid w:val="00574E4A"/>
    <w:rsid w:val="00574FA5"/>
    <w:rsid w:val="00575D25"/>
    <w:rsid w:val="005761A5"/>
    <w:rsid w:val="0057642A"/>
    <w:rsid w:val="0057687E"/>
    <w:rsid w:val="00576CDE"/>
    <w:rsid w:val="005772D0"/>
    <w:rsid w:val="005773FE"/>
    <w:rsid w:val="00577733"/>
    <w:rsid w:val="005777E7"/>
    <w:rsid w:val="00577AF0"/>
    <w:rsid w:val="0058041F"/>
    <w:rsid w:val="00580C4F"/>
    <w:rsid w:val="0058138E"/>
    <w:rsid w:val="0058202E"/>
    <w:rsid w:val="00582E56"/>
    <w:rsid w:val="00582EB4"/>
    <w:rsid w:val="00582F11"/>
    <w:rsid w:val="005838BC"/>
    <w:rsid w:val="00583932"/>
    <w:rsid w:val="00583D11"/>
    <w:rsid w:val="00584229"/>
    <w:rsid w:val="00584A97"/>
    <w:rsid w:val="00585539"/>
    <w:rsid w:val="00585FA3"/>
    <w:rsid w:val="00585FD0"/>
    <w:rsid w:val="00586084"/>
    <w:rsid w:val="0058662C"/>
    <w:rsid w:val="00586E94"/>
    <w:rsid w:val="005870BD"/>
    <w:rsid w:val="005873CE"/>
    <w:rsid w:val="0058794F"/>
    <w:rsid w:val="0059033A"/>
    <w:rsid w:val="00590DF2"/>
    <w:rsid w:val="00591791"/>
    <w:rsid w:val="005918F7"/>
    <w:rsid w:val="00591DA0"/>
    <w:rsid w:val="00591ED0"/>
    <w:rsid w:val="00591FAC"/>
    <w:rsid w:val="00592E9E"/>
    <w:rsid w:val="00592EB4"/>
    <w:rsid w:val="0059376D"/>
    <w:rsid w:val="00594389"/>
    <w:rsid w:val="00594525"/>
    <w:rsid w:val="0059469B"/>
    <w:rsid w:val="005951B4"/>
    <w:rsid w:val="00595203"/>
    <w:rsid w:val="005952A9"/>
    <w:rsid w:val="00596007"/>
    <w:rsid w:val="005966AF"/>
    <w:rsid w:val="00596799"/>
    <w:rsid w:val="00597152"/>
    <w:rsid w:val="00597748"/>
    <w:rsid w:val="0059780F"/>
    <w:rsid w:val="00597BC0"/>
    <w:rsid w:val="00597C3C"/>
    <w:rsid w:val="005A05F5"/>
    <w:rsid w:val="005A150E"/>
    <w:rsid w:val="005A16EF"/>
    <w:rsid w:val="005A1864"/>
    <w:rsid w:val="005A1AE9"/>
    <w:rsid w:val="005A1C5D"/>
    <w:rsid w:val="005A1C88"/>
    <w:rsid w:val="005A26BE"/>
    <w:rsid w:val="005A2A8C"/>
    <w:rsid w:val="005A2F36"/>
    <w:rsid w:val="005A4BBD"/>
    <w:rsid w:val="005A515D"/>
    <w:rsid w:val="005A5806"/>
    <w:rsid w:val="005A5880"/>
    <w:rsid w:val="005A59F3"/>
    <w:rsid w:val="005A61C7"/>
    <w:rsid w:val="005A6322"/>
    <w:rsid w:val="005A6392"/>
    <w:rsid w:val="005A7057"/>
    <w:rsid w:val="005A7218"/>
    <w:rsid w:val="005A788E"/>
    <w:rsid w:val="005B06A9"/>
    <w:rsid w:val="005B08EC"/>
    <w:rsid w:val="005B0984"/>
    <w:rsid w:val="005B0CDF"/>
    <w:rsid w:val="005B0D41"/>
    <w:rsid w:val="005B1076"/>
    <w:rsid w:val="005B1A61"/>
    <w:rsid w:val="005B1D9F"/>
    <w:rsid w:val="005B1DD8"/>
    <w:rsid w:val="005B228B"/>
    <w:rsid w:val="005B2595"/>
    <w:rsid w:val="005B2D6F"/>
    <w:rsid w:val="005B2DB9"/>
    <w:rsid w:val="005B322B"/>
    <w:rsid w:val="005B3267"/>
    <w:rsid w:val="005B32CC"/>
    <w:rsid w:val="005B3D54"/>
    <w:rsid w:val="005B443D"/>
    <w:rsid w:val="005B4A58"/>
    <w:rsid w:val="005B4CAE"/>
    <w:rsid w:val="005B50B4"/>
    <w:rsid w:val="005B6135"/>
    <w:rsid w:val="005B6E69"/>
    <w:rsid w:val="005B7FB1"/>
    <w:rsid w:val="005C0000"/>
    <w:rsid w:val="005C02B2"/>
    <w:rsid w:val="005C03EF"/>
    <w:rsid w:val="005C0476"/>
    <w:rsid w:val="005C1A30"/>
    <w:rsid w:val="005C1D97"/>
    <w:rsid w:val="005C2347"/>
    <w:rsid w:val="005C2B37"/>
    <w:rsid w:val="005C2F32"/>
    <w:rsid w:val="005C336F"/>
    <w:rsid w:val="005C344B"/>
    <w:rsid w:val="005C3BDE"/>
    <w:rsid w:val="005C3C43"/>
    <w:rsid w:val="005C4019"/>
    <w:rsid w:val="005C40F2"/>
    <w:rsid w:val="005C4801"/>
    <w:rsid w:val="005C4DEF"/>
    <w:rsid w:val="005C7AFA"/>
    <w:rsid w:val="005C7F9F"/>
    <w:rsid w:val="005D0BC8"/>
    <w:rsid w:val="005D0FC6"/>
    <w:rsid w:val="005D1695"/>
    <w:rsid w:val="005D194C"/>
    <w:rsid w:val="005D289B"/>
    <w:rsid w:val="005D2FA3"/>
    <w:rsid w:val="005D331D"/>
    <w:rsid w:val="005D3652"/>
    <w:rsid w:val="005D3F62"/>
    <w:rsid w:val="005D413E"/>
    <w:rsid w:val="005D4A6B"/>
    <w:rsid w:val="005D575E"/>
    <w:rsid w:val="005D5BB7"/>
    <w:rsid w:val="005D66F5"/>
    <w:rsid w:val="005E0470"/>
    <w:rsid w:val="005E0CAA"/>
    <w:rsid w:val="005E0F72"/>
    <w:rsid w:val="005E1EB9"/>
    <w:rsid w:val="005E20E1"/>
    <w:rsid w:val="005E2937"/>
    <w:rsid w:val="005E2B63"/>
    <w:rsid w:val="005E2D07"/>
    <w:rsid w:val="005E304E"/>
    <w:rsid w:val="005E51BA"/>
    <w:rsid w:val="005E5566"/>
    <w:rsid w:val="005E600B"/>
    <w:rsid w:val="005E61B0"/>
    <w:rsid w:val="005E63CF"/>
    <w:rsid w:val="005E6641"/>
    <w:rsid w:val="005E67F9"/>
    <w:rsid w:val="005E68C3"/>
    <w:rsid w:val="005E6999"/>
    <w:rsid w:val="005E69AF"/>
    <w:rsid w:val="005E7459"/>
    <w:rsid w:val="005E7714"/>
    <w:rsid w:val="005F01F2"/>
    <w:rsid w:val="005F0524"/>
    <w:rsid w:val="005F0A1D"/>
    <w:rsid w:val="005F0D74"/>
    <w:rsid w:val="005F28A1"/>
    <w:rsid w:val="005F29ED"/>
    <w:rsid w:val="005F2C5B"/>
    <w:rsid w:val="005F2C95"/>
    <w:rsid w:val="005F2DB8"/>
    <w:rsid w:val="005F2FCA"/>
    <w:rsid w:val="005F2FF7"/>
    <w:rsid w:val="005F3F39"/>
    <w:rsid w:val="005F48FE"/>
    <w:rsid w:val="005F4934"/>
    <w:rsid w:val="005F56DB"/>
    <w:rsid w:val="005F5A02"/>
    <w:rsid w:val="005F5E9F"/>
    <w:rsid w:val="005F64A1"/>
    <w:rsid w:val="005F668E"/>
    <w:rsid w:val="005F672B"/>
    <w:rsid w:val="005F6BC7"/>
    <w:rsid w:val="005F6ED5"/>
    <w:rsid w:val="005F6F46"/>
    <w:rsid w:val="005F707F"/>
    <w:rsid w:val="005F73EB"/>
    <w:rsid w:val="005F7569"/>
    <w:rsid w:val="005F7CC2"/>
    <w:rsid w:val="005F7F39"/>
    <w:rsid w:val="00600616"/>
    <w:rsid w:val="006008B2"/>
    <w:rsid w:val="00600AB0"/>
    <w:rsid w:val="00601185"/>
    <w:rsid w:val="0060165A"/>
    <w:rsid w:val="00601743"/>
    <w:rsid w:val="00601AED"/>
    <w:rsid w:val="00601B32"/>
    <w:rsid w:val="00601D48"/>
    <w:rsid w:val="00601F6A"/>
    <w:rsid w:val="0060284B"/>
    <w:rsid w:val="00602E2F"/>
    <w:rsid w:val="00603077"/>
    <w:rsid w:val="006034DF"/>
    <w:rsid w:val="00603AEE"/>
    <w:rsid w:val="00603B64"/>
    <w:rsid w:val="00604CAD"/>
    <w:rsid w:val="00605650"/>
    <w:rsid w:val="00605D03"/>
    <w:rsid w:val="00605FD5"/>
    <w:rsid w:val="006062BD"/>
    <w:rsid w:val="0060657F"/>
    <w:rsid w:val="00606D43"/>
    <w:rsid w:val="00606EA2"/>
    <w:rsid w:val="006072CA"/>
    <w:rsid w:val="006076BD"/>
    <w:rsid w:val="00607E79"/>
    <w:rsid w:val="006101A9"/>
    <w:rsid w:val="00610309"/>
    <w:rsid w:val="006117CB"/>
    <w:rsid w:val="00611915"/>
    <w:rsid w:val="00611F17"/>
    <w:rsid w:val="00612274"/>
    <w:rsid w:val="00612275"/>
    <w:rsid w:val="006129DD"/>
    <w:rsid w:val="006134B6"/>
    <w:rsid w:val="00613F31"/>
    <w:rsid w:val="00614445"/>
    <w:rsid w:val="00614449"/>
    <w:rsid w:val="0061454E"/>
    <w:rsid w:val="0061492C"/>
    <w:rsid w:val="006150C5"/>
    <w:rsid w:val="006154BF"/>
    <w:rsid w:val="00615EDC"/>
    <w:rsid w:val="00616839"/>
    <w:rsid w:val="00616ADD"/>
    <w:rsid w:val="00616F0D"/>
    <w:rsid w:val="0061756A"/>
    <w:rsid w:val="00620002"/>
    <w:rsid w:val="006206AA"/>
    <w:rsid w:val="00620BBF"/>
    <w:rsid w:val="00621133"/>
    <w:rsid w:val="006215EB"/>
    <w:rsid w:val="00622764"/>
    <w:rsid w:val="00622C10"/>
    <w:rsid w:val="006235D4"/>
    <w:rsid w:val="00624AD6"/>
    <w:rsid w:val="00625BB9"/>
    <w:rsid w:val="00625CF1"/>
    <w:rsid w:val="00626443"/>
    <w:rsid w:val="006269D4"/>
    <w:rsid w:val="00627137"/>
    <w:rsid w:val="006275DC"/>
    <w:rsid w:val="00627C46"/>
    <w:rsid w:val="006300D9"/>
    <w:rsid w:val="00630144"/>
    <w:rsid w:val="00630532"/>
    <w:rsid w:val="00630577"/>
    <w:rsid w:val="00630FA1"/>
    <w:rsid w:val="00630FE6"/>
    <w:rsid w:val="006317CE"/>
    <w:rsid w:val="0063198C"/>
    <w:rsid w:val="00631D8A"/>
    <w:rsid w:val="00632B4B"/>
    <w:rsid w:val="00633259"/>
    <w:rsid w:val="006334A2"/>
    <w:rsid w:val="00633869"/>
    <w:rsid w:val="006338B2"/>
    <w:rsid w:val="00633AC9"/>
    <w:rsid w:val="00634035"/>
    <w:rsid w:val="00636187"/>
    <w:rsid w:val="00636211"/>
    <w:rsid w:val="006364E1"/>
    <w:rsid w:val="0063660B"/>
    <w:rsid w:val="00636B09"/>
    <w:rsid w:val="00636D1A"/>
    <w:rsid w:val="0063717F"/>
    <w:rsid w:val="00637425"/>
    <w:rsid w:val="00641059"/>
    <w:rsid w:val="00642C44"/>
    <w:rsid w:val="00642DF1"/>
    <w:rsid w:val="006433FF"/>
    <w:rsid w:val="00643F07"/>
    <w:rsid w:val="00643FEE"/>
    <w:rsid w:val="006444BA"/>
    <w:rsid w:val="00644694"/>
    <w:rsid w:val="0064522B"/>
    <w:rsid w:val="006462EF"/>
    <w:rsid w:val="0064634C"/>
    <w:rsid w:val="006465FC"/>
    <w:rsid w:val="00646E2C"/>
    <w:rsid w:val="006470EA"/>
    <w:rsid w:val="006471BE"/>
    <w:rsid w:val="006474E6"/>
    <w:rsid w:val="006475EF"/>
    <w:rsid w:val="00647F8C"/>
    <w:rsid w:val="00650A51"/>
    <w:rsid w:val="00652682"/>
    <w:rsid w:val="006530BF"/>
    <w:rsid w:val="00656279"/>
    <w:rsid w:val="006566D2"/>
    <w:rsid w:val="00656B9F"/>
    <w:rsid w:val="00656C48"/>
    <w:rsid w:val="00656CB8"/>
    <w:rsid w:val="00656E1D"/>
    <w:rsid w:val="00657547"/>
    <w:rsid w:val="00657ADB"/>
    <w:rsid w:val="00657DE2"/>
    <w:rsid w:val="00657E40"/>
    <w:rsid w:val="00660115"/>
    <w:rsid w:val="006606D1"/>
    <w:rsid w:val="00660956"/>
    <w:rsid w:val="0066096F"/>
    <w:rsid w:val="00660F90"/>
    <w:rsid w:val="00661906"/>
    <w:rsid w:val="0066195E"/>
    <w:rsid w:val="00662071"/>
    <w:rsid w:val="00662568"/>
    <w:rsid w:val="00662606"/>
    <w:rsid w:val="00662971"/>
    <w:rsid w:val="00662F4C"/>
    <w:rsid w:val="00663555"/>
    <w:rsid w:val="00663EA4"/>
    <w:rsid w:val="006642A6"/>
    <w:rsid w:val="00664E26"/>
    <w:rsid w:val="00666B98"/>
    <w:rsid w:val="00666C7D"/>
    <w:rsid w:val="00666CC6"/>
    <w:rsid w:val="0066706E"/>
    <w:rsid w:val="00667336"/>
    <w:rsid w:val="006673C7"/>
    <w:rsid w:val="00667609"/>
    <w:rsid w:val="0066760E"/>
    <w:rsid w:val="00667CF1"/>
    <w:rsid w:val="00670A96"/>
    <w:rsid w:val="00671132"/>
    <w:rsid w:val="00672553"/>
    <w:rsid w:val="00672907"/>
    <w:rsid w:val="0067370D"/>
    <w:rsid w:val="00673B03"/>
    <w:rsid w:val="00674684"/>
    <w:rsid w:val="006746CB"/>
    <w:rsid w:val="00674BC5"/>
    <w:rsid w:val="0067507D"/>
    <w:rsid w:val="006751B7"/>
    <w:rsid w:val="006757BC"/>
    <w:rsid w:val="00675B74"/>
    <w:rsid w:val="0067693D"/>
    <w:rsid w:val="00676D27"/>
    <w:rsid w:val="00676E0E"/>
    <w:rsid w:val="00677019"/>
    <w:rsid w:val="00677B41"/>
    <w:rsid w:val="00680650"/>
    <w:rsid w:val="00681725"/>
    <w:rsid w:val="00682A89"/>
    <w:rsid w:val="00682D1B"/>
    <w:rsid w:val="006833F7"/>
    <w:rsid w:val="00683B7A"/>
    <w:rsid w:val="00683B9C"/>
    <w:rsid w:val="00683CBA"/>
    <w:rsid w:val="00683FD6"/>
    <w:rsid w:val="00684495"/>
    <w:rsid w:val="00684E5E"/>
    <w:rsid w:val="00685493"/>
    <w:rsid w:val="006854A4"/>
    <w:rsid w:val="00685991"/>
    <w:rsid w:val="00685EEB"/>
    <w:rsid w:val="00687769"/>
    <w:rsid w:val="006878AB"/>
    <w:rsid w:val="00687CD1"/>
    <w:rsid w:val="00690175"/>
    <w:rsid w:val="006902BB"/>
    <w:rsid w:val="006908B2"/>
    <w:rsid w:val="0069110F"/>
    <w:rsid w:val="006913CA"/>
    <w:rsid w:val="00691B54"/>
    <w:rsid w:val="00691CD8"/>
    <w:rsid w:val="006926F7"/>
    <w:rsid w:val="00692A60"/>
    <w:rsid w:val="00692C36"/>
    <w:rsid w:val="00692CA1"/>
    <w:rsid w:val="00692CDD"/>
    <w:rsid w:val="00692D73"/>
    <w:rsid w:val="00693669"/>
    <w:rsid w:val="00693876"/>
    <w:rsid w:val="00693935"/>
    <w:rsid w:val="00693BF9"/>
    <w:rsid w:val="00694301"/>
    <w:rsid w:val="006944B2"/>
    <w:rsid w:val="00694537"/>
    <w:rsid w:val="00694866"/>
    <w:rsid w:val="00694FC3"/>
    <w:rsid w:val="00695391"/>
    <w:rsid w:val="006955F8"/>
    <w:rsid w:val="00695DFE"/>
    <w:rsid w:val="00695F89"/>
    <w:rsid w:val="00696CB7"/>
    <w:rsid w:val="00696D0D"/>
    <w:rsid w:val="006975B4"/>
    <w:rsid w:val="00697AF3"/>
    <w:rsid w:val="006A0512"/>
    <w:rsid w:val="006A1A3C"/>
    <w:rsid w:val="006A2C20"/>
    <w:rsid w:val="006A2D92"/>
    <w:rsid w:val="006A3480"/>
    <w:rsid w:val="006A35F4"/>
    <w:rsid w:val="006A3615"/>
    <w:rsid w:val="006A3A38"/>
    <w:rsid w:val="006A477D"/>
    <w:rsid w:val="006A48C0"/>
    <w:rsid w:val="006A5220"/>
    <w:rsid w:val="006A523E"/>
    <w:rsid w:val="006A52B4"/>
    <w:rsid w:val="006A57E7"/>
    <w:rsid w:val="006A580B"/>
    <w:rsid w:val="006A64BC"/>
    <w:rsid w:val="006A6545"/>
    <w:rsid w:val="006A6557"/>
    <w:rsid w:val="006A69A9"/>
    <w:rsid w:val="006A7DA8"/>
    <w:rsid w:val="006B009F"/>
    <w:rsid w:val="006B02A4"/>
    <w:rsid w:val="006B0EBA"/>
    <w:rsid w:val="006B16EF"/>
    <w:rsid w:val="006B210A"/>
    <w:rsid w:val="006B23A9"/>
    <w:rsid w:val="006B2503"/>
    <w:rsid w:val="006B27F3"/>
    <w:rsid w:val="006B29AA"/>
    <w:rsid w:val="006B29D5"/>
    <w:rsid w:val="006B2D4D"/>
    <w:rsid w:val="006B3037"/>
    <w:rsid w:val="006B3122"/>
    <w:rsid w:val="006B3FE9"/>
    <w:rsid w:val="006B43B4"/>
    <w:rsid w:val="006B574C"/>
    <w:rsid w:val="006B65F1"/>
    <w:rsid w:val="006B6E11"/>
    <w:rsid w:val="006C00B0"/>
    <w:rsid w:val="006C023C"/>
    <w:rsid w:val="006C0B23"/>
    <w:rsid w:val="006C12AD"/>
    <w:rsid w:val="006C12C6"/>
    <w:rsid w:val="006C1A4B"/>
    <w:rsid w:val="006C1C84"/>
    <w:rsid w:val="006C1FA1"/>
    <w:rsid w:val="006C2141"/>
    <w:rsid w:val="006C2615"/>
    <w:rsid w:val="006C2A00"/>
    <w:rsid w:val="006C2D79"/>
    <w:rsid w:val="006C336F"/>
    <w:rsid w:val="006C3E08"/>
    <w:rsid w:val="006C4466"/>
    <w:rsid w:val="006C469A"/>
    <w:rsid w:val="006C492E"/>
    <w:rsid w:val="006C4C7E"/>
    <w:rsid w:val="006C5623"/>
    <w:rsid w:val="006C56F4"/>
    <w:rsid w:val="006C5E55"/>
    <w:rsid w:val="006C670E"/>
    <w:rsid w:val="006C6D43"/>
    <w:rsid w:val="006C6E66"/>
    <w:rsid w:val="006C7172"/>
    <w:rsid w:val="006D0CCE"/>
    <w:rsid w:val="006D129F"/>
    <w:rsid w:val="006D150C"/>
    <w:rsid w:val="006D2211"/>
    <w:rsid w:val="006D2CC1"/>
    <w:rsid w:val="006D2ED9"/>
    <w:rsid w:val="006D3029"/>
    <w:rsid w:val="006D32A8"/>
    <w:rsid w:val="006D348F"/>
    <w:rsid w:val="006D3F96"/>
    <w:rsid w:val="006D4039"/>
    <w:rsid w:val="006D4144"/>
    <w:rsid w:val="006D48E8"/>
    <w:rsid w:val="006D51F8"/>
    <w:rsid w:val="006D52BD"/>
    <w:rsid w:val="006D58E4"/>
    <w:rsid w:val="006D5BD1"/>
    <w:rsid w:val="006D618D"/>
    <w:rsid w:val="006D6B65"/>
    <w:rsid w:val="006D7ECE"/>
    <w:rsid w:val="006E0261"/>
    <w:rsid w:val="006E0801"/>
    <w:rsid w:val="006E0BBE"/>
    <w:rsid w:val="006E0F6E"/>
    <w:rsid w:val="006E1074"/>
    <w:rsid w:val="006E1D9A"/>
    <w:rsid w:val="006E22EF"/>
    <w:rsid w:val="006E2393"/>
    <w:rsid w:val="006E2ED6"/>
    <w:rsid w:val="006E362A"/>
    <w:rsid w:val="006E378E"/>
    <w:rsid w:val="006E3BE4"/>
    <w:rsid w:val="006E3C71"/>
    <w:rsid w:val="006E3DF5"/>
    <w:rsid w:val="006E443B"/>
    <w:rsid w:val="006E46AB"/>
    <w:rsid w:val="006E4727"/>
    <w:rsid w:val="006E4F53"/>
    <w:rsid w:val="006E5252"/>
    <w:rsid w:val="006E5377"/>
    <w:rsid w:val="006E54AA"/>
    <w:rsid w:val="006E54F8"/>
    <w:rsid w:val="006E5CF6"/>
    <w:rsid w:val="006E6102"/>
    <w:rsid w:val="006E6647"/>
    <w:rsid w:val="006E6CF6"/>
    <w:rsid w:val="006E7179"/>
    <w:rsid w:val="006E7180"/>
    <w:rsid w:val="006E7DFB"/>
    <w:rsid w:val="006F0779"/>
    <w:rsid w:val="006F08DF"/>
    <w:rsid w:val="006F0C9D"/>
    <w:rsid w:val="006F1649"/>
    <w:rsid w:val="006F2141"/>
    <w:rsid w:val="006F29CE"/>
    <w:rsid w:val="006F2BCB"/>
    <w:rsid w:val="006F2F76"/>
    <w:rsid w:val="006F3647"/>
    <w:rsid w:val="006F4059"/>
    <w:rsid w:val="006F420D"/>
    <w:rsid w:val="006F46B8"/>
    <w:rsid w:val="006F4B1B"/>
    <w:rsid w:val="006F5587"/>
    <w:rsid w:val="006F5A47"/>
    <w:rsid w:val="006F67F1"/>
    <w:rsid w:val="006F697B"/>
    <w:rsid w:val="006F6E08"/>
    <w:rsid w:val="006F7392"/>
    <w:rsid w:val="006F77B1"/>
    <w:rsid w:val="006F7897"/>
    <w:rsid w:val="00700071"/>
    <w:rsid w:val="007003FC"/>
    <w:rsid w:val="0070094E"/>
    <w:rsid w:val="007009EA"/>
    <w:rsid w:val="00700A54"/>
    <w:rsid w:val="00700B65"/>
    <w:rsid w:val="00700CC9"/>
    <w:rsid w:val="00700F4E"/>
    <w:rsid w:val="00701005"/>
    <w:rsid w:val="007014F0"/>
    <w:rsid w:val="00701787"/>
    <w:rsid w:val="00702A3B"/>
    <w:rsid w:val="00702E08"/>
    <w:rsid w:val="007032E7"/>
    <w:rsid w:val="007034F1"/>
    <w:rsid w:val="00703D52"/>
    <w:rsid w:val="00704D39"/>
    <w:rsid w:val="007069E2"/>
    <w:rsid w:val="00706D47"/>
    <w:rsid w:val="00707177"/>
    <w:rsid w:val="0070740F"/>
    <w:rsid w:val="00707C7A"/>
    <w:rsid w:val="00707EDD"/>
    <w:rsid w:val="007103A2"/>
    <w:rsid w:val="007105F3"/>
    <w:rsid w:val="00710BAA"/>
    <w:rsid w:val="00711BCD"/>
    <w:rsid w:val="00712058"/>
    <w:rsid w:val="00712060"/>
    <w:rsid w:val="007123CC"/>
    <w:rsid w:val="007124A2"/>
    <w:rsid w:val="00712A43"/>
    <w:rsid w:val="00712C06"/>
    <w:rsid w:val="00713531"/>
    <w:rsid w:val="0071370D"/>
    <w:rsid w:val="00713B72"/>
    <w:rsid w:val="00713B84"/>
    <w:rsid w:val="00713D35"/>
    <w:rsid w:val="00714112"/>
    <w:rsid w:val="007144FD"/>
    <w:rsid w:val="00714889"/>
    <w:rsid w:val="007148F2"/>
    <w:rsid w:val="00716135"/>
    <w:rsid w:val="00716F8C"/>
    <w:rsid w:val="00717078"/>
    <w:rsid w:val="007172BB"/>
    <w:rsid w:val="007178CD"/>
    <w:rsid w:val="00720B8C"/>
    <w:rsid w:val="0072105E"/>
    <w:rsid w:val="007210F6"/>
    <w:rsid w:val="0072128E"/>
    <w:rsid w:val="007214D6"/>
    <w:rsid w:val="007215CA"/>
    <w:rsid w:val="00722467"/>
    <w:rsid w:val="0072249C"/>
    <w:rsid w:val="00723E16"/>
    <w:rsid w:val="007242BF"/>
    <w:rsid w:val="007242E5"/>
    <w:rsid w:val="00724D70"/>
    <w:rsid w:val="0072511B"/>
    <w:rsid w:val="007252C8"/>
    <w:rsid w:val="00725513"/>
    <w:rsid w:val="0072592E"/>
    <w:rsid w:val="00726BE2"/>
    <w:rsid w:val="00726CA1"/>
    <w:rsid w:val="007270A6"/>
    <w:rsid w:val="00727162"/>
    <w:rsid w:val="007302E0"/>
    <w:rsid w:val="00730E89"/>
    <w:rsid w:val="00731DF2"/>
    <w:rsid w:val="00731ED1"/>
    <w:rsid w:val="007325F5"/>
    <w:rsid w:val="00732A5C"/>
    <w:rsid w:val="00732C1B"/>
    <w:rsid w:val="00732EDF"/>
    <w:rsid w:val="007330D0"/>
    <w:rsid w:val="0073334F"/>
    <w:rsid w:val="00733535"/>
    <w:rsid w:val="007335A2"/>
    <w:rsid w:val="00733C1B"/>
    <w:rsid w:val="00734162"/>
    <w:rsid w:val="00734EDB"/>
    <w:rsid w:val="00735370"/>
    <w:rsid w:val="007354D3"/>
    <w:rsid w:val="00735BE4"/>
    <w:rsid w:val="00736DE7"/>
    <w:rsid w:val="00736E66"/>
    <w:rsid w:val="00737A77"/>
    <w:rsid w:val="00740E33"/>
    <w:rsid w:val="00741558"/>
    <w:rsid w:val="00741D24"/>
    <w:rsid w:val="00742BC9"/>
    <w:rsid w:val="00744591"/>
    <w:rsid w:val="0074491C"/>
    <w:rsid w:val="00744996"/>
    <w:rsid w:val="00744FEB"/>
    <w:rsid w:val="00745273"/>
    <w:rsid w:val="007456AF"/>
    <w:rsid w:val="00745C3F"/>
    <w:rsid w:val="007460A9"/>
    <w:rsid w:val="007462D9"/>
    <w:rsid w:val="00746EC0"/>
    <w:rsid w:val="00746F9C"/>
    <w:rsid w:val="007472EF"/>
    <w:rsid w:val="0074769F"/>
    <w:rsid w:val="00747A44"/>
    <w:rsid w:val="00747C10"/>
    <w:rsid w:val="00747CC0"/>
    <w:rsid w:val="00747FF7"/>
    <w:rsid w:val="007500E7"/>
    <w:rsid w:val="007507C1"/>
    <w:rsid w:val="00750BEB"/>
    <w:rsid w:val="00751099"/>
    <w:rsid w:val="00751341"/>
    <w:rsid w:val="00751BC7"/>
    <w:rsid w:val="00751D5B"/>
    <w:rsid w:val="0075239B"/>
    <w:rsid w:val="007528E2"/>
    <w:rsid w:val="0075298E"/>
    <w:rsid w:val="00752DA0"/>
    <w:rsid w:val="00753225"/>
    <w:rsid w:val="00753322"/>
    <w:rsid w:val="00753771"/>
    <w:rsid w:val="00753D5A"/>
    <w:rsid w:val="00754172"/>
    <w:rsid w:val="00754589"/>
    <w:rsid w:val="00754C10"/>
    <w:rsid w:val="0075525F"/>
    <w:rsid w:val="00755BF1"/>
    <w:rsid w:val="007563A6"/>
    <w:rsid w:val="007563FC"/>
    <w:rsid w:val="007565D9"/>
    <w:rsid w:val="00756857"/>
    <w:rsid w:val="0075720D"/>
    <w:rsid w:val="007577EA"/>
    <w:rsid w:val="0076013A"/>
    <w:rsid w:val="007602C5"/>
    <w:rsid w:val="007614B5"/>
    <w:rsid w:val="0076166A"/>
    <w:rsid w:val="007616AD"/>
    <w:rsid w:val="0076198D"/>
    <w:rsid w:val="007630E1"/>
    <w:rsid w:val="007632C6"/>
    <w:rsid w:val="00763939"/>
    <w:rsid w:val="00763DB4"/>
    <w:rsid w:val="00764472"/>
    <w:rsid w:val="00764714"/>
    <w:rsid w:val="0076521C"/>
    <w:rsid w:val="007662BB"/>
    <w:rsid w:val="00766F0B"/>
    <w:rsid w:val="0076751A"/>
    <w:rsid w:val="0076753D"/>
    <w:rsid w:val="00767809"/>
    <w:rsid w:val="00767EC7"/>
    <w:rsid w:val="00767FFD"/>
    <w:rsid w:val="00770B19"/>
    <w:rsid w:val="00771A80"/>
    <w:rsid w:val="00771E89"/>
    <w:rsid w:val="0077209C"/>
    <w:rsid w:val="00772328"/>
    <w:rsid w:val="00772B46"/>
    <w:rsid w:val="00773AB4"/>
    <w:rsid w:val="00773C6E"/>
    <w:rsid w:val="00773C91"/>
    <w:rsid w:val="00774050"/>
    <w:rsid w:val="007743A8"/>
    <w:rsid w:val="007749A8"/>
    <w:rsid w:val="00774B1E"/>
    <w:rsid w:val="00774E44"/>
    <w:rsid w:val="0077603B"/>
    <w:rsid w:val="007765B2"/>
    <w:rsid w:val="0077786C"/>
    <w:rsid w:val="007806B5"/>
    <w:rsid w:val="00782290"/>
    <w:rsid w:val="0078257F"/>
    <w:rsid w:val="0078310B"/>
    <w:rsid w:val="00783918"/>
    <w:rsid w:val="00783A7A"/>
    <w:rsid w:val="00783D4B"/>
    <w:rsid w:val="007843F1"/>
    <w:rsid w:val="00784B4B"/>
    <w:rsid w:val="00784E7F"/>
    <w:rsid w:val="0078508B"/>
    <w:rsid w:val="007858E5"/>
    <w:rsid w:val="007859A9"/>
    <w:rsid w:val="0078614B"/>
    <w:rsid w:val="00786440"/>
    <w:rsid w:val="0078665D"/>
    <w:rsid w:val="007867B0"/>
    <w:rsid w:val="0078751D"/>
    <w:rsid w:val="00787D33"/>
    <w:rsid w:val="00787E38"/>
    <w:rsid w:val="00790104"/>
    <w:rsid w:val="00790121"/>
    <w:rsid w:val="0079080C"/>
    <w:rsid w:val="00791A0A"/>
    <w:rsid w:val="00792696"/>
    <w:rsid w:val="00792C55"/>
    <w:rsid w:val="00792F6D"/>
    <w:rsid w:val="007936C4"/>
    <w:rsid w:val="00793B18"/>
    <w:rsid w:val="007941D1"/>
    <w:rsid w:val="007943B3"/>
    <w:rsid w:val="0079476C"/>
    <w:rsid w:val="0079539E"/>
    <w:rsid w:val="0079595A"/>
    <w:rsid w:val="007966A6"/>
    <w:rsid w:val="00797435"/>
    <w:rsid w:val="007974BD"/>
    <w:rsid w:val="007974BF"/>
    <w:rsid w:val="0079798B"/>
    <w:rsid w:val="007979DD"/>
    <w:rsid w:val="00797C45"/>
    <w:rsid w:val="00797CA0"/>
    <w:rsid w:val="00797F92"/>
    <w:rsid w:val="007A1017"/>
    <w:rsid w:val="007A2B32"/>
    <w:rsid w:val="007A3DF5"/>
    <w:rsid w:val="007A3F56"/>
    <w:rsid w:val="007A402A"/>
    <w:rsid w:val="007A40DB"/>
    <w:rsid w:val="007A4912"/>
    <w:rsid w:val="007A4C5E"/>
    <w:rsid w:val="007A4E4A"/>
    <w:rsid w:val="007A4FB6"/>
    <w:rsid w:val="007A518B"/>
    <w:rsid w:val="007A56B8"/>
    <w:rsid w:val="007A59EA"/>
    <w:rsid w:val="007A5DB4"/>
    <w:rsid w:val="007A5FCC"/>
    <w:rsid w:val="007A70FE"/>
    <w:rsid w:val="007A7929"/>
    <w:rsid w:val="007B0ADB"/>
    <w:rsid w:val="007B13CC"/>
    <w:rsid w:val="007B14FC"/>
    <w:rsid w:val="007B16A3"/>
    <w:rsid w:val="007B1B64"/>
    <w:rsid w:val="007B1CA6"/>
    <w:rsid w:val="007B2083"/>
    <w:rsid w:val="007B22FB"/>
    <w:rsid w:val="007B24EA"/>
    <w:rsid w:val="007B2729"/>
    <w:rsid w:val="007B2BE6"/>
    <w:rsid w:val="007B2D50"/>
    <w:rsid w:val="007B31B9"/>
    <w:rsid w:val="007B38A3"/>
    <w:rsid w:val="007B4511"/>
    <w:rsid w:val="007B4719"/>
    <w:rsid w:val="007B47EB"/>
    <w:rsid w:val="007B4DAC"/>
    <w:rsid w:val="007B54E8"/>
    <w:rsid w:val="007B71A0"/>
    <w:rsid w:val="007B7432"/>
    <w:rsid w:val="007B782A"/>
    <w:rsid w:val="007B7B71"/>
    <w:rsid w:val="007B7F33"/>
    <w:rsid w:val="007C0137"/>
    <w:rsid w:val="007C0379"/>
    <w:rsid w:val="007C04D0"/>
    <w:rsid w:val="007C1325"/>
    <w:rsid w:val="007C18FA"/>
    <w:rsid w:val="007C1F91"/>
    <w:rsid w:val="007C229C"/>
    <w:rsid w:val="007C284E"/>
    <w:rsid w:val="007C36B5"/>
    <w:rsid w:val="007C3C41"/>
    <w:rsid w:val="007C4536"/>
    <w:rsid w:val="007C588C"/>
    <w:rsid w:val="007C6107"/>
    <w:rsid w:val="007C663C"/>
    <w:rsid w:val="007C670C"/>
    <w:rsid w:val="007C6C9C"/>
    <w:rsid w:val="007C7226"/>
    <w:rsid w:val="007C7885"/>
    <w:rsid w:val="007C7AC4"/>
    <w:rsid w:val="007D0615"/>
    <w:rsid w:val="007D0D65"/>
    <w:rsid w:val="007D0E06"/>
    <w:rsid w:val="007D0E0F"/>
    <w:rsid w:val="007D139F"/>
    <w:rsid w:val="007D13CD"/>
    <w:rsid w:val="007D16E8"/>
    <w:rsid w:val="007D26E3"/>
    <w:rsid w:val="007D30E4"/>
    <w:rsid w:val="007D3102"/>
    <w:rsid w:val="007D37B8"/>
    <w:rsid w:val="007D407E"/>
    <w:rsid w:val="007D4173"/>
    <w:rsid w:val="007D42EC"/>
    <w:rsid w:val="007D4380"/>
    <w:rsid w:val="007D46AF"/>
    <w:rsid w:val="007D4BE8"/>
    <w:rsid w:val="007D4FDE"/>
    <w:rsid w:val="007D5634"/>
    <w:rsid w:val="007D646E"/>
    <w:rsid w:val="007D76E0"/>
    <w:rsid w:val="007D7F8B"/>
    <w:rsid w:val="007E025F"/>
    <w:rsid w:val="007E051D"/>
    <w:rsid w:val="007E0988"/>
    <w:rsid w:val="007E0CF5"/>
    <w:rsid w:val="007E0E47"/>
    <w:rsid w:val="007E192E"/>
    <w:rsid w:val="007E1A81"/>
    <w:rsid w:val="007E1EFB"/>
    <w:rsid w:val="007E31FA"/>
    <w:rsid w:val="007E3439"/>
    <w:rsid w:val="007E3F2D"/>
    <w:rsid w:val="007E4038"/>
    <w:rsid w:val="007E406C"/>
    <w:rsid w:val="007E43E7"/>
    <w:rsid w:val="007E450C"/>
    <w:rsid w:val="007E4BE9"/>
    <w:rsid w:val="007E4FD8"/>
    <w:rsid w:val="007E4FDC"/>
    <w:rsid w:val="007E529F"/>
    <w:rsid w:val="007E552B"/>
    <w:rsid w:val="007E5599"/>
    <w:rsid w:val="007E5C99"/>
    <w:rsid w:val="007E5D3B"/>
    <w:rsid w:val="007E6B74"/>
    <w:rsid w:val="007E7172"/>
    <w:rsid w:val="007E73A4"/>
    <w:rsid w:val="007E7779"/>
    <w:rsid w:val="007F0249"/>
    <w:rsid w:val="007F041E"/>
    <w:rsid w:val="007F1D3E"/>
    <w:rsid w:val="007F2728"/>
    <w:rsid w:val="007F2A15"/>
    <w:rsid w:val="007F2B97"/>
    <w:rsid w:val="007F2DEB"/>
    <w:rsid w:val="007F3E91"/>
    <w:rsid w:val="007F4066"/>
    <w:rsid w:val="007F4460"/>
    <w:rsid w:val="007F45EF"/>
    <w:rsid w:val="007F45FB"/>
    <w:rsid w:val="007F4804"/>
    <w:rsid w:val="007F55B5"/>
    <w:rsid w:val="007F5C85"/>
    <w:rsid w:val="007F651A"/>
    <w:rsid w:val="007F6F9C"/>
    <w:rsid w:val="007F79C6"/>
    <w:rsid w:val="007F7BF2"/>
    <w:rsid w:val="008001C9"/>
    <w:rsid w:val="00800658"/>
    <w:rsid w:val="008008EE"/>
    <w:rsid w:val="00801494"/>
    <w:rsid w:val="00801B15"/>
    <w:rsid w:val="00801C84"/>
    <w:rsid w:val="00801FC6"/>
    <w:rsid w:val="008024C1"/>
    <w:rsid w:val="00802BD8"/>
    <w:rsid w:val="00802E98"/>
    <w:rsid w:val="0080311F"/>
    <w:rsid w:val="008033D8"/>
    <w:rsid w:val="00803B78"/>
    <w:rsid w:val="00804256"/>
    <w:rsid w:val="00804517"/>
    <w:rsid w:val="008046C7"/>
    <w:rsid w:val="00805784"/>
    <w:rsid w:val="00805F6B"/>
    <w:rsid w:val="00806503"/>
    <w:rsid w:val="00807056"/>
    <w:rsid w:val="00807E74"/>
    <w:rsid w:val="00810037"/>
    <w:rsid w:val="00810452"/>
    <w:rsid w:val="0081091E"/>
    <w:rsid w:val="00811018"/>
    <w:rsid w:val="00811EDC"/>
    <w:rsid w:val="00812156"/>
    <w:rsid w:val="00812CFA"/>
    <w:rsid w:val="0081333F"/>
    <w:rsid w:val="0081346C"/>
    <w:rsid w:val="00813FD8"/>
    <w:rsid w:val="0081424B"/>
    <w:rsid w:val="008151F3"/>
    <w:rsid w:val="00815360"/>
    <w:rsid w:val="00816BBB"/>
    <w:rsid w:val="00816D35"/>
    <w:rsid w:val="008173FA"/>
    <w:rsid w:val="008175FD"/>
    <w:rsid w:val="008177C1"/>
    <w:rsid w:val="00817B0C"/>
    <w:rsid w:val="0082099D"/>
    <w:rsid w:val="00820CCA"/>
    <w:rsid w:val="00820E2B"/>
    <w:rsid w:val="008214CE"/>
    <w:rsid w:val="00822086"/>
    <w:rsid w:val="008220AF"/>
    <w:rsid w:val="00822494"/>
    <w:rsid w:val="00822568"/>
    <w:rsid w:val="00823686"/>
    <w:rsid w:val="008238A4"/>
    <w:rsid w:val="00823F48"/>
    <w:rsid w:val="008250CF"/>
    <w:rsid w:val="00825EA5"/>
    <w:rsid w:val="00825EF7"/>
    <w:rsid w:val="00825F99"/>
    <w:rsid w:val="00826683"/>
    <w:rsid w:val="00826A33"/>
    <w:rsid w:val="00827014"/>
    <w:rsid w:val="0082758F"/>
    <w:rsid w:val="00827855"/>
    <w:rsid w:val="0082793A"/>
    <w:rsid w:val="00827BA7"/>
    <w:rsid w:val="00827E80"/>
    <w:rsid w:val="0083041C"/>
    <w:rsid w:val="008307E0"/>
    <w:rsid w:val="00830F69"/>
    <w:rsid w:val="0083117C"/>
    <w:rsid w:val="008315E3"/>
    <w:rsid w:val="00831C16"/>
    <w:rsid w:val="0083272C"/>
    <w:rsid w:val="008328E0"/>
    <w:rsid w:val="0083370D"/>
    <w:rsid w:val="0083383A"/>
    <w:rsid w:val="00834047"/>
    <w:rsid w:val="0083441F"/>
    <w:rsid w:val="00834863"/>
    <w:rsid w:val="008348D2"/>
    <w:rsid w:val="00834A5D"/>
    <w:rsid w:val="00834AE5"/>
    <w:rsid w:val="00834F59"/>
    <w:rsid w:val="00835C00"/>
    <w:rsid w:val="00835FD6"/>
    <w:rsid w:val="00836255"/>
    <w:rsid w:val="0083630B"/>
    <w:rsid w:val="0083671D"/>
    <w:rsid w:val="00836CF0"/>
    <w:rsid w:val="00837372"/>
    <w:rsid w:val="008374AD"/>
    <w:rsid w:val="008377CE"/>
    <w:rsid w:val="008378DE"/>
    <w:rsid w:val="00837DF3"/>
    <w:rsid w:val="00837F1A"/>
    <w:rsid w:val="0084003D"/>
    <w:rsid w:val="0084009B"/>
    <w:rsid w:val="00840BC3"/>
    <w:rsid w:val="00840CE6"/>
    <w:rsid w:val="00841EC8"/>
    <w:rsid w:val="00841FD7"/>
    <w:rsid w:val="0084237C"/>
    <w:rsid w:val="00842664"/>
    <w:rsid w:val="00842DF6"/>
    <w:rsid w:val="00843F0E"/>
    <w:rsid w:val="008444D7"/>
    <w:rsid w:val="00845101"/>
    <w:rsid w:val="008451A2"/>
    <w:rsid w:val="00845F11"/>
    <w:rsid w:val="008460E7"/>
    <w:rsid w:val="00846180"/>
    <w:rsid w:val="008466C6"/>
    <w:rsid w:val="00846E8E"/>
    <w:rsid w:val="008477B3"/>
    <w:rsid w:val="00847818"/>
    <w:rsid w:val="00847846"/>
    <w:rsid w:val="008501CF"/>
    <w:rsid w:val="008508A0"/>
    <w:rsid w:val="00850D6F"/>
    <w:rsid w:val="008515BA"/>
    <w:rsid w:val="00851B3D"/>
    <w:rsid w:val="00852568"/>
    <w:rsid w:val="00852A98"/>
    <w:rsid w:val="00852C55"/>
    <w:rsid w:val="00852CF2"/>
    <w:rsid w:val="00853238"/>
    <w:rsid w:val="0085434D"/>
    <w:rsid w:val="008544A1"/>
    <w:rsid w:val="008549F9"/>
    <w:rsid w:val="00854A62"/>
    <w:rsid w:val="00854D9A"/>
    <w:rsid w:val="00854F0E"/>
    <w:rsid w:val="008552E0"/>
    <w:rsid w:val="0085538B"/>
    <w:rsid w:val="00855391"/>
    <w:rsid w:val="008555C5"/>
    <w:rsid w:val="00855AC7"/>
    <w:rsid w:val="00855B0A"/>
    <w:rsid w:val="00855B75"/>
    <w:rsid w:val="0085644B"/>
    <w:rsid w:val="0085662C"/>
    <w:rsid w:val="008568B4"/>
    <w:rsid w:val="00856F75"/>
    <w:rsid w:val="008575F2"/>
    <w:rsid w:val="00860CF2"/>
    <w:rsid w:val="00860EFD"/>
    <w:rsid w:val="0086108D"/>
    <w:rsid w:val="00861B07"/>
    <w:rsid w:val="0086256E"/>
    <w:rsid w:val="008628A8"/>
    <w:rsid w:val="00863603"/>
    <w:rsid w:val="0086376B"/>
    <w:rsid w:val="00863790"/>
    <w:rsid w:val="008637C5"/>
    <w:rsid w:val="00864157"/>
    <w:rsid w:val="00864327"/>
    <w:rsid w:val="00864E07"/>
    <w:rsid w:val="008653E4"/>
    <w:rsid w:val="00865676"/>
    <w:rsid w:val="00865886"/>
    <w:rsid w:val="00866634"/>
    <w:rsid w:val="00866DF5"/>
    <w:rsid w:val="008671C2"/>
    <w:rsid w:val="00867437"/>
    <w:rsid w:val="00867C70"/>
    <w:rsid w:val="00870588"/>
    <w:rsid w:val="00870A78"/>
    <w:rsid w:val="00871311"/>
    <w:rsid w:val="00871325"/>
    <w:rsid w:val="008713B7"/>
    <w:rsid w:val="0087177C"/>
    <w:rsid w:val="00871840"/>
    <w:rsid w:val="00871963"/>
    <w:rsid w:val="00871C3A"/>
    <w:rsid w:val="00871FAE"/>
    <w:rsid w:val="0087283D"/>
    <w:rsid w:val="00872AF7"/>
    <w:rsid w:val="00872EA3"/>
    <w:rsid w:val="00873203"/>
    <w:rsid w:val="008748F3"/>
    <w:rsid w:val="008752E5"/>
    <w:rsid w:val="008759C7"/>
    <w:rsid w:val="00875E9C"/>
    <w:rsid w:val="008764A0"/>
    <w:rsid w:val="00876B01"/>
    <w:rsid w:val="00877837"/>
    <w:rsid w:val="00877973"/>
    <w:rsid w:val="00877A58"/>
    <w:rsid w:val="00877BFB"/>
    <w:rsid w:val="00877E68"/>
    <w:rsid w:val="00880B3F"/>
    <w:rsid w:val="008813A6"/>
    <w:rsid w:val="00882728"/>
    <w:rsid w:val="00882A56"/>
    <w:rsid w:val="008836EC"/>
    <w:rsid w:val="00883877"/>
    <w:rsid w:val="00884A22"/>
    <w:rsid w:val="008851A7"/>
    <w:rsid w:val="008858CE"/>
    <w:rsid w:val="00885CDB"/>
    <w:rsid w:val="008870AD"/>
    <w:rsid w:val="008871D2"/>
    <w:rsid w:val="0089041E"/>
    <w:rsid w:val="00890E6A"/>
    <w:rsid w:val="00890EA6"/>
    <w:rsid w:val="008910D8"/>
    <w:rsid w:val="0089164B"/>
    <w:rsid w:val="0089178C"/>
    <w:rsid w:val="00891893"/>
    <w:rsid w:val="008919BF"/>
    <w:rsid w:val="0089257F"/>
    <w:rsid w:val="0089278A"/>
    <w:rsid w:val="008928E5"/>
    <w:rsid w:val="00893124"/>
    <w:rsid w:val="008932BE"/>
    <w:rsid w:val="008935C2"/>
    <w:rsid w:val="008937CB"/>
    <w:rsid w:val="00893DBC"/>
    <w:rsid w:val="00894FA2"/>
    <w:rsid w:val="008960E9"/>
    <w:rsid w:val="00896BDD"/>
    <w:rsid w:val="00897196"/>
    <w:rsid w:val="008975E6"/>
    <w:rsid w:val="008A00EA"/>
    <w:rsid w:val="008A0110"/>
    <w:rsid w:val="008A02B3"/>
    <w:rsid w:val="008A0CCB"/>
    <w:rsid w:val="008A1498"/>
    <w:rsid w:val="008A15AF"/>
    <w:rsid w:val="008A1F72"/>
    <w:rsid w:val="008A3A43"/>
    <w:rsid w:val="008A3A4D"/>
    <w:rsid w:val="008A4964"/>
    <w:rsid w:val="008A4DE2"/>
    <w:rsid w:val="008A5373"/>
    <w:rsid w:val="008A589B"/>
    <w:rsid w:val="008A5924"/>
    <w:rsid w:val="008A599D"/>
    <w:rsid w:val="008A623F"/>
    <w:rsid w:val="008A639C"/>
    <w:rsid w:val="008A6B3A"/>
    <w:rsid w:val="008A6B7A"/>
    <w:rsid w:val="008A6E56"/>
    <w:rsid w:val="008A700C"/>
    <w:rsid w:val="008A7C7F"/>
    <w:rsid w:val="008A7F19"/>
    <w:rsid w:val="008B002E"/>
    <w:rsid w:val="008B015A"/>
    <w:rsid w:val="008B0813"/>
    <w:rsid w:val="008B0963"/>
    <w:rsid w:val="008B10C0"/>
    <w:rsid w:val="008B1718"/>
    <w:rsid w:val="008B174F"/>
    <w:rsid w:val="008B1BE0"/>
    <w:rsid w:val="008B270D"/>
    <w:rsid w:val="008B2CA4"/>
    <w:rsid w:val="008B300D"/>
    <w:rsid w:val="008B3437"/>
    <w:rsid w:val="008B363A"/>
    <w:rsid w:val="008B392A"/>
    <w:rsid w:val="008B3AE1"/>
    <w:rsid w:val="008B3DED"/>
    <w:rsid w:val="008B4398"/>
    <w:rsid w:val="008B4420"/>
    <w:rsid w:val="008B4A34"/>
    <w:rsid w:val="008B4A7F"/>
    <w:rsid w:val="008B5DC8"/>
    <w:rsid w:val="008B6818"/>
    <w:rsid w:val="008B6CEF"/>
    <w:rsid w:val="008B760D"/>
    <w:rsid w:val="008B7814"/>
    <w:rsid w:val="008B784B"/>
    <w:rsid w:val="008B7964"/>
    <w:rsid w:val="008C0625"/>
    <w:rsid w:val="008C0DF8"/>
    <w:rsid w:val="008C0E47"/>
    <w:rsid w:val="008C102B"/>
    <w:rsid w:val="008C1804"/>
    <w:rsid w:val="008C19A9"/>
    <w:rsid w:val="008C1BD1"/>
    <w:rsid w:val="008C200C"/>
    <w:rsid w:val="008C2269"/>
    <w:rsid w:val="008C25AF"/>
    <w:rsid w:val="008C2AB0"/>
    <w:rsid w:val="008C3BDB"/>
    <w:rsid w:val="008C3C01"/>
    <w:rsid w:val="008C3E3B"/>
    <w:rsid w:val="008C46F0"/>
    <w:rsid w:val="008C4F0E"/>
    <w:rsid w:val="008C5B2B"/>
    <w:rsid w:val="008C668B"/>
    <w:rsid w:val="008C67A7"/>
    <w:rsid w:val="008C6F65"/>
    <w:rsid w:val="008C72DD"/>
    <w:rsid w:val="008C7F79"/>
    <w:rsid w:val="008D03AD"/>
    <w:rsid w:val="008D03C3"/>
    <w:rsid w:val="008D04A2"/>
    <w:rsid w:val="008D1265"/>
    <w:rsid w:val="008D1502"/>
    <w:rsid w:val="008D1822"/>
    <w:rsid w:val="008D1A4E"/>
    <w:rsid w:val="008D1CCD"/>
    <w:rsid w:val="008D1D05"/>
    <w:rsid w:val="008D2857"/>
    <w:rsid w:val="008D307C"/>
    <w:rsid w:val="008D39BA"/>
    <w:rsid w:val="008D3CC1"/>
    <w:rsid w:val="008D502D"/>
    <w:rsid w:val="008D5D6E"/>
    <w:rsid w:val="008D6217"/>
    <w:rsid w:val="008D6EA8"/>
    <w:rsid w:val="008D7DE4"/>
    <w:rsid w:val="008E03EA"/>
    <w:rsid w:val="008E0463"/>
    <w:rsid w:val="008E0926"/>
    <w:rsid w:val="008E0D88"/>
    <w:rsid w:val="008E131B"/>
    <w:rsid w:val="008E1C06"/>
    <w:rsid w:val="008E220E"/>
    <w:rsid w:val="008E2A28"/>
    <w:rsid w:val="008E2E68"/>
    <w:rsid w:val="008E34E8"/>
    <w:rsid w:val="008E35CA"/>
    <w:rsid w:val="008E391E"/>
    <w:rsid w:val="008E39FA"/>
    <w:rsid w:val="008E3C66"/>
    <w:rsid w:val="008E4133"/>
    <w:rsid w:val="008E4FBD"/>
    <w:rsid w:val="008E5392"/>
    <w:rsid w:val="008E59B9"/>
    <w:rsid w:val="008E5DBD"/>
    <w:rsid w:val="008E5DCA"/>
    <w:rsid w:val="008E60F2"/>
    <w:rsid w:val="008E71DE"/>
    <w:rsid w:val="008F03D2"/>
    <w:rsid w:val="008F0C4E"/>
    <w:rsid w:val="008F0FD0"/>
    <w:rsid w:val="008F1675"/>
    <w:rsid w:val="008F3902"/>
    <w:rsid w:val="008F3B0A"/>
    <w:rsid w:val="008F3CB7"/>
    <w:rsid w:val="008F4CD6"/>
    <w:rsid w:val="008F4FEA"/>
    <w:rsid w:val="008F541B"/>
    <w:rsid w:val="008F5631"/>
    <w:rsid w:val="008F5F55"/>
    <w:rsid w:val="008F660D"/>
    <w:rsid w:val="008F6DC1"/>
    <w:rsid w:val="008F7484"/>
    <w:rsid w:val="008F7A9D"/>
    <w:rsid w:val="00900596"/>
    <w:rsid w:val="009006FD"/>
    <w:rsid w:val="00900CE7"/>
    <w:rsid w:val="00900F07"/>
    <w:rsid w:val="009013A6"/>
    <w:rsid w:val="009034D4"/>
    <w:rsid w:val="00903FD9"/>
    <w:rsid w:val="009043FA"/>
    <w:rsid w:val="00904401"/>
    <w:rsid w:val="0090449B"/>
    <w:rsid w:val="009044C2"/>
    <w:rsid w:val="00904541"/>
    <w:rsid w:val="00904AF6"/>
    <w:rsid w:val="00905370"/>
    <w:rsid w:val="009055C5"/>
    <w:rsid w:val="0090564C"/>
    <w:rsid w:val="00905CE5"/>
    <w:rsid w:val="00905CF7"/>
    <w:rsid w:val="00906003"/>
    <w:rsid w:val="009060C8"/>
    <w:rsid w:val="00906FF6"/>
    <w:rsid w:val="00907BC4"/>
    <w:rsid w:val="00910661"/>
    <w:rsid w:val="009106BE"/>
    <w:rsid w:val="00910B29"/>
    <w:rsid w:val="00910D12"/>
    <w:rsid w:val="00910D4C"/>
    <w:rsid w:val="00911825"/>
    <w:rsid w:val="00911B55"/>
    <w:rsid w:val="009122EA"/>
    <w:rsid w:val="009125B8"/>
    <w:rsid w:val="00912A76"/>
    <w:rsid w:val="0091360C"/>
    <w:rsid w:val="00913900"/>
    <w:rsid w:val="00914079"/>
    <w:rsid w:val="00914235"/>
    <w:rsid w:val="0091471E"/>
    <w:rsid w:val="009147EA"/>
    <w:rsid w:val="00915760"/>
    <w:rsid w:val="009159AE"/>
    <w:rsid w:val="00915C30"/>
    <w:rsid w:val="009161F7"/>
    <w:rsid w:val="009164B0"/>
    <w:rsid w:val="009170EF"/>
    <w:rsid w:val="0091758B"/>
    <w:rsid w:val="009202C9"/>
    <w:rsid w:val="00920572"/>
    <w:rsid w:val="0092085A"/>
    <w:rsid w:val="00921686"/>
    <w:rsid w:val="009217D3"/>
    <w:rsid w:val="00921E0D"/>
    <w:rsid w:val="00922241"/>
    <w:rsid w:val="00922817"/>
    <w:rsid w:val="00922FAF"/>
    <w:rsid w:val="00923726"/>
    <w:rsid w:val="00923778"/>
    <w:rsid w:val="00924F37"/>
    <w:rsid w:val="00924F82"/>
    <w:rsid w:val="0092503E"/>
    <w:rsid w:val="0092530C"/>
    <w:rsid w:val="00925830"/>
    <w:rsid w:val="00925D2C"/>
    <w:rsid w:val="009260FB"/>
    <w:rsid w:val="009261A5"/>
    <w:rsid w:val="009265C7"/>
    <w:rsid w:val="00926B32"/>
    <w:rsid w:val="00926E18"/>
    <w:rsid w:val="00927517"/>
    <w:rsid w:val="00927BF6"/>
    <w:rsid w:val="00927CEA"/>
    <w:rsid w:val="009302EC"/>
    <w:rsid w:val="009305E3"/>
    <w:rsid w:val="009307F5"/>
    <w:rsid w:val="00931FDD"/>
    <w:rsid w:val="00932235"/>
    <w:rsid w:val="00932494"/>
    <w:rsid w:val="00932AEF"/>
    <w:rsid w:val="00932D30"/>
    <w:rsid w:val="00933C7B"/>
    <w:rsid w:val="00933DA2"/>
    <w:rsid w:val="00934472"/>
    <w:rsid w:val="009345A7"/>
    <w:rsid w:val="00934ACF"/>
    <w:rsid w:val="0093653A"/>
    <w:rsid w:val="00936AF0"/>
    <w:rsid w:val="0093711A"/>
    <w:rsid w:val="0094024F"/>
    <w:rsid w:val="0094040C"/>
    <w:rsid w:val="00940543"/>
    <w:rsid w:val="009411EA"/>
    <w:rsid w:val="00941737"/>
    <w:rsid w:val="00941BE9"/>
    <w:rsid w:val="00941CE4"/>
    <w:rsid w:val="00942099"/>
    <w:rsid w:val="0094379A"/>
    <w:rsid w:val="00943D70"/>
    <w:rsid w:val="00944C4E"/>
    <w:rsid w:val="009454C7"/>
    <w:rsid w:val="009472A8"/>
    <w:rsid w:val="00947480"/>
    <w:rsid w:val="00947CB2"/>
    <w:rsid w:val="00947FA5"/>
    <w:rsid w:val="009502FB"/>
    <w:rsid w:val="0095070D"/>
    <w:rsid w:val="00950E48"/>
    <w:rsid w:val="00951CD8"/>
    <w:rsid w:val="0095221D"/>
    <w:rsid w:val="009524AD"/>
    <w:rsid w:val="00952B00"/>
    <w:rsid w:val="00952B82"/>
    <w:rsid w:val="00952F21"/>
    <w:rsid w:val="00953123"/>
    <w:rsid w:val="009533E8"/>
    <w:rsid w:val="009536B2"/>
    <w:rsid w:val="009538E2"/>
    <w:rsid w:val="00953D88"/>
    <w:rsid w:val="009549CE"/>
    <w:rsid w:val="00954A63"/>
    <w:rsid w:val="00954CB5"/>
    <w:rsid w:val="00954D3C"/>
    <w:rsid w:val="009551F7"/>
    <w:rsid w:val="009553BE"/>
    <w:rsid w:val="009554EB"/>
    <w:rsid w:val="00955921"/>
    <w:rsid w:val="00955BE1"/>
    <w:rsid w:val="009561D3"/>
    <w:rsid w:val="009562D6"/>
    <w:rsid w:val="00956CE1"/>
    <w:rsid w:val="00956D37"/>
    <w:rsid w:val="00956F2F"/>
    <w:rsid w:val="009572D6"/>
    <w:rsid w:val="00957BC4"/>
    <w:rsid w:val="00957ED6"/>
    <w:rsid w:val="0096002C"/>
    <w:rsid w:val="0096021C"/>
    <w:rsid w:val="00960311"/>
    <w:rsid w:val="0096093C"/>
    <w:rsid w:val="00960BE4"/>
    <w:rsid w:val="00960CD1"/>
    <w:rsid w:val="00960FE9"/>
    <w:rsid w:val="00960FFD"/>
    <w:rsid w:val="00961EC1"/>
    <w:rsid w:val="009620CB"/>
    <w:rsid w:val="00962AF8"/>
    <w:rsid w:val="00962C60"/>
    <w:rsid w:val="009632E2"/>
    <w:rsid w:val="00963B9C"/>
    <w:rsid w:val="00963C96"/>
    <w:rsid w:val="009641B7"/>
    <w:rsid w:val="009645A3"/>
    <w:rsid w:val="009645EE"/>
    <w:rsid w:val="0096469D"/>
    <w:rsid w:val="00965603"/>
    <w:rsid w:val="00965EE2"/>
    <w:rsid w:val="00966016"/>
    <w:rsid w:val="009660DB"/>
    <w:rsid w:val="009660E8"/>
    <w:rsid w:val="00966241"/>
    <w:rsid w:val="009666B4"/>
    <w:rsid w:val="0096674C"/>
    <w:rsid w:val="00967F17"/>
    <w:rsid w:val="00967FA0"/>
    <w:rsid w:val="009707DF"/>
    <w:rsid w:val="00970B59"/>
    <w:rsid w:val="00971BCB"/>
    <w:rsid w:val="00971D9F"/>
    <w:rsid w:val="009722E0"/>
    <w:rsid w:val="00973118"/>
    <w:rsid w:val="00973361"/>
    <w:rsid w:val="00973720"/>
    <w:rsid w:val="00973EF9"/>
    <w:rsid w:val="009744AC"/>
    <w:rsid w:val="0097469D"/>
    <w:rsid w:val="0097480B"/>
    <w:rsid w:val="00974BFF"/>
    <w:rsid w:val="00974CE7"/>
    <w:rsid w:val="00974DBD"/>
    <w:rsid w:val="00974F8E"/>
    <w:rsid w:val="0097500D"/>
    <w:rsid w:val="009773A3"/>
    <w:rsid w:val="00977A89"/>
    <w:rsid w:val="00977BA3"/>
    <w:rsid w:val="00977CB8"/>
    <w:rsid w:val="00977F59"/>
    <w:rsid w:val="009801D5"/>
    <w:rsid w:val="0098078E"/>
    <w:rsid w:val="00980B53"/>
    <w:rsid w:val="00980F7C"/>
    <w:rsid w:val="00981EFF"/>
    <w:rsid w:val="0098224E"/>
    <w:rsid w:val="009822EA"/>
    <w:rsid w:val="0098262A"/>
    <w:rsid w:val="00982A23"/>
    <w:rsid w:val="00982F25"/>
    <w:rsid w:val="00982F98"/>
    <w:rsid w:val="009835A0"/>
    <w:rsid w:val="009837E4"/>
    <w:rsid w:val="00983F0F"/>
    <w:rsid w:val="009840C0"/>
    <w:rsid w:val="0098431A"/>
    <w:rsid w:val="00985B91"/>
    <w:rsid w:val="009861BE"/>
    <w:rsid w:val="009863CE"/>
    <w:rsid w:val="00986806"/>
    <w:rsid w:val="0098686D"/>
    <w:rsid w:val="009869F5"/>
    <w:rsid w:val="00986AC1"/>
    <w:rsid w:val="0098725F"/>
    <w:rsid w:val="009877DB"/>
    <w:rsid w:val="00987B91"/>
    <w:rsid w:val="00987E14"/>
    <w:rsid w:val="00990B80"/>
    <w:rsid w:val="00990CBA"/>
    <w:rsid w:val="00990CE0"/>
    <w:rsid w:val="0099125D"/>
    <w:rsid w:val="009912D6"/>
    <w:rsid w:val="009914BD"/>
    <w:rsid w:val="0099184E"/>
    <w:rsid w:val="009918E3"/>
    <w:rsid w:val="00991C79"/>
    <w:rsid w:val="00991DAD"/>
    <w:rsid w:val="009920B8"/>
    <w:rsid w:val="009922F2"/>
    <w:rsid w:val="009925C9"/>
    <w:rsid w:val="00992E14"/>
    <w:rsid w:val="009930D5"/>
    <w:rsid w:val="0099319B"/>
    <w:rsid w:val="00993414"/>
    <w:rsid w:val="00993B59"/>
    <w:rsid w:val="00993EAD"/>
    <w:rsid w:val="00994DF6"/>
    <w:rsid w:val="009954EE"/>
    <w:rsid w:val="009957C4"/>
    <w:rsid w:val="00995EE8"/>
    <w:rsid w:val="00996268"/>
    <w:rsid w:val="00997052"/>
    <w:rsid w:val="009976D0"/>
    <w:rsid w:val="009A007C"/>
    <w:rsid w:val="009A0484"/>
    <w:rsid w:val="009A0A68"/>
    <w:rsid w:val="009A0E1B"/>
    <w:rsid w:val="009A124B"/>
    <w:rsid w:val="009A140B"/>
    <w:rsid w:val="009A150D"/>
    <w:rsid w:val="009A1B2D"/>
    <w:rsid w:val="009A1CEA"/>
    <w:rsid w:val="009A2E42"/>
    <w:rsid w:val="009A2FDC"/>
    <w:rsid w:val="009A3308"/>
    <w:rsid w:val="009A3609"/>
    <w:rsid w:val="009A3C47"/>
    <w:rsid w:val="009A3C58"/>
    <w:rsid w:val="009A3EB2"/>
    <w:rsid w:val="009A3ECF"/>
    <w:rsid w:val="009A4457"/>
    <w:rsid w:val="009A44C6"/>
    <w:rsid w:val="009A4911"/>
    <w:rsid w:val="009A4A70"/>
    <w:rsid w:val="009A5723"/>
    <w:rsid w:val="009A5960"/>
    <w:rsid w:val="009A5CB0"/>
    <w:rsid w:val="009A60F3"/>
    <w:rsid w:val="009A62D8"/>
    <w:rsid w:val="009A6881"/>
    <w:rsid w:val="009A7088"/>
    <w:rsid w:val="009A7090"/>
    <w:rsid w:val="009A745B"/>
    <w:rsid w:val="009A7E29"/>
    <w:rsid w:val="009A7E84"/>
    <w:rsid w:val="009B01BA"/>
    <w:rsid w:val="009B03BF"/>
    <w:rsid w:val="009B0A74"/>
    <w:rsid w:val="009B0DB4"/>
    <w:rsid w:val="009B10FB"/>
    <w:rsid w:val="009B131E"/>
    <w:rsid w:val="009B18EB"/>
    <w:rsid w:val="009B1EAD"/>
    <w:rsid w:val="009B21B7"/>
    <w:rsid w:val="009B2211"/>
    <w:rsid w:val="009B29EE"/>
    <w:rsid w:val="009B2E8B"/>
    <w:rsid w:val="009B30C8"/>
    <w:rsid w:val="009B316D"/>
    <w:rsid w:val="009B31A4"/>
    <w:rsid w:val="009B3474"/>
    <w:rsid w:val="009B37A2"/>
    <w:rsid w:val="009B3985"/>
    <w:rsid w:val="009B4209"/>
    <w:rsid w:val="009B4BB2"/>
    <w:rsid w:val="009B4CCA"/>
    <w:rsid w:val="009B5783"/>
    <w:rsid w:val="009B60E7"/>
    <w:rsid w:val="009B6151"/>
    <w:rsid w:val="009B6183"/>
    <w:rsid w:val="009B63C8"/>
    <w:rsid w:val="009B6F08"/>
    <w:rsid w:val="009B7523"/>
    <w:rsid w:val="009B7527"/>
    <w:rsid w:val="009B7770"/>
    <w:rsid w:val="009B7AA9"/>
    <w:rsid w:val="009B7D65"/>
    <w:rsid w:val="009C0008"/>
    <w:rsid w:val="009C068F"/>
    <w:rsid w:val="009C06BB"/>
    <w:rsid w:val="009C0ABD"/>
    <w:rsid w:val="009C0D6D"/>
    <w:rsid w:val="009C111D"/>
    <w:rsid w:val="009C168B"/>
    <w:rsid w:val="009C17FA"/>
    <w:rsid w:val="009C1B82"/>
    <w:rsid w:val="009C267E"/>
    <w:rsid w:val="009C2D46"/>
    <w:rsid w:val="009C2E8B"/>
    <w:rsid w:val="009C3CAA"/>
    <w:rsid w:val="009C4181"/>
    <w:rsid w:val="009C53DE"/>
    <w:rsid w:val="009C567B"/>
    <w:rsid w:val="009C5F26"/>
    <w:rsid w:val="009C65E2"/>
    <w:rsid w:val="009C7DF1"/>
    <w:rsid w:val="009D0B38"/>
    <w:rsid w:val="009D1306"/>
    <w:rsid w:val="009D2143"/>
    <w:rsid w:val="009D218D"/>
    <w:rsid w:val="009D2B75"/>
    <w:rsid w:val="009D31D7"/>
    <w:rsid w:val="009D3A5A"/>
    <w:rsid w:val="009D3AED"/>
    <w:rsid w:val="009D4767"/>
    <w:rsid w:val="009D4FF7"/>
    <w:rsid w:val="009D536A"/>
    <w:rsid w:val="009D5B8E"/>
    <w:rsid w:val="009D62DE"/>
    <w:rsid w:val="009D64DF"/>
    <w:rsid w:val="009D6A71"/>
    <w:rsid w:val="009D6B82"/>
    <w:rsid w:val="009D7908"/>
    <w:rsid w:val="009D7B61"/>
    <w:rsid w:val="009E19ED"/>
    <w:rsid w:val="009E1AB0"/>
    <w:rsid w:val="009E2229"/>
    <w:rsid w:val="009E2389"/>
    <w:rsid w:val="009E2710"/>
    <w:rsid w:val="009E2A5D"/>
    <w:rsid w:val="009E2DF2"/>
    <w:rsid w:val="009E2E87"/>
    <w:rsid w:val="009E300B"/>
    <w:rsid w:val="009E335A"/>
    <w:rsid w:val="009E3468"/>
    <w:rsid w:val="009E3633"/>
    <w:rsid w:val="009E3682"/>
    <w:rsid w:val="009E375F"/>
    <w:rsid w:val="009E3D33"/>
    <w:rsid w:val="009E3DA8"/>
    <w:rsid w:val="009E47EB"/>
    <w:rsid w:val="009E48C6"/>
    <w:rsid w:val="009E51CB"/>
    <w:rsid w:val="009E5245"/>
    <w:rsid w:val="009E55F8"/>
    <w:rsid w:val="009E5C14"/>
    <w:rsid w:val="009E5DFC"/>
    <w:rsid w:val="009E64F0"/>
    <w:rsid w:val="009E6C88"/>
    <w:rsid w:val="009E7585"/>
    <w:rsid w:val="009E7EB9"/>
    <w:rsid w:val="009E7FC9"/>
    <w:rsid w:val="009F0043"/>
    <w:rsid w:val="009F065F"/>
    <w:rsid w:val="009F0C1E"/>
    <w:rsid w:val="009F0C40"/>
    <w:rsid w:val="009F0FB2"/>
    <w:rsid w:val="009F1670"/>
    <w:rsid w:val="009F2C45"/>
    <w:rsid w:val="009F3822"/>
    <w:rsid w:val="009F389A"/>
    <w:rsid w:val="009F4BD1"/>
    <w:rsid w:val="009F50F2"/>
    <w:rsid w:val="009F5437"/>
    <w:rsid w:val="009F54D0"/>
    <w:rsid w:val="009F61D3"/>
    <w:rsid w:val="009F627A"/>
    <w:rsid w:val="009F652A"/>
    <w:rsid w:val="009F6703"/>
    <w:rsid w:val="009F6870"/>
    <w:rsid w:val="009F7056"/>
    <w:rsid w:val="009F727F"/>
    <w:rsid w:val="009F77DD"/>
    <w:rsid w:val="009F7902"/>
    <w:rsid w:val="00A005FA"/>
    <w:rsid w:val="00A00A38"/>
    <w:rsid w:val="00A00E82"/>
    <w:rsid w:val="00A0155F"/>
    <w:rsid w:val="00A01A83"/>
    <w:rsid w:val="00A01CF3"/>
    <w:rsid w:val="00A01F46"/>
    <w:rsid w:val="00A02447"/>
    <w:rsid w:val="00A02990"/>
    <w:rsid w:val="00A02D34"/>
    <w:rsid w:val="00A037DE"/>
    <w:rsid w:val="00A0381E"/>
    <w:rsid w:val="00A03F1A"/>
    <w:rsid w:val="00A042C5"/>
    <w:rsid w:val="00A043DD"/>
    <w:rsid w:val="00A04E00"/>
    <w:rsid w:val="00A04E4C"/>
    <w:rsid w:val="00A04F5D"/>
    <w:rsid w:val="00A0501E"/>
    <w:rsid w:val="00A05A08"/>
    <w:rsid w:val="00A068DA"/>
    <w:rsid w:val="00A07102"/>
    <w:rsid w:val="00A07D95"/>
    <w:rsid w:val="00A106CA"/>
    <w:rsid w:val="00A10983"/>
    <w:rsid w:val="00A1100E"/>
    <w:rsid w:val="00A11C64"/>
    <w:rsid w:val="00A120AA"/>
    <w:rsid w:val="00A125A4"/>
    <w:rsid w:val="00A12776"/>
    <w:rsid w:val="00A1294E"/>
    <w:rsid w:val="00A12C96"/>
    <w:rsid w:val="00A12E0D"/>
    <w:rsid w:val="00A13399"/>
    <w:rsid w:val="00A145A6"/>
    <w:rsid w:val="00A147AC"/>
    <w:rsid w:val="00A148B6"/>
    <w:rsid w:val="00A14A84"/>
    <w:rsid w:val="00A1546A"/>
    <w:rsid w:val="00A17024"/>
    <w:rsid w:val="00A1725D"/>
    <w:rsid w:val="00A17C50"/>
    <w:rsid w:val="00A17C81"/>
    <w:rsid w:val="00A2067D"/>
    <w:rsid w:val="00A229AF"/>
    <w:rsid w:val="00A229E1"/>
    <w:rsid w:val="00A22C4A"/>
    <w:rsid w:val="00A2316C"/>
    <w:rsid w:val="00A23329"/>
    <w:rsid w:val="00A23726"/>
    <w:rsid w:val="00A238F5"/>
    <w:rsid w:val="00A23C59"/>
    <w:rsid w:val="00A24E22"/>
    <w:rsid w:val="00A24F5D"/>
    <w:rsid w:val="00A2546C"/>
    <w:rsid w:val="00A25E32"/>
    <w:rsid w:val="00A265D0"/>
    <w:rsid w:val="00A26CB6"/>
    <w:rsid w:val="00A27956"/>
    <w:rsid w:val="00A27E31"/>
    <w:rsid w:val="00A305A5"/>
    <w:rsid w:val="00A30BB6"/>
    <w:rsid w:val="00A30F28"/>
    <w:rsid w:val="00A31392"/>
    <w:rsid w:val="00A3158D"/>
    <w:rsid w:val="00A319D4"/>
    <w:rsid w:val="00A31C8E"/>
    <w:rsid w:val="00A322EF"/>
    <w:rsid w:val="00A32519"/>
    <w:rsid w:val="00A32F40"/>
    <w:rsid w:val="00A33D5D"/>
    <w:rsid w:val="00A35049"/>
    <w:rsid w:val="00A352A1"/>
    <w:rsid w:val="00A36436"/>
    <w:rsid w:val="00A36488"/>
    <w:rsid w:val="00A36E67"/>
    <w:rsid w:val="00A37451"/>
    <w:rsid w:val="00A3773B"/>
    <w:rsid w:val="00A37B7E"/>
    <w:rsid w:val="00A37C25"/>
    <w:rsid w:val="00A402A8"/>
    <w:rsid w:val="00A40781"/>
    <w:rsid w:val="00A41132"/>
    <w:rsid w:val="00A4123C"/>
    <w:rsid w:val="00A42065"/>
    <w:rsid w:val="00A423CD"/>
    <w:rsid w:val="00A42A2A"/>
    <w:rsid w:val="00A431AD"/>
    <w:rsid w:val="00A43295"/>
    <w:rsid w:val="00A43424"/>
    <w:rsid w:val="00A4382E"/>
    <w:rsid w:val="00A44F9C"/>
    <w:rsid w:val="00A46045"/>
    <w:rsid w:val="00A46947"/>
    <w:rsid w:val="00A46CF9"/>
    <w:rsid w:val="00A47380"/>
    <w:rsid w:val="00A4782C"/>
    <w:rsid w:val="00A47ECF"/>
    <w:rsid w:val="00A50512"/>
    <w:rsid w:val="00A5086A"/>
    <w:rsid w:val="00A50904"/>
    <w:rsid w:val="00A5114B"/>
    <w:rsid w:val="00A514A0"/>
    <w:rsid w:val="00A515D0"/>
    <w:rsid w:val="00A52065"/>
    <w:rsid w:val="00A521A6"/>
    <w:rsid w:val="00A52CD3"/>
    <w:rsid w:val="00A52F35"/>
    <w:rsid w:val="00A5340A"/>
    <w:rsid w:val="00A542AE"/>
    <w:rsid w:val="00A544E7"/>
    <w:rsid w:val="00A54C8A"/>
    <w:rsid w:val="00A55632"/>
    <w:rsid w:val="00A558D1"/>
    <w:rsid w:val="00A56F39"/>
    <w:rsid w:val="00A57508"/>
    <w:rsid w:val="00A577C7"/>
    <w:rsid w:val="00A57E6A"/>
    <w:rsid w:val="00A6078E"/>
    <w:rsid w:val="00A60B65"/>
    <w:rsid w:val="00A60D14"/>
    <w:rsid w:val="00A60ECE"/>
    <w:rsid w:val="00A60F64"/>
    <w:rsid w:val="00A611B7"/>
    <w:rsid w:val="00A6189D"/>
    <w:rsid w:val="00A618D6"/>
    <w:rsid w:val="00A62974"/>
    <w:rsid w:val="00A62C8E"/>
    <w:rsid w:val="00A6315A"/>
    <w:rsid w:val="00A6366C"/>
    <w:rsid w:val="00A63B54"/>
    <w:rsid w:val="00A63F83"/>
    <w:rsid w:val="00A64111"/>
    <w:rsid w:val="00A6463B"/>
    <w:rsid w:val="00A64C52"/>
    <w:rsid w:val="00A652A2"/>
    <w:rsid w:val="00A655EF"/>
    <w:rsid w:val="00A6696E"/>
    <w:rsid w:val="00A66A12"/>
    <w:rsid w:val="00A66F15"/>
    <w:rsid w:val="00A705E3"/>
    <w:rsid w:val="00A70E2C"/>
    <w:rsid w:val="00A710BE"/>
    <w:rsid w:val="00A71118"/>
    <w:rsid w:val="00A7196E"/>
    <w:rsid w:val="00A71A1C"/>
    <w:rsid w:val="00A72652"/>
    <w:rsid w:val="00A727FC"/>
    <w:rsid w:val="00A72958"/>
    <w:rsid w:val="00A733B3"/>
    <w:rsid w:val="00A735F5"/>
    <w:rsid w:val="00A737B4"/>
    <w:rsid w:val="00A737BD"/>
    <w:rsid w:val="00A73BE4"/>
    <w:rsid w:val="00A7423D"/>
    <w:rsid w:val="00A745FB"/>
    <w:rsid w:val="00A74C37"/>
    <w:rsid w:val="00A7518B"/>
    <w:rsid w:val="00A755F0"/>
    <w:rsid w:val="00A75C10"/>
    <w:rsid w:val="00A7668F"/>
    <w:rsid w:val="00A80B6C"/>
    <w:rsid w:val="00A80E8C"/>
    <w:rsid w:val="00A814B3"/>
    <w:rsid w:val="00A815C0"/>
    <w:rsid w:val="00A82950"/>
    <w:rsid w:val="00A82E5F"/>
    <w:rsid w:val="00A848D8"/>
    <w:rsid w:val="00A84A96"/>
    <w:rsid w:val="00A84E2E"/>
    <w:rsid w:val="00A857CD"/>
    <w:rsid w:val="00A86278"/>
    <w:rsid w:val="00A86EFD"/>
    <w:rsid w:val="00A870BE"/>
    <w:rsid w:val="00A87138"/>
    <w:rsid w:val="00A8773B"/>
    <w:rsid w:val="00A87A3D"/>
    <w:rsid w:val="00A87AAA"/>
    <w:rsid w:val="00A902B0"/>
    <w:rsid w:val="00A902D0"/>
    <w:rsid w:val="00A903E4"/>
    <w:rsid w:val="00A909F4"/>
    <w:rsid w:val="00A9116D"/>
    <w:rsid w:val="00A9126E"/>
    <w:rsid w:val="00A9164C"/>
    <w:rsid w:val="00A91743"/>
    <w:rsid w:val="00A92034"/>
    <w:rsid w:val="00A92A50"/>
    <w:rsid w:val="00A92C48"/>
    <w:rsid w:val="00A932E6"/>
    <w:rsid w:val="00A93607"/>
    <w:rsid w:val="00A93AF6"/>
    <w:rsid w:val="00A94684"/>
    <w:rsid w:val="00A948CF"/>
    <w:rsid w:val="00A95BDE"/>
    <w:rsid w:val="00A95E34"/>
    <w:rsid w:val="00A96B5B"/>
    <w:rsid w:val="00A96C17"/>
    <w:rsid w:val="00A96EBD"/>
    <w:rsid w:val="00A96F17"/>
    <w:rsid w:val="00A9733A"/>
    <w:rsid w:val="00A97505"/>
    <w:rsid w:val="00A97B11"/>
    <w:rsid w:val="00AA050B"/>
    <w:rsid w:val="00AA08BF"/>
    <w:rsid w:val="00AA0B37"/>
    <w:rsid w:val="00AA0F5B"/>
    <w:rsid w:val="00AA1092"/>
    <w:rsid w:val="00AA12F6"/>
    <w:rsid w:val="00AA1A9F"/>
    <w:rsid w:val="00AA1C2C"/>
    <w:rsid w:val="00AA32EE"/>
    <w:rsid w:val="00AA362C"/>
    <w:rsid w:val="00AA3638"/>
    <w:rsid w:val="00AA4074"/>
    <w:rsid w:val="00AA45CA"/>
    <w:rsid w:val="00AA45FA"/>
    <w:rsid w:val="00AA467B"/>
    <w:rsid w:val="00AA4861"/>
    <w:rsid w:val="00AA5123"/>
    <w:rsid w:val="00AA5184"/>
    <w:rsid w:val="00AA6698"/>
    <w:rsid w:val="00AA66FD"/>
    <w:rsid w:val="00AA687C"/>
    <w:rsid w:val="00AA6E04"/>
    <w:rsid w:val="00AA7170"/>
    <w:rsid w:val="00AA77AC"/>
    <w:rsid w:val="00AA7FB4"/>
    <w:rsid w:val="00AB00BD"/>
    <w:rsid w:val="00AB0CB7"/>
    <w:rsid w:val="00AB143A"/>
    <w:rsid w:val="00AB1B5B"/>
    <w:rsid w:val="00AB20B7"/>
    <w:rsid w:val="00AB333C"/>
    <w:rsid w:val="00AB3435"/>
    <w:rsid w:val="00AB3653"/>
    <w:rsid w:val="00AB3A38"/>
    <w:rsid w:val="00AB3A4E"/>
    <w:rsid w:val="00AB3C94"/>
    <w:rsid w:val="00AB3D4D"/>
    <w:rsid w:val="00AB3D98"/>
    <w:rsid w:val="00AB4131"/>
    <w:rsid w:val="00AB455C"/>
    <w:rsid w:val="00AB47F1"/>
    <w:rsid w:val="00AB48F3"/>
    <w:rsid w:val="00AB5478"/>
    <w:rsid w:val="00AB5485"/>
    <w:rsid w:val="00AB6307"/>
    <w:rsid w:val="00AB6454"/>
    <w:rsid w:val="00AB6969"/>
    <w:rsid w:val="00AB7085"/>
    <w:rsid w:val="00AB70BF"/>
    <w:rsid w:val="00AB7AC0"/>
    <w:rsid w:val="00AB7EA8"/>
    <w:rsid w:val="00AC12D0"/>
    <w:rsid w:val="00AC1360"/>
    <w:rsid w:val="00AC185B"/>
    <w:rsid w:val="00AC1946"/>
    <w:rsid w:val="00AC208C"/>
    <w:rsid w:val="00AC2946"/>
    <w:rsid w:val="00AC36F2"/>
    <w:rsid w:val="00AC3787"/>
    <w:rsid w:val="00AC3D31"/>
    <w:rsid w:val="00AC3D55"/>
    <w:rsid w:val="00AC3D8B"/>
    <w:rsid w:val="00AC4DA8"/>
    <w:rsid w:val="00AC5060"/>
    <w:rsid w:val="00AC5C9D"/>
    <w:rsid w:val="00AC5CB7"/>
    <w:rsid w:val="00AC6198"/>
    <w:rsid w:val="00AC6F6B"/>
    <w:rsid w:val="00AC7531"/>
    <w:rsid w:val="00AC7564"/>
    <w:rsid w:val="00AC7688"/>
    <w:rsid w:val="00AC7C02"/>
    <w:rsid w:val="00AD04E8"/>
    <w:rsid w:val="00AD0517"/>
    <w:rsid w:val="00AD0A78"/>
    <w:rsid w:val="00AD1192"/>
    <w:rsid w:val="00AD1233"/>
    <w:rsid w:val="00AD1641"/>
    <w:rsid w:val="00AD1A2E"/>
    <w:rsid w:val="00AD1D29"/>
    <w:rsid w:val="00AD2CE8"/>
    <w:rsid w:val="00AD324A"/>
    <w:rsid w:val="00AD3853"/>
    <w:rsid w:val="00AD42E6"/>
    <w:rsid w:val="00AD43BF"/>
    <w:rsid w:val="00AD5DAF"/>
    <w:rsid w:val="00AD61C0"/>
    <w:rsid w:val="00AD651D"/>
    <w:rsid w:val="00AD6B9F"/>
    <w:rsid w:val="00AD6D6E"/>
    <w:rsid w:val="00AD717A"/>
    <w:rsid w:val="00AE01EC"/>
    <w:rsid w:val="00AE0BA6"/>
    <w:rsid w:val="00AE0F6A"/>
    <w:rsid w:val="00AE1133"/>
    <w:rsid w:val="00AE116A"/>
    <w:rsid w:val="00AE2666"/>
    <w:rsid w:val="00AE2A39"/>
    <w:rsid w:val="00AE2E18"/>
    <w:rsid w:val="00AE312E"/>
    <w:rsid w:val="00AE3199"/>
    <w:rsid w:val="00AE4A09"/>
    <w:rsid w:val="00AE5165"/>
    <w:rsid w:val="00AE60F5"/>
    <w:rsid w:val="00AE63E7"/>
    <w:rsid w:val="00AE6715"/>
    <w:rsid w:val="00AE716B"/>
    <w:rsid w:val="00AE72A6"/>
    <w:rsid w:val="00AE7BB5"/>
    <w:rsid w:val="00AF076F"/>
    <w:rsid w:val="00AF0B50"/>
    <w:rsid w:val="00AF0B9D"/>
    <w:rsid w:val="00AF0EBB"/>
    <w:rsid w:val="00AF19BA"/>
    <w:rsid w:val="00AF1B44"/>
    <w:rsid w:val="00AF21A5"/>
    <w:rsid w:val="00AF29EA"/>
    <w:rsid w:val="00AF2CE6"/>
    <w:rsid w:val="00AF46FA"/>
    <w:rsid w:val="00AF4979"/>
    <w:rsid w:val="00AF4D46"/>
    <w:rsid w:val="00AF519A"/>
    <w:rsid w:val="00AF5894"/>
    <w:rsid w:val="00AF59E3"/>
    <w:rsid w:val="00AF5A64"/>
    <w:rsid w:val="00AF5D3F"/>
    <w:rsid w:val="00AF604E"/>
    <w:rsid w:val="00AF61B6"/>
    <w:rsid w:val="00AF638F"/>
    <w:rsid w:val="00AF69FC"/>
    <w:rsid w:val="00AF6E14"/>
    <w:rsid w:val="00AF7964"/>
    <w:rsid w:val="00B0025E"/>
    <w:rsid w:val="00B00AEE"/>
    <w:rsid w:val="00B0121D"/>
    <w:rsid w:val="00B013A0"/>
    <w:rsid w:val="00B01B78"/>
    <w:rsid w:val="00B02623"/>
    <w:rsid w:val="00B02712"/>
    <w:rsid w:val="00B03D1D"/>
    <w:rsid w:val="00B0416D"/>
    <w:rsid w:val="00B046DE"/>
    <w:rsid w:val="00B049A5"/>
    <w:rsid w:val="00B05670"/>
    <w:rsid w:val="00B05A81"/>
    <w:rsid w:val="00B05E26"/>
    <w:rsid w:val="00B06B16"/>
    <w:rsid w:val="00B07E7F"/>
    <w:rsid w:val="00B10C7B"/>
    <w:rsid w:val="00B10D50"/>
    <w:rsid w:val="00B10FBE"/>
    <w:rsid w:val="00B117F9"/>
    <w:rsid w:val="00B1185C"/>
    <w:rsid w:val="00B119F3"/>
    <w:rsid w:val="00B125CE"/>
    <w:rsid w:val="00B1264D"/>
    <w:rsid w:val="00B12B8D"/>
    <w:rsid w:val="00B12F2C"/>
    <w:rsid w:val="00B13F18"/>
    <w:rsid w:val="00B141E0"/>
    <w:rsid w:val="00B149C3"/>
    <w:rsid w:val="00B14AAD"/>
    <w:rsid w:val="00B14F5C"/>
    <w:rsid w:val="00B151C4"/>
    <w:rsid w:val="00B1546B"/>
    <w:rsid w:val="00B15764"/>
    <w:rsid w:val="00B1611A"/>
    <w:rsid w:val="00B16181"/>
    <w:rsid w:val="00B16185"/>
    <w:rsid w:val="00B16F57"/>
    <w:rsid w:val="00B1775B"/>
    <w:rsid w:val="00B17ECE"/>
    <w:rsid w:val="00B17F51"/>
    <w:rsid w:val="00B17FC1"/>
    <w:rsid w:val="00B200AB"/>
    <w:rsid w:val="00B206D0"/>
    <w:rsid w:val="00B211E9"/>
    <w:rsid w:val="00B2154A"/>
    <w:rsid w:val="00B221CE"/>
    <w:rsid w:val="00B224AD"/>
    <w:rsid w:val="00B22F96"/>
    <w:rsid w:val="00B23811"/>
    <w:rsid w:val="00B23C4F"/>
    <w:rsid w:val="00B23D3C"/>
    <w:rsid w:val="00B2416C"/>
    <w:rsid w:val="00B2426E"/>
    <w:rsid w:val="00B24452"/>
    <w:rsid w:val="00B25057"/>
    <w:rsid w:val="00B25278"/>
    <w:rsid w:val="00B25F9D"/>
    <w:rsid w:val="00B25F9E"/>
    <w:rsid w:val="00B267BF"/>
    <w:rsid w:val="00B26B1A"/>
    <w:rsid w:val="00B26D52"/>
    <w:rsid w:val="00B26F16"/>
    <w:rsid w:val="00B26F44"/>
    <w:rsid w:val="00B27BDB"/>
    <w:rsid w:val="00B300F4"/>
    <w:rsid w:val="00B306B9"/>
    <w:rsid w:val="00B31AA1"/>
    <w:rsid w:val="00B32198"/>
    <w:rsid w:val="00B329B0"/>
    <w:rsid w:val="00B32AA6"/>
    <w:rsid w:val="00B336FB"/>
    <w:rsid w:val="00B3406E"/>
    <w:rsid w:val="00B34736"/>
    <w:rsid w:val="00B348DC"/>
    <w:rsid w:val="00B34E6E"/>
    <w:rsid w:val="00B352EF"/>
    <w:rsid w:val="00B35FA9"/>
    <w:rsid w:val="00B3605F"/>
    <w:rsid w:val="00B36F9D"/>
    <w:rsid w:val="00B37D0B"/>
    <w:rsid w:val="00B406D3"/>
    <w:rsid w:val="00B40AFB"/>
    <w:rsid w:val="00B411F6"/>
    <w:rsid w:val="00B41914"/>
    <w:rsid w:val="00B42852"/>
    <w:rsid w:val="00B42A71"/>
    <w:rsid w:val="00B42D72"/>
    <w:rsid w:val="00B42E65"/>
    <w:rsid w:val="00B43533"/>
    <w:rsid w:val="00B443C4"/>
    <w:rsid w:val="00B44B78"/>
    <w:rsid w:val="00B455EE"/>
    <w:rsid w:val="00B46613"/>
    <w:rsid w:val="00B468A3"/>
    <w:rsid w:val="00B46AA2"/>
    <w:rsid w:val="00B46ABD"/>
    <w:rsid w:val="00B46F3C"/>
    <w:rsid w:val="00B4738A"/>
    <w:rsid w:val="00B47CE7"/>
    <w:rsid w:val="00B47F1B"/>
    <w:rsid w:val="00B5001C"/>
    <w:rsid w:val="00B50119"/>
    <w:rsid w:val="00B50273"/>
    <w:rsid w:val="00B50B7F"/>
    <w:rsid w:val="00B51BD5"/>
    <w:rsid w:val="00B51E46"/>
    <w:rsid w:val="00B53527"/>
    <w:rsid w:val="00B53755"/>
    <w:rsid w:val="00B53996"/>
    <w:rsid w:val="00B53D0E"/>
    <w:rsid w:val="00B546C3"/>
    <w:rsid w:val="00B54C3B"/>
    <w:rsid w:val="00B54F48"/>
    <w:rsid w:val="00B56671"/>
    <w:rsid w:val="00B566CB"/>
    <w:rsid w:val="00B57434"/>
    <w:rsid w:val="00B576D1"/>
    <w:rsid w:val="00B57D2E"/>
    <w:rsid w:val="00B60C3B"/>
    <w:rsid w:val="00B60D9D"/>
    <w:rsid w:val="00B60FDA"/>
    <w:rsid w:val="00B618AE"/>
    <w:rsid w:val="00B61EC8"/>
    <w:rsid w:val="00B61F16"/>
    <w:rsid w:val="00B6208E"/>
    <w:rsid w:val="00B62CC2"/>
    <w:rsid w:val="00B630FD"/>
    <w:rsid w:val="00B6359B"/>
    <w:rsid w:val="00B63F85"/>
    <w:rsid w:val="00B643F4"/>
    <w:rsid w:val="00B6593D"/>
    <w:rsid w:val="00B65F51"/>
    <w:rsid w:val="00B6682A"/>
    <w:rsid w:val="00B66D0A"/>
    <w:rsid w:val="00B67257"/>
    <w:rsid w:val="00B6762A"/>
    <w:rsid w:val="00B67C4E"/>
    <w:rsid w:val="00B70149"/>
    <w:rsid w:val="00B70246"/>
    <w:rsid w:val="00B703A5"/>
    <w:rsid w:val="00B704F8"/>
    <w:rsid w:val="00B706AC"/>
    <w:rsid w:val="00B708C6"/>
    <w:rsid w:val="00B712AA"/>
    <w:rsid w:val="00B716F9"/>
    <w:rsid w:val="00B71750"/>
    <w:rsid w:val="00B71B8C"/>
    <w:rsid w:val="00B72387"/>
    <w:rsid w:val="00B723F1"/>
    <w:rsid w:val="00B72589"/>
    <w:rsid w:val="00B729EF"/>
    <w:rsid w:val="00B72E7A"/>
    <w:rsid w:val="00B731A1"/>
    <w:rsid w:val="00B74FF9"/>
    <w:rsid w:val="00B759CD"/>
    <w:rsid w:val="00B75CAA"/>
    <w:rsid w:val="00B75EF5"/>
    <w:rsid w:val="00B76880"/>
    <w:rsid w:val="00B76BBB"/>
    <w:rsid w:val="00B77525"/>
    <w:rsid w:val="00B776FE"/>
    <w:rsid w:val="00B77AA1"/>
    <w:rsid w:val="00B77AD6"/>
    <w:rsid w:val="00B77DA8"/>
    <w:rsid w:val="00B80DDC"/>
    <w:rsid w:val="00B8139A"/>
    <w:rsid w:val="00B818E9"/>
    <w:rsid w:val="00B81F66"/>
    <w:rsid w:val="00B820F7"/>
    <w:rsid w:val="00B82A3D"/>
    <w:rsid w:val="00B82A4D"/>
    <w:rsid w:val="00B830CA"/>
    <w:rsid w:val="00B832E1"/>
    <w:rsid w:val="00B84077"/>
    <w:rsid w:val="00B86445"/>
    <w:rsid w:val="00B86577"/>
    <w:rsid w:val="00B866C9"/>
    <w:rsid w:val="00B86B41"/>
    <w:rsid w:val="00B86D2C"/>
    <w:rsid w:val="00B87A26"/>
    <w:rsid w:val="00B9022A"/>
    <w:rsid w:val="00B906A7"/>
    <w:rsid w:val="00B909B6"/>
    <w:rsid w:val="00B91661"/>
    <w:rsid w:val="00B91A0D"/>
    <w:rsid w:val="00B9224D"/>
    <w:rsid w:val="00B922F8"/>
    <w:rsid w:val="00B92FB0"/>
    <w:rsid w:val="00B932FF"/>
    <w:rsid w:val="00B936D4"/>
    <w:rsid w:val="00B9409A"/>
    <w:rsid w:val="00B94661"/>
    <w:rsid w:val="00B94AB3"/>
    <w:rsid w:val="00B94EEA"/>
    <w:rsid w:val="00B9510E"/>
    <w:rsid w:val="00B961B2"/>
    <w:rsid w:val="00B969D5"/>
    <w:rsid w:val="00B96CC8"/>
    <w:rsid w:val="00B96D09"/>
    <w:rsid w:val="00B9722B"/>
    <w:rsid w:val="00B9726C"/>
    <w:rsid w:val="00B9789D"/>
    <w:rsid w:val="00B97D0A"/>
    <w:rsid w:val="00B97D67"/>
    <w:rsid w:val="00B97E43"/>
    <w:rsid w:val="00BA0842"/>
    <w:rsid w:val="00BA0853"/>
    <w:rsid w:val="00BA0CAE"/>
    <w:rsid w:val="00BA2B24"/>
    <w:rsid w:val="00BA2C98"/>
    <w:rsid w:val="00BA3984"/>
    <w:rsid w:val="00BA3CA9"/>
    <w:rsid w:val="00BA4060"/>
    <w:rsid w:val="00BA455B"/>
    <w:rsid w:val="00BA4D6D"/>
    <w:rsid w:val="00BA55C8"/>
    <w:rsid w:val="00BA592F"/>
    <w:rsid w:val="00BA5B20"/>
    <w:rsid w:val="00BA5F10"/>
    <w:rsid w:val="00BA61DE"/>
    <w:rsid w:val="00BA672F"/>
    <w:rsid w:val="00BA7C36"/>
    <w:rsid w:val="00BB00CD"/>
    <w:rsid w:val="00BB1374"/>
    <w:rsid w:val="00BB1965"/>
    <w:rsid w:val="00BB1AE9"/>
    <w:rsid w:val="00BB1B68"/>
    <w:rsid w:val="00BB2532"/>
    <w:rsid w:val="00BB332B"/>
    <w:rsid w:val="00BB3CAE"/>
    <w:rsid w:val="00BB3F5F"/>
    <w:rsid w:val="00BB40CB"/>
    <w:rsid w:val="00BB482D"/>
    <w:rsid w:val="00BB4874"/>
    <w:rsid w:val="00BB5AE2"/>
    <w:rsid w:val="00BB5F2E"/>
    <w:rsid w:val="00BB6D41"/>
    <w:rsid w:val="00BB6DCA"/>
    <w:rsid w:val="00BB70CC"/>
    <w:rsid w:val="00BB7256"/>
    <w:rsid w:val="00BB787A"/>
    <w:rsid w:val="00BC06F4"/>
    <w:rsid w:val="00BC0EFF"/>
    <w:rsid w:val="00BC1107"/>
    <w:rsid w:val="00BC13C8"/>
    <w:rsid w:val="00BC186C"/>
    <w:rsid w:val="00BC2C7D"/>
    <w:rsid w:val="00BC3014"/>
    <w:rsid w:val="00BC360D"/>
    <w:rsid w:val="00BC3B5F"/>
    <w:rsid w:val="00BC408E"/>
    <w:rsid w:val="00BC4F6C"/>
    <w:rsid w:val="00BC55A6"/>
    <w:rsid w:val="00BC613B"/>
    <w:rsid w:val="00BC6916"/>
    <w:rsid w:val="00BD0442"/>
    <w:rsid w:val="00BD08B0"/>
    <w:rsid w:val="00BD0A6E"/>
    <w:rsid w:val="00BD0C7E"/>
    <w:rsid w:val="00BD0E7B"/>
    <w:rsid w:val="00BD11C9"/>
    <w:rsid w:val="00BD15CA"/>
    <w:rsid w:val="00BD1C8F"/>
    <w:rsid w:val="00BD2521"/>
    <w:rsid w:val="00BD2EE8"/>
    <w:rsid w:val="00BD2F2A"/>
    <w:rsid w:val="00BD320D"/>
    <w:rsid w:val="00BD3BE2"/>
    <w:rsid w:val="00BD6B8A"/>
    <w:rsid w:val="00BD6DDA"/>
    <w:rsid w:val="00BE0228"/>
    <w:rsid w:val="00BE089D"/>
    <w:rsid w:val="00BE11D7"/>
    <w:rsid w:val="00BE1C1F"/>
    <w:rsid w:val="00BE1FA5"/>
    <w:rsid w:val="00BE1FA7"/>
    <w:rsid w:val="00BE232C"/>
    <w:rsid w:val="00BE236B"/>
    <w:rsid w:val="00BE241D"/>
    <w:rsid w:val="00BE287C"/>
    <w:rsid w:val="00BE2B90"/>
    <w:rsid w:val="00BE3AE5"/>
    <w:rsid w:val="00BE40EF"/>
    <w:rsid w:val="00BE44A9"/>
    <w:rsid w:val="00BE51E1"/>
    <w:rsid w:val="00BE527F"/>
    <w:rsid w:val="00BE55E1"/>
    <w:rsid w:val="00BE5DAA"/>
    <w:rsid w:val="00BE65E9"/>
    <w:rsid w:val="00BE6607"/>
    <w:rsid w:val="00BE6C89"/>
    <w:rsid w:val="00BE6D75"/>
    <w:rsid w:val="00BE6E0A"/>
    <w:rsid w:val="00BE7BB7"/>
    <w:rsid w:val="00BF0240"/>
    <w:rsid w:val="00BF02B4"/>
    <w:rsid w:val="00BF131D"/>
    <w:rsid w:val="00BF174D"/>
    <w:rsid w:val="00BF23CD"/>
    <w:rsid w:val="00BF2820"/>
    <w:rsid w:val="00BF30C1"/>
    <w:rsid w:val="00BF3AA6"/>
    <w:rsid w:val="00BF40B8"/>
    <w:rsid w:val="00BF4AA3"/>
    <w:rsid w:val="00BF4E11"/>
    <w:rsid w:val="00BF4F67"/>
    <w:rsid w:val="00BF5C73"/>
    <w:rsid w:val="00BF62DA"/>
    <w:rsid w:val="00BF6712"/>
    <w:rsid w:val="00BF7715"/>
    <w:rsid w:val="00BF7786"/>
    <w:rsid w:val="00BF77CA"/>
    <w:rsid w:val="00C01452"/>
    <w:rsid w:val="00C01572"/>
    <w:rsid w:val="00C017DB"/>
    <w:rsid w:val="00C0226A"/>
    <w:rsid w:val="00C02651"/>
    <w:rsid w:val="00C02BAD"/>
    <w:rsid w:val="00C04249"/>
    <w:rsid w:val="00C04647"/>
    <w:rsid w:val="00C04671"/>
    <w:rsid w:val="00C0473A"/>
    <w:rsid w:val="00C05B04"/>
    <w:rsid w:val="00C05D82"/>
    <w:rsid w:val="00C05E4E"/>
    <w:rsid w:val="00C06215"/>
    <w:rsid w:val="00C06929"/>
    <w:rsid w:val="00C073BF"/>
    <w:rsid w:val="00C077CF"/>
    <w:rsid w:val="00C0793E"/>
    <w:rsid w:val="00C07BE0"/>
    <w:rsid w:val="00C07E04"/>
    <w:rsid w:val="00C100B5"/>
    <w:rsid w:val="00C1098B"/>
    <w:rsid w:val="00C11063"/>
    <w:rsid w:val="00C112B8"/>
    <w:rsid w:val="00C11603"/>
    <w:rsid w:val="00C122C6"/>
    <w:rsid w:val="00C12D89"/>
    <w:rsid w:val="00C12E01"/>
    <w:rsid w:val="00C1302C"/>
    <w:rsid w:val="00C13083"/>
    <w:rsid w:val="00C13DBD"/>
    <w:rsid w:val="00C147BD"/>
    <w:rsid w:val="00C14F4B"/>
    <w:rsid w:val="00C1536A"/>
    <w:rsid w:val="00C15A3E"/>
    <w:rsid w:val="00C1611A"/>
    <w:rsid w:val="00C1613B"/>
    <w:rsid w:val="00C16D5A"/>
    <w:rsid w:val="00C16EDB"/>
    <w:rsid w:val="00C17492"/>
    <w:rsid w:val="00C17C4E"/>
    <w:rsid w:val="00C17E9D"/>
    <w:rsid w:val="00C20888"/>
    <w:rsid w:val="00C20CBF"/>
    <w:rsid w:val="00C20E0B"/>
    <w:rsid w:val="00C216F4"/>
    <w:rsid w:val="00C21806"/>
    <w:rsid w:val="00C224A1"/>
    <w:rsid w:val="00C22AEE"/>
    <w:rsid w:val="00C22BE5"/>
    <w:rsid w:val="00C22CAD"/>
    <w:rsid w:val="00C22D59"/>
    <w:rsid w:val="00C23866"/>
    <w:rsid w:val="00C245A8"/>
    <w:rsid w:val="00C251CF"/>
    <w:rsid w:val="00C256E7"/>
    <w:rsid w:val="00C25AA5"/>
    <w:rsid w:val="00C25C76"/>
    <w:rsid w:val="00C26CC6"/>
    <w:rsid w:val="00C30113"/>
    <w:rsid w:val="00C30399"/>
    <w:rsid w:val="00C30FB0"/>
    <w:rsid w:val="00C31520"/>
    <w:rsid w:val="00C31C12"/>
    <w:rsid w:val="00C32571"/>
    <w:rsid w:val="00C33002"/>
    <w:rsid w:val="00C33E52"/>
    <w:rsid w:val="00C34793"/>
    <w:rsid w:val="00C34973"/>
    <w:rsid w:val="00C34BC6"/>
    <w:rsid w:val="00C34C6E"/>
    <w:rsid w:val="00C35089"/>
    <w:rsid w:val="00C353DD"/>
    <w:rsid w:val="00C3543A"/>
    <w:rsid w:val="00C35F9E"/>
    <w:rsid w:val="00C361E2"/>
    <w:rsid w:val="00C36B14"/>
    <w:rsid w:val="00C36D0C"/>
    <w:rsid w:val="00C36EA6"/>
    <w:rsid w:val="00C36F10"/>
    <w:rsid w:val="00C379FB"/>
    <w:rsid w:val="00C37AA4"/>
    <w:rsid w:val="00C37E54"/>
    <w:rsid w:val="00C407C2"/>
    <w:rsid w:val="00C40A11"/>
    <w:rsid w:val="00C41883"/>
    <w:rsid w:val="00C418C9"/>
    <w:rsid w:val="00C42AA3"/>
    <w:rsid w:val="00C42E04"/>
    <w:rsid w:val="00C43562"/>
    <w:rsid w:val="00C439CE"/>
    <w:rsid w:val="00C43E4E"/>
    <w:rsid w:val="00C43F5F"/>
    <w:rsid w:val="00C44067"/>
    <w:rsid w:val="00C44198"/>
    <w:rsid w:val="00C44C85"/>
    <w:rsid w:val="00C44D5A"/>
    <w:rsid w:val="00C44E6E"/>
    <w:rsid w:val="00C45046"/>
    <w:rsid w:val="00C45498"/>
    <w:rsid w:val="00C456E6"/>
    <w:rsid w:val="00C458F5"/>
    <w:rsid w:val="00C45A69"/>
    <w:rsid w:val="00C463F7"/>
    <w:rsid w:val="00C46567"/>
    <w:rsid w:val="00C47A0E"/>
    <w:rsid w:val="00C50AD1"/>
    <w:rsid w:val="00C50C24"/>
    <w:rsid w:val="00C51528"/>
    <w:rsid w:val="00C5157D"/>
    <w:rsid w:val="00C518BE"/>
    <w:rsid w:val="00C51B74"/>
    <w:rsid w:val="00C5204B"/>
    <w:rsid w:val="00C52168"/>
    <w:rsid w:val="00C53576"/>
    <w:rsid w:val="00C535FD"/>
    <w:rsid w:val="00C538BF"/>
    <w:rsid w:val="00C539E7"/>
    <w:rsid w:val="00C53ED7"/>
    <w:rsid w:val="00C54106"/>
    <w:rsid w:val="00C5451D"/>
    <w:rsid w:val="00C546BC"/>
    <w:rsid w:val="00C54B1F"/>
    <w:rsid w:val="00C55266"/>
    <w:rsid w:val="00C55609"/>
    <w:rsid w:val="00C5567B"/>
    <w:rsid w:val="00C557E3"/>
    <w:rsid w:val="00C558BA"/>
    <w:rsid w:val="00C55934"/>
    <w:rsid w:val="00C55941"/>
    <w:rsid w:val="00C57004"/>
    <w:rsid w:val="00C57385"/>
    <w:rsid w:val="00C5775A"/>
    <w:rsid w:val="00C606B6"/>
    <w:rsid w:val="00C60CFF"/>
    <w:rsid w:val="00C6141A"/>
    <w:rsid w:val="00C6310A"/>
    <w:rsid w:val="00C63130"/>
    <w:rsid w:val="00C639DB"/>
    <w:rsid w:val="00C64419"/>
    <w:rsid w:val="00C64D3F"/>
    <w:rsid w:val="00C64F6C"/>
    <w:rsid w:val="00C6581D"/>
    <w:rsid w:val="00C65B1E"/>
    <w:rsid w:val="00C65BE0"/>
    <w:rsid w:val="00C65BFE"/>
    <w:rsid w:val="00C65CC4"/>
    <w:rsid w:val="00C65EA0"/>
    <w:rsid w:val="00C662A7"/>
    <w:rsid w:val="00C66A39"/>
    <w:rsid w:val="00C66A42"/>
    <w:rsid w:val="00C670F7"/>
    <w:rsid w:val="00C67214"/>
    <w:rsid w:val="00C674D3"/>
    <w:rsid w:val="00C67644"/>
    <w:rsid w:val="00C6768F"/>
    <w:rsid w:val="00C7092F"/>
    <w:rsid w:val="00C70BC4"/>
    <w:rsid w:val="00C70CB0"/>
    <w:rsid w:val="00C71B40"/>
    <w:rsid w:val="00C72176"/>
    <w:rsid w:val="00C7293C"/>
    <w:rsid w:val="00C72A37"/>
    <w:rsid w:val="00C72FAB"/>
    <w:rsid w:val="00C7345D"/>
    <w:rsid w:val="00C73F25"/>
    <w:rsid w:val="00C742D6"/>
    <w:rsid w:val="00C7441D"/>
    <w:rsid w:val="00C7475B"/>
    <w:rsid w:val="00C74F32"/>
    <w:rsid w:val="00C754DD"/>
    <w:rsid w:val="00C756E1"/>
    <w:rsid w:val="00C77152"/>
    <w:rsid w:val="00C771E6"/>
    <w:rsid w:val="00C7724F"/>
    <w:rsid w:val="00C77FC3"/>
    <w:rsid w:val="00C80152"/>
    <w:rsid w:val="00C802A2"/>
    <w:rsid w:val="00C80351"/>
    <w:rsid w:val="00C8079B"/>
    <w:rsid w:val="00C80E45"/>
    <w:rsid w:val="00C8100A"/>
    <w:rsid w:val="00C813FD"/>
    <w:rsid w:val="00C81BF4"/>
    <w:rsid w:val="00C826F1"/>
    <w:rsid w:val="00C82D56"/>
    <w:rsid w:val="00C8340F"/>
    <w:rsid w:val="00C83443"/>
    <w:rsid w:val="00C838C1"/>
    <w:rsid w:val="00C83DCB"/>
    <w:rsid w:val="00C841D2"/>
    <w:rsid w:val="00C84206"/>
    <w:rsid w:val="00C84281"/>
    <w:rsid w:val="00C84934"/>
    <w:rsid w:val="00C84BE1"/>
    <w:rsid w:val="00C84D0B"/>
    <w:rsid w:val="00C84DA8"/>
    <w:rsid w:val="00C85D49"/>
    <w:rsid w:val="00C862BF"/>
    <w:rsid w:val="00C868F0"/>
    <w:rsid w:val="00C87CA1"/>
    <w:rsid w:val="00C87CB2"/>
    <w:rsid w:val="00C90716"/>
    <w:rsid w:val="00C924FF"/>
    <w:rsid w:val="00C92646"/>
    <w:rsid w:val="00C9279A"/>
    <w:rsid w:val="00C92D17"/>
    <w:rsid w:val="00C92EF6"/>
    <w:rsid w:val="00C9303B"/>
    <w:rsid w:val="00C93586"/>
    <w:rsid w:val="00C93E1B"/>
    <w:rsid w:val="00C93F84"/>
    <w:rsid w:val="00C94517"/>
    <w:rsid w:val="00C945F1"/>
    <w:rsid w:val="00C945F9"/>
    <w:rsid w:val="00C95194"/>
    <w:rsid w:val="00C95E55"/>
    <w:rsid w:val="00C9678D"/>
    <w:rsid w:val="00C96C45"/>
    <w:rsid w:val="00C96EDE"/>
    <w:rsid w:val="00C96FDA"/>
    <w:rsid w:val="00C97CAA"/>
    <w:rsid w:val="00CA030E"/>
    <w:rsid w:val="00CA1361"/>
    <w:rsid w:val="00CA179E"/>
    <w:rsid w:val="00CA1950"/>
    <w:rsid w:val="00CA1AE0"/>
    <w:rsid w:val="00CA1B13"/>
    <w:rsid w:val="00CA1F8A"/>
    <w:rsid w:val="00CA345F"/>
    <w:rsid w:val="00CA35EF"/>
    <w:rsid w:val="00CA3911"/>
    <w:rsid w:val="00CA396E"/>
    <w:rsid w:val="00CA3974"/>
    <w:rsid w:val="00CA474C"/>
    <w:rsid w:val="00CA4E9D"/>
    <w:rsid w:val="00CA5053"/>
    <w:rsid w:val="00CA5C5D"/>
    <w:rsid w:val="00CA661F"/>
    <w:rsid w:val="00CA6A93"/>
    <w:rsid w:val="00CA6EE1"/>
    <w:rsid w:val="00CA7AD6"/>
    <w:rsid w:val="00CA7E91"/>
    <w:rsid w:val="00CB088E"/>
    <w:rsid w:val="00CB102F"/>
    <w:rsid w:val="00CB10A8"/>
    <w:rsid w:val="00CB112A"/>
    <w:rsid w:val="00CB124F"/>
    <w:rsid w:val="00CB198D"/>
    <w:rsid w:val="00CB3175"/>
    <w:rsid w:val="00CB3456"/>
    <w:rsid w:val="00CB38C8"/>
    <w:rsid w:val="00CB3D87"/>
    <w:rsid w:val="00CB424C"/>
    <w:rsid w:val="00CB4597"/>
    <w:rsid w:val="00CB45D5"/>
    <w:rsid w:val="00CB56C9"/>
    <w:rsid w:val="00CB5A0A"/>
    <w:rsid w:val="00CB637A"/>
    <w:rsid w:val="00CB6A82"/>
    <w:rsid w:val="00CB789F"/>
    <w:rsid w:val="00CC0407"/>
    <w:rsid w:val="00CC065B"/>
    <w:rsid w:val="00CC0AE2"/>
    <w:rsid w:val="00CC0B57"/>
    <w:rsid w:val="00CC116E"/>
    <w:rsid w:val="00CC13EC"/>
    <w:rsid w:val="00CC2247"/>
    <w:rsid w:val="00CC2A62"/>
    <w:rsid w:val="00CC3221"/>
    <w:rsid w:val="00CC43D5"/>
    <w:rsid w:val="00CC51BD"/>
    <w:rsid w:val="00CC5DCE"/>
    <w:rsid w:val="00CD0A6E"/>
    <w:rsid w:val="00CD130A"/>
    <w:rsid w:val="00CD15D4"/>
    <w:rsid w:val="00CD175C"/>
    <w:rsid w:val="00CD19AD"/>
    <w:rsid w:val="00CD1BCF"/>
    <w:rsid w:val="00CD2538"/>
    <w:rsid w:val="00CD2DA4"/>
    <w:rsid w:val="00CD3223"/>
    <w:rsid w:val="00CD4305"/>
    <w:rsid w:val="00CD542A"/>
    <w:rsid w:val="00CD56D8"/>
    <w:rsid w:val="00CD70D1"/>
    <w:rsid w:val="00CD7160"/>
    <w:rsid w:val="00CD7DFE"/>
    <w:rsid w:val="00CE0A9E"/>
    <w:rsid w:val="00CE160B"/>
    <w:rsid w:val="00CE1D09"/>
    <w:rsid w:val="00CE1FFE"/>
    <w:rsid w:val="00CE20EE"/>
    <w:rsid w:val="00CE2161"/>
    <w:rsid w:val="00CE2ECA"/>
    <w:rsid w:val="00CE34D4"/>
    <w:rsid w:val="00CE3AFC"/>
    <w:rsid w:val="00CE3B18"/>
    <w:rsid w:val="00CE408F"/>
    <w:rsid w:val="00CE50AE"/>
    <w:rsid w:val="00CE5803"/>
    <w:rsid w:val="00CE58E5"/>
    <w:rsid w:val="00CE5C78"/>
    <w:rsid w:val="00CE707F"/>
    <w:rsid w:val="00CE7146"/>
    <w:rsid w:val="00CE7292"/>
    <w:rsid w:val="00CE7565"/>
    <w:rsid w:val="00CE7C7D"/>
    <w:rsid w:val="00CE7E64"/>
    <w:rsid w:val="00CF0024"/>
    <w:rsid w:val="00CF044E"/>
    <w:rsid w:val="00CF0C6B"/>
    <w:rsid w:val="00CF0D08"/>
    <w:rsid w:val="00CF11E3"/>
    <w:rsid w:val="00CF1D17"/>
    <w:rsid w:val="00CF2DE4"/>
    <w:rsid w:val="00CF31CC"/>
    <w:rsid w:val="00CF35D0"/>
    <w:rsid w:val="00CF3DDD"/>
    <w:rsid w:val="00CF423A"/>
    <w:rsid w:val="00CF482A"/>
    <w:rsid w:val="00CF5BA3"/>
    <w:rsid w:val="00CF5CBD"/>
    <w:rsid w:val="00CF64F7"/>
    <w:rsid w:val="00CF6511"/>
    <w:rsid w:val="00CF7029"/>
    <w:rsid w:val="00CF775B"/>
    <w:rsid w:val="00CF79B0"/>
    <w:rsid w:val="00D00C10"/>
    <w:rsid w:val="00D014AB"/>
    <w:rsid w:val="00D01CD1"/>
    <w:rsid w:val="00D0259F"/>
    <w:rsid w:val="00D02904"/>
    <w:rsid w:val="00D029A0"/>
    <w:rsid w:val="00D02DCD"/>
    <w:rsid w:val="00D03D51"/>
    <w:rsid w:val="00D03F66"/>
    <w:rsid w:val="00D04F69"/>
    <w:rsid w:val="00D05697"/>
    <w:rsid w:val="00D058C7"/>
    <w:rsid w:val="00D06B45"/>
    <w:rsid w:val="00D06CF4"/>
    <w:rsid w:val="00D07036"/>
    <w:rsid w:val="00D0751A"/>
    <w:rsid w:val="00D10544"/>
    <w:rsid w:val="00D105D8"/>
    <w:rsid w:val="00D107F8"/>
    <w:rsid w:val="00D1098F"/>
    <w:rsid w:val="00D10C19"/>
    <w:rsid w:val="00D1258E"/>
    <w:rsid w:val="00D1261C"/>
    <w:rsid w:val="00D13A96"/>
    <w:rsid w:val="00D13AC9"/>
    <w:rsid w:val="00D15370"/>
    <w:rsid w:val="00D1556A"/>
    <w:rsid w:val="00D15737"/>
    <w:rsid w:val="00D15A54"/>
    <w:rsid w:val="00D16170"/>
    <w:rsid w:val="00D17503"/>
    <w:rsid w:val="00D17917"/>
    <w:rsid w:val="00D20590"/>
    <w:rsid w:val="00D20B3D"/>
    <w:rsid w:val="00D21C13"/>
    <w:rsid w:val="00D21CA2"/>
    <w:rsid w:val="00D22300"/>
    <w:rsid w:val="00D22B25"/>
    <w:rsid w:val="00D22D53"/>
    <w:rsid w:val="00D2365B"/>
    <w:rsid w:val="00D238EB"/>
    <w:rsid w:val="00D239C3"/>
    <w:rsid w:val="00D23E62"/>
    <w:rsid w:val="00D24237"/>
    <w:rsid w:val="00D24AB4"/>
    <w:rsid w:val="00D24D38"/>
    <w:rsid w:val="00D251C0"/>
    <w:rsid w:val="00D25436"/>
    <w:rsid w:val="00D25971"/>
    <w:rsid w:val="00D261DD"/>
    <w:rsid w:val="00D26BDF"/>
    <w:rsid w:val="00D27C0E"/>
    <w:rsid w:val="00D301E4"/>
    <w:rsid w:val="00D304B7"/>
    <w:rsid w:val="00D30644"/>
    <w:rsid w:val="00D30697"/>
    <w:rsid w:val="00D30C35"/>
    <w:rsid w:val="00D31773"/>
    <w:rsid w:val="00D319D9"/>
    <w:rsid w:val="00D31C93"/>
    <w:rsid w:val="00D3274B"/>
    <w:rsid w:val="00D32767"/>
    <w:rsid w:val="00D32877"/>
    <w:rsid w:val="00D32892"/>
    <w:rsid w:val="00D329B1"/>
    <w:rsid w:val="00D33344"/>
    <w:rsid w:val="00D337CF"/>
    <w:rsid w:val="00D338F3"/>
    <w:rsid w:val="00D339B9"/>
    <w:rsid w:val="00D33D9B"/>
    <w:rsid w:val="00D33EA8"/>
    <w:rsid w:val="00D351C4"/>
    <w:rsid w:val="00D35616"/>
    <w:rsid w:val="00D359A4"/>
    <w:rsid w:val="00D363F3"/>
    <w:rsid w:val="00D36955"/>
    <w:rsid w:val="00D36D3D"/>
    <w:rsid w:val="00D36DD8"/>
    <w:rsid w:val="00D36F8E"/>
    <w:rsid w:val="00D37664"/>
    <w:rsid w:val="00D37EB8"/>
    <w:rsid w:val="00D4002E"/>
    <w:rsid w:val="00D40625"/>
    <w:rsid w:val="00D40F4A"/>
    <w:rsid w:val="00D411B4"/>
    <w:rsid w:val="00D4134D"/>
    <w:rsid w:val="00D414A5"/>
    <w:rsid w:val="00D417DB"/>
    <w:rsid w:val="00D42129"/>
    <w:rsid w:val="00D42164"/>
    <w:rsid w:val="00D42BBB"/>
    <w:rsid w:val="00D444E0"/>
    <w:rsid w:val="00D44AF2"/>
    <w:rsid w:val="00D454D3"/>
    <w:rsid w:val="00D457DF"/>
    <w:rsid w:val="00D458E9"/>
    <w:rsid w:val="00D467BA"/>
    <w:rsid w:val="00D500BB"/>
    <w:rsid w:val="00D50446"/>
    <w:rsid w:val="00D5059B"/>
    <w:rsid w:val="00D50B61"/>
    <w:rsid w:val="00D50C7C"/>
    <w:rsid w:val="00D50E05"/>
    <w:rsid w:val="00D50F46"/>
    <w:rsid w:val="00D51216"/>
    <w:rsid w:val="00D513EA"/>
    <w:rsid w:val="00D52ADB"/>
    <w:rsid w:val="00D52C4C"/>
    <w:rsid w:val="00D52E30"/>
    <w:rsid w:val="00D53682"/>
    <w:rsid w:val="00D5380C"/>
    <w:rsid w:val="00D53EF2"/>
    <w:rsid w:val="00D543A4"/>
    <w:rsid w:val="00D54555"/>
    <w:rsid w:val="00D54560"/>
    <w:rsid w:val="00D54972"/>
    <w:rsid w:val="00D55170"/>
    <w:rsid w:val="00D55557"/>
    <w:rsid w:val="00D557A7"/>
    <w:rsid w:val="00D560B4"/>
    <w:rsid w:val="00D5628F"/>
    <w:rsid w:val="00D5686B"/>
    <w:rsid w:val="00D568B2"/>
    <w:rsid w:val="00D57512"/>
    <w:rsid w:val="00D57C95"/>
    <w:rsid w:val="00D60D26"/>
    <w:rsid w:val="00D60F09"/>
    <w:rsid w:val="00D61456"/>
    <w:rsid w:val="00D61A32"/>
    <w:rsid w:val="00D61A54"/>
    <w:rsid w:val="00D62101"/>
    <w:rsid w:val="00D6235A"/>
    <w:rsid w:val="00D62FD7"/>
    <w:rsid w:val="00D63082"/>
    <w:rsid w:val="00D63163"/>
    <w:rsid w:val="00D63707"/>
    <w:rsid w:val="00D63E16"/>
    <w:rsid w:val="00D64942"/>
    <w:rsid w:val="00D65D07"/>
    <w:rsid w:val="00D66AFD"/>
    <w:rsid w:val="00D67CD2"/>
    <w:rsid w:val="00D700B9"/>
    <w:rsid w:val="00D700DE"/>
    <w:rsid w:val="00D70141"/>
    <w:rsid w:val="00D70412"/>
    <w:rsid w:val="00D7098E"/>
    <w:rsid w:val="00D70B82"/>
    <w:rsid w:val="00D70F54"/>
    <w:rsid w:val="00D70FB3"/>
    <w:rsid w:val="00D7155F"/>
    <w:rsid w:val="00D71845"/>
    <w:rsid w:val="00D71910"/>
    <w:rsid w:val="00D719B0"/>
    <w:rsid w:val="00D72224"/>
    <w:rsid w:val="00D731F5"/>
    <w:rsid w:val="00D7323C"/>
    <w:rsid w:val="00D73A11"/>
    <w:rsid w:val="00D74356"/>
    <w:rsid w:val="00D75C86"/>
    <w:rsid w:val="00D75D2F"/>
    <w:rsid w:val="00D76417"/>
    <w:rsid w:val="00D76DBA"/>
    <w:rsid w:val="00D76E8B"/>
    <w:rsid w:val="00D7753A"/>
    <w:rsid w:val="00D77585"/>
    <w:rsid w:val="00D779B1"/>
    <w:rsid w:val="00D80AFC"/>
    <w:rsid w:val="00D81962"/>
    <w:rsid w:val="00D8332D"/>
    <w:rsid w:val="00D83635"/>
    <w:rsid w:val="00D84594"/>
    <w:rsid w:val="00D84842"/>
    <w:rsid w:val="00D8579B"/>
    <w:rsid w:val="00D87F7E"/>
    <w:rsid w:val="00D90350"/>
    <w:rsid w:val="00D90509"/>
    <w:rsid w:val="00D906CA"/>
    <w:rsid w:val="00D90824"/>
    <w:rsid w:val="00D91B03"/>
    <w:rsid w:val="00D91E94"/>
    <w:rsid w:val="00D92C60"/>
    <w:rsid w:val="00D92F9D"/>
    <w:rsid w:val="00D938F9"/>
    <w:rsid w:val="00D93BCD"/>
    <w:rsid w:val="00D93FE7"/>
    <w:rsid w:val="00D945A0"/>
    <w:rsid w:val="00D94709"/>
    <w:rsid w:val="00D94904"/>
    <w:rsid w:val="00D9509A"/>
    <w:rsid w:val="00D9518A"/>
    <w:rsid w:val="00D957AC"/>
    <w:rsid w:val="00D95BA3"/>
    <w:rsid w:val="00D963B2"/>
    <w:rsid w:val="00D96F6B"/>
    <w:rsid w:val="00D96F93"/>
    <w:rsid w:val="00D97970"/>
    <w:rsid w:val="00D97C60"/>
    <w:rsid w:val="00D97FEB"/>
    <w:rsid w:val="00DA0674"/>
    <w:rsid w:val="00DA0EEA"/>
    <w:rsid w:val="00DA23ED"/>
    <w:rsid w:val="00DA30FF"/>
    <w:rsid w:val="00DA336B"/>
    <w:rsid w:val="00DA33AF"/>
    <w:rsid w:val="00DA33C6"/>
    <w:rsid w:val="00DA37F0"/>
    <w:rsid w:val="00DA39CD"/>
    <w:rsid w:val="00DA3ACA"/>
    <w:rsid w:val="00DA41BC"/>
    <w:rsid w:val="00DA45B9"/>
    <w:rsid w:val="00DA4A61"/>
    <w:rsid w:val="00DA4C1E"/>
    <w:rsid w:val="00DA501C"/>
    <w:rsid w:val="00DA53EE"/>
    <w:rsid w:val="00DA57F6"/>
    <w:rsid w:val="00DA585C"/>
    <w:rsid w:val="00DA602B"/>
    <w:rsid w:val="00DA690C"/>
    <w:rsid w:val="00DA7AED"/>
    <w:rsid w:val="00DA7C57"/>
    <w:rsid w:val="00DA7E3E"/>
    <w:rsid w:val="00DA7F4B"/>
    <w:rsid w:val="00DB03E8"/>
    <w:rsid w:val="00DB0A5F"/>
    <w:rsid w:val="00DB1598"/>
    <w:rsid w:val="00DB182B"/>
    <w:rsid w:val="00DB186A"/>
    <w:rsid w:val="00DB1B31"/>
    <w:rsid w:val="00DB20A4"/>
    <w:rsid w:val="00DB2A41"/>
    <w:rsid w:val="00DB2F3A"/>
    <w:rsid w:val="00DB35F6"/>
    <w:rsid w:val="00DB4720"/>
    <w:rsid w:val="00DB5052"/>
    <w:rsid w:val="00DB5381"/>
    <w:rsid w:val="00DB553A"/>
    <w:rsid w:val="00DB5769"/>
    <w:rsid w:val="00DB578C"/>
    <w:rsid w:val="00DB653C"/>
    <w:rsid w:val="00DB6674"/>
    <w:rsid w:val="00DB6945"/>
    <w:rsid w:val="00DB74EF"/>
    <w:rsid w:val="00DB7D0F"/>
    <w:rsid w:val="00DC083C"/>
    <w:rsid w:val="00DC0918"/>
    <w:rsid w:val="00DC1435"/>
    <w:rsid w:val="00DC1708"/>
    <w:rsid w:val="00DC1A28"/>
    <w:rsid w:val="00DC1A2F"/>
    <w:rsid w:val="00DC1C67"/>
    <w:rsid w:val="00DC1C9E"/>
    <w:rsid w:val="00DC21CB"/>
    <w:rsid w:val="00DC2E6C"/>
    <w:rsid w:val="00DC2E88"/>
    <w:rsid w:val="00DC2FFE"/>
    <w:rsid w:val="00DC304C"/>
    <w:rsid w:val="00DC3124"/>
    <w:rsid w:val="00DC4A79"/>
    <w:rsid w:val="00DC4F1B"/>
    <w:rsid w:val="00DC5691"/>
    <w:rsid w:val="00DC5BF4"/>
    <w:rsid w:val="00DC5E2B"/>
    <w:rsid w:val="00DC5F77"/>
    <w:rsid w:val="00DC72E3"/>
    <w:rsid w:val="00DC77D0"/>
    <w:rsid w:val="00DC7F9A"/>
    <w:rsid w:val="00DD04E8"/>
    <w:rsid w:val="00DD0894"/>
    <w:rsid w:val="00DD0C61"/>
    <w:rsid w:val="00DD14C8"/>
    <w:rsid w:val="00DD1DE3"/>
    <w:rsid w:val="00DD2178"/>
    <w:rsid w:val="00DD2466"/>
    <w:rsid w:val="00DD3092"/>
    <w:rsid w:val="00DD34F7"/>
    <w:rsid w:val="00DD3C6C"/>
    <w:rsid w:val="00DD3FD5"/>
    <w:rsid w:val="00DD417A"/>
    <w:rsid w:val="00DD428C"/>
    <w:rsid w:val="00DD467C"/>
    <w:rsid w:val="00DD484E"/>
    <w:rsid w:val="00DD4859"/>
    <w:rsid w:val="00DD5B84"/>
    <w:rsid w:val="00DD5E10"/>
    <w:rsid w:val="00DD6292"/>
    <w:rsid w:val="00DD6884"/>
    <w:rsid w:val="00DD7088"/>
    <w:rsid w:val="00DD73DA"/>
    <w:rsid w:val="00DD7B31"/>
    <w:rsid w:val="00DD7E3B"/>
    <w:rsid w:val="00DD7FED"/>
    <w:rsid w:val="00DE0643"/>
    <w:rsid w:val="00DE122B"/>
    <w:rsid w:val="00DE12DD"/>
    <w:rsid w:val="00DE177F"/>
    <w:rsid w:val="00DE1AF6"/>
    <w:rsid w:val="00DE2022"/>
    <w:rsid w:val="00DE27EE"/>
    <w:rsid w:val="00DE2C8C"/>
    <w:rsid w:val="00DE3119"/>
    <w:rsid w:val="00DE325B"/>
    <w:rsid w:val="00DE3588"/>
    <w:rsid w:val="00DE3964"/>
    <w:rsid w:val="00DE487C"/>
    <w:rsid w:val="00DE5B51"/>
    <w:rsid w:val="00DE5B9D"/>
    <w:rsid w:val="00DE5D7B"/>
    <w:rsid w:val="00DE66E8"/>
    <w:rsid w:val="00DE6DAC"/>
    <w:rsid w:val="00DE79F7"/>
    <w:rsid w:val="00DE7C00"/>
    <w:rsid w:val="00DE7EFC"/>
    <w:rsid w:val="00DE7F03"/>
    <w:rsid w:val="00DF0650"/>
    <w:rsid w:val="00DF15C3"/>
    <w:rsid w:val="00DF191C"/>
    <w:rsid w:val="00DF1D28"/>
    <w:rsid w:val="00DF3086"/>
    <w:rsid w:val="00DF31F2"/>
    <w:rsid w:val="00DF3713"/>
    <w:rsid w:val="00DF3EFC"/>
    <w:rsid w:val="00DF4D9A"/>
    <w:rsid w:val="00DF55AF"/>
    <w:rsid w:val="00DF5776"/>
    <w:rsid w:val="00DF5E4C"/>
    <w:rsid w:val="00DF601E"/>
    <w:rsid w:val="00DF6057"/>
    <w:rsid w:val="00DF6355"/>
    <w:rsid w:val="00DF6A19"/>
    <w:rsid w:val="00DF6CE3"/>
    <w:rsid w:val="00DF73B0"/>
    <w:rsid w:val="00DF7BF8"/>
    <w:rsid w:val="00DF7F11"/>
    <w:rsid w:val="00E0003B"/>
    <w:rsid w:val="00E0032C"/>
    <w:rsid w:val="00E00484"/>
    <w:rsid w:val="00E00543"/>
    <w:rsid w:val="00E005E1"/>
    <w:rsid w:val="00E013F6"/>
    <w:rsid w:val="00E01942"/>
    <w:rsid w:val="00E02122"/>
    <w:rsid w:val="00E023B3"/>
    <w:rsid w:val="00E0259B"/>
    <w:rsid w:val="00E03107"/>
    <w:rsid w:val="00E035D6"/>
    <w:rsid w:val="00E03B2A"/>
    <w:rsid w:val="00E03C39"/>
    <w:rsid w:val="00E03F9F"/>
    <w:rsid w:val="00E03FA0"/>
    <w:rsid w:val="00E045DA"/>
    <w:rsid w:val="00E0525B"/>
    <w:rsid w:val="00E05D44"/>
    <w:rsid w:val="00E06C72"/>
    <w:rsid w:val="00E0709A"/>
    <w:rsid w:val="00E07DCF"/>
    <w:rsid w:val="00E10182"/>
    <w:rsid w:val="00E10196"/>
    <w:rsid w:val="00E1044C"/>
    <w:rsid w:val="00E10F5B"/>
    <w:rsid w:val="00E11A56"/>
    <w:rsid w:val="00E121CA"/>
    <w:rsid w:val="00E1257D"/>
    <w:rsid w:val="00E1262F"/>
    <w:rsid w:val="00E12C1F"/>
    <w:rsid w:val="00E13B6E"/>
    <w:rsid w:val="00E13C99"/>
    <w:rsid w:val="00E13F54"/>
    <w:rsid w:val="00E144AB"/>
    <w:rsid w:val="00E144BD"/>
    <w:rsid w:val="00E1464F"/>
    <w:rsid w:val="00E14C11"/>
    <w:rsid w:val="00E1529B"/>
    <w:rsid w:val="00E153B6"/>
    <w:rsid w:val="00E1545B"/>
    <w:rsid w:val="00E16A3F"/>
    <w:rsid w:val="00E171AA"/>
    <w:rsid w:val="00E17646"/>
    <w:rsid w:val="00E1770B"/>
    <w:rsid w:val="00E1796F"/>
    <w:rsid w:val="00E208C7"/>
    <w:rsid w:val="00E20969"/>
    <w:rsid w:val="00E20BE7"/>
    <w:rsid w:val="00E20C15"/>
    <w:rsid w:val="00E21169"/>
    <w:rsid w:val="00E218AE"/>
    <w:rsid w:val="00E21B00"/>
    <w:rsid w:val="00E21F68"/>
    <w:rsid w:val="00E229A0"/>
    <w:rsid w:val="00E22D3A"/>
    <w:rsid w:val="00E23917"/>
    <w:rsid w:val="00E2396C"/>
    <w:rsid w:val="00E2457B"/>
    <w:rsid w:val="00E24707"/>
    <w:rsid w:val="00E24817"/>
    <w:rsid w:val="00E24B63"/>
    <w:rsid w:val="00E25115"/>
    <w:rsid w:val="00E252B9"/>
    <w:rsid w:val="00E25867"/>
    <w:rsid w:val="00E25CE0"/>
    <w:rsid w:val="00E265E9"/>
    <w:rsid w:val="00E2737B"/>
    <w:rsid w:val="00E27B05"/>
    <w:rsid w:val="00E30129"/>
    <w:rsid w:val="00E307D4"/>
    <w:rsid w:val="00E30945"/>
    <w:rsid w:val="00E3095B"/>
    <w:rsid w:val="00E31955"/>
    <w:rsid w:val="00E31A05"/>
    <w:rsid w:val="00E3258B"/>
    <w:rsid w:val="00E328F6"/>
    <w:rsid w:val="00E3297E"/>
    <w:rsid w:val="00E32CDA"/>
    <w:rsid w:val="00E32EE3"/>
    <w:rsid w:val="00E32EE5"/>
    <w:rsid w:val="00E33830"/>
    <w:rsid w:val="00E33E23"/>
    <w:rsid w:val="00E347E6"/>
    <w:rsid w:val="00E35203"/>
    <w:rsid w:val="00E35729"/>
    <w:rsid w:val="00E35DED"/>
    <w:rsid w:val="00E3606D"/>
    <w:rsid w:val="00E3645F"/>
    <w:rsid w:val="00E3686C"/>
    <w:rsid w:val="00E36C52"/>
    <w:rsid w:val="00E37287"/>
    <w:rsid w:val="00E37E60"/>
    <w:rsid w:val="00E404F8"/>
    <w:rsid w:val="00E40685"/>
    <w:rsid w:val="00E40AA4"/>
    <w:rsid w:val="00E40AB1"/>
    <w:rsid w:val="00E40AC6"/>
    <w:rsid w:val="00E40F9D"/>
    <w:rsid w:val="00E41746"/>
    <w:rsid w:val="00E41879"/>
    <w:rsid w:val="00E420AA"/>
    <w:rsid w:val="00E4227F"/>
    <w:rsid w:val="00E428AD"/>
    <w:rsid w:val="00E42E83"/>
    <w:rsid w:val="00E431B9"/>
    <w:rsid w:val="00E433C1"/>
    <w:rsid w:val="00E43722"/>
    <w:rsid w:val="00E439EC"/>
    <w:rsid w:val="00E43AB3"/>
    <w:rsid w:val="00E43C32"/>
    <w:rsid w:val="00E43C79"/>
    <w:rsid w:val="00E44664"/>
    <w:rsid w:val="00E44F2F"/>
    <w:rsid w:val="00E45737"/>
    <w:rsid w:val="00E46D33"/>
    <w:rsid w:val="00E4737A"/>
    <w:rsid w:val="00E47726"/>
    <w:rsid w:val="00E47A0F"/>
    <w:rsid w:val="00E47BFA"/>
    <w:rsid w:val="00E500A3"/>
    <w:rsid w:val="00E5031F"/>
    <w:rsid w:val="00E50830"/>
    <w:rsid w:val="00E50C4A"/>
    <w:rsid w:val="00E51070"/>
    <w:rsid w:val="00E51C09"/>
    <w:rsid w:val="00E51E80"/>
    <w:rsid w:val="00E51EFF"/>
    <w:rsid w:val="00E5262F"/>
    <w:rsid w:val="00E529AB"/>
    <w:rsid w:val="00E52A6A"/>
    <w:rsid w:val="00E535A5"/>
    <w:rsid w:val="00E5393F"/>
    <w:rsid w:val="00E53B4F"/>
    <w:rsid w:val="00E540B4"/>
    <w:rsid w:val="00E54276"/>
    <w:rsid w:val="00E54E14"/>
    <w:rsid w:val="00E55894"/>
    <w:rsid w:val="00E5594C"/>
    <w:rsid w:val="00E56701"/>
    <w:rsid w:val="00E56A22"/>
    <w:rsid w:val="00E56E0C"/>
    <w:rsid w:val="00E600F5"/>
    <w:rsid w:val="00E61373"/>
    <w:rsid w:val="00E61C4A"/>
    <w:rsid w:val="00E61E89"/>
    <w:rsid w:val="00E632EC"/>
    <w:rsid w:val="00E635E5"/>
    <w:rsid w:val="00E63C9B"/>
    <w:rsid w:val="00E64142"/>
    <w:rsid w:val="00E64240"/>
    <w:rsid w:val="00E648CF"/>
    <w:rsid w:val="00E64E82"/>
    <w:rsid w:val="00E65CE4"/>
    <w:rsid w:val="00E666F3"/>
    <w:rsid w:val="00E66B52"/>
    <w:rsid w:val="00E67475"/>
    <w:rsid w:val="00E67C5D"/>
    <w:rsid w:val="00E67D5D"/>
    <w:rsid w:val="00E67FC9"/>
    <w:rsid w:val="00E703CB"/>
    <w:rsid w:val="00E705A7"/>
    <w:rsid w:val="00E705D1"/>
    <w:rsid w:val="00E70CE5"/>
    <w:rsid w:val="00E72660"/>
    <w:rsid w:val="00E73209"/>
    <w:rsid w:val="00E73641"/>
    <w:rsid w:val="00E7369E"/>
    <w:rsid w:val="00E73DEC"/>
    <w:rsid w:val="00E750AC"/>
    <w:rsid w:val="00E75187"/>
    <w:rsid w:val="00E7564B"/>
    <w:rsid w:val="00E75711"/>
    <w:rsid w:val="00E759A1"/>
    <w:rsid w:val="00E75B2F"/>
    <w:rsid w:val="00E75D26"/>
    <w:rsid w:val="00E76559"/>
    <w:rsid w:val="00E77235"/>
    <w:rsid w:val="00E77D18"/>
    <w:rsid w:val="00E80AAC"/>
    <w:rsid w:val="00E81023"/>
    <w:rsid w:val="00E81529"/>
    <w:rsid w:val="00E81E0A"/>
    <w:rsid w:val="00E820DD"/>
    <w:rsid w:val="00E82EA0"/>
    <w:rsid w:val="00E8337F"/>
    <w:rsid w:val="00E83882"/>
    <w:rsid w:val="00E8404F"/>
    <w:rsid w:val="00E84740"/>
    <w:rsid w:val="00E8491E"/>
    <w:rsid w:val="00E85375"/>
    <w:rsid w:val="00E85842"/>
    <w:rsid w:val="00E85976"/>
    <w:rsid w:val="00E85A79"/>
    <w:rsid w:val="00E86313"/>
    <w:rsid w:val="00E86353"/>
    <w:rsid w:val="00E868EB"/>
    <w:rsid w:val="00E86DBD"/>
    <w:rsid w:val="00E86F82"/>
    <w:rsid w:val="00E8709D"/>
    <w:rsid w:val="00E875CA"/>
    <w:rsid w:val="00E87778"/>
    <w:rsid w:val="00E900BD"/>
    <w:rsid w:val="00E90FCA"/>
    <w:rsid w:val="00E90FDB"/>
    <w:rsid w:val="00E912A3"/>
    <w:rsid w:val="00E914BB"/>
    <w:rsid w:val="00E91B64"/>
    <w:rsid w:val="00E91D70"/>
    <w:rsid w:val="00E9260F"/>
    <w:rsid w:val="00E92B71"/>
    <w:rsid w:val="00E9310F"/>
    <w:rsid w:val="00E93146"/>
    <w:rsid w:val="00E931BE"/>
    <w:rsid w:val="00E93BA6"/>
    <w:rsid w:val="00E93E08"/>
    <w:rsid w:val="00E9444D"/>
    <w:rsid w:val="00E94457"/>
    <w:rsid w:val="00E94B40"/>
    <w:rsid w:val="00E961A7"/>
    <w:rsid w:val="00E96203"/>
    <w:rsid w:val="00EA0088"/>
    <w:rsid w:val="00EA05E6"/>
    <w:rsid w:val="00EA0735"/>
    <w:rsid w:val="00EA0A6F"/>
    <w:rsid w:val="00EA0C0B"/>
    <w:rsid w:val="00EA0D7F"/>
    <w:rsid w:val="00EA142B"/>
    <w:rsid w:val="00EA1506"/>
    <w:rsid w:val="00EA19A4"/>
    <w:rsid w:val="00EA23D1"/>
    <w:rsid w:val="00EA269F"/>
    <w:rsid w:val="00EA26BA"/>
    <w:rsid w:val="00EA35FF"/>
    <w:rsid w:val="00EA3CE0"/>
    <w:rsid w:val="00EA4B13"/>
    <w:rsid w:val="00EA52EF"/>
    <w:rsid w:val="00EA5ABA"/>
    <w:rsid w:val="00EA5F6C"/>
    <w:rsid w:val="00EA63C5"/>
    <w:rsid w:val="00EA65B2"/>
    <w:rsid w:val="00EA67D7"/>
    <w:rsid w:val="00EA6F1E"/>
    <w:rsid w:val="00EA7144"/>
    <w:rsid w:val="00EA7972"/>
    <w:rsid w:val="00EB0476"/>
    <w:rsid w:val="00EB05F4"/>
    <w:rsid w:val="00EB083E"/>
    <w:rsid w:val="00EB15B7"/>
    <w:rsid w:val="00EB1D99"/>
    <w:rsid w:val="00EB24A6"/>
    <w:rsid w:val="00EB2D1D"/>
    <w:rsid w:val="00EB2EBD"/>
    <w:rsid w:val="00EB36FA"/>
    <w:rsid w:val="00EB372F"/>
    <w:rsid w:val="00EB3BEB"/>
    <w:rsid w:val="00EB3DF4"/>
    <w:rsid w:val="00EB4578"/>
    <w:rsid w:val="00EB4B60"/>
    <w:rsid w:val="00EB586C"/>
    <w:rsid w:val="00EB5DCF"/>
    <w:rsid w:val="00EB7453"/>
    <w:rsid w:val="00EB7624"/>
    <w:rsid w:val="00EC0463"/>
    <w:rsid w:val="00EC0893"/>
    <w:rsid w:val="00EC0918"/>
    <w:rsid w:val="00EC112D"/>
    <w:rsid w:val="00EC1797"/>
    <w:rsid w:val="00EC18C8"/>
    <w:rsid w:val="00EC19C6"/>
    <w:rsid w:val="00EC1B30"/>
    <w:rsid w:val="00EC2791"/>
    <w:rsid w:val="00EC37B5"/>
    <w:rsid w:val="00EC4009"/>
    <w:rsid w:val="00EC4063"/>
    <w:rsid w:val="00EC4231"/>
    <w:rsid w:val="00EC498D"/>
    <w:rsid w:val="00EC4FF3"/>
    <w:rsid w:val="00EC54AE"/>
    <w:rsid w:val="00EC54BC"/>
    <w:rsid w:val="00EC5B09"/>
    <w:rsid w:val="00EC70AB"/>
    <w:rsid w:val="00EC729E"/>
    <w:rsid w:val="00EC76B1"/>
    <w:rsid w:val="00EC7A94"/>
    <w:rsid w:val="00EC7DC1"/>
    <w:rsid w:val="00ED022A"/>
    <w:rsid w:val="00ED0506"/>
    <w:rsid w:val="00ED0CD7"/>
    <w:rsid w:val="00ED0F47"/>
    <w:rsid w:val="00ED1C5F"/>
    <w:rsid w:val="00ED2634"/>
    <w:rsid w:val="00ED2814"/>
    <w:rsid w:val="00ED2C3A"/>
    <w:rsid w:val="00ED2CAB"/>
    <w:rsid w:val="00ED2CF5"/>
    <w:rsid w:val="00ED2F8A"/>
    <w:rsid w:val="00ED37D8"/>
    <w:rsid w:val="00ED4478"/>
    <w:rsid w:val="00ED44C5"/>
    <w:rsid w:val="00ED4A10"/>
    <w:rsid w:val="00ED5582"/>
    <w:rsid w:val="00ED5A75"/>
    <w:rsid w:val="00ED5AC4"/>
    <w:rsid w:val="00ED6C7D"/>
    <w:rsid w:val="00ED6E40"/>
    <w:rsid w:val="00ED7B55"/>
    <w:rsid w:val="00EE0422"/>
    <w:rsid w:val="00EE05FB"/>
    <w:rsid w:val="00EE087F"/>
    <w:rsid w:val="00EE1399"/>
    <w:rsid w:val="00EE1541"/>
    <w:rsid w:val="00EE1C12"/>
    <w:rsid w:val="00EE1CD2"/>
    <w:rsid w:val="00EE1E92"/>
    <w:rsid w:val="00EE2AF0"/>
    <w:rsid w:val="00EE3B25"/>
    <w:rsid w:val="00EE4387"/>
    <w:rsid w:val="00EE4CFB"/>
    <w:rsid w:val="00EE5097"/>
    <w:rsid w:val="00EE5E1A"/>
    <w:rsid w:val="00EE5ED7"/>
    <w:rsid w:val="00EE6053"/>
    <w:rsid w:val="00EE6DD0"/>
    <w:rsid w:val="00EF2059"/>
    <w:rsid w:val="00EF2D6D"/>
    <w:rsid w:val="00EF3D98"/>
    <w:rsid w:val="00EF4891"/>
    <w:rsid w:val="00EF4C5D"/>
    <w:rsid w:val="00EF4C98"/>
    <w:rsid w:val="00EF4E73"/>
    <w:rsid w:val="00EF56F5"/>
    <w:rsid w:val="00EF5A82"/>
    <w:rsid w:val="00EF5EBA"/>
    <w:rsid w:val="00EF66C9"/>
    <w:rsid w:val="00EF6D75"/>
    <w:rsid w:val="00EF7078"/>
    <w:rsid w:val="00F00A65"/>
    <w:rsid w:val="00F00F19"/>
    <w:rsid w:val="00F010A3"/>
    <w:rsid w:val="00F014F2"/>
    <w:rsid w:val="00F0170B"/>
    <w:rsid w:val="00F01747"/>
    <w:rsid w:val="00F02B6E"/>
    <w:rsid w:val="00F02DF8"/>
    <w:rsid w:val="00F02F9C"/>
    <w:rsid w:val="00F03C42"/>
    <w:rsid w:val="00F03DB2"/>
    <w:rsid w:val="00F04292"/>
    <w:rsid w:val="00F0469D"/>
    <w:rsid w:val="00F0490A"/>
    <w:rsid w:val="00F04B5C"/>
    <w:rsid w:val="00F05B66"/>
    <w:rsid w:val="00F0650B"/>
    <w:rsid w:val="00F065D2"/>
    <w:rsid w:val="00F06D4A"/>
    <w:rsid w:val="00F06FB9"/>
    <w:rsid w:val="00F07576"/>
    <w:rsid w:val="00F1033B"/>
    <w:rsid w:val="00F1051C"/>
    <w:rsid w:val="00F10D27"/>
    <w:rsid w:val="00F10E6E"/>
    <w:rsid w:val="00F114F1"/>
    <w:rsid w:val="00F11505"/>
    <w:rsid w:val="00F11545"/>
    <w:rsid w:val="00F1231D"/>
    <w:rsid w:val="00F12B9E"/>
    <w:rsid w:val="00F12D54"/>
    <w:rsid w:val="00F13A52"/>
    <w:rsid w:val="00F141F0"/>
    <w:rsid w:val="00F1439F"/>
    <w:rsid w:val="00F1450A"/>
    <w:rsid w:val="00F146D8"/>
    <w:rsid w:val="00F148CE"/>
    <w:rsid w:val="00F15F6E"/>
    <w:rsid w:val="00F17A97"/>
    <w:rsid w:val="00F2031C"/>
    <w:rsid w:val="00F203CC"/>
    <w:rsid w:val="00F20512"/>
    <w:rsid w:val="00F209DC"/>
    <w:rsid w:val="00F2136E"/>
    <w:rsid w:val="00F22782"/>
    <w:rsid w:val="00F2283A"/>
    <w:rsid w:val="00F22A1B"/>
    <w:rsid w:val="00F2357E"/>
    <w:rsid w:val="00F23A1C"/>
    <w:rsid w:val="00F23F48"/>
    <w:rsid w:val="00F24B2A"/>
    <w:rsid w:val="00F24BE0"/>
    <w:rsid w:val="00F24D45"/>
    <w:rsid w:val="00F24DEF"/>
    <w:rsid w:val="00F2561F"/>
    <w:rsid w:val="00F25682"/>
    <w:rsid w:val="00F25CD4"/>
    <w:rsid w:val="00F25EFE"/>
    <w:rsid w:val="00F2728A"/>
    <w:rsid w:val="00F276ED"/>
    <w:rsid w:val="00F30561"/>
    <w:rsid w:val="00F309BC"/>
    <w:rsid w:val="00F30C24"/>
    <w:rsid w:val="00F3126A"/>
    <w:rsid w:val="00F31436"/>
    <w:rsid w:val="00F314C2"/>
    <w:rsid w:val="00F317A4"/>
    <w:rsid w:val="00F32249"/>
    <w:rsid w:val="00F324B8"/>
    <w:rsid w:val="00F327CD"/>
    <w:rsid w:val="00F32D12"/>
    <w:rsid w:val="00F34094"/>
    <w:rsid w:val="00F34342"/>
    <w:rsid w:val="00F34854"/>
    <w:rsid w:val="00F34CE6"/>
    <w:rsid w:val="00F34F6A"/>
    <w:rsid w:val="00F355A0"/>
    <w:rsid w:val="00F36094"/>
    <w:rsid w:val="00F376A9"/>
    <w:rsid w:val="00F377E5"/>
    <w:rsid w:val="00F37977"/>
    <w:rsid w:val="00F37C57"/>
    <w:rsid w:val="00F37F57"/>
    <w:rsid w:val="00F40C11"/>
    <w:rsid w:val="00F414FD"/>
    <w:rsid w:val="00F415D9"/>
    <w:rsid w:val="00F41BBA"/>
    <w:rsid w:val="00F42AA4"/>
    <w:rsid w:val="00F43070"/>
    <w:rsid w:val="00F43200"/>
    <w:rsid w:val="00F434AA"/>
    <w:rsid w:val="00F438FF"/>
    <w:rsid w:val="00F43A23"/>
    <w:rsid w:val="00F4436E"/>
    <w:rsid w:val="00F44444"/>
    <w:rsid w:val="00F44BE7"/>
    <w:rsid w:val="00F45844"/>
    <w:rsid w:val="00F45D2D"/>
    <w:rsid w:val="00F461C9"/>
    <w:rsid w:val="00F46C01"/>
    <w:rsid w:val="00F47647"/>
    <w:rsid w:val="00F47761"/>
    <w:rsid w:val="00F5060A"/>
    <w:rsid w:val="00F5101A"/>
    <w:rsid w:val="00F51065"/>
    <w:rsid w:val="00F51387"/>
    <w:rsid w:val="00F51AD9"/>
    <w:rsid w:val="00F51FF7"/>
    <w:rsid w:val="00F523BB"/>
    <w:rsid w:val="00F52904"/>
    <w:rsid w:val="00F532D4"/>
    <w:rsid w:val="00F53439"/>
    <w:rsid w:val="00F534F9"/>
    <w:rsid w:val="00F5461D"/>
    <w:rsid w:val="00F5473D"/>
    <w:rsid w:val="00F55539"/>
    <w:rsid w:val="00F55D11"/>
    <w:rsid w:val="00F55D14"/>
    <w:rsid w:val="00F56356"/>
    <w:rsid w:val="00F5661B"/>
    <w:rsid w:val="00F567FC"/>
    <w:rsid w:val="00F5777A"/>
    <w:rsid w:val="00F579F3"/>
    <w:rsid w:val="00F57C33"/>
    <w:rsid w:val="00F57C41"/>
    <w:rsid w:val="00F6161E"/>
    <w:rsid w:val="00F61CC6"/>
    <w:rsid w:val="00F62B90"/>
    <w:rsid w:val="00F63C06"/>
    <w:rsid w:val="00F63C0E"/>
    <w:rsid w:val="00F63DDE"/>
    <w:rsid w:val="00F63EA1"/>
    <w:rsid w:val="00F64673"/>
    <w:rsid w:val="00F64933"/>
    <w:rsid w:val="00F64D01"/>
    <w:rsid w:val="00F653C2"/>
    <w:rsid w:val="00F65CD0"/>
    <w:rsid w:val="00F66345"/>
    <w:rsid w:val="00F66480"/>
    <w:rsid w:val="00F66669"/>
    <w:rsid w:val="00F66BA7"/>
    <w:rsid w:val="00F66FC2"/>
    <w:rsid w:val="00F6714D"/>
    <w:rsid w:val="00F676CF"/>
    <w:rsid w:val="00F67E63"/>
    <w:rsid w:val="00F709A5"/>
    <w:rsid w:val="00F709EC"/>
    <w:rsid w:val="00F70B34"/>
    <w:rsid w:val="00F70E3A"/>
    <w:rsid w:val="00F715F7"/>
    <w:rsid w:val="00F71BC3"/>
    <w:rsid w:val="00F7227C"/>
    <w:rsid w:val="00F73A7E"/>
    <w:rsid w:val="00F73B83"/>
    <w:rsid w:val="00F743AF"/>
    <w:rsid w:val="00F7442E"/>
    <w:rsid w:val="00F751E8"/>
    <w:rsid w:val="00F7521C"/>
    <w:rsid w:val="00F75640"/>
    <w:rsid w:val="00F7610C"/>
    <w:rsid w:val="00F77317"/>
    <w:rsid w:val="00F77B0A"/>
    <w:rsid w:val="00F77C82"/>
    <w:rsid w:val="00F77E7D"/>
    <w:rsid w:val="00F80077"/>
    <w:rsid w:val="00F82467"/>
    <w:rsid w:val="00F825CA"/>
    <w:rsid w:val="00F828ED"/>
    <w:rsid w:val="00F82D02"/>
    <w:rsid w:val="00F830A0"/>
    <w:rsid w:val="00F83B37"/>
    <w:rsid w:val="00F83D7D"/>
    <w:rsid w:val="00F8408D"/>
    <w:rsid w:val="00F841DC"/>
    <w:rsid w:val="00F845DB"/>
    <w:rsid w:val="00F84E73"/>
    <w:rsid w:val="00F85162"/>
    <w:rsid w:val="00F851B4"/>
    <w:rsid w:val="00F85374"/>
    <w:rsid w:val="00F85509"/>
    <w:rsid w:val="00F860B8"/>
    <w:rsid w:val="00F86188"/>
    <w:rsid w:val="00F861A4"/>
    <w:rsid w:val="00F86A68"/>
    <w:rsid w:val="00F86E26"/>
    <w:rsid w:val="00F87122"/>
    <w:rsid w:val="00F871D3"/>
    <w:rsid w:val="00F8740C"/>
    <w:rsid w:val="00F875B0"/>
    <w:rsid w:val="00F87C57"/>
    <w:rsid w:val="00F87C86"/>
    <w:rsid w:val="00F87D1E"/>
    <w:rsid w:val="00F9096A"/>
    <w:rsid w:val="00F910A9"/>
    <w:rsid w:val="00F91501"/>
    <w:rsid w:val="00F91965"/>
    <w:rsid w:val="00F91987"/>
    <w:rsid w:val="00F92AC1"/>
    <w:rsid w:val="00F92BFB"/>
    <w:rsid w:val="00F92D79"/>
    <w:rsid w:val="00F93301"/>
    <w:rsid w:val="00F93A93"/>
    <w:rsid w:val="00F93AA2"/>
    <w:rsid w:val="00F93AED"/>
    <w:rsid w:val="00F940BD"/>
    <w:rsid w:val="00F94D03"/>
    <w:rsid w:val="00F95CDC"/>
    <w:rsid w:val="00F95ED4"/>
    <w:rsid w:val="00F96899"/>
    <w:rsid w:val="00F9765A"/>
    <w:rsid w:val="00F979A9"/>
    <w:rsid w:val="00FA0039"/>
    <w:rsid w:val="00FA0427"/>
    <w:rsid w:val="00FA05EA"/>
    <w:rsid w:val="00FA0813"/>
    <w:rsid w:val="00FA18D2"/>
    <w:rsid w:val="00FA19F4"/>
    <w:rsid w:val="00FA1C32"/>
    <w:rsid w:val="00FA1DFC"/>
    <w:rsid w:val="00FA231F"/>
    <w:rsid w:val="00FA254A"/>
    <w:rsid w:val="00FA2D47"/>
    <w:rsid w:val="00FA2E37"/>
    <w:rsid w:val="00FA3DB4"/>
    <w:rsid w:val="00FA3FE1"/>
    <w:rsid w:val="00FA53E0"/>
    <w:rsid w:val="00FA677E"/>
    <w:rsid w:val="00FA713A"/>
    <w:rsid w:val="00FA7752"/>
    <w:rsid w:val="00FA7792"/>
    <w:rsid w:val="00FB00BB"/>
    <w:rsid w:val="00FB05DC"/>
    <w:rsid w:val="00FB07D6"/>
    <w:rsid w:val="00FB09DC"/>
    <w:rsid w:val="00FB1091"/>
    <w:rsid w:val="00FB1887"/>
    <w:rsid w:val="00FB228D"/>
    <w:rsid w:val="00FB353A"/>
    <w:rsid w:val="00FB3B73"/>
    <w:rsid w:val="00FB5395"/>
    <w:rsid w:val="00FB53D8"/>
    <w:rsid w:val="00FB5DC0"/>
    <w:rsid w:val="00FB5F13"/>
    <w:rsid w:val="00FB6296"/>
    <w:rsid w:val="00FB630C"/>
    <w:rsid w:val="00FB64E1"/>
    <w:rsid w:val="00FB6855"/>
    <w:rsid w:val="00FB6910"/>
    <w:rsid w:val="00FB6B94"/>
    <w:rsid w:val="00FB6F1E"/>
    <w:rsid w:val="00FB72E9"/>
    <w:rsid w:val="00FB7734"/>
    <w:rsid w:val="00FB7840"/>
    <w:rsid w:val="00FC0349"/>
    <w:rsid w:val="00FC0954"/>
    <w:rsid w:val="00FC0E10"/>
    <w:rsid w:val="00FC1001"/>
    <w:rsid w:val="00FC1118"/>
    <w:rsid w:val="00FC112E"/>
    <w:rsid w:val="00FC11A3"/>
    <w:rsid w:val="00FC1555"/>
    <w:rsid w:val="00FC158F"/>
    <w:rsid w:val="00FC1C34"/>
    <w:rsid w:val="00FC1D70"/>
    <w:rsid w:val="00FC2060"/>
    <w:rsid w:val="00FC21EA"/>
    <w:rsid w:val="00FC2519"/>
    <w:rsid w:val="00FC28C2"/>
    <w:rsid w:val="00FC2D2A"/>
    <w:rsid w:val="00FC3578"/>
    <w:rsid w:val="00FC4032"/>
    <w:rsid w:val="00FC4914"/>
    <w:rsid w:val="00FC54C1"/>
    <w:rsid w:val="00FC5BC4"/>
    <w:rsid w:val="00FC5EC5"/>
    <w:rsid w:val="00FC60BB"/>
    <w:rsid w:val="00FC6FE4"/>
    <w:rsid w:val="00FD006B"/>
    <w:rsid w:val="00FD0BE8"/>
    <w:rsid w:val="00FD0DC7"/>
    <w:rsid w:val="00FD0F9E"/>
    <w:rsid w:val="00FD162D"/>
    <w:rsid w:val="00FD1ED6"/>
    <w:rsid w:val="00FD1FB9"/>
    <w:rsid w:val="00FD2368"/>
    <w:rsid w:val="00FD23B6"/>
    <w:rsid w:val="00FD32D1"/>
    <w:rsid w:val="00FD33CA"/>
    <w:rsid w:val="00FD3511"/>
    <w:rsid w:val="00FD35ED"/>
    <w:rsid w:val="00FD3DC9"/>
    <w:rsid w:val="00FD3DEB"/>
    <w:rsid w:val="00FD43D0"/>
    <w:rsid w:val="00FD4C7F"/>
    <w:rsid w:val="00FD4C9F"/>
    <w:rsid w:val="00FD4DFE"/>
    <w:rsid w:val="00FD53CD"/>
    <w:rsid w:val="00FD576C"/>
    <w:rsid w:val="00FD57F1"/>
    <w:rsid w:val="00FD66C1"/>
    <w:rsid w:val="00FD694A"/>
    <w:rsid w:val="00FD6CA8"/>
    <w:rsid w:val="00FD70E7"/>
    <w:rsid w:val="00FD7498"/>
    <w:rsid w:val="00FD7621"/>
    <w:rsid w:val="00FD7960"/>
    <w:rsid w:val="00FD7DA0"/>
    <w:rsid w:val="00FE0076"/>
    <w:rsid w:val="00FE0208"/>
    <w:rsid w:val="00FE1173"/>
    <w:rsid w:val="00FE130B"/>
    <w:rsid w:val="00FE1381"/>
    <w:rsid w:val="00FE1848"/>
    <w:rsid w:val="00FE1BBB"/>
    <w:rsid w:val="00FE2A8E"/>
    <w:rsid w:val="00FE2D9C"/>
    <w:rsid w:val="00FE3BFD"/>
    <w:rsid w:val="00FE3CAD"/>
    <w:rsid w:val="00FE3E3E"/>
    <w:rsid w:val="00FE41A9"/>
    <w:rsid w:val="00FE4365"/>
    <w:rsid w:val="00FE446F"/>
    <w:rsid w:val="00FE508E"/>
    <w:rsid w:val="00FE5CAA"/>
    <w:rsid w:val="00FE7FCC"/>
    <w:rsid w:val="00FF01A4"/>
    <w:rsid w:val="00FF0201"/>
    <w:rsid w:val="00FF03DD"/>
    <w:rsid w:val="00FF0C17"/>
    <w:rsid w:val="00FF10AD"/>
    <w:rsid w:val="00FF2207"/>
    <w:rsid w:val="00FF2332"/>
    <w:rsid w:val="00FF261E"/>
    <w:rsid w:val="00FF34E2"/>
    <w:rsid w:val="00FF382E"/>
    <w:rsid w:val="00FF3BC2"/>
    <w:rsid w:val="00FF4175"/>
    <w:rsid w:val="00FF4FA2"/>
    <w:rsid w:val="00FF50E3"/>
    <w:rsid w:val="00FF53C6"/>
    <w:rsid w:val="00FF54BA"/>
    <w:rsid w:val="00FF550E"/>
    <w:rsid w:val="00FF5B49"/>
    <w:rsid w:val="00FF5FCA"/>
    <w:rsid w:val="00FF75F2"/>
    <w:rsid w:val="00FF7BAA"/>
    <w:rsid w:val="00FF7D67"/>
  </w:rsids>
  <m:mathPr>
    <m:mathFont m:val="Cambria Math"/>
    <m:brkBin m:val="before"/>
    <m:brkBinSub m:val="--"/>
    <m:smallFrac/>
    <m:dispDef/>
    <m:lMargin m:val="0"/>
    <m:rMargin m:val="0"/>
    <m:defJc m:val="centerGroup"/>
    <m:wrapIndent m:val="1440"/>
    <m:intLim m:val="subSup"/>
    <m:naryLim m:val="undOvr"/>
  </m:mathPr>
  <w:themeFontLang w:val="es-GT"/>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A339EB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heme="minorHAnsi" w:hAnsi="Times New Roman" w:cstheme="minorBidi"/>
        <w:sz w:val="24"/>
        <w:szCs w:val="22"/>
        <w:lang w:val="es-GT"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page number" w:uiPriority="0"/>
    <w:lsdException w:name="Title" w:semiHidden="0" w:uiPriority="10" w:unhideWhenUsed="0" w:qFormat="1"/>
    <w:lsdException w:name="Default Paragraph Font" w:uiPriority="1"/>
    <w:lsdException w:name="Body Text Indent" w:uiPriority="0"/>
    <w:lsdException w:name="Subtitle" w:semiHidden="0" w:uiPriority="11" w:unhideWhenUsed="0" w:qFormat="1"/>
    <w:lsdException w:name="Body Text 2" w:uiPriority="0"/>
    <w:lsdException w:name="Body Text 3" w:uiPriority="0"/>
    <w:lsdException w:name="Body Text Indent 2" w:uiPriority="0"/>
    <w:lsdException w:name="Body Text Indent 3" w:uiPriority="0"/>
    <w:lsdException w:name="Strong" w:semiHidden="0" w:uiPriority="22" w:unhideWhenUsed="0" w:qFormat="1"/>
    <w:lsdException w:name="Emphasis" w:semiHidden="0" w:uiPriority="20" w:unhideWhenUsed="0" w:qFormat="1"/>
    <w:lsdException w:name="Document Map" w:uiPriority="0"/>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475EF"/>
    <w:pPr>
      <w:widowControl w:val="0"/>
      <w:spacing w:after="0" w:line="240" w:lineRule="auto"/>
    </w:pPr>
    <w:rPr>
      <w:rFonts w:eastAsia="Times New Roman" w:cs="Times New Roman"/>
      <w:sz w:val="20"/>
      <w:szCs w:val="20"/>
      <w:lang w:val="es-ES_tradnl" w:eastAsia="es-ES"/>
    </w:rPr>
  </w:style>
  <w:style w:type="paragraph" w:styleId="Ttulo1">
    <w:name w:val="heading 1"/>
    <w:aliases w:val="título 1"/>
    <w:basedOn w:val="Normal"/>
    <w:next w:val="Normal"/>
    <w:link w:val="Ttulo1Car"/>
    <w:uiPriority w:val="9"/>
    <w:qFormat/>
    <w:rsid w:val="006475EF"/>
    <w:pPr>
      <w:keepNext/>
      <w:jc w:val="center"/>
      <w:outlineLvl w:val="0"/>
    </w:pPr>
    <w:rPr>
      <w:b/>
      <w:color w:val="000000"/>
      <w:sz w:val="16"/>
    </w:rPr>
  </w:style>
  <w:style w:type="paragraph" w:styleId="Ttulo2">
    <w:name w:val="heading 2"/>
    <w:basedOn w:val="Normal"/>
    <w:next w:val="Normal"/>
    <w:link w:val="Ttulo2Car"/>
    <w:uiPriority w:val="9"/>
    <w:qFormat/>
    <w:rsid w:val="006475EF"/>
    <w:pPr>
      <w:keepNext/>
      <w:outlineLvl w:val="1"/>
    </w:pPr>
    <w:rPr>
      <w:b/>
      <w:color w:val="000000"/>
    </w:rPr>
  </w:style>
  <w:style w:type="paragraph" w:styleId="Ttulo3">
    <w:name w:val="heading 3"/>
    <w:aliases w:val="título 3,Título proyecto,Títul4,Título 3 Sección,I3-3,h3,3,Título 3 Car Car,T3 para doc. Metro,Titulo 3,head:3#,.h3,Headline 3,Bold Head,bh,Títulobis,Map title,ARTICULO,Subsubcapitulo,Título 3_SIGMA,Capít.,Heading 31,heading 5"/>
    <w:basedOn w:val="Normal"/>
    <w:next w:val="Normal"/>
    <w:link w:val="Ttulo3Car"/>
    <w:uiPriority w:val="9"/>
    <w:qFormat/>
    <w:rsid w:val="006475EF"/>
    <w:pPr>
      <w:keepNext/>
      <w:outlineLvl w:val="2"/>
    </w:pPr>
    <w:rPr>
      <w:b/>
      <w:sz w:val="16"/>
      <w:u w:val="single"/>
    </w:rPr>
  </w:style>
  <w:style w:type="paragraph" w:styleId="Ttulo4">
    <w:name w:val="heading 4"/>
    <w:basedOn w:val="Normal"/>
    <w:next w:val="Normal"/>
    <w:link w:val="Ttulo4Car"/>
    <w:uiPriority w:val="9"/>
    <w:qFormat/>
    <w:rsid w:val="006475EF"/>
    <w:pPr>
      <w:keepNext/>
      <w:jc w:val="center"/>
      <w:outlineLvl w:val="3"/>
    </w:pPr>
    <w:rPr>
      <w:b/>
      <w:sz w:val="16"/>
    </w:rPr>
  </w:style>
  <w:style w:type="paragraph" w:styleId="Ttulo5">
    <w:name w:val="heading 5"/>
    <w:basedOn w:val="Normal"/>
    <w:next w:val="Normal"/>
    <w:link w:val="Ttulo5Car"/>
    <w:uiPriority w:val="9"/>
    <w:qFormat/>
    <w:rsid w:val="006475EF"/>
    <w:pPr>
      <w:keepNext/>
      <w:jc w:val="center"/>
      <w:outlineLvl w:val="4"/>
    </w:pPr>
    <w:rPr>
      <w:b/>
      <w:color w:val="0000FF"/>
    </w:rPr>
  </w:style>
  <w:style w:type="paragraph" w:styleId="Ttulo6">
    <w:name w:val="heading 6"/>
    <w:basedOn w:val="Normal"/>
    <w:next w:val="Normal"/>
    <w:link w:val="Ttulo6Car"/>
    <w:uiPriority w:val="9"/>
    <w:qFormat/>
    <w:rsid w:val="006475EF"/>
    <w:pPr>
      <w:keepNext/>
      <w:outlineLvl w:val="5"/>
    </w:pPr>
    <w:rPr>
      <w:b/>
      <w:color w:val="000000"/>
      <w:sz w:val="16"/>
    </w:rPr>
  </w:style>
  <w:style w:type="paragraph" w:styleId="Ttulo7">
    <w:name w:val="heading 7"/>
    <w:basedOn w:val="Normal"/>
    <w:next w:val="Normal"/>
    <w:link w:val="Ttulo7Car"/>
    <w:uiPriority w:val="9"/>
    <w:qFormat/>
    <w:rsid w:val="006475EF"/>
    <w:pPr>
      <w:keepNext/>
      <w:jc w:val="both"/>
      <w:outlineLvl w:val="6"/>
    </w:pPr>
    <w:rPr>
      <w:b/>
    </w:rPr>
  </w:style>
  <w:style w:type="paragraph" w:styleId="Ttulo8">
    <w:name w:val="heading 8"/>
    <w:basedOn w:val="Normal"/>
    <w:next w:val="Normal"/>
    <w:link w:val="Ttulo8Car"/>
    <w:uiPriority w:val="9"/>
    <w:qFormat/>
    <w:rsid w:val="006475EF"/>
    <w:pPr>
      <w:keepNext/>
      <w:outlineLvl w:val="7"/>
    </w:pPr>
    <w:rPr>
      <w:b/>
      <w:color w:val="000000"/>
      <w:sz w:val="18"/>
      <w:lang w:val="es-ES"/>
    </w:rPr>
  </w:style>
  <w:style w:type="paragraph" w:styleId="Ttulo9">
    <w:name w:val="heading 9"/>
    <w:basedOn w:val="Normal"/>
    <w:next w:val="Normal"/>
    <w:link w:val="Ttulo9Car"/>
    <w:uiPriority w:val="9"/>
    <w:qFormat/>
    <w:rsid w:val="006475EF"/>
    <w:pPr>
      <w:keepNext/>
      <w:outlineLvl w:val="8"/>
    </w:pPr>
    <w:rPr>
      <w:b/>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aliases w:val="título 1 Car"/>
    <w:basedOn w:val="Fuentedeprrafopredeter"/>
    <w:link w:val="Ttulo1"/>
    <w:uiPriority w:val="9"/>
    <w:rsid w:val="006475EF"/>
    <w:rPr>
      <w:rFonts w:eastAsia="Times New Roman" w:cs="Times New Roman"/>
      <w:b/>
      <w:color w:val="000000"/>
      <w:sz w:val="16"/>
      <w:szCs w:val="20"/>
      <w:lang w:val="es-ES_tradnl" w:eastAsia="es-ES"/>
    </w:rPr>
  </w:style>
  <w:style w:type="character" w:customStyle="1" w:styleId="Ttulo2Car">
    <w:name w:val="Título 2 Car"/>
    <w:basedOn w:val="Fuentedeprrafopredeter"/>
    <w:link w:val="Ttulo2"/>
    <w:uiPriority w:val="9"/>
    <w:rsid w:val="006475EF"/>
    <w:rPr>
      <w:rFonts w:eastAsia="Times New Roman" w:cs="Times New Roman"/>
      <w:b/>
      <w:color w:val="000000"/>
      <w:sz w:val="20"/>
      <w:szCs w:val="20"/>
      <w:lang w:val="es-ES_tradnl" w:eastAsia="es-ES"/>
    </w:rPr>
  </w:style>
  <w:style w:type="character" w:customStyle="1" w:styleId="Ttulo3Car">
    <w:name w:val="Título 3 Car"/>
    <w:aliases w:val="título 3 Car,Título proyecto Car,Títul4 Car,Título 3 Sección Car,I3-3 Car,h3 Car,3 Car,Título 3 Car Car Car,T3 para doc. Metro Car,Titulo 3 Car,head:3# Car,.h3 Car,Headline 3 Car,Bold Head Car,bh Car,Títulobis Car,Map title Car,ARTICULO Car"/>
    <w:basedOn w:val="Fuentedeprrafopredeter"/>
    <w:link w:val="Ttulo3"/>
    <w:uiPriority w:val="9"/>
    <w:rsid w:val="006475EF"/>
    <w:rPr>
      <w:rFonts w:eastAsia="Times New Roman" w:cs="Times New Roman"/>
      <w:b/>
      <w:sz w:val="16"/>
      <w:szCs w:val="20"/>
      <w:u w:val="single"/>
      <w:lang w:val="es-ES_tradnl" w:eastAsia="es-ES"/>
    </w:rPr>
  </w:style>
  <w:style w:type="character" w:customStyle="1" w:styleId="Ttulo4Car">
    <w:name w:val="Título 4 Car"/>
    <w:basedOn w:val="Fuentedeprrafopredeter"/>
    <w:link w:val="Ttulo4"/>
    <w:uiPriority w:val="9"/>
    <w:rsid w:val="006475EF"/>
    <w:rPr>
      <w:rFonts w:eastAsia="Times New Roman" w:cs="Times New Roman"/>
      <w:b/>
      <w:sz w:val="16"/>
      <w:szCs w:val="20"/>
      <w:lang w:val="es-ES_tradnl" w:eastAsia="es-ES"/>
    </w:rPr>
  </w:style>
  <w:style w:type="character" w:customStyle="1" w:styleId="Ttulo5Car">
    <w:name w:val="Título 5 Car"/>
    <w:basedOn w:val="Fuentedeprrafopredeter"/>
    <w:link w:val="Ttulo5"/>
    <w:uiPriority w:val="9"/>
    <w:rsid w:val="006475EF"/>
    <w:rPr>
      <w:rFonts w:eastAsia="Times New Roman" w:cs="Times New Roman"/>
      <w:b/>
      <w:color w:val="0000FF"/>
      <w:sz w:val="20"/>
      <w:szCs w:val="20"/>
      <w:lang w:val="es-ES_tradnl" w:eastAsia="es-ES"/>
    </w:rPr>
  </w:style>
  <w:style w:type="character" w:customStyle="1" w:styleId="Ttulo6Car">
    <w:name w:val="Título 6 Car"/>
    <w:basedOn w:val="Fuentedeprrafopredeter"/>
    <w:link w:val="Ttulo6"/>
    <w:uiPriority w:val="9"/>
    <w:rsid w:val="006475EF"/>
    <w:rPr>
      <w:rFonts w:eastAsia="Times New Roman" w:cs="Times New Roman"/>
      <w:b/>
      <w:color w:val="000000"/>
      <w:sz w:val="16"/>
      <w:szCs w:val="20"/>
      <w:lang w:val="es-ES_tradnl" w:eastAsia="es-ES"/>
    </w:rPr>
  </w:style>
  <w:style w:type="character" w:customStyle="1" w:styleId="Ttulo7Car">
    <w:name w:val="Título 7 Car"/>
    <w:basedOn w:val="Fuentedeprrafopredeter"/>
    <w:link w:val="Ttulo7"/>
    <w:uiPriority w:val="9"/>
    <w:rsid w:val="006475EF"/>
    <w:rPr>
      <w:rFonts w:eastAsia="Times New Roman" w:cs="Times New Roman"/>
      <w:b/>
      <w:sz w:val="20"/>
      <w:szCs w:val="20"/>
      <w:lang w:val="es-ES_tradnl" w:eastAsia="es-ES"/>
    </w:rPr>
  </w:style>
  <w:style w:type="character" w:customStyle="1" w:styleId="Ttulo8Car">
    <w:name w:val="Título 8 Car"/>
    <w:basedOn w:val="Fuentedeprrafopredeter"/>
    <w:link w:val="Ttulo8"/>
    <w:uiPriority w:val="9"/>
    <w:rsid w:val="006475EF"/>
    <w:rPr>
      <w:rFonts w:eastAsia="Times New Roman" w:cs="Times New Roman"/>
      <w:b/>
      <w:color w:val="000000"/>
      <w:sz w:val="18"/>
      <w:szCs w:val="20"/>
      <w:lang w:val="es-ES" w:eastAsia="es-ES"/>
    </w:rPr>
  </w:style>
  <w:style w:type="character" w:customStyle="1" w:styleId="Ttulo9Car">
    <w:name w:val="Título 9 Car"/>
    <w:basedOn w:val="Fuentedeprrafopredeter"/>
    <w:link w:val="Ttulo9"/>
    <w:uiPriority w:val="9"/>
    <w:rsid w:val="006475EF"/>
    <w:rPr>
      <w:rFonts w:eastAsia="Times New Roman" w:cs="Times New Roman"/>
      <w:b/>
      <w:sz w:val="20"/>
      <w:szCs w:val="20"/>
      <w:lang w:val="es-ES_tradnl" w:eastAsia="es-ES"/>
    </w:rPr>
  </w:style>
  <w:style w:type="paragraph" w:styleId="Encabezado">
    <w:name w:val="header"/>
    <w:basedOn w:val="Normal"/>
    <w:link w:val="EncabezadoCar"/>
    <w:uiPriority w:val="99"/>
    <w:rsid w:val="006475EF"/>
    <w:pPr>
      <w:tabs>
        <w:tab w:val="center" w:pos="4252"/>
        <w:tab w:val="right" w:pos="8504"/>
      </w:tabs>
    </w:pPr>
  </w:style>
  <w:style w:type="character" w:customStyle="1" w:styleId="EncabezadoCar">
    <w:name w:val="Encabezado Car"/>
    <w:basedOn w:val="Fuentedeprrafopredeter"/>
    <w:link w:val="Encabezado"/>
    <w:uiPriority w:val="99"/>
    <w:rsid w:val="006475EF"/>
    <w:rPr>
      <w:rFonts w:eastAsia="Times New Roman" w:cs="Times New Roman"/>
      <w:sz w:val="20"/>
      <w:szCs w:val="20"/>
      <w:lang w:val="es-ES_tradnl" w:eastAsia="es-ES"/>
    </w:rPr>
  </w:style>
  <w:style w:type="paragraph" w:styleId="Piedepgina">
    <w:name w:val="footer"/>
    <w:basedOn w:val="Normal"/>
    <w:link w:val="PiedepginaCar"/>
    <w:uiPriority w:val="99"/>
    <w:rsid w:val="006475EF"/>
    <w:pPr>
      <w:tabs>
        <w:tab w:val="center" w:pos="4252"/>
        <w:tab w:val="right" w:pos="8504"/>
      </w:tabs>
    </w:pPr>
  </w:style>
  <w:style w:type="character" w:customStyle="1" w:styleId="PiedepginaCar">
    <w:name w:val="Pie de página Car"/>
    <w:basedOn w:val="Fuentedeprrafopredeter"/>
    <w:link w:val="Piedepgina"/>
    <w:uiPriority w:val="99"/>
    <w:rsid w:val="006475EF"/>
    <w:rPr>
      <w:rFonts w:eastAsia="Times New Roman" w:cs="Times New Roman"/>
      <w:sz w:val="20"/>
      <w:szCs w:val="20"/>
      <w:lang w:val="es-ES_tradnl" w:eastAsia="es-ES"/>
    </w:rPr>
  </w:style>
  <w:style w:type="character" w:styleId="Nmerodepgina">
    <w:name w:val="page number"/>
    <w:basedOn w:val="Fuentedeprrafopredeter"/>
    <w:rsid w:val="006475EF"/>
  </w:style>
  <w:style w:type="character" w:styleId="Refdecomentario">
    <w:name w:val="annotation reference"/>
    <w:basedOn w:val="Fuentedeprrafopredeter"/>
    <w:uiPriority w:val="99"/>
    <w:semiHidden/>
    <w:rsid w:val="006475EF"/>
    <w:rPr>
      <w:sz w:val="16"/>
    </w:rPr>
  </w:style>
  <w:style w:type="paragraph" w:styleId="Textocomentario">
    <w:name w:val="annotation text"/>
    <w:basedOn w:val="Normal"/>
    <w:link w:val="TextocomentarioCar"/>
    <w:uiPriority w:val="99"/>
    <w:semiHidden/>
    <w:rsid w:val="006475EF"/>
  </w:style>
  <w:style w:type="character" w:customStyle="1" w:styleId="TextocomentarioCar">
    <w:name w:val="Texto comentario Car"/>
    <w:basedOn w:val="Fuentedeprrafopredeter"/>
    <w:link w:val="Textocomentario"/>
    <w:uiPriority w:val="99"/>
    <w:semiHidden/>
    <w:rsid w:val="006475EF"/>
    <w:rPr>
      <w:rFonts w:eastAsia="Times New Roman" w:cs="Times New Roman"/>
      <w:sz w:val="20"/>
      <w:szCs w:val="20"/>
      <w:lang w:val="es-ES_tradnl" w:eastAsia="es-ES"/>
    </w:rPr>
  </w:style>
  <w:style w:type="paragraph" w:styleId="Ttulo">
    <w:name w:val="Title"/>
    <w:basedOn w:val="Normal"/>
    <w:link w:val="TtuloCar"/>
    <w:uiPriority w:val="10"/>
    <w:qFormat/>
    <w:rsid w:val="006475EF"/>
    <w:pPr>
      <w:jc w:val="center"/>
    </w:pPr>
    <w:rPr>
      <w:b/>
      <w:sz w:val="22"/>
    </w:rPr>
  </w:style>
  <w:style w:type="character" w:customStyle="1" w:styleId="TtuloCar">
    <w:name w:val="Título Car"/>
    <w:basedOn w:val="Fuentedeprrafopredeter"/>
    <w:link w:val="Ttulo"/>
    <w:uiPriority w:val="10"/>
    <w:rsid w:val="006475EF"/>
    <w:rPr>
      <w:rFonts w:eastAsia="Times New Roman" w:cs="Times New Roman"/>
      <w:b/>
      <w:sz w:val="22"/>
      <w:szCs w:val="20"/>
      <w:lang w:val="es-ES_tradnl" w:eastAsia="es-ES"/>
    </w:rPr>
  </w:style>
  <w:style w:type="paragraph" w:styleId="Textoindependiente">
    <w:name w:val="Body Text"/>
    <w:basedOn w:val="Normal"/>
    <w:link w:val="TextoindependienteCar"/>
    <w:uiPriority w:val="99"/>
    <w:rsid w:val="006475EF"/>
    <w:rPr>
      <w:color w:val="0000FF"/>
      <w:sz w:val="16"/>
    </w:rPr>
  </w:style>
  <w:style w:type="character" w:customStyle="1" w:styleId="TextoindependienteCar">
    <w:name w:val="Texto independiente Car"/>
    <w:basedOn w:val="Fuentedeprrafopredeter"/>
    <w:link w:val="Textoindependiente"/>
    <w:uiPriority w:val="99"/>
    <w:rsid w:val="006475EF"/>
    <w:rPr>
      <w:rFonts w:eastAsia="Times New Roman" w:cs="Times New Roman"/>
      <w:color w:val="0000FF"/>
      <w:sz w:val="16"/>
      <w:szCs w:val="20"/>
      <w:lang w:val="es-ES_tradnl" w:eastAsia="es-ES"/>
    </w:rPr>
  </w:style>
  <w:style w:type="paragraph" w:styleId="Epgrafe">
    <w:name w:val="caption"/>
    <w:basedOn w:val="Normal"/>
    <w:next w:val="Normal"/>
    <w:uiPriority w:val="35"/>
    <w:qFormat/>
    <w:rsid w:val="006475EF"/>
    <w:pPr>
      <w:jc w:val="center"/>
    </w:pPr>
    <w:rPr>
      <w:b/>
      <w:color w:val="0000FF"/>
    </w:rPr>
  </w:style>
  <w:style w:type="paragraph" w:styleId="Sangradetextonormal">
    <w:name w:val="Body Text Indent"/>
    <w:basedOn w:val="Normal"/>
    <w:link w:val="SangradetextonormalCar"/>
    <w:rsid w:val="006475EF"/>
    <w:pPr>
      <w:jc w:val="center"/>
    </w:pPr>
    <w:rPr>
      <w:b/>
    </w:rPr>
  </w:style>
  <w:style w:type="character" w:customStyle="1" w:styleId="SangradetextonormalCar">
    <w:name w:val="Sangría de texto normal Car"/>
    <w:basedOn w:val="Fuentedeprrafopredeter"/>
    <w:link w:val="Sangradetextonormal"/>
    <w:rsid w:val="006475EF"/>
    <w:rPr>
      <w:rFonts w:eastAsia="Times New Roman" w:cs="Times New Roman"/>
      <w:b/>
      <w:sz w:val="20"/>
      <w:szCs w:val="20"/>
      <w:lang w:val="es-ES_tradnl" w:eastAsia="es-ES"/>
    </w:rPr>
  </w:style>
  <w:style w:type="paragraph" w:styleId="Sangra2detindependiente">
    <w:name w:val="Body Text Indent 2"/>
    <w:basedOn w:val="Normal"/>
    <w:link w:val="Sangra2detindependienteCar"/>
    <w:rsid w:val="006475EF"/>
    <w:pPr>
      <w:ind w:left="709"/>
    </w:pPr>
  </w:style>
  <w:style w:type="character" w:customStyle="1" w:styleId="Sangra2detindependienteCar">
    <w:name w:val="Sangría 2 de t. independiente Car"/>
    <w:basedOn w:val="Fuentedeprrafopredeter"/>
    <w:link w:val="Sangra2detindependiente"/>
    <w:rsid w:val="006475EF"/>
    <w:rPr>
      <w:rFonts w:eastAsia="Times New Roman" w:cs="Times New Roman"/>
      <w:sz w:val="20"/>
      <w:szCs w:val="20"/>
      <w:lang w:val="es-ES_tradnl" w:eastAsia="es-ES"/>
    </w:rPr>
  </w:style>
  <w:style w:type="paragraph" w:styleId="Sangra3detindependiente">
    <w:name w:val="Body Text Indent 3"/>
    <w:basedOn w:val="Normal"/>
    <w:link w:val="Sangra3detindependienteCar"/>
    <w:rsid w:val="006475EF"/>
    <w:pPr>
      <w:ind w:left="630" w:firstLine="439"/>
      <w:jc w:val="both"/>
    </w:pPr>
  </w:style>
  <w:style w:type="character" w:customStyle="1" w:styleId="Sangra3detindependienteCar">
    <w:name w:val="Sangría 3 de t. independiente Car"/>
    <w:basedOn w:val="Fuentedeprrafopredeter"/>
    <w:link w:val="Sangra3detindependiente"/>
    <w:rsid w:val="006475EF"/>
    <w:rPr>
      <w:rFonts w:eastAsia="Times New Roman" w:cs="Times New Roman"/>
      <w:sz w:val="20"/>
      <w:szCs w:val="20"/>
      <w:lang w:val="es-ES_tradnl" w:eastAsia="es-ES"/>
    </w:rPr>
  </w:style>
  <w:style w:type="paragraph" w:styleId="Textoindependiente2">
    <w:name w:val="Body Text 2"/>
    <w:basedOn w:val="Normal"/>
    <w:link w:val="Textoindependiente2Car"/>
    <w:rsid w:val="006475EF"/>
    <w:pPr>
      <w:jc w:val="both"/>
    </w:pPr>
    <w:rPr>
      <w:noProof/>
      <w:sz w:val="24"/>
    </w:rPr>
  </w:style>
  <w:style w:type="character" w:customStyle="1" w:styleId="Textoindependiente2Car">
    <w:name w:val="Texto independiente 2 Car"/>
    <w:basedOn w:val="Fuentedeprrafopredeter"/>
    <w:link w:val="Textoindependiente2"/>
    <w:rsid w:val="006475EF"/>
    <w:rPr>
      <w:rFonts w:eastAsia="Times New Roman" w:cs="Times New Roman"/>
      <w:noProof/>
      <w:szCs w:val="20"/>
      <w:lang w:val="es-ES_tradnl" w:eastAsia="es-ES"/>
    </w:rPr>
  </w:style>
  <w:style w:type="paragraph" w:styleId="Mapadeldocumento">
    <w:name w:val="Document Map"/>
    <w:basedOn w:val="Normal"/>
    <w:link w:val="MapadeldocumentoCar"/>
    <w:semiHidden/>
    <w:rsid w:val="006475EF"/>
    <w:pPr>
      <w:shd w:val="clear" w:color="auto" w:fill="000080"/>
    </w:pPr>
    <w:rPr>
      <w:rFonts w:ascii="Tahoma" w:hAnsi="Tahoma"/>
    </w:rPr>
  </w:style>
  <w:style w:type="character" w:customStyle="1" w:styleId="MapadeldocumentoCar">
    <w:name w:val="Mapa del documento Car"/>
    <w:basedOn w:val="Fuentedeprrafopredeter"/>
    <w:link w:val="Mapadeldocumento"/>
    <w:semiHidden/>
    <w:rsid w:val="006475EF"/>
    <w:rPr>
      <w:rFonts w:ascii="Tahoma" w:eastAsia="Times New Roman" w:hAnsi="Tahoma" w:cs="Times New Roman"/>
      <w:sz w:val="20"/>
      <w:szCs w:val="20"/>
      <w:shd w:val="clear" w:color="auto" w:fill="000080"/>
      <w:lang w:val="es-ES_tradnl" w:eastAsia="es-ES"/>
    </w:rPr>
  </w:style>
  <w:style w:type="paragraph" w:styleId="Textoindependiente3">
    <w:name w:val="Body Text 3"/>
    <w:basedOn w:val="Normal"/>
    <w:link w:val="Textoindependiente3Car"/>
    <w:rsid w:val="006475EF"/>
    <w:pPr>
      <w:jc w:val="center"/>
    </w:pPr>
    <w:rPr>
      <w:rFonts w:eastAsia="Arial Unicode MS"/>
      <w:b/>
      <w:bCs/>
      <w:sz w:val="14"/>
    </w:rPr>
  </w:style>
  <w:style w:type="character" w:customStyle="1" w:styleId="Textoindependiente3Car">
    <w:name w:val="Texto independiente 3 Car"/>
    <w:basedOn w:val="Fuentedeprrafopredeter"/>
    <w:link w:val="Textoindependiente3"/>
    <w:rsid w:val="006475EF"/>
    <w:rPr>
      <w:rFonts w:eastAsia="Arial Unicode MS" w:cs="Times New Roman"/>
      <w:b/>
      <w:bCs/>
      <w:sz w:val="14"/>
      <w:szCs w:val="20"/>
      <w:lang w:val="es-ES_tradnl" w:eastAsia="es-ES"/>
    </w:rPr>
  </w:style>
  <w:style w:type="paragraph" w:customStyle="1" w:styleId="xl24">
    <w:name w:val="xl24"/>
    <w:basedOn w:val="Normal"/>
    <w:rsid w:val="006475EF"/>
    <w:pPr>
      <w:widowControl/>
      <w:pBdr>
        <w:left w:val="double" w:sz="6" w:space="0" w:color="auto"/>
        <w:right w:val="single" w:sz="4" w:space="0" w:color="auto"/>
      </w:pBdr>
      <w:spacing w:before="100" w:beforeAutospacing="1" w:after="100" w:afterAutospacing="1"/>
      <w:jc w:val="center"/>
    </w:pPr>
    <w:rPr>
      <w:rFonts w:eastAsia="Arial Unicode MS"/>
      <w:sz w:val="24"/>
      <w:szCs w:val="24"/>
      <w:lang w:val="es-ES"/>
    </w:rPr>
  </w:style>
  <w:style w:type="paragraph" w:customStyle="1" w:styleId="xl25">
    <w:name w:val="xl25"/>
    <w:basedOn w:val="Normal"/>
    <w:rsid w:val="006475EF"/>
    <w:pPr>
      <w:widowControl/>
      <w:pBdr>
        <w:left w:val="double" w:sz="6" w:space="0" w:color="auto"/>
        <w:right w:val="single" w:sz="4" w:space="0" w:color="auto"/>
      </w:pBdr>
      <w:spacing w:before="100" w:beforeAutospacing="1" w:after="100" w:afterAutospacing="1"/>
    </w:pPr>
    <w:rPr>
      <w:rFonts w:eastAsia="Arial Unicode MS"/>
      <w:sz w:val="24"/>
      <w:szCs w:val="24"/>
      <w:lang w:val="es-ES"/>
    </w:rPr>
  </w:style>
  <w:style w:type="paragraph" w:customStyle="1" w:styleId="xl26">
    <w:name w:val="xl26"/>
    <w:basedOn w:val="Normal"/>
    <w:rsid w:val="006475EF"/>
    <w:pPr>
      <w:widowControl/>
      <w:pBdr>
        <w:right w:val="single" w:sz="4" w:space="0" w:color="auto"/>
      </w:pBdr>
      <w:spacing w:before="100" w:beforeAutospacing="1" w:after="100" w:afterAutospacing="1"/>
    </w:pPr>
    <w:rPr>
      <w:rFonts w:eastAsia="Arial Unicode MS"/>
      <w:sz w:val="24"/>
      <w:szCs w:val="24"/>
      <w:lang w:val="es-ES"/>
    </w:rPr>
  </w:style>
  <w:style w:type="paragraph" w:customStyle="1" w:styleId="xl27">
    <w:name w:val="xl27"/>
    <w:basedOn w:val="Normal"/>
    <w:rsid w:val="006475EF"/>
    <w:pPr>
      <w:widowControl/>
      <w:pBdr>
        <w:left w:val="single" w:sz="4" w:space="0" w:color="auto"/>
        <w:right w:val="single" w:sz="4" w:space="0" w:color="auto"/>
      </w:pBdr>
      <w:spacing w:before="100" w:beforeAutospacing="1" w:after="100" w:afterAutospacing="1"/>
    </w:pPr>
    <w:rPr>
      <w:rFonts w:eastAsia="Arial Unicode MS"/>
      <w:sz w:val="24"/>
      <w:szCs w:val="24"/>
      <w:lang w:val="es-ES"/>
    </w:rPr>
  </w:style>
  <w:style w:type="paragraph" w:customStyle="1" w:styleId="xl28">
    <w:name w:val="xl28"/>
    <w:basedOn w:val="Normal"/>
    <w:rsid w:val="006475EF"/>
    <w:pPr>
      <w:widowControl/>
      <w:pBdr>
        <w:left w:val="single" w:sz="4" w:space="0" w:color="auto"/>
        <w:right w:val="double" w:sz="6" w:space="0" w:color="auto"/>
      </w:pBdr>
      <w:spacing w:before="100" w:beforeAutospacing="1" w:after="100" w:afterAutospacing="1"/>
      <w:jc w:val="center"/>
    </w:pPr>
    <w:rPr>
      <w:rFonts w:eastAsia="Arial Unicode MS"/>
      <w:sz w:val="24"/>
      <w:szCs w:val="24"/>
      <w:lang w:val="es-ES"/>
    </w:rPr>
  </w:style>
  <w:style w:type="paragraph" w:customStyle="1" w:styleId="xl29">
    <w:name w:val="xl29"/>
    <w:basedOn w:val="Normal"/>
    <w:rsid w:val="006475EF"/>
    <w:pPr>
      <w:widowControl/>
      <w:pBdr>
        <w:right w:val="single" w:sz="4" w:space="0" w:color="auto"/>
      </w:pBdr>
      <w:spacing w:before="100" w:beforeAutospacing="1" w:after="100" w:afterAutospacing="1"/>
      <w:jc w:val="center"/>
    </w:pPr>
    <w:rPr>
      <w:rFonts w:eastAsia="Arial Unicode MS"/>
      <w:b/>
      <w:bCs/>
      <w:sz w:val="24"/>
      <w:szCs w:val="24"/>
      <w:lang w:val="es-ES"/>
    </w:rPr>
  </w:style>
  <w:style w:type="paragraph" w:customStyle="1" w:styleId="xl30">
    <w:name w:val="xl30"/>
    <w:basedOn w:val="Normal"/>
    <w:rsid w:val="006475EF"/>
    <w:pPr>
      <w:widowControl/>
      <w:pBdr>
        <w:left w:val="single" w:sz="4" w:space="0" w:color="auto"/>
        <w:right w:val="single" w:sz="4" w:space="0" w:color="auto"/>
      </w:pBdr>
      <w:spacing w:before="100" w:beforeAutospacing="1" w:after="100" w:afterAutospacing="1"/>
    </w:pPr>
    <w:rPr>
      <w:rFonts w:eastAsia="Arial Unicode MS"/>
      <w:b/>
      <w:bCs/>
      <w:sz w:val="24"/>
      <w:szCs w:val="24"/>
      <w:u w:val="double"/>
      <w:lang w:val="es-ES"/>
    </w:rPr>
  </w:style>
  <w:style w:type="paragraph" w:customStyle="1" w:styleId="xl31">
    <w:name w:val="xl31"/>
    <w:basedOn w:val="Normal"/>
    <w:rsid w:val="006475EF"/>
    <w:pPr>
      <w:widowControl/>
      <w:pBdr>
        <w:left w:val="single" w:sz="4" w:space="0" w:color="auto"/>
        <w:right w:val="double" w:sz="6" w:space="0" w:color="auto"/>
      </w:pBdr>
      <w:spacing w:before="100" w:beforeAutospacing="1" w:after="100" w:afterAutospacing="1"/>
      <w:jc w:val="center"/>
    </w:pPr>
    <w:rPr>
      <w:rFonts w:eastAsia="Arial Unicode MS"/>
      <w:b/>
      <w:bCs/>
      <w:sz w:val="24"/>
      <w:szCs w:val="24"/>
      <w:u w:val="double"/>
      <w:lang w:val="es-ES"/>
    </w:rPr>
  </w:style>
  <w:style w:type="paragraph" w:customStyle="1" w:styleId="xl32">
    <w:name w:val="xl32"/>
    <w:basedOn w:val="Normal"/>
    <w:rsid w:val="006475EF"/>
    <w:pPr>
      <w:widowControl/>
      <w:pBdr>
        <w:right w:val="single" w:sz="4" w:space="0" w:color="auto"/>
      </w:pBdr>
      <w:spacing w:before="100" w:beforeAutospacing="1" w:after="100" w:afterAutospacing="1"/>
    </w:pPr>
    <w:rPr>
      <w:rFonts w:eastAsia="Arial Unicode MS"/>
      <w:b/>
      <w:bCs/>
      <w:sz w:val="24"/>
      <w:szCs w:val="24"/>
      <w:lang w:val="es-ES"/>
    </w:rPr>
  </w:style>
  <w:style w:type="paragraph" w:customStyle="1" w:styleId="xl33">
    <w:name w:val="xl33"/>
    <w:basedOn w:val="Normal"/>
    <w:rsid w:val="006475EF"/>
    <w:pPr>
      <w:widowControl/>
      <w:pBdr>
        <w:left w:val="single" w:sz="4" w:space="0" w:color="auto"/>
        <w:right w:val="single" w:sz="4" w:space="0" w:color="auto"/>
      </w:pBdr>
      <w:spacing w:before="100" w:beforeAutospacing="1" w:after="100" w:afterAutospacing="1"/>
    </w:pPr>
    <w:rPr>
      <w:rFonts w:eastAsia="Arial Unicode MS"/>
      <w:b/>
      <w:bCs/>
      <w:sz w:val="24"/>
      <w:szCs w:val="24"/>
      <w:lang w:val="es-ES"/>
    </w:rPr>
  </w:style>
  <w:style w:type="paragraph" w:customStyle="1" w:styleId="xl34">
    <w:name w:val="xl34"/>
    <w:basedOn w:val="Normal"/>
    <w:rsid w:val="006475EF"/>
    <w:pPr>
      <w:widowControl/>
      <w:pBdr>
        <w:left w:val="single" w:sz="4" w:space="0" w:color="auto"/>
        <w:right w:val="double" w:sz="6" w:space="0" w:color="auto"/>
      </w:pBdr>
      <w:spacing w:before="100" w:beforeAutospacing="1" w:after="100" w:afterAutospacing="1"/>
      <w:jc w:val="center"/>
    </w:pPr>
    <w:rPr>
      <w:rFonts w:eastAsia="Arial Unicode MS"/>
      <w:b/>
      <w:bCs/>
      <w:sz w:val="24"/>
      <w:szCs w:val="24"/>
      <w:lang w:val="es-ES"/>
    </w:rPr>
  </w:style>
  <w:style w:type="paragraph" w:customStyle="1" w:styleId="xl35">
    <w:name w:val="xl35"/>
    <w:basedOn w:val="Normal"/>
    <w:rsid w:val="006475EF"/>
    <w:pPr>
      <w:widowControl/>
      <w:pBdr>
        <w:left w:val="double" w:sz="6" w:space="0" w:color="auto"/>
        <w:right w:val="single" w:sz="4" w:space="0" w:color="auto"/>
      </w:pBdr>
      <w:spacing w:before="100" w:beforeAutospacing="1" w:after="100" w:afterAutospacing="1"/>
      <w:jc w:val="center"/>
    </w:pPr>
    <w:rPr>
      <w:rFonts w:eastAsia="Arial Unicode MS"/>
      <w:b/>
      <w:bCs/>
      <w:sz w:val="24"/>
      <w:szCs w:val="24"/>
      <w:u w:val="single"/>
      <w:lang w:val="es-ES"/>
    </w:rPr>
  </w:style>
  <w:style w:type="paragraph" w:customStyle="1" w:styleId="xl36">
    <w:name w:val="xl36"/>
    <w:basedOn w:val="Normal"/>
    <w:rsid w:val="006475EF"/>
    <w:pPr>
      <w:widowControl/>
      <w:pBdr>
        <w:left w:val="single" w:sz="4" w:space="0" w:color="auto"/>
        <w:right w:val="single" w:sz="4" w:space="0" w:color="auto"/>
      </w:pBdr>
      <w:spacing w:before="100" w:beforeAutospacing="1" w:after="100" w:afterAutospacing="1"/>
    </w:pPr>
    <w:rPr>
      <w:rFonts w:eastAsia="Arial Unicode MS"/>
      <w:b/>
      <w:bCs/>
      <w:sz w:val="24"/>
      <w:szCs w:val="24"/>
      <w:u w:val="single"/>
      <w:lang w:val="es-ES"/>
    </w:rPr>
  </w:style>
  <w:style w:type="paragraph" w:customStyle="1" w:styleId="xl37">
    <w:name w:val="xl37"/>
    <w:basedOn w:val="Normal"/>
    <w:rsid w:val="006475EF"/>
    <w:pPr>
      <w:widowControl/>
      <w:pBdr>
        <w:left w:val="single" w:sz="4" w:space="0" w:color="auto"/>
        <w:right w:val="double" w:sz="6" w:space="0" w:color="auto"/>
      </w:pBdr>
      <w:spacing w:before="100" w:beforeAutospacing="1" w:after="100" w:afterAutospacing="1"/>
      <w:jc w:val="center"/>
    </w:pPr>
    <w:rPr>
      <w:rFonts w:eastAsia="Arial Unicode MS"/>
      <w:b/>
      <w:bCs/>
      <w:sz w:val="24"/>
      <w:szCs w:val="24"/>
      <w:u w:val="single"/>
      <w:lang w:val="es-ES"/>
    </w:rPr>
  </w:style>
  <w:style w:type="paragraph" w:customStyle="1" w:styleId="xl38">
    <w:name w:val="xl38"/>
    <w:basedOn w:val="Normal"/>
    <w:rsid w:val="006475EF"/>
    <w:pPr>
      <w:widowControl/>
      <w:pBdr>
        <w:left w:val="double" w:sz="6" w:space="0" w:color="auto"/>
        <w:right w:val="single" w:sz="4" w:space="0" w:color="auto"/>
      </w:pBdr>
      <w:spacing w:before="100" w:beforeAutospacing="1" w:after="100" w:afterAutospacing="1"/>
      <w:jc w:val="center"/>
    </w:pPr>
    <w:rPr>
      <w:rFonts w:eastAsia="Arial Unicode MS"/>
      <w:b/>
      <w:bCs/>
      <w:sz w:val="24"/>
      <w:szCs w:val="24"/>
      <w:lang w:val="es-ES"/>
    </w:rPr>
  </w:style>
  <w:style w:type="paragraph" w:customStyle="1" w:styleId="xl39">
    <w:name w:val="xl39"/>
    <w:basedOn w:val="Normal"/>
    <w:rsid w:val="006475EF"/>
    <w:pPr>
      <w:widowControl/>
      <w:pBdr>
        <w:left w:val="double" w:sz="6" w:space="0" w:color="auto"/>
        <w:right w:val="single" w:sz="4" w:space="0" w:color="auto"/>
      </w:pBdr>
      <w:spacing w:before="100" w:beforeAutospacing="1" w:after="100" w:afterAutospacing="1"/>
      <w:jc w:val="center"/>
      <w:textAlignment w:val="top"/>
    </w:pPr>
    <w:rPr>
      <w:rFonts w:eastAsia="Arial Unicode MS"/>
      <w:sz w:val="24"/>
      <w:szCs w:val="24"/>
      <w:lang w:val="es-ES"/>
    </w:rPr>
  </w:style>
  <w:style w:type="paragraph" w:customStyle="1" w:styleId="xl40">
    <w:name w:val="xl40"/>
    <w:basedOn w:val="Normal"/>
    <w:rsid w:val="006475EF"/>
    <w:pPr>
      <w:widowControl/>
      <w:pBdr>
        <w:left w:val="single" w:sz="4" w:space="0" w:color="auto"/>
        <w:right w:val="single" w:sz="4" w:space="0" w:color="auto"/>
      </w:pBdr>
      <w:spacing w:before="100" w:beforeAutospacing="1" w:after="100" w:afterAutospacing="1"/>
    </w:pPr>
    <w:rPr>
      <w:rFonts w:eastAsia="Arial Unicode MS"/>
      <w:sz w:val="24"/>
      <w:szCs w:val="24"/>
      <w:lang w:val="es-ES"/>
    </w:rPr>
  </w:style>
  <w:style w:type="paragraph" w:customStyle="1" w:styleId="xl41">
    <w:name w:val="xl41"/>
    <w:basedOn w:val="Normal"/>
    <w:rsid w:val="006475EF"/>
    <w:pPr>
      <w:widowControl/>
      <w:pBdr>
        <w:left w:val="double" w:sz="6" w:space="0" w:color="auto"/>
      </w:pBdr>
      <w:spacing w:before="100" w:beforeAutospacing="1" w:after="100" w:afterAutospacing="1"/>
    </w:pPr>
    <w:rPr>
      <w:rFonts w:eastAsia="Arial Unicode MS"/>
      <w:sz w:val="24"/>
      <w:szCs w:val="24"/>
      <w:lang w:val="es-ES"/>
    </w:rPr>
  </w:style>
  <w:style w:type="paragraph" w:customStyle="1" w:styleId="xl42">
    <w:name w:val="xl42"/>
    <w:basedOn w:val="Normal"/>
    <w:rsid w:val="006475EF"/>
    <w:pPr>
      <w:widowControl/>
      <w:pBdr>
        <w:left w:val="double" w:sz="6" w:space="0" w:color="auto"/>
        <w:bottom w:val="double" w:sz="6" w:space="0" w:color="auto"/>
        <w:right w:val="single" w:sz="4" w:space="0" w:color="auto"/>
      </w:pBdr>
      <w:spacing w:before="100" w:beforeAutospacing="1" w:after="100" w:afterAutospacing="1"/>
    </w:pPr>
    <w:rPr>
      <w:rFonts w:eastAsia="Arial Unicode MS"/>
      <w:sz w:val="24"/>
      <w:szCs w:val="24"/>
      <w:lang w:val="es-ES"/>
    </w:rPr>
  </w:style>
  <w:style w:type="paragraph" w:customStyle="1" w:styleId="xl43">
    <w:name w:val="xl43"/>
    <w:basedOn w:val="Normal"/>
    <w:rsid w:val="006475EF"/>
    <w:pPr>
      <w:widowControl/>
      <w:pBdr>
        <w:bottom w:val="double" w:sz="6" w:space="0" w:color="auto"/>
        <w:right w:val="single" w:sz="4" w:space="0" w:color="auto"/>
      </w:pBdr>
      <w:spacing w:before="100" w:beforeAutospacing="1" w:after="100" w:afterAutospacing="1"/>
    </w:pPr>
    <w:rPr>
      <w:rFonts w:eastAsia="Arial Unicode MS"/>
      <w:sz w:val="24"/>
      <w:szCs w:val="24"/>
      <w:lang w:val="es-ES"/>
    </w:rPr>
  </w:style>
  <w:style w:type="paragraph" w:customStyle="1" w:styleId="xl44">
    <w:name w:val="xl44"/>
    <w:basedOn w:val="Normal"/>
    <w:rsid w:val="006475EF"/>
    <w:pPr>
      <w:widowControl/>
      <w:pBdr>
        <w:left w:val="single" w:sz="4" w:space="0" w:color="auto"/>
        <w:bottom w:val="double" w:sz="6" w:space="0" w:color="auto"/>
        <w:right w:val="single" w:sz="4" w:space="0" w:color="auto"/>
      </w:pBdr>
      <w:spacing w:before="100" w:beforeAutospacing="1" w:after="100" w:afterAutospacing="1"/>
    </w:pPr>
    <w:rPr>
      <w:rFonts w:eastAsia="Arial Unicode MS"/>
      <w:sz w:val="24"/>
      <w:szCs w:val="24"/>
      <w:lang w:val="es-ES"/>
    </w:rPr>
  </w:style>
  <w:style w:type="paragraph" w:customStyle="1" w:styleId="xl45">
    <w:name w:val="xl45"/>
    <w:basedOn w:val="Normal"/>
    <w:rsid w:val="006475EF"/>
    <w:pPr>
      <w:widowControl/>
      <w:pBdr>
        <w:left w:val="single" w:sz="4" w:space="0" w:color="auto"/>
        <w:bottom w:val="double" w:sz="6" w:space="0" w:color="auto"/>
        <w:right w:val="double" w:sz="6" w:space="0" w:color="auto"/>
      </w:pBdr>
      <w:spacing w:before="100" w:beforeAutospacing="1" w:after="100" w:afterAutospacing="1"/>
      <w:jc w:val="center"/>
    </w:pPr>
    <w:rPr>
      <w:rFonts w:eastAsia="Arial Unicode MS"/>
      <w:sz w:val="24"/>
      <w:szCs w:val="24"/>
      <w:lang w:val="es-ES"/>
    </w:rPr>
  </w:style>
  <w:style w:type="paragraph" w:customStyle="1" w:styleId="xl46">
    <w:name w:val="xl46"/>
    <w:basedOn w:val="Normal"/>
    <w:rsid w:val="006475EF"/>
    <w:pPr>
      <w:widowControl/>
      <w:pBdr>
        <w:top w:val="double" w:sz="6" w:space="0" w:color="auto"/>
        <w:left w:val="double" w:sz="6" w:space="0" w:color="auto"/>
        <w:right w:val="single" w:sz="4" w:space="0" w:color="auto"/>
      </w:pBdr>
      <w:spacing w:before="100" w:beforeAutospacing="1" w:after="100" w:afterAutospacing="1"/>
      <w:jc w:val="center"/>
    </w:pPr>
    <w:rPr>
      <w:rFonts w:eastAsia="Arial Unicode MS"/>
      <w:b/>
      <w:bCs/>
      <w:sz w:val="24"/>
      <w:szCs w:val="24"/>
      <w:lang w:val="es-ES"/>
    </w:rPr>
  </w:style>
  <w:style w:type="paragraph" w:customStyle="1" w:styleId="xl47">
    <w:name w:val="xl47"/>
    <w:basedOn w:val="Normal"/>
    <w:rsid w:val="006475EF"/>
    <w:pPr>
      <w:widowControl/>
      <w:pBdr>
        <w:top w:val="double" w:sz="6" w:space="0" w:color="auto"/>
        <w:right w:val="single" w:sz="4" w:space="0" w:color="auto"/>
      </w:pBdr>
      <w:spacing w:before="100" w:beforeAutospacing="1" w:after="100" w:afterAutospacing="1"/>
    </w:pPr>
    <w:rPr>
      <w:rFonts w:eastAsia="Arial Unicode MS"/>
      <w:b/>
      <w:bCs/>
      <w:sz w:val="24"/>
      <w:szCs w:val="24"/>
      <w:lang w:val="es-ES"/>
    </w:rPr>
  </w:style>
  <w:style w:type="paragraph" w:customStyle="1" w:styleId="xl48">
    <w:name w:val="xl48"/>
    <w:basedOn w:val="Normal"/>
    <w:rsid w:val="006475EF"/>
    <w:pPr>
      <w:widowControl/>
      <w:pBdr>
        <w:top w:val="double" w:sz="6" w:space="0" w:color="auto"/>
        <w:left w:val="single" w:sz="4" w:space="0" w:color="auto"/>
        <w:right w:val="single" w:sz="4" w:space="0" w:color="auto"/>
      </w:pBdr>
      <w:spacing w:before="100" w:beforeAutospacing="1" w:after="100" w:afterAutospacing="1"/>
      <w:jc w:val="center"/>
    </w:pPr>
    <w:rPr>
      <w:rFonts w:eastAsia="Arial Unicode MS"/>
      <w:b/>
      <w:bCs/>
      <w:sz w:val="24"/>
      <w:szCs w:val="24"/>
      <w:lang w:val="es-ES"/>
    </w:rPr>
  </w:style>
  <w:style w:type="paragraph" w:customStyle="1" w:styleId="xl49">
    <w:name w:val="xl49"/>
    <w:basedOn w:val="Normal"/>
    <w:rsid w:val="006475EF"/>
    <w:pPr>
      <w:widowControl/>
      <w:pBdr>
        <w:top w:val="double" w:sz="6" w:space="0" w:color="auto"/>
        <w:left w:val="single" w:sz="4" w:space="0" w:color="auto"/>
        <w:right w:val="double" w:sz="6" w:space="0" w:color="auto"/>
      </w:pBdr>
      <w:spacing w:before="100" w:beforeAutospacing="1" w:after="100" w:afterAutospacing="1"/>
      <w:jc w:val="center"/>
    </w:pPr>
    <w:rPr>
      <w:rFonts w:eastAsia="Arial Unicode MS"/>
      <w:b/>
      <w:bCs/>
      <w:sz w:val="24"/>
      <w:szCs w:val="24"/>
      <w:lang w:val="es-ES"/>
    </w:rPr>
  </w:style>
  <w:style w:type="paragraph" w:customStyle="1" w:styleId="xl50">
    <w:name w:val="xl50"/>
    <w:basedOn w:val="Normal"/>
    <w:rsid w:val="006475EF"/>
    <w:pPr>
      <w:widowControl/>
      <w:pBdr>
        <w:right w:val="single" w:sz="4" w:space="0" w:color="auto"/>
      </w:pBdr>
      <w:spacing w:before="100" w:beforeAutospacing="1" w:after="100" w:afterAutospacing="1"/>
      <w:jc w:val="center"/>
    </w:pPr>
    <w:rPr>
      <w:rFonts w:eastAsia="Arial Unicode MS"/>
      <w:b/>
      <w:bCs/>
      <w:sz w:val="24"/>
      <w:szCs w:val="24"/>
      <w:lang w:val="es-ES"/>
    </w:rPr>
  </w:style>
  <w:style w:type="paragraph" w:customStyle="1" w:styleId="xl51">
    <w:name w:val="xl51"/>
    <w:basedOn w:val="Normal"/>
    <w:rsid w:val="006475EF"/>
    <w:pPr>
      <w:widowControl/>
      <w:pBdr>
        <w:left w:val="single" w:sz="4" w:space="0" w:color="auto"/>
        <w:right w:val="single" w:sz="4" w:space="0" w:color="auto"/>
      </w:pBdr>
      <w:spacing w:before="100" w:beforeAutospacing="1" w:after="100" w:afterAutospacing="1"/>
      <w:jc w:val="center"/>
    </w:pPr>
    <w:rPr>
      <w:rFonts w:eastAsia="Arial Unicode MS"/>
      <w:b/>
      <w:bCs/>
      <w:sz w:val="24"/>
      <w:szCs w:val="24"/>
      <w:lang w:val="es-ES"/>
    </w:rPr>
  </w:style>
  <w:style w:type="paragraph" w:customStyle="1" w:styleId="xl52">
    <w:name w:val="xl52"/>
    <w:basedOn w:val="Normal"/>
    <w:rsid w:val="006475EF"/>
    <w:pPr>
      <w:widowControl/>
      <w:pBdr>
        <w:left w:val="single" w:sz="4" w:space="0" w:color="auto"/>
        <w:right w:val="double" w:sz="6" w:space="0" w:color="auto"/>
      </w:pBdr>
      <w:spacing w:before="100" w:beforeAutospacing="1" w:after="100" w:afterAutospacing="1"/>
      <w:jc w:val="center"/>
    </w:pPr>
    <w:rPr>
      <w:rFonts w:eastAsia="Arial Unicode MS"/>
      <w:b/>
      <w:bCs/>
      <w:sz w:val="24"/>
      <w:szCs w:val="24"/>
      <w:lang w:val="es-ES"/>
    </w:rPr>
  </w:style>
  <w:style w:type="paragraph" w:customStyle="1" w:styleId="xl53">
    <w:name w:val="xl53"/>
    <w:basedOn w:val="Normal"/>
    <w:rsid w:val="006475EF"/>
    <w:pPr>
      <w:widowControl/>
      <w:pBdr>
        <w:left w:val="double" w:sz="6" w:space="0" w:color="auto"/>
        <w:bottom w:val="single" w:sz="4" w:space="0" w:color="auto"/>
        <w:right w:val="single" w:sz="4" w:space="0" w:color="auto"/>
      </w:pBdr>
      <w:spacing w:before="100" w:beforeAutospacing="1" w:after="100" w:afterAutospacing="1"/>
      <w:jc w:val="center"/>
    </w:pPr>
    <w:rPr>
      <w:rFonts w:eastAsia="Arial Unicode MS"/>
      <w:b/>
      <w:bCs/>
      <w:sz w:val="24"/>
      <w:szCs w:val="24"/>
      <w:lang w:val="es-ES"/>
    </w:rPr>
  </w:style>
  <w:style w:type="paragraph" w:customStyle="1" w:styleId="xl54">
    <w:name w:val="xl54"/>
    <w:basedOn w:val="Normal"/>
    <w:rsid w:val="006475EF"/>
    <w:pPr>
      <w:widowControl/>
      <w:pBdr>
        <w:bottom w:val="single" w:sz="4" w:space="0" w:color="auto"/>
        <w:right w:val="single" w:sz="4" w:space="0" w:color="auto"/>
      </w:pBdr>
      <w:spacing w:before="100" w:beforeAutospacing="1" w:after="100" w:afterAutospacing="1"/>
    </w:pPr>
    <w:rPr>
      <w:rFonts w:eastAsia="Arial Unicode MS"/>
      <w:b/>
      <w:bCs/>
      <w:sz w:val="24"/>
      <w:szCs w:val="24"/>
      <w:lang w:val="es-ES"/>
    </w:rPr>
  </w:style>
  <w:style w:type="paragraph" w:customStyle="1" w:styleId="xl55">
    <w:name w:val="xl55"/>
    <w:basedOn w:val="Normal"/>
    <w:rsid w:val="006475EF"/>
    <w:pPr>
      <w:widowControl/>
      <w:pBdr>
        <w:left w:val="single" w:sz="4" w:space="0" w:color="auto"/>
        <w:bottom w:val="single" w:sz="4" w:space="0" w:color="auto"/>
        <w:right w:val="single" w:sz="4" w:space="0" w:color="auto"/>
      </w:pBdr>
      <w:spacing w:before="100" w:beforeAutospacing="1" w:after="100" w:afterAutospacing="1"/>
      <w:jc w:val="center"/>
    </w:pPr>
    <w:rPr>
      <w:rFonts w:eastAsia="Arial Unicode MS"/>
      <w:b/>
      <w:bCs/>
      <w:sz w:val="24"/>
      <w:szCs w:val="24"/>
      <w:lang w:val="es-ES"/>
    </w:rPr>
  </w:style>
  <w:style w:type="paragraph" w:customStyle="1" w:styleId="xl56">
    <w:name w:val="xl56"/>
    <w:basedOn w:val="Normal"/>
    <w:rsid w:val="006475EF"/>
    <w:pPr>
      <w:widowControl/>
      <w:pBdr>
        <w:left w:val="single" w:sz="4" w:space="0" w:color="auto"/>
        <w:bottom w:val="single" w:sz="4" w:space="0" w:color="auto"/>
        <w:right w:val="double" w:sz="6" w:space="0" w:color="auto"/>
      </w:pBdr>
      <w:spacing w:before="100" w:beforeAutospacing="1" w:after="100" w:afterAutospacing="1"/>
      <w:jc w:val="center"/>
    </w:pPr>
    <w:rPr>
      <w:rFonts w:eastAsia="Arial Unicode MS"/>
      <w:b/>
      <w:bCs/>
      <w:sz w:val="24"/>
      <w:szCs w:val="24"/>
      <w:lang w:val="es-ES"/>
    </w:rPr>
  </w:style>
  <w:style w:type="paragraph" w:styleId="Textodeglobo">
    <w:name w:val="Balloon Text"/>
    <w:basedOn w:val="Normal"/>
    <w:link w:val="TextodegloboCar"/>
    <w:uiPriority w:val="99"/>
    <w:semiHidden/>
    <w:rsid w:val="006475EF"/>
    <w:rPr>
      <w:rFonts w:ascii="Tahoma" w:hAnsi="Tahoma" w:cs="Tahoma"/>
      <w:sz w:val="16"/>
      <w:szCs w:val="16"/>
    </w:rPr>
  </w:style>
  <w:style w:type="character" w:customStyle="1" w:styleId="TextodegloboCar">
    <w:name w:val="Texto de globo Car"/>
    <w:basedOn w:val="Fuentedeprrafopredeter"/>
    <w:link w:val="Textodeglobo"/>
    <w:uiPriority w:val="99"/>
    <w:semiHidden/>
    <w:rsid w:val="006475EF"/>
    <w:rPr>
      <w:rFonts w:ascii="Tahoma" w:eastAsia="Times New Roman" w:hAnsi="Tahoma" w:cs="Tahoma"/>
      <w:sz w:val="16"/>
      <w:szCs w:val="16"/>
      <w:lang w:val="es-ES_tradnl" w:eastAsia="es-ES"/>
    </w:rPr>
  </w:style>
  <w:style w:type="paragraph" w:customStyle="1" w:styleId="xl60">
    <w:name w:val="xl60"/>
    <w:basedOn w:val="Normal"/>
    <w:rsid w:val="006475EF"/>
    <w:pPr>
      <w:widowControl/>
      <w:pBdr>
        <w:right w:val="single" w:sz="4" w:space="0" w:color="auto"/>
      </w:pBdr>
      <w:spacing w:before="100" w:beforeAutospacing="1" w:after="100" w:afterAutospacing="1"/>
    </w:pPr>
    <w:rPr>
      <w:sz w:val="18"/>
      <w:szCs w:val="18"/>
      <w:lang w:val="es-ES"/>
    </w:rPr>
  </w:style>
  <w:style w:type="paragraph" w:customStyle="1" w:styleId="xl96">
    <w:name w:val="xl96"/>
    <w:basedOn w:val="Normal"/>
    <w:rsid w:val="006475EF"/>
    <w:pPr>
      <w:widowControl/>
      <w:pBdr>
        <w:left w:val="single" w:sz="4" w:space="0" w:color="auto"/>
        <w:right w:val="single" w:sz="4" w:space="0" w:color="auto"/>
      </w:pBdr>
      <w:spacing w:before="100" w:beforeAutospacing="1" w:after="100" w:afterAutospacing="1"/>
      <w:textAlignment w:val="top"/>
    </w:pPr>
    <w:rPr>
      <w:rFonts w:eastAsia="Arial Unicode MS"/>
      <w:sz w:val="14"/>
      <w:szCs w:val="14"/>
      <w:lang w:val="es-ES"/>
    </w:rPr>
  </w:style>
  <w:style w:type="table" w:styleId="Tablaconcuadrcula">
    <w:name w:val="Table Grid"/>
    <w:basedOn w:val="Tablanormal"/>
    <w:uiPriority w:val="39"/>
    <w:rsid w:val="006475EF"/>
    <w:pPr>
      <w:spacing w:after="0" w:line="240" w:lineRule="auto"/>
    </w:pPr>
    <w:rPr>
      <w:rFonts w:eastAsia="Times New Roman" w:cs="Times New Roman"/>
      <w:sz w:val="20"/>
      <w:szCs w:val="20"/>
      <w:lang w:eastAsia="es-G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inespaciado">
    <w:name w:val="No Spacing"/>
    <w:link w:val="SinespaciadoCar"/>
    <w:uiPriority w:val="1"/>
    <w:qFormat/>
    <w:rsid w:val="006475EF"/>
    <w:pPr>
      <w:spacing w:after="0" w:line="240" w:lineRule="auto"/>
    </w:pPr>
    <w:rPr>
      <w:rFonts w:ascii="Calibri" w:eastAsia="Times New Roman" w:hAnsi="Calibri" w:cs="Times New Roman"/>
      <w:sz w:val="22"/>
      <w:lang w:val="es-ES"/>
    </w:rPr>
  </w:style>
  <w:style w:type="character" w:customStyle="1" w:styleId="SinespaciadoCar">
    <w:name w:val="Sin espaciado Car"/>
    <w:basedOn w:val="Fuentedeprrafopredeter"/>
    <w:link w:val="Sinespaciado"/>
    <w:uiPriority w:val="1"/>
    <w:rsid w:val="006475EF"/>
    <w:rPr>
      <w:rFonts w:ascii="Calibri" w:eastAsia="Times New Roman" w:hAnsi="Calibri" w:cs="Times New Roman"/>
      <w:sz w:val="22"/>
      <w:lang w:val="es-ES"/>
    </w:rPr>
  </w:style>
  <w:style w:type="paragraph" w:customStyle="1" w:styleId="Default">
    <w:name w:val="Default"/>
    <w:rsid w:val="006475EF"/>
    <w:pPr>
      <w:autoSpaceDE w:val="0"/>
      <w:autoSpaceDN w:val="0"/>
      <w:adjustRightInd w:val="0"/>
      <w:spacing w:after="0" w:line="240" w:lineRule="auto"/>
    </w:pPr>
    <w:rPr>
      <w:rFonts w:ascii="Helvetica" w:eastAsia="Times New Roman" w:hAnsi="Helvetica" w:cs="Helvetica"/>
      <w:color w:val="000000"/>
      <w:szCs w:val="24"/>
      <w:lang w:eastAsia="es-GT"/>
    </w:rPr>
  </w:style>
  <w:style w:type="paragraph" w:styleId="Asuntodelcomentario">
    <w:name w:val="annotation subject"/>
    <w:basedOn w:val="Textocomentario"/>
    <w:next w:val="Textocomentario"/>
    <w:link w:val="AsuntodelcomentarioCar"/>
    <w:uiPriority w:val="99"/>
    <w:rsid w:val="006475EF"/>
    <w:rPr>
      <w:b/>
      <w:bCs/>
    </w:rPr>
  </w:style>
  <w:style w:type="character" w:customStyle="1" w:styleId="AsuntodelcomentarioCar">
    <w:name w:val="Asunto del comentario Car"/>
    <w:basedOn w:val="TextocomentarioCar"/>
    <w:link w:val="Asuntodelcomentario"/>
    <w:uiPriority w:val="99"/>
    <w:rsid w:val="006475EF"/>
    <w:rPr>
      <w:rFonts w:eastAsia="Times New Roman" w:cs="Times New Roman"/>
      <w:b/>
      <w:bCs/>
      <w:sz w:val="20"/>
      <w:szCs w:val="20"/>
      <w:lang w:val="es-ES_tradnl" w:eastAsia="es-ES"/>
    </w:rPr>
  </w:style>
  <w:style w:type="character" w:styleId="Hipervnculo">
    <w:name w:val="Hyperlink"/>
    <w:basedOn w:val="Fuentedeprrafopredeter"/>
    <w:uiPriority w:val="99"/>
    <w:rsid w:val="006475EF"/>
    <w:rPr>
      <w:color w:val="0000FF"/>
      <w:u w:val="single"/>
    </w:rPr>
  </w:style>
  <w:style w:type="paragraph" w:styleId="Prrafodelista">
    <w:name w:val="List Paragraph"/>
    <w:aliases w:val="Párrafo de lista 2"/>
    <w:basedOn w:val="Normal"/>
    <w:link w:val="PrrafodelistaCar"/>
    <w:uiPriority w:val="34"/>
    <w:qFormat/>
    <w:rsid w:val="006475EF"/>
    <w:pPr>
      <w:ind w:left="720"/>
      <w:contextualSpacing/>
    </w:pPr>
  </w:style>
  <w:style w:type="numbering" w:customStyle="1" w:styleId="Estilo1">
    <w:name w:val="Estilo1"/>
    <w:uiPriority w:val="99"/>
    <w:rsid w:val="006475EF"/>
    <w:pPr>
      <w:numPr>
        <w:numId w:val="1"/>
      </w:numPr>
    </w:pPr>
  </w:style>
  <w:style w:type="numbering" w:customStyle="1" w:styleId="Estilo2">
    <w:name w:val="Estilo2"/>
    <w:uiPriority w:val="99"/>
    <w:rsid w:val="006475EF"/>
    <w:pPr>
      <w:numPr>
        <w:numId w:val="2"/>
      </w:numPr>
    </w:pPr>
  </w:style>
  <w:style w:type="paragraph" w:styleId="Textonotapie">
    <w:name w:val="footnote text"/>
    <w:aliases w:val="ft,ft Car,ft Car Car,Texto nota pie2,ft1,ft Car Car Car1,Texto nota pie Car2,ft Car Car2,ft Car Car Car,fn,single space,footnote text,FOOTNOTES,Texto nota pie IIRSA,foottextfra,footnote,F,Char,Footnote Text Char2,Footnote Text Char1 Char1"/>
    <w:basedOn w:val="Normal"/>
    <w:link w:val="TextonotapieCar"/>
    <w:uiPriority w:val="99"/>
    <w:rsid w:val="000A36AF"/>
  </w:style>
  <w:style w:type="character" w:customStyle="1" w:styleId="TextonotapieCar">
    <w:name w:val="Texto nota pie Car"/>
    <w:aliases w:val="ft Car2,ft Car Car3,ft Car Car Car3,Texto nota pie2 Car1,ft1 Car1,ft Car Car Car1 Car1,Texto nota pie Car2 Car1,ft Car Car2 Car1,ft Car Car Car Car1,fn Car1,single space Car1,footnote text Car1,FOOTNOTES Car1,Texto nota pie IIRSA Car1"/>
    <w:basedOn w:val="Fuentedeprrafopredeter"/>
    <w:link w:val="Textonotapie"/>
    <w:uiPriority w:val="99"/>
    <w:rsid w:val="000A36AF"/>
    <w:rPr>
      <w:rFonts w:eastAsia="Times New Roman" w:cs="Times New Roman"/>
      <w:sz w:val="20"/>
      <w:szCs w:val="20"/>
      <w:lang w:val="es-ES_tradnl" w:eastAsia="es-ES"/>
    </w:rPr>
  </w:style>
  <w:style w:type="character" w:styleId="Refdenotaalpie">
    <w:name w:val="footnote reference"/>
    <w:aliases w:val="ftref,16 Point,Superscript 6 Point,fr,Footnote Reference Number,Footnote Reference_LVL6,Footnote Reference_LVL61,Footnote Reference_LVL62,Footnote Reference_LVL63,Footnote Reference_LVL64,SUPERS,EN Footnote Reference,number"/>
    <w:basedOn w:val="Fuentedeprrafopredeter"/>
    <w:uiPriority w:val="99"/>
    <w:rsid w:val="000A36AF"/>
    <w:rPr>
      <w:vertAlign w:val="superscript"/>
    </w:rPr>
  </w:style>
  <w:style w:type="character" w:styleId="Hipervnculovisitado">
    <w:name w:val="FollowedHyperlink"/>
    <w:basedOn w:val="Fuentedeprrafopredeter"/>
    <w:uiPriority w:val="99"/>
    <w:semiHidden/>
    <w:unhideWhenUsed/>
    <w:rsid w:val="00442A3E"/>
    <w:rPr>
      <w:color w:val="800080"/>
      <w:u w:val="single"/>
    </w:rPr>
  </w:style>
  <w:style w:type="paragraph" w:customStyle="1" w:styleId="xl57">
    <w:name w:val="xl57"/>
    <w:basedOn w:val="Normal"/>
    <w:rsid w:val="00442A3E"/>
    <w:pPr>
      <w:widowControl/>
      <w:pBdr>
        <w:left w:val="single" w:sz="8" w:space="0" w:color="auto"/>
        <w:right w:val="single" w:sz="8" w:space="0" w:color="auto"/>
      </w:pBdr>
      <w:spacing w:before="100" w:beforeAutospacing="1" w:after="100" w:afterAutospacing="1"/>
      <w:textAlignment w:val="top"/>
    </w:pPr>
    <w:rPr>
      <w:color w:val="000000"/>
      <w:sz w:val="16"/>
      <w:szCs w:val="16"/>
      <w:lang w:val="es-GT" w:eastAsia="es-GT"/>
    </w:rPr>
  </w:style>
  <w:style w:type="paragraph" w:customStyle="1" w:styleId="xl58">
    <w:name w:val="xl58"/>
    <w:basedOn w:val="Normal"/>
    <w:rsid w:val="00442A3E"/>
    <w:pPr>
      <w:widowControl/>
      <w:pBdr>
        <w:left w:val="single" w:sz="8" w:space="0" w:color="auto"/>
        <w:bottom w:val="double" w:sz="6" w:space="0" w:color="auto"/>
        <w:right w:val="single" w:sz="8" w:space="0" w:color="auto"/>
      </w:pBdr>
      <w:spacing w:before="100" w:beforeAutospacing="1" w:after="100" w:afterAutospacing="1"/>
      <w:jc w:val="center"/>
      <w:textAlignment w:val="top"/>
    </w:pPr>
    <w:rPr>
      <w:sz w:val="16"/>
      <w:szCs w:val="16"/>
      <w:lang w:val="es-GT" w:eastAsia="es-GT"/>
    </w:rPr>
  </w:style>
  <w:style w:type="paragraph" w:customStyle="1" w:styleId="xl59">
    <w:name w:val="xl59"/>
    <w:basedOn w:val="Normal"/>
    <w:rsid w:val="00442A3E"/>
    <w:pPr>
      <w:widowControl/>
      <w:pBdr>
        <w:left w:val="single" w:sz="8" w:space="0" w:color="auto"/>
        <w:bottom w:val="double" w:sz="6" w:space="0" w:color="auto"/>
        <w:right w:val="single" w:sz="8" w:space="0" w:color="auto"/>
      </w:pBdr>
      <w:spacing w:before="100" w:beforeAutospacing="1" w:after="100" w:afterAutospacing="1"/>
      <w:jc w:val="right"/>
    </w:pPr>
    <w:rPr>
      <w:sz w:val="16"/>
      <w:szCs w:val="16"/>
      <w:lang w:val="es-GT" w:eastAsia="es-GT"/>
    </w:rPr>
  </w:style>
  <w:style w:type="paragraph" w:customStyle="1" w:styleId="xl61">
    <w:name w:val="xl61"/>
    <w:basedOn w:val="Normal"/>
    <w:rsid w:val="00442A3E"/>
    <w:pPr>
      <w:widowControl/>
      <w:pBdr>
        <w:left w:val="single" w:sz="8" w:space="0" w:color="auto"/>
        <w:right w:val="double" w:sz="6" w:space="0" w:color="auto"/>
      </w:pBdr>
      <w:spacing w:before="100" w:beforeAutospacing="1" w:after="100" w:afterAutospacing="1"/>
      <w:jc w:val="center"/>
    </w:pPr>
    <w:rPr>
      <w:color w:val="000000"/>
      <w:sz w:val="16"/>
      <w:szCs w:val="16"/>
      <w:lang w:val="es-GT" w:eastAsia="es-GT"/>
    </w:rPr>
  </w:style>
  <w:style w:type="paragraph" w:customStyle="1" w:styleId="xl62">
    <w:name w:val="xl62"/>
    <w:basedOn w:val="Normal"/>
    <w:rsid w:val="00442A3E"/>
    <w:pPr>
      <w:widowControl/>
      <w:pBdr>
        <w:left w:val="single" w:sz="8" w:space="0" w:color="auto"/>
        <w:right w:val="double" w:sz="6" w:space="0" w:color="auto"/>
      </w:pBdr>
      <w:spacing w:before="100" w:beforeAutospacing="1" w:after="100" w:afterAutospacing="1"/>
      <w:jc w:val="center"/>
    </w:pPr>
    <w:rPr>
      <w:b/>
      <w:bCs/>
      <w:sz w:val="16"/>
      <w:szCs w:val="16"/>
      <w:lang w:val="es-GT" w:eastAsia="es-GT"/>
    </w:rPr>
  </w:style>
  <w:style w:type="paragraph" w:customStyle="1" w:styleId="xl63">
    <w:name w:val="xl63"/>
    <w:basedOn w:val="Normal"/>
    <w:rsid w:val="00442A3E"/>
    <w:pPr>
      <w:widowControl/>
      <w:pBdr>
        <w:left w:val="single" w:sz="8" w:space="0" w:color="auto"/>
        <w:right w:val="single" w:sz="8" w:space="0" w:color="auto"/>
      </w:pBdr>
      <w:spacing w:before="100" w:beforeAutospacing="1" w:after="100" w:afterAutospacing="1"/>
      <w:jc w:val="center"/>
      <w:textAlignment w:val="top"/>
    </w:pPr>
    <w:rPr>
      <w:sz w:val="16"/>
      <w:szCs w:val="16"/>
      <w:lang w:val="es-GT" w:eastAsia="es-GT"/>
    </w:rPr>
  </w:style>
  <w:style w:type="paragraph" w:customStyle="1" w:styleId="xl64">
    <w:name w:val="xl64"/>
    <w:basedOn w:val="Normal"/>
    <w:rsid w:val="00442A3E"/>
    <w:pPr>
      <w:widowControl/>
      <w:pBdr>
        <w:left w:val="single" w:sz="8" w:space="0" w:color="auto"/>
        <w:right w:val="double" w:sz="6" w:space="0" w:color="auto"/>
      </w:pBdr>
      <w:spacing w:before="100" w:beforeAutospacing="1" w:after="100" w:afterAutospacing="1"/>
      <w:jc w:val="center"/>
      <w:textAlignment w:val="top"/>
    </w:pPr>
    <w:rPr>
      <w:sz w:val="16"/>
      <w:szCs w:val="16"/>
      <w:lang w:val="es-GT" w:eastAsia="es-GT"/>
    </w:rPr>
  </w:style>
  <w:style w:type="paragraph" w:customStyle="1" w:styleId="xl65">
    <w:name w:val="xl65"/>
    <w:basedOn w:val="Normal"/>
    <w:rsid w:val="00442A3E"/>
    <w:pPr>
      <w:widowControl/>
      <w:pBdr>
        <w:left w:val="single" w:sz="8" w:space="0" w:color="auto"/>
        <w:right w:val="single" w:sz="8" w:space="0" w:color="auto"/>
      </w:pBdr>
      <w:spacing w:before="100" w:beforeAutospacing="1" w:after="100" w:afterAutospacing="1"/>
      <w:jc w:val="center"/>
      <w:textAlignment w:val="top"/>
    </w:pPr>
    <w:rPr>
      <w:b/>
      <w:bCs/>
      <w:sz w:val="16"/>
      <w:szCs w:val="16"/>
      <w:lang w:val="es-GT" w:eastAsia="es-GT"/>
    </w:rPr>
  </w:style>
  <w:style w:type="paragraph" w:customStyle="1" w:styleId="xl66">
    <w:name w:val="xl66"/>
    <w:basedOn w:val="Normal"/>
    <w:rsid w:val="00442A3E"/>
    <w:pPr>
      <w:widowControl/>
      <w:pBdr>
        <w:left w:val="single" w:sz="8" w:space="0" w:color="auto"/>
        <w:right w:val="double" w:sz="6" w:space="0" w:color="auto"/>
      </w:pBdr>
      <w:spacing w:before="100" w:beforeAutospacing="1" w:after="100" w:afterAutospacing="1"/>
      <w:jc w:val="center"/>
      <w:textAlignment w:val="top"/>
    </w:pPr>
    <w:rPr>
      <w:b/>
      <w:bCs/>
      <w:sz w:val="16"/>
      <w:szCs w:val="16"/>
      <w:lang w:val="es-GT" w:eastAsia="es-GT"/>
    </w:rPr>
  </w:style>
  <w:style w:type="paragraph" w:customStyle="1" w:styleId="xl67">
    <w:name w:val="xl67"/>
    <w:basedOn w:val="Normal"/>
    <w:rsid w:val="00442A3E"/>
    <w:pPr>
      <w:widowControl/>
      <w:pBdr>
        <w:left w:val="single" w:sz="8" w:space="0" w:color="auto"/>
        <w:right w:val="double" w:sz="6" w:space="0" w:color="auto"/>
      </w:pBdr>
      <w:spacing w:before="100" w:beforeAutospacing="1" w:after="100" w:afterAutospacing="1"/>
      <w:jc w:val="center"/>
    </w:pPr>
    <w:rPr>
      <w:b/>
      <w:bCs/>
      <w:color w:val="000000"/>
      <w:sz w:val="16"/>
      <w:szCs w:val="16"/>
      <w:lang w:val="es-GT" w:eastAsia="es-GT"/>
    </w:rPr>
  </w:style>
  <w:style w:type="paragraph" w:customStyle="1" w:styleId="xl68">
    <w:name w:val="xl68"/>
    <w:basedOn w:val="Normal"/>
    <w:rsid w:val="00442A3E"/>
    <w:pPr>
      <w:widowControl/>
      <w:pBdr>
        <w:left w:val="single" w:sz="8" w:space="0" w:color="auto"/>
        <w:bottom w:val="double" w:sz="6" w:space="0" w:color="auto"/>
        <w:right w:val="single" w:sz="8" w:space="0" w:color="auto"/>
      </w:pBdr>
      <w:spacing w:before="100" w:beforeAutospacing="1" w:after="100" w:afterAutospacing="1"/>
    </w:pPr>
    <w:rPr>
      <w:sz w:val="16"/>
      <w:szCs w:val="16"/>
      <w:lang w:val="es-GT" w:eastAsia="es-GT"/>
    </w:rPr>
  </w:style>
  <w:style w:type="paragraph" w:customStyle="1" w:styleId="xl69">
    <w:name w:val="xl69"/>
    <w:basedOn w:val="Normal"/>
    <w:rsid w:val="00442A3E"/>
    <w:pPr>
      <w:widowControl/>
      <w:pBdr>
        <w:left w:val="single" w:sz="8" w:space="0" w:color="auto"/>
        <w:bottom w:val="double" w:sz="6" w:space="0" w:color="auto"/>
        <w:right w:val="double" w:sz="6" w:space="0" w:color="auto"/>
      </w:pBdr>
      <w:spacing w:before="100" w:beforeAutospacing="1" w:after="100" w:afterAutospacing="1"/>
      <w:jc w:val="center"/>
    </w:pPr>
    <w:rPr>
      <w:sz w:val="16"/>
      <w:szCs w:val="16"/>
      <w:lang w:val="es-GT" w:eastAsia="es-GT"/>
    </w:rPr>
  </w:style>
  <w:style w:type="paragraph" w:customStyle="1" w:styleId="xl70">
    <w:name w:val="xl70"/>
    <w:basedOn w:val="Normal"/>
    <w:rsid w:val="00442A3E"/>
    <w:pPr>
      <w:widowControl/>
      <w:pBdr>
        <w:left w:val="double" w:sz="6" w:space="0" w:color="auto"/>
        <w:right w:val="single" w:sz="8" w:space="0" w:color="auto"/>
      </w:pBdr>
      <w:spacing w:before="100" w:beforeAutospacing="1" w:after="100" w:afterAutospacing="1"/>
      <w:jc w:val="center"/>
    </w:pPr>
    <w:rPr>
      <w:b/>
      <w:bCs/>
      <w:sz w:val="16"/>
      <w:szCs w:val="16"/>
      <w:lang w:val="es-GT" w:eastAsia="es-GT"/>
    </w:rPr>
  </w:style>
  <w:style w:type="paragraph" w:customStyle="1" w:styleId="xl71">
    <w:name w:val="xl71"/>
    <w:basedOn w:val="Normal"/>
    <w:rsid w:val="00442A3E"/>
    <w:pPr>
      <w:widowControl/>
      <w:pBdr>
        <w:left w:val="single" w:sz="8" w:space="0" w:color="auto"/>
        <w:right w:val="single" w:sz="8" w:space="0" w:color="auto"/>
      </w:pBdr>
      <w:spacing w:before="100" w:beforeAutospacing="1" w:after="100" w:afterAutospacing="1"/>
      <w:jc w:val="center"/>
    </w:pPr>
    <w:rPr>
      <w:b/>
      <w:bCs/>
      <w:sz w:val="16"/>
      <w:szCs w:val="16"/>
      <w:lang w:val="es-GT" w:eastAsia="es-GT"/>
    </w:rPr>
  </w:style>
  <w:style w:type="paragraph" w:customStyle="1" w:styleId="xl72">
    <w:name w:val="xl72"/>
    <w:basedOn w:val="Normal"/>
    <w:rsid w:val="00442A3E"/>
    <w:pPr>
      <w:widowControl/>
      <w:pBdr>
        <w:left w:val="double" w:sz="6" w:space="0" w:color="auto"/>
        <w:right w:val="single" w:sz="8" w:space="0" w:color="auto"/>
      </w:pBdr>
      <w:spacing w:before="100" w:beforeAutospacing="1" w:after="100" w:afterAutospacing="1"/>
    </w:pPr>
    <w:rPr>
      <w:b/>
      <w:bCs/>
      <w:sz w:val="16"/>
      <w:szCs w:val="16"/>
      <w:lang w:val="es-GT" w:eastAsia="es-GT"/>
    </w:rPr>
  </w:style>
  <w:style w:type="paragraph" w:customStyle="1" w:styleId="xl73">
    <w:name w:val="xl73"/>
    <w:basedOn w:val="Normal"/>
    <w:rsid w:val="00442A3E"/>
    <w:pPr>
      <w:widowControl/>
      <w:pBdr>
        <w:left w:val="single" w:sz="8" w:space="0" w:color="auto"/>
        <w:right w:val="single" w:sz="8" w:space="0" w:color="auto"/>
      </w:pBdr>
      <w:spacing w:before="100" w:beforeAutospacing="1" w:after="100" w:afterAutospacing="1"/>
      <w:textAlignment w:val="top"/>
    </w:pPr>
    <w:rPr>
      <w:sz w:val="16"/>
      <w:szCs w:val="16"/>
      <w:lang w:val="es-GT" w:eastAsia="es-GT"/>
    </w:rPr>
  </w:style>
  <w:style w:type="paragraph" w:customStyle="1" w:styleId="xl74">
    <w:name w:val="xl74"/>
    <w:basedOn w:val="Normal"/>
    <w:rsid w:val="00442A3E"/>
    <w:pPr>
      <w:widowControl/>
      <w:pBdr>
        <w:left w:val="single" w:sz="8" w:space="0" w:color="auto"/>
        <w:right w:val="double" w:sz="6" w:space="0" w:color="auto"/>
      </w:pBdr>
      <w:spacing w:before="100" w:beforeAutospacing="1" w:after="100" w:afterAutospacing="1"/>
    </w:pPr>
    <w:rPr>
      <w:sz w:val="24"/>
      <w:szCs w:val="24"/>
      <w:lang w:val="es-GT" w:eastAsia="es-GT"/>
    </w:rPr>
  </w:style>
  <w:style w:type="paragraph" w:customStyle="1" w:styleId="xl75">
    <w:name w:val="xl75"/>
    <w:basedOn w:val="Normal"/>
    <w:rsid w:val="00442A3E"/>
    <w:pPr>
      <w:widowControl/>
      <w:pBdr>
        <w:left w:val="single" w:sz="8" w:space="0" w:color="auto"/>
      </w:pBdr>
      <w:spacing w:before="100" w:beforeAutospacing="1" w:after="100" w:afterAutospacing="1"/>
    </w:pPr>
    <w:rPr>
      <w:b/>
      <w:bCs/>
      <w:color w:val="000000"/>
      <w:sz w:val="16"/>
      <w:szCs w:val="16"/>
      <w:lang w:val="es-GT" w:eastAsia="es-GT"/>
    </w:rPr>
  </w:style>
  <w:style w:type="paragraph" w:customStyle="1" w:styleId="xl76">
    <w:name w:val="xl76"/>
    <w:basedOn w:val="Normal"/>
    <w:rsid w:val="00442A3E"/>
    <w:pPr>
      <w:widowControl/>
      <w:pBdr>
        <w:left w:val="single" w:sz="8" w:space="0" w:color="auto"/>
      </w:pBdr>
      <w:spacing w:before="100" w:beforeAutospacing="1" w:after="100" w:afterAutospacing="1"/>
      <w:textAlignment w:val="top"/>
    </w:pPr>
    <w:rPr>
      <w:b/>
      <w:bCs/>
      <w:color w:val="000000"/>
      <w:sz w:val="16"/>
      <w:szCs w:val="16"/>
      <w:lang w:val="es-GT" w:eastAsia="es-GT"/>
    </w:rPr>
  </w:style>
  <w:style w:type="paragraph" w:customStyle="1" w:styleId="xl77">
    <w:name w:val="xl77"/>
    <w:basedOn w:val="Normal"/>
    <w:rsid w:val="008764A0"/>
    <w:pPr>
      <w:widowControl/>
      <w:pBdr>
        <w:left w:val="double" w:sz="6" w:space="0" w:color="auto"/>
        <w:right w:val="single" w:sz="8" w:space="0" w:color="auto"/>
      </w:pBdr>
      <w:spacing w:before="100" w:beforeAutospacing="1" w:after="100" w:afterAutospacing="1"/>
    </w:pPr>
    <w:rPr>
      <w:color w:val="000000"/>
      <w:sz w:val="16"/>
      <w:szCs w:val="16"/>
      <w:lang w:val="es-GT" w:eastAsia="es-GT"/>
    </w:rPr>
  </w:style>
  <w:style w:type="paragraph" w:customStyle="1" w:styleId="xl78">
    <w:name w:val="xl78"/>
    <w:basedOn w:val="Normal"/>
    <w:rsid w:val="008764A0"/>
    <w:pPr>
      <w:widowControl/>
      <w:pBdr>
        <w:left w:val="single" w:sz="8" w:space="0" w:color="auto"/>
        <w:right w:val="single" w:sz="8" w:space="0" w:color="auto"/>
      </w:pBdr>
      <w:spacing w:before="100" w:beforeAutospacing="1" w:after="100" w:afterAutospacing="1"/>
    </w:pPr>
    <w:rPr>
      <w:color w:val="000000"/>
      <w:sz w:val="16"/>
      <w:szCs w:val="16"/>
      <w:lang w:val="es-GT" w:eastAsia="es-GT"/>
    </w:rPr>
  </w:style>
  <w:style w:type="paragraph" w:customStyle="1" w:styleId="xl79">
    <w:name w:val="xl79"/>
    <w:basedOn w:val="Normal"/>
    <w:rsid w:val="008764A0"/>
    <w:pPr>
      <w:widowControl/>
      <w:pBdr>
        <w:left w:val="single" w:sz="8" w:space="0" w:color="auto"/>
        <w:right w:val="double" w:sz="6" w:space="0" w:color="auto"/>
      </w:pBdr>
      <w:spacing w:before="100" w:beforeAutospacing="1" w:after="100" w:afterAutospacing="1"/>
    </w:pPr>
    <w:rPr>
      <w:color w:val="000000"/>
      <w:sz w:val="16"/>
      <w:szCs w:val="16"/>
      <w:lang w:val="es-GT" w:eastAsia="es-GT"/>
    </w:rPr>
  </w:style>
  <w:style w:type="paragraph" w:customStyle="1" w:styleId="xl80">
    <w:name w:val="xl80"/>
    <w:basedOn w:val="Normal"/>
    <w:rsid w:val="008764A0"/>
    <w:pPr>
      <w:widowControl/>
      <w:pBdr>
        <w:left w:val="single" w:sz="8" w:space="0" w:color="auto"/>
        <w:right w:val="single" w:sz="8" w:space="0" w:color="auto"/>
      </w:pBdr>
      <w:spacing w:before="100" w:beforeAutospacing="1" w:after="100" w:afterAutospacing="1"/>
      <w:jc w:val="center"/>
    </w:pPr>
    <w:rPr>
      <w:b/>
      <w:bCs/>
      <w:color w:val="000000"/>
      <w:sz w:val="16"/>
      <w:szCs w:val="16"/>
      <w:lang w:val="es-GT" w:eastAsia="es-GT"/>
    </w:rPr>
  </w:style>
  <w:style w:type="paragraph" w:customStyle="1" w:styleId="xl81">
    <w:name w:val="xl81"/>
    <w:basedOn w:val="Normal"/>
    <w:rsid w:val="008764A0"/>
    <w:pPr>
      <w:widowControl/>
      <w:pBdr>
        <w:left w:val="single" w:sz="8" w:space="0" w:color="auto"/>
        <w:right w:val="single" w:sz="8" w:space="0" w:color="auto"/>
      </w:pBdr>
      <w:spacing w:before="100" w:beforeAutospacing="1" w:after="100" w:afterAutospacing="1"/>
      <w:jc w:val="center"/>
      <w:textAlignment w:val="top"/>
    </w:pPr>
    <w:rPr>
      <w:b/>
      <w:bCs/>
      <w:color w:val="000000"/>
      <w:sz w:val="16"/>
      <w:szCs w:val="16"/>
      <w:lang w:val="es-GT" w:eastAsia="es-GT"/>
    </w:rPr>
  </w:style>
  <w:style w:type="paragraph" w:customStyle="1" w:styleId="xl82">
    <w:name w:val="xl82"/>
    <w:basedOn w:val="Normal"/>
    <w:rsid w:val="008764A0"/>
    <w:pPr>
      <w:widowControl/>
      <w:pBdr>
        <w:left w:val="double" w:sz="6" w:space="0" w:color="auto"/>
        <w:right w:val="single" w:sz="8" w:space="0" w:color="auto"/>
      </w:pBdr>
      <w:spacing w:before="100" w:beforeAutospacing="1" w:after="100" w:afterAutospacing="1"/>
    </w:pPr>
    <w:rPr>
      <w:sz w:val="24"/>
      <w:szCs w:val="24"/>
      <w:lang w:val="es-GT" w:eastAsia="es-GT"/>
    </w:rPr>
  </w:style>
  <w:style w:type="paragraph" w:customStyle="1" w:styleId="xl83">
    <w:name w:val="xl83"/>
    <w:basedOn w:val="Normal"/>
    <w:rsid w:val="008764A0"/>
    <w:pPr>
      <w:widowControl/>
      <w:pBdr>
        <w:left w:val="single" w:sz="8" w:space="0" w:color="auto"/>
        <w:right w:val="single" w:sz="8" w:space="0" w:color="auto"/>
      </w:pBdr>
      <w:spacing w:before="100" w:beforeAutospacing="1" w:after="100" w:afterAutospacing="1"/>
    </w:pPr>
    <w:rPr>
      <w:b/>
      <w:bCs/>
      <w:color w:val="000000"/>
      <w:sz w:val="16"/>
      <w:szCs w:val="16"/>
      <w:lang w:val="es-GT" w:eastAsia="es-GT"/>
    </w:rPr>
  </w:style>
  <w:style w:type="paragraph" w:customStyle="1" w:styleId="xl84">
    <w:name w:val="xl84"/>
    <w:basedOn w:val="Normal"/>
    <w:rsid w:val="008764A0"/>
    <w:pPr>
      <w:widowControl/>
      <w:pBdr>
        <w:left w:val="single" w:sz="8" w:space="0" w:color="auto"/>
        <w:right w:val="single" w:sz="8" w:space="0" w:color="auto"/>
      </w:pBdr>
      <w:spacing w:before="100" w:beforeAutospacing="1" w:after="100" w:afterAutospacing="1"/>
      <w:textAlignment w:val="top"/>
    </w:pPr>
    <w:rPr>
      <w:b/>
      <w:bCs/>
      <w:color w:val="000000"/>
      <w:sz w:val="16"/>
      <w:szCs w:val="16"/>
      <w:lang w:val="es-GT" w:eastAsia="es-GT"/>
    </w:rPr>
  </w:style>
  <w:style w:type="paragraph" w:customStyle="1" w:styleId="xl85">
    <w:name w:val="xl85"/>
    <w:basedOn w:val="Normal"/>
    <w:rsid w:val="008764A0"/>
    <w:pPr>
      <w:widowControl/>
      <w:pBdr>
        <w:left w:val="single" w:sz="8" w:space="0" w:color="auto"/>
        <w:bottom w:val="double" w:sz="6" w:space="0" w:color="auto"/>
        <w:right w:val="single" w:sz="8" w:space="0" w:color="auto"/>
      </w:pBdr>
      <w:spacing w:before="100" w:beforeAutospacing="1" w:after="100" w:afterAutospacing="1"/>
      <w:jc w:val="center"/>
      <w:textAlignment w:val="top"/>
    </w:pPr>
    <w:rPr>
      <w:sz w:val="16"/>
      <w:szCs w:val="16"/>
      <w:lang w:val="es-GT" w:eastAsia="es-GT"/>
    </w:rPr>
  </w:style>
  <w:style w:type="paragraph" w:customStyle="1" w:styleId="xl86">
    <w:name w:val="xl86"/>
    <w:basedOn w:val="Normal"/>
    <w:rsid w:val="008764A0"/>
    <w:pPr>
      <w:widowControl/>
      <w:pBdr>
        <w:left w:val="single" w:sz="8" w:space="0" w:color="auto"/>
        <w:bottom w:val="double" w:sz="6" w:space="0" w:color="auto"/>
        <w:right w:val="single" w:sz="8" w:space="0" w:color="auto"/>
      </w:pBdr>
      <w:spacing w:before="100" w:beforeAutospacing="1" w:after="100" w:afterAutospacing="1"/>
      <w:jc w:val="right"/>
    </w:pPr>
    <w:rPr>
      <w:sz w:val="16"/>
      <w:szCs w:val="16"/>
      <w:lang w:val="es-GT" w:eastAsia="es-GT"/>
    </w:rPr>
  </w:style>
  <w:style w:type="paragraph" w:customStyle="1" w:styleId="xl87">
    <w:name w:val="xl87"/>
    <w:basedOn w:val="Normal"/>
    <w:rsid w:val="008764A0"/>
    <w:pPr>
      <w:widowControl/>
      <w:pBdr>
        <w:left w:val="single" w:sz="8" w:space="0" w:color="auto"/>
        <w:right w:val="single" w:sz="8" w:space="0" w:color="auto"/>
      </w:pBdr>
      <w:spacing w:before="100" w:beforeAutospacing="1" w:after="100" w:afterAutospacing="1"/>
    </w:pPr>
    <w:rPr>
      <w:b/>
      <w:bCs/>
      <w:sz w:val="16"/>
      <w:szCs w:val="16"/>
      <w:lang w:val="es-GT" w:eastAsia="es-GT"/>
    </w:rPr>
  </w:style>
  <w:style w:type="paragraph" w:customStyle="1" w:styleId="xl88">
    <w:name w:val="xl88"/>
    <w:basedOn w:val="Normal"/>
    <w:rsid w:val="008764A0"/>
    <w:pPr>
      <w:widowControl/>
      <w:pBdr>
        <w:left w:val="single" w:sz="8" w:space="0" w:color="auto"/>
        <w:right w:val="double" w:sz="6" w:space="0" w:color="auto"/>
      </w:pBdr>
      <w:spacing w:before="100" w:beforeAutospacing="1" w:after="100" w:afterAutospacing="1"/>
      <w:jc w:val="center"/>
    </w:pPr>
    <w:rPr>
      <w:color w:val="000000"/>
      <w:sz w:val="16"/>
      <w:szCs w:val="16"/>
      <w:lang w:val="es-GT" w:eastAsia="es-GT"/>
    </w:rPr>
  </w:style>
  <w:style w:type="paragraph" w:customStyle="1" w:styleId="xl89">
    <w:name w:val="xl89"/>
    <w:basedOn w:val="Normal"/>
    <w:rsid w:val="008764A0"/>
    <w:pPr>
      <w:widowControl/>
      <w:pBdr>
        <w:left w:val="single" w:sz="8" w:space="0" w:color="auto"/>
        <w:right w:val="double" w:sz="6" w:space="0" w:color="auto"/>
      </w:pBdr>
      <w:spacing w:before="100" w:beforeAutospacing="1" w:after="100" w:afterAutospacing="1"/>
      <w:jc w:val="center"/>
    </w:pPr>
    <w:rPr>
      <w:b/>
      <w:bCs/>
      <w:sz w:val="16"/>
      <w:szCs w:val="16"/>
      <w:lang w:val="es-GT" w:eastAsia="es-GT"/>
    </w:rPr>
  </w:style>
  <w:style w:type="paragraph" w:customStyle="1" w:styleId="xl90">
    <w:name w:val="xl90"/>
    <w:basedOn w:val="Normal"/>
    <w:rsid w:val="008764A0"/>
    <w:pPr>
      <w:widowControl/>
      <w:pBdr>
        <w:left w:val="single" w:sz="8" w:space="0" w:color="auto"/>
        <w:right w:val="single" w:sz="8" w:space="0" w:color="auto"/>
      </w:pBdr>
      <w:spacing w:before="100" w:beforeAutospacing="1" w:after="100" w:afterAutospacing="1"/>
      <w:jc w:val="center"/>
      <w:textAlignment w:val="top"/>
    </w:pPr>
    <w:rPr>
      <w:sz w:val="16"/>
      <w:szCs w:val="16"/>
      <w:lang w:val="es-GT" w:eastAsia="es-GT"/>
    </w:rPr>
  </w:style>
  <w:style w:type="paragraph" w:customStyle="1" w:styleId="xl91">
    <w:name w:val="xl91"/>
    <w:basedOn w:val="Normal"/>
    <w:rsid w:val="008764A0"/>
    <w:pPr>
      <w:widowControl/>
      <w:pBdr>
        <w:left w:val="single" w:sz="8" w:space="0" w:color="auto"/>
        <w:right w:val="double" w:sz="6" w:space="0" w:color="auto"/>
      </w:pBdr>
      <w:spacing w:before="100" w:beforeAutospacing="1" w:after="100" w:afterAutospacing="1"/>
      <w:jc w:val="center"/>
      <w:textAlignment w:val="top"/>
    </w:pPr>
    <w:rPr>
      <w:sz w:val="16"/>
      <w:szCs w:val="16"/>
      <w:lang w:val="es-GT" w:eastAsia="es-GT"/>
    </w:rPr>
  </w:style>
  <w:style w:type="paragraph" w:customStyle="1" w:styleId="xl92">
    <w:name w:val="xl92"/>
    <w:basedOn w:val="Normal"/>
    <w:rsid w:val="008764A0"/>
    <w:pPr>
      <w:widowControl/>
      <w:pBdr>
        <w:left w:val="single" w:sz="8" w:space="0" w:color="auto"/>
        <w:right w:val="single" w:sz="8" w:space="0" w:color="auto"/>
      </w:pBdr>
      <w:spacing w:before="100" w:beforeAutospacing="1" w:after="100" w:afterAutospacing="1"/>
      <w:jc w:val="center"/>
      <w:textAlignment w:val="top"/>
    </w:pPr>
    <w:rPr>
      <w:b/>
      <w:bCs/>
      <w:sz w:val="16"/>
      <w:szCs w:val="16"/>
      <w:lang w:val="es-GT" w:eastAsia="es-GT"/>
    </w:rPr>
  </w:style>
  <w:style w:type="paragraph" w:customStyle="1" w:styleId="xl93">
    <w:name w:val="xl93"/>
    <w:basedOn w:val="Normal"/>
    <w:rsid w:val="008764A0"/>
    <w:pPr>
      <w:widowControl/>
      <w:pBdr>
        <w:left w:val="single" w:sz="8" w:space="0" w:color="auto"/>
        <w:right w:val="double" w:sz="6" w:space="0" w:color="auto"/>
      </w:pBdr>
      <w:spacing w:before="100" w:beforeAutospacing="1" w:after="100" w:afterAutospacing="1"/>
      <w:jc w:val="center"/>
      <w:textAlignment w:val="top"/>
    </w:pPr>
    <w:rPr>
      <w:b/>
      <w:bCs/>
      <w:sz w:val="16"/>
      <w:szCs w:val="16"/>
      <w:lang w:val="es-GT" w:eastAsia="es-GT"/>
    </w:rPr>
  </w:style>
  <w:style w:type="paragraph" w:customStyle="1" w:styleId="xl94">
    <w:name w:val="xl94"/>
    <w:basedOn w:val="Normal"/>
    <w:rsid w:val="008764A0"/>
    <w:pPr>
      <w:widowControl/>
      <w:pBdr>
        <w:left w:val="single" w:sz="8" w:space="0" w:color="auto"/>
        <w:right w:val="double" w:sz="6" w:space="0" w:color="auto"/>
      </w:pBdr>
      <w:spacing w:before="100" w:beforeAutospacing="1" w:after="100" w:afterAutospacing="1"/>
      <w:jc w:val="center"/>
    </w:pPr>
    <w:rPr>
      <w:b/>
      <w:bCs/>
      <w:color w:val="000000"/>
      <w:sz w:val="16"/>
      <w:szCs w:val="16"/>
      <w:lang w:val="es-GT" w:eastAsia="es-GT"/>
    </w:rPr>
  </w:style>
  <w:style w:type="paragraph" w:customStyle="1" w:styleId="xl95">
    <w:name w:val="xl95"/>
    <w:basedOn w:val="Normal"/>
    <w:rsid w:val="008764A0"/>
    <w:pPr>
      <w:widowControl/>
      <w:pBdr>
        <w:left w:val="single" w:sz="8" w:space="0" w:color="auto"/>
        <w:bottom w:val="double" w:sz="6" w:space="0" w:color="auto"/>
        <w:right w:val="double" w:sz="6" w:space="0" w:color="auto"/>
      </w:pBdr>
      <w:spacing w:before="100" w:beforeAutospacing="1" w:after="100" w:afterAutospacing="1"/>
      <w:jc w:val="center"/>
    </w:pPr>
    <w:rPr>
      <w:sz w:val="16"/>
      <w:szCs w:val="16"/>
      <w:lang w:val="es-GT" w:eastAsia="es-GT"/>
    </w:rPr>
  </w:style>
  <w:style w:type="paragraph" w:customStyle="1" w:styleId="xl97">
    <w:name w:val="xl97"/>
    <w:basedOn w:val="Normal"/>
    <w:rsid w:val="008764A0"/>
    <w:pPr>
      <w:widowControl/>
      <w:pBdr>
        <w:left w:val="single" w:sz="8" w:space="0" w:color="auto"/>
        <w:right w:val="single" w:sz="8" w:space="0" w:color="auto"/>
      </w:pBdr>
      <w:spacing w:before="100" w:beforeAutospacing="1" w:after="100" w:afterAutospacing="1"/>
      <w:textAlignment w:val="top"/>
    </w:pPr>
    <w:rPr>
      <w:sz w:val="16"/>
      <w:szCs w:val="16"/>
      <w:lang w:val="es-GT" w:eastAsia="es-GT"/>
    </w:rPr>
  </w:style>
  <w:style w:type="paragraph" w:customStyle="1" w:styleId="xl98">
    <w:name w:val="xl98"/>
    <w:basedOn w:val="Normal"/>
    <w:rsid w:val="008764A0"/>
    <w:pPr>
      <w:widowControl/>
      <w:pBdr>
        <w:left w:val="single" w:sz="8" w:space="0" w:color="auto"/>
        <w:right w:val="double" w:sz="6" w:space="0" w:color="auto"/>
      </w:pBdr>
      <w:spacing w:before="100" w:beforeAutospacing="1" w:after="100" w:afterAutospacing="1"/>
    </w:pPr>
    <w:rPr>
      <w:sz w:val="24"/>
      <w:szCs w:val="24"/>
      <w:lang w:val="es-GT" w:eastAsia="es-GT"/>
    </w:rPr>
  </w:style>
  <w:style w:type="paragraph" w:customStyle="1" w:styleId="xl99">
    <w:name w:val="xl99"/>
    <w:basedOn w:val="Normal"/>
    <w:rsid w:val="008764A0"/>
    <w:pPr>
      <w:widowControl/>
      <w:pBdr>
        <w:left w:val="single" w:sz="8" w:space="0" w:color="auto"/>
      </w:pBdr>
      <w:spacing w:before="100" w:beforeAutospacing="1" w:after="100" w:afterAutospacing="1"/>
    </w:pPr>
    <w:rPr>
      <w:b/>
      <w:bCs/>
      <w:color w:val="000000"/>
      <w:sz w:val="16"/>
      <w:szCs w:val="16"/>
      <w:lang w:val="es-GT" w:eastAsia="es-GT"/>
    </w:rPr>
  </w:style>
  <w:style w:type="paragraph" w:customStyle="1" w:styleId="xl100">
    <w:name w:val="xl100"/>
    <w:basedOn w:val="Normal"/>
    <w:rsid w:val="008764A0"/>
    <w:pPr>
      <w:widowControl/>
      <w:pBdr>
        <w:left w:val="single" w:sz="8" w:space="0" w:color="auto"/>
      </w:pBdr>
      <w:spacing w:before="100" w:beforeAutospacing="1" w:after="100" w:afterAutospacing="1"/>
      <w:textAlignment w:val="top"/>
    </w:pPr>
    <w:rPr>
      <w:b/>
      <w:bCs/>
      <w:color w:val="000000"/>
      <w:sz w:val="16"/>
      <w:szCs w:val="16"/>
      <w:lang w:val="es-GT" w:eastAsia="es-GT"/>
    </w:rPr>
  </w:style>
  <w:style w:type="paragraph" w:customStyle="1" w:styleId="xl101">
    <w:name w:val="xl101"/>
    <w:basedOn w:val="Normal"/>
    <w:rsid w:val="008764A0"/>
    <w:pPr>
      <w:widowControl/>
      <w:pBdr>
        <w:left w:val="single" w:sz="8" w:space="0" w:color="auto"/>
        <w:bottom w:val="single" w:sz="8" w:space="0" w:color="auto"/>
        <w:right w:val="single" w:sz="8" w:space="0" w:color="auto"/>
      </w:pBdr>
      <w:spacing w:before="100" w:beforeAutospacing="1" w:after="100" w:afterAutospacing="1"/>
      <w:jc w:val="center"/>
    </w:pPr>
    <w:rPr>
      <w:b/>
      <w:bCs/>
      <w:color w:val="000000"/>
      <w:sz w:val="16"/>
      <w:szCs w:val="16"/>
      <w:lang w:val="es-GT" w:eastAsia="es-GT"/>
    </w:rPr>
  </w:style>
  <w:style w:type="paragraph" w:customStyle="1" w:styleId="xl102">
    <w:name w:val="xl102"/>
    <w:basedOn w:val="Normal"/>
    <w:rsid w:val="008764A0"/>
    <w:pPr>
      <w:widowControl/>
      <w:pBdr>
        <w:top w:val="single" w:sz="8" w:space="0" w:color="auto"/>
        <w:left w:val="single" w:sz="8" w:space="0" w:color="auto"/>
        <w:bottom w:val="single" w:sz="8" w:space="0" w:color="auto"/>
        <w:right w:val="double" w:sz="6" w:space="0" w:color="auto"/>
      </w:pBdr>
      <w:spacing w:before="100" w:beforeAutospacing="1" w:after="100" w:afterAutospacing="1"/>
      <w:jc w:val="center"/>
    </w:pPr>
    <w:rPr>
      <w:b/>
      <w:bCs/>
      <w:color w:val="000000"/>
      <w:sz w:val="16"/>
      <w:szCs w:val="16"/>
      <w:lang w:val="es-GT" w:eastAsia="es-GT"/>
    </w:rPr>
  </w:style>
  <w:style w:type="paragraph" w:customStyle="1" w:styleId="xl103">
    <w:name w:val="xl103"/>
    <w:basedOn w:val="Normal"/>
    <w:rsid w:val="008764A0"/>
    <w:pPr>
      <w:widowControl/>
      <w:pBdr>
        <w:left w:val="single" w:sz="8" w:space="0" w:color="auto"/>
        <w:right w:val="single" w:sz="8" w:space="0" w:color="auto"/>
      </w:pBdr>
      <w:spacing w:before="100" w:beforeAutospacing="1" w:after="100" w:afterAutospacing="1"/>
    </w:pPr>
    <w:rPr>
      <w:b/>
      <w:bCs/>
      <w:color w:val="000000"/>
      <w:sz w:val="16"/>
      <w:szCs w:val="16"/>
      <w:lang w:val="es-GT" w:eastAsia="es-GT"/>
    </w:rPr>
  </w:style>
  <w:style w:type="paragraph" w:customStyle="1" w:styleId="xl104">
    <w:name w:val="xl104"/>
    <w:basedOn w:val="Normal"/>
    <w:rsid w:val="008764A0"/>
    <w:pPr>
      <w:widowControl/>
      <w:pBdr>
        <w:left w:val="single" w:sz="8" w:space="0" w:color="auto"/>
        <w:right w:val="single" w:sz="8" w:space="0" w:color="auto"/>
      </w:pBdr>
      <w:spacing w:before="100" w:beforeAutospacing="1" w:after="100" w:afterAutospacing="1"/>
      <w:jc w:val="center"/>
    </w:pPr>
    <w:rPr>
      <w:b/>
      <w:bCs/>
      <w:color w:val="000000"/>
      <w:sz w:val="16"/>
      <w:szCs w:val="16"/>
      <w:lang w:val="es-GT" w:eastAsia="es-GT"/>
    </w:rPr>
  </w:style>
  <w:style w:type="paragraph" w:customStyle="1" w:styleId="xl105">
    <w:name w:val="xl105"/>
    <w:basedOn w:val="Normal"/>
    <w:rsid w:val="008764A0"/>
    <w:pPr>
      <w:widowControl/>
      <w:pBdr>
        <w:left w:val="single" w:sz="8" w:space="0" w:color="auto"/>
        <w:right w:val="single" w:sz="8" w:space="0" w:color="auto"/>
      </w:pBdr>
      <w:spacing w:before="100" w:beforeAutospacing="1" w:after="100" w:afterAutospacing="1"/>
    </w:pPr>
    <w:rPr>
      <w:b/>
      <w:bCs/>
      <w:sz w:val="16"/>
      <w:szCs w:val="16"/>
      <w:lang w:val="es-GT" w:eastAsia="es-GT"/>
    </w:rPr>
  </w:style>
  <w:style w:type="paragraph" w:customStyle="1" w:styleId="xl106">
    <w:name w:val="xl106"/>
    <w:basedOn w:val="Normal"/>
    <w:rsid w:val="008764A0"/>
    <w:pPr>
      <w:widowControl/>
      <w:pBdr>
        <w:left w:val="single" w:sz="8" w:space="0" w:color="auto"/>
        <w:right w:val="single" w:sz="8" w:space="0" w:color="auto"/>
      </w:pBdr>
      <w:spacing w:before="100" w:beforeAutospacing="1" w:after="100" w:afterAutospacing="1"/>
      <w:textAlignment w:val="top"/>
    </w:pPr>
    <w:rPr>
      <w:color w:val="000000"/>
      <w:sz w:val="16"/>
      <w:szCs w:val="16"/>
      <w:lang w:val="es-GT" w:eastAsia="es-GT"/>
    </w:rPr>
  </w:style>
  <w:style w:type="paragraph" w:customStyle="1" w:styleId="xl107">
    <w:name w:val="xl107"/>
    <w:basedOn w:val="Normal"/>
    <w:rsid w:val="008764A0"/>
    <w:pPr>
      <w:widowControl/>
      <w:pBdr>
        <w:left w:val="single" w:sz="8" w:space="0" w:color="auto"/>
        <w:right w:val="single" w:sz="8" w:space="0" w:color="auto"/>
      </w:pBdr>
      <w:spacing w:before="100" w:beforeAutospacing="1" w:after="100" w:afterAutospacing="1"/>
    </w:pPr>
    <w:rPr>
      <w:color w:val="000000"/>
      <w:sz w:val="16"/>
      <w:szCs w:val="16"/>
      <w:lang w:val="es-GT" w:eastAsia="es-GT"/>
    </w:rPr>
  </w:style>
  <w:style w:type="paragraph" w:customStyle="1" w:styleId="xl108">
    <w:name w:val="xl108"/>
    <w:basedOn w:val="Normal"/>
    <w:rsid w:val="008764A0"/>
    <w:pPr>
      <w:widowControl/>
      <w:pBdr>
        <w:left w:val="single" w:sz="8" w:space="0" w:color="auto"/>
        <w:right w:val="single" w:sz="8" w:space="0" w:color="auto"/>
      </w:pBdr>
      <w:spacing w:before="100" w:beforeAutospacing="1" w:after="100" w:afterAutospacing="1"/>
      <w:textAlignment w:val="top"/>
    </w:pPr>
    <w:rPr>
      <w:b/>
      <w:bCs/>
      <w:color w:val="000000"/>
      <w:sz w:val="16"/>
      <w:szCs w:val="16"/>
      <w:lang w:val="es-GT" w:eastAsia="es-GT"/>
    </w:rPr>
  </w:style>
  <w:style w:type="paragraph" w:customStyle="1" w:styleId="xl109">
    <w:name w:val="xl109"/>
    <w:basedOn w:val="Normal"/>
    <w:rsid w:val="008764A0"/>
    <w:pPr>
      <w:widowControl/>
      <w:pBdr>
        <w:left w:val="single" w:sz="8" w:space="0" w:color="auto"/>
        <w:right w:val="single" w:sz="8" w:space="0" w:color="auto"/>
      </w:pBdr>
      <w:spacing w:before="100" w:beforeAutospacing="1" w:after="100" w:afterAutospacing="1"/>
    </w:pPr>
    <w:rPr>
      <w:sz w:val="16"/>
      <w:szCs w:val="16"/>
      <w:lang w:val="es-GT" w:eastAsia="es-GT"/>
    </w:rPr>
  </w:style>
  <w:style w:type="paragraph" w:customStyle="1" w:styleId="xl110">
    <w:name w:val="xl110"/>
    <w:basedOn w:val="Normal"/>
    <w:rsid w:val="008764A0"/>
    <w:pPr>
      <w:widowControl/>
      <w:pBdr>
        <w:left w:val="single" w:sz="8" w:space="0" w:color="auto"/>
        <w:bottom w:val="double" w:sz="6" w:space="0" w:color="auto"/>
        <w:right w:val="single" w:sz="8" w:space="0" w:color="auto"/>
      </w:pBdr>
      <w:spacing w:before="100" w:beforeAutospacing="1" w:after="100" w:afterAutospacing="1"/>
    </w:pPr>
    <w:rPr>
      <w:sz w:val="16"/>
      <w:szCs w:val="16"/>
      <w:lang w:val="es-GT" w:eastAsia="es-GT"/>
    </w:rPr>
  </w:style>
  <w:style w:type="paragraph" w:customStyle="1" w:styleId="xl111">
    <w:name w:val="xl111"/>
    <w:basedOn w:val="Normal"/>
    <w:rsid w:val="008764A0"/>
    <w:pPr>
      <w:widowControl/>
      <w:spacing w:before="100" w:beforeAutospacing="1" w:after="100" w:afterAutospacing="1"/>
    </w:pPr>
    <w:rPr>
      <w:sz w:val="24"/>
      <w:szCs w:val="24"/>
      <w:lang w:val="es-GT" w:eastAsia="es-GT"/>
    </w:rPr>
  </w:style>
  <w:style w:type="paragraph" w:customStyle="1" w:styleId="xl112">
    <w:name w:val="xl112"/>
    <w:basedOn w:val="Normal"/>
    <w:rsid w:val="008764A0"/>
    <w:pPr>
      <w:widowControl/>
      <w:pBdr>
        <w:left w:val="double" w:sz="6" w:space="0" w:color="auto"/>
        <w:bottom w:val="single" w:sz="8" w:space="0" w:color="auto"/>
        <w:right w:val="single" w:sz="8" w:space="0" w:color="auto"/>
      </w:pBdr>
      <w:spacing w:before="100" w:beforeAutospacing="1" w:after="100" w:afterAutospacing="1"/>
      <w:jc w:val="center"/>
    </w:pPr>
    <w:rPr>
      <w:b/>
      <w:bCs/>
      <w:sz w:val="16"/>
      <w:szCs w:val="16"/>
      <w:lang w:val="es-GT" w:eastAsia="es-GT"/>
    </w:rPr>
  </w:style>
  <w:style w:type="paragraph" w:customStyle="1" w:styleId="xl113">
    <w:name w:val="xl113"/>
    <w:basedOn w:val="Normal"/>
    <w:rsid w:val="008764A0"/>
    <w:pPr>
      <w:widowControl/>
      <w:pBdr>
        <w:left w:val="single" w:sz="8" w:space="0" w:color="auto"/>
        <w:bottom w:val="single" w:sz="8" w:space="0" w:color="auto"/>
        <w:right w:val="single" w:sz="8" w:space="0" w:color="auto"/>
      </w:pBdr>
      <w:spacing w:before="100" w:beforeAutospacing="1" w:after="100" w:afterAutospacing="1"/>
      <w:jc w:val="center"/>
    </w:pPr>
    <w:rPr>
      <w:b/>
      <w:bCs/>
      <w:sz w:val="16"/>
      <w:szCs w:val="16"/>
      <w:lang w:val="es-GT" w:eastAsia="es-GT"/>
    </w:rPr>
  </w:style>
  <w:style w:type="paragraph" w:customStyle="1" w:styleId="xl114">
    <w:name w:val="xl114"/>
    <w:basedOn w:val="Normal"/>
    <w:rsid w:val="008764A0"/>
    <w:pPr>
      <w:widowControl/>
      <w:pBdr>
        <w:left w:val="single" w:sz="8" w:space="0" w:color="auto"/>
        <w:bottom w:val="single" w:sz="8" w:space="0" w:color="auto"/>
        <w:right w:val="single" w:sz="8" w:space="0" w:color="auto"/>
      </w:pBdr>
      <w:spacing w:before="100" w:beforeAutospacing="1" w:after="100" w:afterAutospacing="1"/>
      <w:jc w:val="center"/>
    </w:pPr>
    <w:rPr>
      <w:b/>
      <w:bCs/>
      <w:sz w:val="16"/>
      <w:szCs w:val="16"/>
      <w:lang w:val="es-GT" w:eastAsia="es-GT"/>
    </w:rPr>
  </w:style>
  <w:style w:type="paragraph" w:customStyle="1" w:styleId="xl115">
    <w:name w:val="xl115"/>
    <w:basedOn w:val="Normal"/>
    <w:rsid w:val="008764A0"/>
    <w:pPr>
      <w:widowControl/>
      <w:pBdr>
        <w:top w:val="double" w:sz="6" w:space="0" w:color="auto"/>
        <w:left w:val="single" w:sz="8" w:space="0" w:color="auto"/>
        <w:bottom w:val="single" w:sz="8" w:space="0" w:color="auto"/>
        <w:right w:val="single" w:sz="8" w:space="0" w:color="auto"/>
      </w:pBdr>
      <w:spacing w:before="100" w:beforeAutospacing="1" w:after="100" w:afterAutospacing="1"/>
      <w:jc w:val="center"/>
      <w:textAlignment w:val="center"/>
    </w:pPr>
    <w:rPr>
      <w:b/>
      <w:bCs/>
      <w:color w:val="000000"/>
      <w:sz w:val="16"/>
      <w:szCs w:val="16"/>
      <w:lang w:val="es-GT" w:eastAsia="es-GT"/>
    </w:rPr>
  </w:style>
  <w:style w:type="paragraph" w:styleId="NormalWeb">
    <w:name w:val="Normal (Web)"/>
    <w:basedOn w:val="Normal"/>
    <w:uiPriority w:val="99"/>
    <w:unhideWhenUsed/>
    <w:rsid w:val="00711BCD"/>
    <w:pPr>
      <w:widowControl/>
      <w:spacing w:before="100" w:beforeAutospacing="1" w:after="100" w:afterAutospacing="1"/>
    </w:pPr>
    <w:rPr>
      <w:sz w:val="24"/>
      <w:szCs w:val="24"/>
      <w:lang w:val="es-GT" w:eastAsia="es-GT"/>
    </w:rPr>
  </w:style>
  <w:style w:type="paragraph" w:customStyle="1" w:styleId="xl116">
    <w:name w:val="xl116"/>
    <w:basedOn w:val="Normal"/>
    <w:rsid w:val="00774E44"/>
    <w:pPr>
      <w:widowControl/>
      <w:pBdr>
        <w:left w:val="single" w:sz="4" w:space="0" w:color="auto"/>
        <w:right w:val="single" w:sz="4" w:space="0" w:color="auto"/>
      </w:pBdr>
      <w:spacing w:before="100" w:beforeAutospacing="1" w:after="100" w:afterAutospacing="1"/>
      <w:jc w:val="right"/>
    </w:pPr>
    <w:rPr>
      <w:i/>
      <w:iCs/>
      <w:color w:val="000000"/>
      <w:sz w:val="16"/>
      <w:szCs w:val="16"/>
      <w:u w:val="single"/>
      <w:lang w:val="es-GT" w:eastAsia="es-GT"/>
    </w:rPr>
  </w:style>
  <w:style w:type="paragraph" w:customStyle="1" w:styleId="xl117">
    <w:name w:val="xl117"/>
    <w:basedOn w:val="Normal"/>
    <w:rsid w:val="00774E44"/>
    <w:pPr>
      <w:widowControl/>
      <w:pBdr>
        <w:left w:val="single" w:sz="4" w:space="0" w:color="auto"/>
        <w:right w:val="single" w:sz="4" w:space="0" w:color="auto"/>
      </w:pBdr>
      <w:spacing w:before="100" w:beforeAutospacing="1" w:after="100" w:afterAutospacing="1"/>
    </w:pPr>
    <w:rPr>
      <w:i/>
      <w:iCs/>
      <w:sz w:val="16"/>
      <w:szCs w:val="16"/>
      <w:u w:val="single"/>
      <w:lang w:val="es-GT" w:eastAsia="es-GT"/>
    </w:rPr>
  </w:style>
  <w:style w:type="paragraph" w:customStyle="1" w:styleId="xl118">
    <w:name w:val="xl118"/>
    <w:basedOn w:val="Normal"/>
    <w:rsid w:val="00774E44"/>
    <w:pPr>
      <w:widowControl/>
      <w:pBdr>
        <w:top w:val="double" w:sz="6"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16"/>
      <w:szCs w:val="16"/>
      <w:lang w:val="es-GT" w:eastAsia="es-GT"/>
    </w:rPr>
  </w:style>
  <w:style w:type="paragraph" w:customStyle="1" w:styleId="xl119">
    <w:name w:val="xl119"/>
    <w:basedOn w:val="Normal"/>
    <w:rsid w:val="00774E44"/>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16"/>
      <w:szCs w:val="16"/>
      <w:lang w:val="es-GT" w:eastAsia="es-GT"/>
    </w:rPr>
  </w:style>
  <w:style w:type="paragraph" w:customStyle="1" w:styleId="xl120">
    <w:name w:val="xl120"/>
    <w:basedOn w:val="Normal"/>
    <w:rsid w:val="00774E44"/>
    <w:pPr>
      <w:widowControl/>
      <w:pBdr>
        <w:top w:val="double" w:sz="6"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color w:val="000000"/>
      <w:sz w:val="16"/>
      <w:szCs w:val="16"/>
      <w:lang w:val="es-GT" w:eastAsia="es-GT"/>
    </w:rPr>
  </w:style>
  <w:style w:type="paragraph" w:customStyle="1" w:styleId="xl121">
    <w:name w:val="xl121"/>
    <w:basedOn w:val="Normal"/>
    <w:rsid w:val="00774E44"/>
    <w:pPr>
      <w:widowControl/>
      <w:pBdr>
        <w:top w:val="double" w:sz="6" w:space="0" w:color="auto"/>
        <w:left w:val="single" w:sz="4" w:space="0" w:color="auto"/>
        <w:bottom w:val="single" w:sz="4" w:space="0" w:color="auto"/>
        <w:right w:val="double" w:sz="6" w:space="0" w:color="auto"/>
      </w:pBdr>
      <w:spacing w:before="100" w:beforeAutospacing="1" w:after="100" w:afterAutospacing="1"/>
      <w:jc w:val="center"/>
      <w:textAlignment w:val="center"/>
    </w:pPr>
    <w:rPr>
      <w:b/>
      <w:bCs/>
      <w:color w:val="000000"/>
      <w:sz w:val="16"/>
      <w:szCs w:val="16"/>
      <w:lang w:val="es-GT" w:eastAsia="es-GT"/>
    </w:rPr>
  </w:style>
  <w:style w:type="paragraph" w:customStyle="1" w:styleId="xl122">
    <w:name w:val="xl122"/>
    <w:basedOn w:val="Normal"/>
    <w:rsid w:val="00774E44"/>
    <w:pPr>
      <w:widowControl/>
      <w:pBdr>
        <w:top w:val="double" w:sz="6" w:space="0" w:color="auto"/>
        <w:left w:val="single" w:sz="4" w:space="0" w:color="auto"/>
        <w:right w:val="single" w:sz="4" w:space="0" w:color="auto"/>
      </w:pBdr>
      <w:spacing w:before="100" w:beforeAutospacing="1" w:after="100" w:afterAutospacing="1"/>
      <w:jc w:val="center"/>
    </w:pPr>
    <w:rPr>
      <w:b/>
      <w:bCs/>
      <w:color w:val="000000"/>
      <w:sz w:val="16"/>
      <w:szCs w:val="16"/>
      <w:lang w:val="es-GT" w:eastAsia="es-GT"/>
    </w:rPr>
  </w:style>
  <w:style w:type="paragraph" w:customStyle="1" w:styleId="xl123">
    <w:name w:val="xl123"/>
    <w:basedOn w:val="Normal"/>
    <w:rsid w:val="00774E44"/>
    <w:pPr>
      <w:widowControl/>
      <w:pBdr>
        <w:left w:val="single" w:sz="4" w:space="0" w:color="auto"/>
        <w:bottom w:val="single" w:sz="4" w:space="0" w:color="auto"/>
        <w:right w:val="single" w:sz="4" w:space="0" w:color="auto"/>
      </w:pBdr>
      <w:spacing w:before="100" w:beforeAutospacing="1" w:after="100" w:afterAutospacing="1"/>
      <w:jc w:val="center"/>
    </w:pPr>
    <w:rPr>
      <w:b/>
      <w:bCs/>
      <w:color w:val="000000"/>
      <w:sz w:val="16"/>
      <w:szCs w:val="16"/>
      <w:lang w:val="es-GT" w:eastAsia="es-GT"/>
    </w:rPr>
  </w:style>
  <w:style w:type="paragraph" w:customStyle="1" w:styleId="xl124">
    <w:name w:val="xl124"/>
    <w:basedOn w:val="Normal"/>
    <w:rsid w:val="00774E44"/>
    <w:pPr>
      <w:widowControl/>
      <w:pBdr>
        <w:top w:val="double" w:sz="6" w:space="0" w:color="auto"/>
        <w:left w:val="single" w:sz="4" w:space="0" w:color="auto"/>
        <w:bottom w:val="single" w:sz="4" w:space="0" w:color="auto"/>
      </w:pBdr>
      <w:spacing w:before="100" w:beforeAutospacing="1" w:after="100" w:afterAutospacing="1"/>
      <w:jc w:val="center"/>
      <w:textAlignment w:val="center"/>
    </w:pPr>
    <w:rPr>
      <w:b/>
      <w:bCs/>
      <w:color w:val="000000"/>
      <w:sz w:val="16"/>
      <w:szCs w:val="16"/>
      <w:lang w:val="es-GT" w:eastAsia="es-GT"/>
    </w:rPr>
  </w:style>
  <w:style w:type="paragraph" w:customStyle="1" w:styleId="xl125">
    <w:name w:val="xl125"/>
    <w:basedOn w:val="Normal"/>
    <w:rsid w:val="00774E44"/>
    <w:pPr>
      <w:widowControl/>
      <w:pBdr>
        <w:top w:val="single" w:sz="4" w:space="0" w:color="auto"/>
        <w:left w:val="single" w:sz="4" w:space="0" w:color="auto"/>
        <w:bottom w:val="single" w:sz="4" w:space="0" w:color="auto"/>
      </w:pBdr>
      <w:spacing w:before="100" w:beforeAutospacing="1" w:after="100" w:afterAutospacing="1"/>
      <w:jc w:val="center"/>
      <w:textAlignment w:val="center"/>
    </w:pPr>
    <w:rPr>
      <w:b/>
      <w:bCs/>
      <w:color w:val="000000"/>
      <w:sz w:val="16"/>
      <w:szCs w:val="16"/>
      <w:lang w:val="es-GT" w:eastAsia="es-GT"/>
    </w:rPr>
  </w:style>
  <w:style w:type="paragraph" w:styleId="Listaconvietas">
    <w:name w:val="List Bullet"/>
    <w:basedOn w:val="Normal"/>
    <w:uiPriority w:val="99"/>
    <w:unhideWhenUsed/>
    <w:rsid w:val="00AB70BF"/>
    <w:pPr>
      <w:numPr>
        <w:numId w:val="3"/>
      </w:numPr>
      <w:contextualSpacing/>
    </w:pPr>
  </w:style>
  <w:style w:type="table" w:styleId="Sombreadoclaro-nfasis1">
    <w:name w:val="Light Shading Accent 1"/>
    <w:basedOn w:val="Tablanormal"/>
    <w:uiPriority w:val="60"/>
    <w:rsid w:val="00AB70BF"/>
    <w:pPr>
      <w:spacing w:after="0" w:line="240" w:lineRule="auto"/>
    </w:pPr>
    <w:rPr>
      <w:color w:val="2F5496" w:themeColor="accent1" w:themeShade="BF"/>
    </w:rPr>
    <w:tblPr>
      <w:tblStyleRowBandSize w:val="1"/>
      <w:tblStyleColBandSize w:val="1"/>
      <w:tblBorders>
        <w:top w:val="single" w:sz="8" w:space="0" w:color="4472C4" w:themeColor="accent1"/>
        <w:bottom w:val="single" w:sz="8" w:space="0" w:color="4472C4" w:themeColor="accent1"/>
      </w:tblBorders>
    </w:tblPr>
    <w:tblStylePr w:type="firstRow">
      <w:pPr>
        <w:spacing w:before="0" w:after="0" w:line="240" w:lineRule="auto"/>
      </w:pPr>
      <w:rPr>
        <w:b/>
        <w:bCs/>
      </w:rPr>
      <w:tblPr/>
      <w:tcPr>
        <w:tcBorders>
          <w:top w:val="single" w:sz="8" w:space="0" w:color="4472C4" w:themeColor="accent1"/>
          <w:left w:val="nil"/>
          <w:bottom w:val="single" w:sz="8" w:space="0" w:color="4472C4" w:themeColor="accent1"/>
          <w:right w:val="nil"/>
          <w:insideH w:val="nil"/>
          <w:insideV w:val="nil"/>
        </w:tcBorders>
      </w:tcPr>
    </w:tblStylePr>
    <w:tblStylePr w:type="lastRow">
      <w:pPr>
        <w:spacing w:before="0" w:after="0" w:line="240" w:lineRule="auto"/>
      </w:pPr>
      <w:rPr>
        <w:b/>
        <w:bCs/>
      </w:rPr>
      <w:tblPr/>
      <w:tcPr>
        <w:tcBorders>
          <w:top w:val="single" w:sz="8" w:space="0" w:color="4472C4" w:themeColor="accent1"/>
          <w:left w:val="nil"/>
          <w:bottom w:val="single" w:sz="8" w:space="0" w:color="4472C4"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0DBF0" w:themeFill="accent1" w:themeFillTint="3F"/>
      </w:tcPr>
    </w:tblStylePr>
    <w:tblStylePr w:type="band1Horz">
      <w:tblPr/>
      <w:tcPr>
        <w:tcBorders>
          <w:left w:val="nil"/>
          <w:right w:val="nil"/>
          <w:insideH w:val="nil"/>
          <w:insideV w:val="nil"/>
        </w:tcBorders>
        <w:shd w:val="clear" w:color="auto" w:fill="D0DBF0" w:themeFill="accent1" w:themeFillTint="3F"/>
      </w:tcPr>
    </w:tblStylePr>
  </w:style>
  <w:style w:type="paragraph" w:styleId="TtulodeTDC">
    <w:name w:val="TOC Heading"/>
    <w:basedOn w:val="Ttulo1"/>
    <w:next w:val="Normal"/>
    <w:uiPriority w:val="39"/>
    <w:unhideWhenUsed/>
    <w:qFormat/>
    <w:rsid w:val="00AB70BF"/>
    <w:pPr>
      <w:keepLines/>
      <w:widowControl/>
      <w:spacing w:before="480" w:line="276" w:lineRule="auto"/>
      <w:jc w:val="left"/>
      <w:outlineLvl w:val="9"/>
    </w:pPr>
    <w:rPr>
      <w:rFonts w:asciiTheme="majorHAnsi" w:eastAsiaTheme="majorEastAsia" w:hAnsiTheme="majorHAnsi" w:cstheme="majorBidi"/>
      <w:bCs/>
      <w:color w:val="2F5496" w:themeColor="accent1" w:themeShade="BF"/>
      <w:sz w:val="28"/>
      <w:szCs w:val="28"/>
      <w:lang w:val="es-GT" w:eastAsia="es-GT"/>
    </w:rPr>
  </w:style>
  <w:style w:type="paragraph" w:styleId="TDC2">
    <w:name w:val="toc 2"/>
    <w:basedOn w:val="Normal"/>
    <w:next w:val="Normal"/>
    <w:autoRedefine/>
    <w:uiPriority w:val="39"/>
    <w:unhideWhenUsed/>
    <w:qFormat/>
    <w:rsid w:val="00270ED2"/>
    <w:pPr>
      <w:tabs>
        <w:tab w:val="left" w:pos="880"/>
        <w:tab w:val="right" w:leader="dot" w:pos="9962"/>
      </w:tabs>
      <w:spacing w:after="100"/>
      <w:ind w:left="142"/>
    </w:pPr>
  </w:style>
  <w:style w:type="paragraph" w:styleId="TDC3">
    <w:name w:val="toc 3"/>
    <w:basedOn w:val="Normal"/>
    <w:next w:val="Normal"/>
    <w:autoRedefine/>
    <w:uiPriority w:val="39"/>
    <w:unhideWhenUsed/>
    <w:qFormat/>
    <w:rsid w:val="00621133"/>
    <w:pPr>
      <w:tabs>
        <w:tab w:val="left" w:pos="993"/>
        <w:tab w:val="left" w:pos="1100"/>
        <w:tab w:val="right" w:leader="dot" w:pos="9962"/>
      </w:tabs>
      <w:spacing w:after="100"/>
      <w:ind w:left="142"/>
    </w:pPr>
  </w:style>
  <w:style w:type="paragraph" w:styleId="TDC1">
    <w:name w:val="toc 1"/>
    <w:basedOn w:val="Normal"/>
    <w:next w:val="Normal"/>
    <w:autoRedefine/>
    <w:uiPriority w:val="39"/>
    <w:unhideWhenUsed/>
    <w:qFormat/>
    <w:rsid w:val="00720B8C"/>
    <w:pPr>
      <w:tabs>
        <w:tab w:val="left" w:pos="400"/>
        <w:tab w:val="right" w:leader="dot" w:pos="9962"/>
      </w:tabs>
      <w:spacing w:after="100"/>
      <w:ind w:left="142" w:hanging="142"/>
    </w:pPr>
  </w:style>
  <w:style w:type="character" w:styleId="Textoennegrita">
    <w:name w:val="Strong"/>
    <w:basedOn w:val="Fuentedeprrafopredeter"/>
    <w:uiPriority w:val="22"/>
    <w:qFormat/>
    <w:rsid w:val="00AB70BF"/>
    <w:rPr>
      <w:b/>
      <w:bCs/>
    </w:rPr>
  </w:style>
  <w:style w:type="paragraph" w:customStyle="1" w:styleId="default0">
    <w:name w:val="default"/>
    <w:basedOn w:val="Normal"/>
    <w:rsid w:val="00AB70BF"/>
    <w:pPr>
      <w:widowControl/>
      <w:spacing w:after="150"/>
    </w:pPr>
    <w:rPr>
      <w:sz w:val="24"/>
      <w:szCs w:val="24"/>
      <w:lang w:val="es-GT" w:eastAsia="es-GT"/>
    </w:rPr>
  </w:style>
  <w:style w:type="paragraph" w:styleId="Subttulo">
    <w:name w:val="Subtitle"/>
    <w:basedOn w:val="Normal"/>
    <w:link w:val="SubttuloCar"/>
    <w:uiPriority w:val="11"/>
    <w:qFormat/>
    <w:rsid w:val="00D50E05"/>
    <w:pPr>
      <w:widowControl/>
      <w:jc w:val="both"/>
    </w:pPr>
    <w:rPr>
      <w:rFonts w:ascii="CG Times" w:hAnsi="CG Times"/>
      <w:b/>
      <w:bCs/>
      <w:sz w:val="24"/>
      <w:szCs w:val="24"/>
      <w:lang w:val="es-ES"/>
    </w:rPr>
  </w:style>
  <w:style w:type="character" w:customStyle="1" w:styleId="SubttuloCar">
    <w:name w:val="Subtítulo Car"/>
    <w:basedOn w:val="Fuentedeprrafopredeter"/>
    <w:link w:val="Subttulo"/>
    <w:uiPriority w:val="11"/>
    <w:rsid w:val="00D50E05"/>
    <w:rPr>
      <w:rFonts w:ascii="CG Times" w:eastAsia="Times New Roman" w:hAnsi="CG Times" w:cs="Times New Roman"/>
      <w:b/>
      <w:bCs/>
      <w:szCs w:val="24"/>
      <w:lang w:val="es-ES" w:eastAsia="es-ES"/>
    </w:rPr>
  </w:style>
  <w:style w:type="table" w:customStyle="1" w:styleId="TableNormal">
    <w:name w:val="Table Normal"/>
    <w:uiPriority w:val="2"/>
    <w:semiHidden/>
    <w:unhideWhenUsed/>
    <w:qFormat/>
    <w:rsid w:val="00D50E05"/>
    <w:pPr>
      <w:widowControl w:val="0"/>
      <w:spacing w:after="0" w:line="240" w:lineRule="auto"/>
    </w:pPr>
    <w:rPr>
      <w:rFonts w:asciiTheme="minorHAnsi" w:hAnsiTheme="minorHAnsi"/>
      <w:sz w:val="22"/>
      <w:lang w:val="en-US"/>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D50E05"/>
    <w:rPr>
      <w:rFonts w:asciiTheme="minorHAnsi" w:eastAsiaTheme="minorHAnsi" w:hAnsiTheme="minorHAnsi" w:cstheme="minorBidi"/>
      <w:sz w:val="22"/>
      <w:szCs w:val="22"/>
      <w:lang w:val="en-US" w:eastAsia="en-US"/>
    </w:rPr>
  </w:style>
  <w:style w:type="character" w:customStyle="1" w:styleId="TextonotapieCar1">
    <w:name w:val="Texto nota pie Car1"/>
    <w:aliases w:val="ft Car1,ft Car Car1,ft Car Car Car2,Texto nota pie2 Car,ft1 Car,ft Car Car Car1 Car,Texto nota pie Car2 Car,ft Car Car2 Car,ft Car Car Car Car,fn Car,single space Car,footnote text Car,FOOTNOTES Car,Texto nota pie IIRSA Car,F Car"/>
    <w:basedOn w:val="Fuentedeprrafopredeter"/>
    <w:rsid w:val="00D50E05"/>
    <w:rPr>
      <w:rFonts w:ascii="Times New Roman" w:eastAsia="SimSun" w:hAnsi="Times New Roman" w:cs="Times New Roman"/>
      <w:sz w:val="20"/>
      <w:szCs w:val="20"/>
      <w:lang w:val="es-ES"/>
    </w:rPr>
  </w:style>
  <w:style w:type="character" w:customStyle="1" w:styleId="PrrafodelistaCar">
    <w:name w:val="Párrafo de lista Car"/>
    <w:aliases w:val="Párrafo de lista 2 Car"/>
    <w:basedOn w:val="Fuentedeprrafopredeter"/>
    <w:link w:val="Prrafodelista"/>
    <w:uiPriority w:val="34"/>
    <w:rsid w:val="00D50E05"/>
    <w:rPr>
      <w:rFonts w:eastAsia="Times New Roman" w:cs="Times New Roman"/>
      <w:sz w:val="20"/>
      <w:szCs w:val="20"/>
      <w:lang w:val="es-ES_tradnl" w:eastAsia="es-ES"/>
    </w:rPr>
  </w:style>
  <w:style w:type="character" w:customStyle="1" w:styleId="None">
    <w:name w:val="None"/>
    <w:rsid w:val="00D50E05"/>
  </w:style>
  <w:style w:type="paragraph" w:customStyle="1" w:styleId="Pa2">
    <w:name w:val="Pa2"/>
    <w:basedOn w:val="Default"/>
    <w:next w:val="Default"/>
    <w:uiPriority w:val="99"/>
    <w:rsid w:val="008C102B"/>
    <w:pPr>
      <w:spacing w:line="241" w:lineRule="atLeast"/>
    </w:pPr>
    <w:rPr>
      <w:rFonts w:ascii="Andada" w:eastAsia="Malgun Gothic" w:hAnsi="Andada" w:cs="Times New Roman"/>
      <w:color w:val="auto"/>
      <w:lang w:eastAsia="es-ES"/>
    </w:rPr>
  </w:style>
  <w:style w:type="paragraph" w:customStyle="1" w:styleId="Pa3">
    <w:name w:val="Pa3"/>
    <w:basedOn w:val="Default"/>
    <w:next w:val="Default"/>
    <w:uiPriority w:val="99"/>
    <w:rsid w:val="008C102B"/>
    <w:pPr>
      <w:spacing w:line="241" w:lineRule="atLeast"/>
    </w:pPr>
    <w:rPr>
      <w:rFonts w:ascii="Andada" w:eastAsia="Malgun Gothic" w:hAnsi="Andada" w:cs="Times New Roman"/>
      <w:color w:val="auto"/>
      <w:lang w:eastAsia="es-ES"/>
    </w:rPr>
  </w:style>
  <w:style w:type="character" w:customStyle="1" w:styleId="A4">
    <w:name w:val="A4"/>
    <w:uiPriority w:val="99"/>
    <w:rsid w:val="008C102B"/>
    <w:rPr>
      <w:rFonts w:cs="Andada"/>
      <w:color w:val="000000"/>
      <w:sz w:val="14"/>
      <w:szCs w:val="14"/>
    </w:rPr>
  </w:style>
  <w:style w:type="paragraph" w:customStyle="1" w:styleId="Pa4">
    <w:name w:val="Pa4"/>
    <w:basedOn w:val="Default"/>
    <w:next w:val="Default"/>
    <w:uiPriority w:val="99"/>
    <w:rsid w:val="008C102B"/>
    <w:pPr>
      <w:spacing w:line="241" w:lineRule="atLeast"/>
    </w:pPr>
    <w:rPr>
      <w:rFonts w:ascii="Andada" w:eastAsia="Malgun Gothic" w:hAnsi="Andada" w:cs="Times New Roman"/>
      <w:color w:val="auto"/>
      <w:lang w:eastAsia="es-ES"/>
    </w:rPr>
  </w:style>
  <w:style w:type="paragraph" w:styleId="HTMLconformatoprevio">
    <w:name w:val="HTML Preformatted"/>
    <w:basedOn w:val="Normal"/>
    <w:link w:val="HTMLconformatoprevioCar"/>
    <w:uiPriority w:val="99"/>
    <w:semiHidden/>
    <w:unhideWhenUsed/>
    <w:rsid w:val="008C102B"/>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lang w:val="es-GT" w:eastAsia="es-GT"/>
    </w:rPr>
  </w:style>
  <w:style w:type="character" w:customStyle="1" w:styleId="HTMLconformatoprevioCar">
    <w:name w:val="HTML con formato previo Car"/>
    <w:basedOn w:val="Fuentedeprrafopredeter"/>
    <w:link w:val="HTMLconformatoprevio"/>
    <w:uiPriority w:val="99"/>
    <w:semiHidden/>
    <w:rsid w:val="008C102B"/>
    <w:rPr>
      <w:rFonts w:ascii="Courier New" w:eastAsia="Times New Roman" w:hAnsi="Courier New" w:cs="Courier New"/>
      <w:sz w:val="20"/>
      <w:szCs w:val="20"/>
      <w:lang w:eastAsia="es-GT"/>
    </w:rPr>
  </w:style>
  <w:style w:type="character" w:customStyle="1" w:styleId="Mencinsinresolver1">
    <w:name w:val="Mención sin resolver1"/>
    <w:basedOn w:val="Fuentedeprrafopredeter"/>
    <w:uiPriority w:val="99"/>
    <w:semiHidden/>
    <w:unhideWhenUsed/>
    <w:rsid w:val="008C102B"/>
    <w:rPr>
      <w:color w:val="605E5C"/>
      <w:shd w:val="clear" w:color="auto" w:fill="E1DFDD"/>
    </w:rPr>
  </w:style>
  <w:style w:type="table" w:customStyle="1" w:styleId="Tablanormal41">
    <w:name w:val="Tabla normal 41"/>
    <w:basedOn w:val="Tablanormal"/>
    <w:uiPriority w:val="44"/>
    <w:rsid w:val="008C102B"/>
    <w:pPr>
      <w:spacing w:after="0" w:line="240" w:lineRule="auto"/>
    </w:pPr>
    <w:rPr>
      <w:rFonts w:ascii="Cambria" w:eastAsia="Malgun Gothic" w:hAnsi="Cambria" w:cs="Times New Roman"/>
      <w:sz w:val="20"/>
      <w:szCs w:val="20"/>
      <w:lang w:eastAsia="es-GT"/>
    </w:r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Tabladecuadrcula4-nfasis11">
    <w:name w:val="Tabla de cuadrícula 4 - Énfasis 11"/>
    <w:basedOn w:val="Tablanormal"/>
    <w:uiPriority w:val="49"/>
    <w:rsid w:val="008C102B"/>
    <w:pPr>
      <w:spacing w:after="0" w:line="240" w:lineRule="auto"/>
    </w:pPr>
    <w:rPr>
      <w:rFonts w:ascii="Cambria" w:eastAsia="Malgun Gothic" w:hAnsi="Cambria" w:cs="Times New Roman"/>
      <w:sz w:val="20"/>
      <w:szCs w:val="20"/>
      <w:lang w:eastAsia="es-GT"/>
    </w:rPr>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Pr>
    <w:tblStylePr w:type="firstRow">
      <w:rPr>
        <w:b/>
        <w:bCs/>
        <w:color w:val="FFFFFF" w:themeColor="background1"/>
      </w:rPr>
      <w:tblPr/>
      <w:tcPr>
        <w:tcBorders>
          <w:top w:val="single" w:sz="4" w:space="0" w:color="4472C4" w:themeColor="accent1"/>
          <w:left w:val="single" w:sz="4" w:space="0" w:color="4472C4" w:themeColor="accent1"/>
          <w:bottom w:val="single" w:sz="4" w:space="0" w:color="4472C4" w:themeColor="accent1"/>
          <w:right w:val="single" w:sz="4" w:space="0" w:color="4472C4" w:themeColor="accent1"/>
          <w:insideH w:val="nil"/>
          <w:insideV w:val="nil"/>
        </w:tcBorders>
        <w:shd w:val="clear" w:color="auto" w:fill="4472C4" w:themeFill="accent1"/>
      </w:tcPr>
    </w:tblStylePr>
    <w:tblStylePr w:type="lastRow">
      <w:rPr>
        <w:b/>
        <w:bCs/>
      </w:rPr>
      <w:tblPr/>
      <w:tcPr>
        <w:tcBorders>
          <w:top w:val="double" w:sz="4" w:space="0" w:color="4472C4" w:themeColor="accent1"/>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character" w:styleId="nfasissutil">
    <w:name w:val="Subtle Emphasis"/>
    <w:uiPriority w:val="19"/>
    <w:qFormat/>
    <w:rsid w:val="008C102B"/>
    <w:rPr>
      <w:rFonts w:ascii="Times New Roman" w:hAnsi="Times New Roman"/>
    </w:rPr>
  </w:style>
  <w:style w:type="character" w:styleId="Textodelmarcadordeposicin">
    <w:name w:val="Placeholder Text"/>
    <w:basedOn w:val="Fuentedeprrafopredeter"/>
    <w:uiPriority w:val="99"/>
    <w:semiHidden/>
    <w:rsid w:val="008C102B"/>
    <w:rPr>
      <w:color w:val="808080"/>
    </w:rPr>
  </w:style>
  <w:style w:type="table" w:customStyle="1" w:styleId="Tablanormal11">
    <w:name w:val="Tabla normal 11"/>
    <w:basedOn w:val="Tablanormal"/>
    <w:uiPriority w:val="41"/>
    <w:rsid w:val="008C102B"/>
    <w:pPr>
      <w:spacing w:after="0" w:line="240" w:lineRule="auto"/>
    </w:pPr>
    <w:rPr>
      <w:rFonts w:ascii="Cambria" w:eastAsia="Malgun Gothic" w:hAnsi="Cambria" w:cs="Times New Roman"/>
      <w:sz w:val="20"/>
      <w:szCs w:val="20"/>
      <w:lang w:eastAsia="es-GT"/>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customStyle="1" w:styleId="Ttulo11">
    <w:name w:val="Título 11"/>
    <w:basedOn w:val="Normal"/>
    <w:rsid w:val="008C102B"/>
    <w:pPr>
      <w:widowControl/>
      <w:numPr>
        <w:numId w:val="4"/>
      </w:numPr>
      <w:spacing w:after="200" w:line="288" w:lineRule="auto"/>
    </w:pPr>
    <w:rPr>
      <w:rFonts w:asciiTheme="minorHAnsi" w:eastAsiaTheme="minorEastAsia" w:hAnsiTheme="minorHAnsi" w:cstheme="minorBidi"/>
      <w:sz w:val="21"/>
      <w:szCs w:val="21"/>
      <w:lang w:val="es-GT" w:eastAsia="en-US"/>
    </w:rPr>
  </w:style>
  <w:style w:type="paragraph" w:customStyle="1" w:styleId="Ttulo21">
    <w:name w:val="Título 21"/>
    <w:basedOn w:val="Normal"/>
    <w:rsid w:val="008C102B"/>
    <w:pPr>
      <w:widowControl/>
      <w:numPr>
        <w:ilvl w:val="1"/>
        <w:numId w:val="4"/>
      </w:numPr>
      <w:spacing w:after="200" w:line="288" w:lineRule="auto"/>
      <w:ind w:left="576"/>
    </w:pPr>
    <w:rPr>
      <w:rFonts w:asciiTheme="minorHAnsi" w:eastAsiaTheme="minorEastAsia" w:hAnsiTheme="minorHAnsi" w:cstheme="minorBidi"/>
      <w:sz w:val="21"/>
      <w:szCs w:val="21"/>
      <w:lang w:val="es-GT" w:eastAsia="en-US"/>
    </w:rPr>
  </w:style>
  <w:style w:type="paragraph" w:customStyle="1" w:styleId="Ttulo31">
    <w:name w:val="Título 31"/>
    <w:basedOn w:val="Normal"/>
    <w:rsid w:val="008C102B"/>
    <w:pPr>
      <w:widowControl/>
      <w:numPr>
        <w:ilvl w:val="2"/>
        <w:numId w:val="4"/>
      </w:numPr>
      <w:spacing w:after="200" w:line="288" w:lineRule="auto"/>
    </w:pPr>
    <w:rPr>
      <w:rFonts w:asciiTheme="minorHAnsi" w:eastAsiaTheme="minorEastAsia" w:hAnsiTheme="minorHAnsi" w:cstheme="minorBidi"/>
      <w:sz w:val="21"/>
      <w:szCs w:val="21"/>
      <w:lang w:val="es-GT" w:eastAsia="en-US"/>
    </w:rPr>
  </w:style>
  <w:style w:type="paragraph" w:customStyle="1" w:styleId="Ttulo41">
    <w:name w:val="Título 41"/>
    <w:basedOn w:val="Normal"/>
    <w:rsid w:val="008C102B"/>
    <w:pPr>
      <w:widowControl/>
      <w:numPr>
        <w:ilvl w:val="3"/>
        <w:numId w:val="4"/>
      </w:numPr>
      <w:spacing w:after="200" w:line="288" w:lineRule="auto"/>
    </w:pPr>
    <w:rPr>
      <w:rFonts w:asciiTheme="minorHAnsi" w:eastAsiaTheme="minorEastAsia" w:hAnsiTheme="minorHAnsi" w:cstheme="minorBidi"/>
      <w:sz w:val="21"/>
      <w:szCs w:val="21"/>
      <w:lang w:val="es-GT" w:eastAsia="en-US"/>
    </w:rPr>
  </w:style>
  <w:style w:type="paragraph" w:customStyle="1" w:styleId="Ttulo51">
    <w:name w:val="Título 51"/>
    <w:basedOn w:val="Normal"/>
    <w:rsid w:val="008C102B"/>
    <w:pPr>
      <w:widowControl/>
      <w:numPr>
        <w:ilvl w:val="4"/>
        <w:numId w:val="4"/>
      </w:numPr>
      <w:spacing w:after="200" w:line="288" w:lineRule="auto"/>
    </w:pPr>
    <w:rPr>
      <w:rFonts w:asciiTheme="minorHAnsi" w:eastAsiaTheme="minorEastAsia" w:hAnsiTheme="minorHAnsi" w:cstheme="minorBidi"/>
      <w:sz w:val="21"/>
      <w:szCs w:val="21"/>
      <w:lang w:val="es-GT" w:eastAsia="en-US"/>
    </w:rPr>
  </w:style>
  <w:style w:type="paragraph" w:customStyle="1" w:styleId="Ttulo61">
    <w:name w:val="Título 61"/>
    <w:basedOn w:val="Normal"/>
    <w:rsid w:val="008C102B"/>
    <w:pPr>
      <w:widowControl/>
      <w:numPr>
        <w:ilvl w:val="5"/>
        <w:numId w:val="4"/>
      </w:numPr>
      <w:spacing w:after="200" w:line="288" w:lineRule="auto"/>
    </w:pPr>
    <w:rPr>
      <w:rFonts w:asciiTheme="minorHAnsi" w:eastAsiaTheme="minorEastAsia" w:hAnsiTheme="minorHAnsi" w:cstheme="minorBidi"/>
      <w:sz w:val="21"/>
      <w:szCs w:val="21"/>
      <w:lang w:val="es-GT" w:eastAsia="en-US"/>
    </w:rPr>
  </w:style>
  <w:style w:type="paragraph" w:customStyle="1" w:styleId="Ttulo71">
    <w:name w:val="Título 71"/>
    <w:basedOn w:val="Normal"/>
    <w:rsid w:val="008C102B"/>
    <w:pPr>
      <w:widowControl/>
      <w:numPr>
        <w:ilvl w:val="6"/>
        <w:numId w:val="4"/>
      </w:numPr>
      <w:spacing w:after="200" w:line="288" w:lineRule="auto"/>
    </w:pPr>
    <w:rPr>
      <w:rFonts w:asciiTheme="minorHAnsi" w:eastAsiaTheme="minorEastAsia" w:hAnsiTheme="minorHAnsi" w:cstheme="minorBidi"/>
      <w:sz w:val="21"/>
      <w:szCs w:val="21"/>
      <w:lang w:val="es-GT" w:eastAsia="en-US"/>
    </w:rPr>
  </w:style>
  <w:style w:type="paragraph" w:customStyle="1" w:styleId="Ttulo81">
    <w:name w:val="Título 81"/>
    <w:basedOn w:val="Normal"/>
    <w:rsid w:val="008C102B"/>
    <w:pPr>
      <w:widowControl/>
      <w:numPr>
        <w:ilvl w:val="7"/>
        <w:numId w:val="4"/>
      </w:numPr>
      <w:spacing w:after="200" w:line="288" w:lineRule="auto"/>
    </w:pPr>
    <w:rPr>
      <w:rFonts w:asciiTheme="minorHAnsi" w:eastAsiaTheme="minorEastAsia" w:hAnsiTheme="minorHAnsi" w:cstheme="minorBidi"/>
      <w:sz w:val="21"/>
      <w:szCs w:val="21"/>
      <w:lang w:val="es-GT" w:eastAsia="en-US"/>
    </w:rPr>
  </w:style>
  <w:style w:type="paragraph" w:customStyle="1" w:styleId="Ttulo91">
    <w:name w:val="Título 91"/>
    <w:basedOn w:val="Normal"/>
    <w:rsid w:val="008C102B"/>
    <w:pPr>
      <w:widowControl/>
      <w:numPr>
        <w:ilvl w:val="8"/>
        <w:numId w:val="4"/>
      </w:numPr>
      <w:spacing w:after="200" w:line="288" w:lineRule="auto"/>
    </w:pPr>
    <w:rPr>
      <w:rFonts w:asciiTheme="minorHAnsi" w:eastAsiaTheme="minorEastAsia" w:hAnsiTheme="minorHAnsi" w:cstheme="minorBidi"/>
      <w:sz w:val="21"/>
      <w:szCs w:val="21"/>
      <w:lang w:val="es-GT" w:eastAsia="en-US"/>
    </w:rPr>
  </w:style>
  <w:style w:type="table" w:customStyle="1" w:styleId="Tablanormal411">
    <w:name w:val="Tabla normal 411"/>
    <w:basedOn w:val="Tablanormal"/>
    <w:uiPriority w:val="44"/>
    <w:rsid w:val="00EA05E6"/>
    <w:pPr>
      <w:spacing w:after="0" w:line="240" w:lineRule="auto"/>
    </w:pPr>
    <w:rPr>
      <w:rFonts w:ascii="Cambria" w:eastAsia="Malgun Gothic" w:hAnsi="Cambria" w:cs="Times New Roman"/>
      <w:sz w:val="20"/>
      <w:szCs w:val="20"/>
      <w:lang w:eastAsia="es-GT"/>
    </w:r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Tabladecuadrcula4-nfasis111">
    <w:name w:val="Tabla de cuadrícula 4 - Énfasis 111"/>
    <w:basedOn w:val="Tablanormal"/>
    <w:uiPriority w:val="49"/>
    <w:rsid w:val="00EA05E6"/>
    <w:pPr>
      <w:spacing w:after="0" w:line="240" w:lineRule="auto"/>
    </w:pPr>
    <w:rPr>
      <w:rFonts w:ascii="Cambria" w:eastAsia="Malgun Gothic" w:hAnsi="Cambria" w:cs="Times New Roman"/>
      <w:sz w:val="20"/>
      <w:szCs w:val="20"/>
      <w:lang w:eastAsia="es-GT"/>
    </w:rPr>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Pr>
    <w:tblStylePr w:type="firstRow">
      <w:rPr>
        <w:b/>
        <w:bCs/>
        <w:color w:val="FFFFFF" w:themeColor="background1"/>
      </w:rPr>
      <w:tblPr/>
      <w:tcPr>
        <w:tcBorders>
          <w:top w:val="single" w:sz="4" w:space="0" w:color="4472C4" w:themeColor="accent1"/>
          <w:left w:val="single" w:sz="4" w:space="0" w:color="4472C4" w:themeColor="accent1"/>
          <w:bottom w:val="single" w:sz="4" w:space="0" w:color="4472C4" w:themeColor="accent1"/>
          <w:right w:val="single" w:sz="4" w:space="0" w:color="4472C4" w:themeColor="accent1"/>
          <w:insideH w:val="nil"/>
          <w:insideV w:val="nil"/>
        </w:tcBorders>
        <w:shd w:val="clear" w:color="auto" w:fill="4472C4" w:themeFill="accent1"/>
      </w:tcPr>
    </w:tblStylePr>
    <w:tblStylePr w:type="lastRow">
      <w:rPr>
        <w:b/>
        <w:bCs/>
      </w:rPr>
      <w:tblPr/>
      <w:tcPr>
        <w:tcBorders>
          <w:top w:val="double" w:sz="4" w:space="0" w:color="4472C4" w:themeColor="accent1"/>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customStyle="1" w:styleId="Tablanormal111">
    <w:name w:val="Tabla normal 111"/>
    <w:basedOn w:val="Tablanormal"/>
    <w:uiPriority w:val="41"/>
    <w:rsid w:val="00EA05E6"/>
    <w:pPr>
      <w:spacing w:after="0" w:line="240" w:lineRule="auto"/>
    </w:pPr>
    <w:rPr>
      <w:rFonts w:ascii="Cambria" w:eastAsia="Malgun Gothic" w:hAnsi="Cambria" w:cs="Times New Roman"/>
      <w:sz w:val="20"/>
      <w:szCs w:val="20"/>
      <w:lang w:eastAsia="es-GT"/>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styleId="nfasis">
    <w:name w:val="Emphasis"/>
    <w:basedOn w:val="Fuentedeprrafopredeter"/>
    <w:uiPriority w:val="20"/>
    <w:qFormat/>
    <w:rsid w:val="008A5924"/>
    <w:rPr>
      <w:rFonts w:asciiTheme="minorHAnsi" w:hAnsiTheme="minorHAnsi"/>
      <w:b/>
      <w:i/>
      <w:iCs/>
    </w:rPr>
  </w:style>
  <w:style w:type="paragraph" w:styleId="Cita">
    <w:name w:val="Quote"/>
    <w:basedOn w:val="Normal"/>
    <w:next w:val="Normal"/>
    <w:link w:val="CitaCar"/>
    <w:uiPriority w:val="29"/>
    <w:qFormat/>
    <w:rsid w:val="008A5924"/>
    <w:pPr>
      <w:widowControl/>
    </w:pPr>
    <w:rPr>
      <w:rFonts w:asciiTheme="minorHAnsi" w:eastAsiaTheme="minorEastAsia" w:hAnsiTheme="minorHAnsi"/>
      <w:i/>
      <w:sz w:val="24"/>
      <w:szCs w:val="24"/>
      <w:lang w:val="es-GT" w:eastAsia="en-US"/>
    </w:rPr>
  </w:style>
  <w:style w:type="character" w:customStyle="1" w:styleId="CitaCar">
    <w:name w:val="Cita Car"/>
    <w:basedOn w:val="Fuentedeprrafopredeter"/>
    <w:link w:val="Cita"/>
    <w:uiPriority w:val="29"/>
    <w:rsid w:val="008A5924"/>
    <w:rPr>
      <w:rFonts w:asciiTheme="minorHAnsi" w:eastAsiaTheme="minorEastAsia" w:hAnsiTheme="minorHAnsi" w:cs="Times New Roman"/>
      <w:i/>
      <w:szCs w:val="24"/>
    </w:rPr>
  </w:style>
  <w:style w:type="paragraph" w:styleId="Citadestacada">
    <w:name w:val="Intense Quote"/>
    <w:basedOn w:val="Normal"/>
    <w:next w:val="Normal"/>
    <w:link w:val="CitadestacadaCar"/>
    <w:uiPriority w:val="30"/>
    <w:qFormat/>
    <w:rsid w:val="008A5924"/>
    <w:pPr>
      <w:widowControl/>
      <w:ind w:left="720" w:right="720"/>
    </w:pPr>
    <w:rPr>
      <w:rFonts w:asciiTheme="minorHAnsi" w:eastAsiaTheme="minorEastAsia" w:hAnsiTheme="minorHAnsi"/>
      <w:b/>
      <w:i/>
      <w:sz w:val="24"/>
      <w:szCs w:val="22"/>
      <w:lang w:val="es-GT" w:eastAsia="en-US"/>
    </w:rPr>
  </w:style>
  <w:style w:type="character" w:customStyle="1" w:styleId="CitadestacadaCar">
    <w:name w:val="Cita destacada Car"/>
    <w:basedOn w:val="Fuentedeprrafopredeter"/>
    <w:link w:val="Citadestacada"/>
    <w:uiPriority w:val="30"/>
    <w:rsid w:val="008A5924"/>
    <w:rPr>
      <w:rFonts w:asciiTheme="minorHAnsi" w:eastAsiaTheme="minorEastAsia" w:hAnsiTheme="minorHAnsi" w:cs="Times New Roman"/>
      <w:b/>
      <w:i/>
    </w:rPr>
  </w:style>
  <w:style w:type="character" w:styleId="nfasisintenso">
    <w:name w:val="Intense Emphasis"/>
    <w:basedOn w:val="Fuentedeprrafopredeter"/>
    <w:uiPriority w:val="21"/>
    <w:qFormat/>
    <w:rsid w:val="008A5924"/>
    <w:rPr>
      <w:b/>
      <w:i/>
      <w:sz w:val="24"/>
      <w:szCs w:val="24"/>
      <w:u w:val="single"/>
    </w:rPr>
  </w:style>
  <w:style w:type="character" w:styleId="Referenciasutil">
    <w:name w:val="Subtle Reference"/>
    <w:basedOn w:val="Fuentedeprrafopredeter"/>
    <w:uiPriority w:val="31"/>
    <w:qFormat/>
    <w:rsid w:val="008A5924"/>
    <w:rPr>
      <w:sz w:val="24"/>
      <w:szCs w:val="24"/>
      <w:u w:val="single"/>
    </w:rPr>
  </w:style>
  <w:style w:type="character" w:styleId="Referenciaintensa">
    <w:name w:val="Intense Reference"/>
    <w:basedOn w:val="Fuentedeprrafopredeter"/>
    <w:uiPriority w:val="32"/>
    <w:qFormat/>
    <w:rsid w:val="008A5924"/>
    <w:rPr>
      <w:b/>
      <w:sz w:val="24"/>
      <w:u w:val="single"/>
    </w:rPr>
  </w:style>
  <w:style w:type="character" w:styleId="Ttulodellibro">
    <w:name w:val="Book Title"/>
    <w:basedOn w:val="Fuentedeprrafopredeter"/>
    <w:uiPriority w:val="33"/>
    <w:qFormat/>
    <w:rsid w:val="008A5924"/>
    <w:rPr>
      <w:rFonts w:asciiTheme="majorHAnsi" w:eastAsiaTheme="majorEastAsia" w:hAnsiTheme="majorHAnsi"/>
      <w:b/>
      <w:i/>
      <w:sz w:val="24"/>
      <w:szCs w:val="24"/>
    </w:rPr>
  </w:style>
  <w:style w:type="table" w:customStyle="1" w:styleId="Tabladecuadrcula4-nfasis51">
    <w:name w:val="Tabla de cuadrícula 4 - Énfasis 51"/>
    <w:basedOn w:val="Tablanormal"/>
    <w:uiPriority w:val="49"/>
    <w:rsid w:val="008A5924"/>
    <w:pPr>
      <w:spacing w:after="0" w:line="240" w:lineRule="auto"/>
    </w:pPr>
    <w:rPr>
      <w:rFonts w:asciiTheme="minorHAnsi" w:hAnsiTheme="minorHAnsi"/>
      <w:sz w:val="22"/>
    </w:rPr>
    <w:tblPr>
      <w:tblStyleRowBandSize w:val="1"/>
      <w:tblStyleColBandSize w:val="1"/>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Pr>
    <w:tblStylePr w:type="firstRow">
      <w:rPr>
        <w:b/>
        <w:bCs/>
        <w:color w:val="FFFFFF" w:themeColor="background1"/>
      </w:rPr>
      <w:tblPr/>
      <w:tcPr>
        <w:tcBorders>
          <w:top w:val="single" w:sz="4" w:space="0" w:color="5B9BD5" w:themeColor="accent5"/>
          <w:left w:val="single" w:sz="4" w:space="0" w:color="5B9BD5" w:themeColor="accent5"/>
          <w:bottom w:val="single" w:sz="4" w:space="0" w:color="5B9BD5" w:themeColor="accent5"/>
          <w:right w:val="single" w:sz="4" w:space="0" w:color="5B9BD5" w:themeColor="accent5"/>
          <w:insideH w:val="nil"/>
          <w:insideV w:val="nil"/>
        </w:tcBorders>
        <w:shd w:val="clear" w:color="auto" w:fill="5B9BD5" w:themeFill="accent5"/>
      </w:tcPr>
    </w:tblStylePr>
    <w:tblStylePr w:type="lastRow">
      <w:rPr>
        <w:b/>
        <w:bCs/>
      </w:rPr>
      <w:tblPr/>
      <w:tcPr>
        <w:tcBorders>
          <w:top w:val="double" w:sz="4" w:space="0" w:color="5B9BD5" w:themeColor="accent5"/>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paragraph" w:styleId="Tabladeilustraciones">
    <w:name w:val="table of figures"/>
    <w:basedOn w:val="Normal"/>
    <w:next w:val="Normal"/>
    <w:uiPriority w:val="99"/>
    <w:unhideWhenUsed/>
    <w:rsid w:val="008A5924"/>
    <w:pPr>
      <w:widowControl/>
      <w:spacing w:after="60"/>
    </w:pPr>
    <w:rPr>
      <w:rFonts w:eastAsiaTheme="minorEastAsia"/>
      <w:sz w:val="24"/>
      <w:szCs w:val="24"/>
      <w:lang w:val="es-GT" w:eastAsia="en-US"/>
    </w:rPr>
  </w:style>
  <w:style w:type="paragraph" w:styleId="TDC4">
    <w:name w:val="toc 4"/>
    <w:basedOn w:val="Normal"/>
    <w:next w:val="Normal"/>
    <w:autoRedefine/>
    <w:uiPriority w:val="39"/>
    <w:unhideWhenUsed/>
    <w:rsid w:val="008A5924"/>
    <w:pPr>
      <w:widowControl/>
      <w:tabs>
        <w:tab w:val="left" w:pos="1760"/>
        <w:tab w:val="right" w:leader="dot" w:pos="8828"/>
      </w:tabs>
      <w:spacing w:after="100"/>
      <w:ind w:left="720"/>
    </w:pPr>
    <w:rPr>
      <w:rFonts w:eastAsiaTheme="minorEastAsia"/>
      <w:noProof/>
      <w:lang w:val="es-GT" w:eastAsia="en-US"/>
    </w:rPr>
  </w:style>
  <w:style w:type="paragraph" w:styleId="TDC5">
    <w:name w:val="toc 5"/>
    <w:basedOn w:val="Normal"/>
    <w:next w:val="Normal"/>
    <w:autoRedefine/>
    <w:uiPriority w:val="39"/>
    <w:unhideWhenUsed/>
    <w:rsid w:val="008A5924"/>
    <w:pPr>
      <w:widowControl/>
      <w:spacing w:after="100"/>
      <w:ind w:left="960"/>
    </w:pPr>
    <w:rPr>
      <w:rFonts w:asciiTheme="minorHAnsi" w:eastAsiaTheme="minorEastAsia" w:hAnsiTheme="minorHAnsi"/>
      <w:sz w:val="24"/>
      <w:szCs w:val="24"/>
      <w:lang w:val="es-GT" w:eastAsia="en-US"/>
    </w:rPr>
  </w:style>
  <w:style w:type="table" w:styleId="Listaclara-nfasis1">
    <w:name w:val="Light List Accent 1"/>
    <w:basedOn w:val="Tablanormal"/>
    <w:uiPriority w:val="61"/>
    <w:rsid w:val="008A5924"/>
    <w:pPr>
      <w:spacing w:after="0" w:line="240" w:lineRule="auto"/>
    </w:pPr>
    <w:rPr>
      <w:rFonts w:asciiTheme="minorHAnsi" w:hAnsiTheme="minorHAnsi"/>
      <w:sz w:val="22"/>
    </w:rPr>
    <w:tblPr>
      <w:tblStyleRowBandSize w:val="1"/>
      <w:tblStyleColBandSize w:val="1"/>
      <w:tblBorders>
        <w:top w:val="single" w:sz="8" w:space="0" w:color="4472C4" w:themeColor="accent1"/>
        <w:left w:val="single" w:sz="8" w:space="0" w:color="4472C4" w:themeColor="accent1"/>
        <w:bottom w:val="single" w:sz="8" w:space="0" w:color="4472C4" w:themeColor="accent1"/>
        <w:right w:val="single" w:sz="8" w:space="0" w:color="4472C4" w:themeColor="accent1"/>
      </w:tblBorders>
    </w:tblPr>
    <w:tblStylePr w:type="firstRow">
      <w:pPr>
        <w:spacing w:before="0" w:after="0" w:line="240" w:lineRule="auto"/>
      </w:pPr>
      <w:rPr>
        <w:b/>
        <w:bCs/>
        <w:color w:val="FFFFFF" w:themeColor="background1"/>
      </w:rPr>
      <w:tblPr/>
      <w:tcPr>
        <w:shd w:val="clear" w:color="auto" w:fill="4472C4" w:themeFill="accent1"/>
      </w:tcPr>
    </w:tblStylePr>
    <w:tblStylePr w:type="lastRow">
      <w:pPr>
        <w:spacing w:before="0" w:after="0" w:line="240" w:lineRule="auto"/>
      </w:pPr>
      <w:rPr>
        <w:b/>
        <w:bCs/>
      </w:rPr>
      <w:tblPr/>
      <w:tcPr>
        <w:tcBorders>
          <w:top w:val="double" w:sz="6" w:space="0" w:color="4472C4" w:themeColor="accent1"/>
          <w:left w:val="single" w:sz="8" w:space="0" w:color="4472C4" w:themeColor="accent1"/>
          <w:bottom w:val="single" w:sz="8" w:space="0" w:color="4472C4" w:themeColor="accent1"/>
          <w:right w:val="single" w:sz="8" w:space="0" w:color="4472C4" w:themeColor="accent1"/>
        </w:tcBorders>
      </w:tcPr>
    </w:tblStylePr>
    <w:tblStylePr w:type="firstCol">
      <w:rPr>
        <w:b/>
        <w:bCs/>
      </w:rPr>
    </w:tblStylePr>
    <w:tblStylePr w:type="lastCol">
      <w:rPr>
        <w:b/>
        <w:bCs/>
      </w:rPr>
    </w:tblStylePr>
    <w:tblStylePr w:type="band1Vert">
      <w:tblPr/>
      <w:tcPr>
        <w:tcBorders>
          <w:top w:val="single" w:sz="8" w:space="0" w:color="4472C4" w:themeColor="accent1"/>
          <w:left w:val="single" w:sz="8" w:space="0" w:color="4472C4" w:themeColor="accent1"/>
          <w:bottom w:val="single" w:sz="8" w:space="0" w:color="4472C4" w:themeColor="accent1"/>
          <w:right w:val="single" w:sz="8" w:space="0" w:color="4472C4" w:themeColor="accent1"/>
        </w:tcBorders>
      </w:tcPr>
    </w:tblStylePr>
    <w:tblStylePr w:type="band1Horz">
      <w:tblPr/>
      <w:tcPr>
        <w:tcBorders>
          <w:top w:val="single" w:sz="8" w:space="0" w:color="4472C4" w:themeColor="accent1"/>
          <w:left w:val="single" w:sz="8" w:space="0" w:color="4472C4" w:themeColor="accent1"/>
          <w:bottom w:val="single" w:sz="8" w:space="0" w:color="4472C4" w:themeColor="accent1"/>
          <w:right w:val="single" w:sz="8" w:space="0" w:color="4472C4" w:themeColor="accent1"/>
        </w:tcBorders>
      </w:tcPr>
    </w:tblStylePr>
  </w:style>
  <w:style w:type="paragraph" w:styleId="Textonotaalfinal">
    <w:name w:val="endnote text"/>
    <w:basedOn w:val="Normal"/>
    <w:link w:val="TextonotaalfinalCar"/>
    <w:uiPriority w:val="99"/>
    <w:semiHidden/>
    <w:unhideWhenUsed/>
    <w:rsid w:val="00AE116A"/>
  </w:style>
  <w:style w:type="character" w:customStyle="1" w:styleId="TextonotaalfinalCar">
    <w:name w:val="Texto nota al final Car"/>
    <w:basedOn w:val="Fuentedeprrafopredeter"/>
    <w:link w:val="Textonotaalfinal"/>
    <w:uiPriority w:val="99"/>
    <w:semiHidden/>
    <w:rsid w:val="00AE116A"/>
    <w:rPr>
      <w:rFonts w:eastAsia="Times New Roman" w:cs="Times New Roman"/>
      <w:sz w:val="20"/>
      <w:szCs w:val="20"/>
      <w:lang w:val="es-ES_tradnl" w:eastAsia="es-ES"/>
    </w:rPr>
  </w:style>
  <w:style w:type="character" w:styleId="Refdenotaalfinal">
    <w:name w:val="endnote reference"/>
    <w:basedOn w:val="Fuentedeprrafopredeter"/>
    <w:uiPriority w:val="99"/>
    <w:semiHidden/>
    <w:unhideWhenUsed/>
    <w:rsid w:val="00AE116A"/>
    <w:rPr>
      <w:vertAlign w:val="superscript"/>
    </w:rPr>
  </w:style>
  <w:style w:type="table" w:styleId="Cuadrculaclara-nfasis1">
    <w:name w:val="Light Grid Accent 1"/>
    <w:basedOn w:val="Tablanormal"/>
    <w:uiPriority w:val="62"/>
    <w:rsid w:val="00D30644"/>
    <w:pPr>
      <w:spacing w:after="0" w:line="240" w:lineRule="auto"/>
    </w:pPr>
    <w:rPr>
      <w:rFonts w:asciiTheme="minorHAnsi" w:hAnsiTheme="minorHAnsi"/>
      <w:sz w:val="22"/>
    </w:rPr>
    <w:tblPr>
      <w:tblStyleRowBandSize w:val="1"/>
      <w:tblStyleColBandSize w:val="1"/>
      <w:tblBorders>
        <w:top w:val="single" w:sz="8" w:space="0" w:color="4472C4" w:themeColor="accent1"/>
        <w:left w:val="single" w:sz="8" w:space="0" w:color="4472C4" w:themeColor="accent1"/>
        <w:bottom w:val="single" w:sz="8" w:space="0" w:color="4472C4" w:themeColor="accent1"/>
        <w:right w:val="single" w:sz="8" w:space="0" w:color="4472C4" w:themeColor="accent1"/>
        <w:insideH w:val="single" w:sz="8" w:space="0" w:color="4472C4" w:themeColor="accent1"/>
        <w:insideV w:val="single" w:sz="8" w:space="0" w:color="4472C4"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472C4" w:themeColor="accent1"/>
          <w:left w:val="single" w:sz="8" w:space="0" w:color="4472C4" w:themeColor="accent1"/>
          <w:bottom w:val="single" w:sz="18" w:space="0" w:color="4472C4" w:themeColor="accent1"/>
          <w:right w:val="single" w:sz="8" w:space="0" w:color="4472C4" w:themeColor="accent1"/>
          <w:insideH w:val="nil"/>
          <w:insideV w:val="single" w:sz="8" w:space="0" w:color="4472C4"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472C4" w:themeColor="accent1"/>
          <w:left w:val="single" w:sz="8" w:space="0" w:color="4472C4" w:themeColor="accent1"/>
          <w:bottom w:val="single" w:sz="8" w:space="0" w:color="4472C4" w:themeColor="accent1"/>
          <w:right w:val="single" w:sz="8" w:space="0" w:color="4472C4" w:themeColor="accent1"/>
          <w:insideH w:val="nil"/>
          <w:insideV w:val="single" w:sz="8" w:space="0" w:color="4472C4"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472C4" w:themeColor="accent1"/>
          <w:left w:val="single" w:sz="8" w:space="0" w:color="4472C4" w:themeColor="accent1"/>
          <w:bottom w:val="single" w:sz="8" w:space="0" w:color="4472C4" w:themeColor="accent1"/>
          <w:right w:val="single" w:sz="8" w:space="0" w:color="4472C4" w:themeColor="accent1"/>
        </w:tcBorders>
      </w:tcPr>
    </w:tblStylePr>
    <w:tblStylePr w:type="band1Vert">
      <w:tblPr/>
      <w:tcPr>
        <w:tcBorders>
          <w:top w:val="single" w:sz="8" w:space="0" w:color="4472C4" w:themeColor="accent1"/>
          <w:left w:val="single" w:sz="8" w:space="0" w:color="4472C4" w:themeColor="accent1"/>
          <w:bottom w:val="single" w:sz="8" w:space="0" w:color="4472C4" w:themeColor="accent1"/>
          <w:right w:val="single" w:sz="8" w:space="0" w:color="4472C4" w:themeColor="accent1"/>
        </w:tcBorders>
        <w:shd w:val="clear" w:color="auto" w:fill="D0DBF0" w:themeFill="accent1" w:themeFillTint="3F"/>
      </w:tcPr>
    </w:tblStylePr>
    <w:tblStylePr w:type="band1Horz">
      <w:tblPr/>
      <w:tcPr>
        <w:tcBorders>
          <w:top w:val="single" w:sz="8" w:space="0" w:color="4472C4" w:themeColor="accent1"/>
          <w:left w:val="single" w:sz="8" w:space="0" w:color="4472C4" w:themeColor="accent1"/>
          <w:bottom w:val="single" w:sz="8" w:space="0" w:color="4472C4" w:themeColor="accent1"/>
          <w:right w:val="single" w:sz="8" w:space="0" w:color="4472C4" w:themeColor="accent1"/>
          <w:insideV w:val="single" w:sz="8" w:space="0" w:color="4472C4" w:themeColor="accent1"/>
        </w:tcBorders>
        <w:shd w:val="clear" w:color="auto" w:fill="D0DBF0" w:themeFill="accent1" w:themeFillTint="3F"/>
      </w:tcPr>
    </w:tblStylePr>
    <w:tblStylePr w:type="band2Horz">
      <w:tblPr/>
      <w:tcPr>
        <w:tcBorders>
          <w:top w:val="single" w:sz="8" w:space="0" w:color="4472C4" w:themeColor="accent1"/>
          <w:left w:val="single" w:sz="8" w:space="0" w:color="4472C4" w:themeColor="accent1"/>
          <w:bottom w:val="single" w:sz="8" w:space="0" w:color="4472C4" w:themeColor="accent1"/>
          <w:right w:val="single" w:sz="8" w:space="0" w:color="4472C4" w:themeColor="accent1"/>
          <w:insideV w:val="single" w:sz="8" w:space="0" w:color="4472C4" w:themeColor="accent1"/>
        </w:tcBorders>
      </w:tcPr>
    </w:tblStylePr>
  </w:style>
  <w:style w:type="table" w:styleId="Sombreadoclaro-nfasis5">
    <w:name w:val="Light Shading Accent 5"/>
    <w:basedOn w:val="Tablanormal"/>
    <w:uiPriority w:val="60"/>
    <w:rsid w:val="00D30644"/>
    <w:pPr>
      <w:spacing w:after="0" w:line="240" w:lineRule="auto"/>
    </w:pPr>
    <w:rPr>
      <w:rFonts w:asciiTheme="minorHAnsi" w:hAnsiTheme="minorHAnsi"/>
      <w:color w:val="2E74B5" w:themeColor="accent5" w:themeShade="BF"/>
      <w:sz w:val="22"/>
    </w:rPr>
    <w:tblPr>
      <w:tblStyleRowBandSize w:val="1"/>
      <w:tblStyleColBandSize w:val="1"/>
      <w:tblBorders>
        <w:top w:val="single" w:sz="8" w:space="0" w:color="5B9BD5" w:themeColor="accent5"/>
        <w:bottom w:val="single" w:sz="8" w:space="0" w:color="5B9BD5" w:themeColor="accent5"/>
      </w:tblBorders>
    </w:tblPr>
    <w:tblStylePr w:type="firstRow">
      <w:pPr>
        <w:spacing w:before="0" w:after="0" w:line="240" w:lineRule="auto"/>
      </w:pPr>
      <w:rPr>
        <w:b/>
        <w:bCs/>
      </w:rPr>
      <w:tblPr/>
      <w:tcPr>
        <w:tcBorders>
          <w:top w:val="single" w:sz="8" w:space="0" w:color="5B9BD5" w:themeColor="accent5"/>
          <w:left w:val="nil"/>
          <w:bottom w:val="single" w:sz="8" w:space="0" w:color="5B9BD5" w:themeColor="accent5"/>
          <w:right w:val="nil"/>
          <w:insideH w:val="nil"/>
          <w:insideV w:val="nil"/>
        </w:tcBorders>
      </w:tcPr>
    </w:tblStylePr>
    <w:tblStylePr w:type="lastRow">
      <w:pPr>
        <w:spacing w:before="0" w:after="0" w:line="240" w:lineRule="auto"/>
      </w:pPr>
      <w:rPr>
        <w:b/>
        <w:bCs/>
      </w:rPr>
      <w:tblPr/>
      <w:tcPr>
        <w:tcBorders>
          <w:top w:val="single" w:sz="8" w:space="0" w:color="5B9BD5" w:themeColor="accent5"/>
          <w:left w:val="nil"/>
          <w:bottom w:val="single" w:sz="8" w:space="0" w:color="5B9BD5"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6E6F4" w:themeFill="accent5" w:themeFillTint="3F"/>
      </w:tcPr>
    </w:tblStylePr>
    <w:tblStylePr w:type="band1Horz">
      <w:tblPr/>
      <w:tcPr>
        <w:tcBorders>
          <w:left w:val="nil"/>
          <w:right w:val="nil"/>
          <w:insideH w:val="nil"/>
          <w:insideV w:val="nil"/>
        </w:tcBorders>
        <w:shd w:val="clear" w:color="auto" w:fill="D6E6F4" w:themeFill="accent5" w:themeFillTint="3F"/>
      </w:tcPr>
    </w:tblStylePr>
  </w:style>
  <w:style w:type="paragraph" w:customStyle="1" w:styleId="BodyText2Sgl">
    <w:name w:val="Body Text 2 Sgl"/>
    <w:basedOn w:val="Normal"/>
    <w:qFormat/>
    <w:rsid w:val="00D30644"/>
    <w:pPr>
      <w:widowControl/>
      <w:spacing w:after="240"/>
      <w:ind w:firstLine="720"/>
    </w:pPr>
    <w:rPr>
      <w:rFonts w:eastAsiaTheme="minorHAnsi" w:cstheme="minorBidi"/>
      <w:szCs w:val="24"/>
      <w:lang w:val="en-US" w:eastAsia="en-US"/>
    </w:rPr>
  </w:style>
  <w:style w:type="paragraph" w:styleId="Revisin">
    <w:name w:val="Revision"/>
    <w:hidden/>
    <w:uiPriority w:val="99"/>
    <w:semiHidden/>
    <w:rsid w:val="00D30644"/>
    <w:pPr>
      <w:spacing w:after="0" w:line="240" w:lineRule="auto"/>
    </w:pPr>
    <w:rPr>
      <w:rFonts w:asciiTheme="minorHAnsi" w:eastAsiaTheme="minorEastAsia" w:hAnsiTheme="minorHAnsi"/>
      <w:szCs w:val="24"/>
      <w:lang w:val="es-ES_tradnl" w:eastAsia="es-ES"/>
    </w:rPr>
  </w:style>
  <w:style w:type="character" w:customStyle="1" w:styleId="mw-headline">
    <w:name w:val="mw-headline"/>
    <w:basedOn w:val="Fuentedeprrafopredeter"/>
    <w:rsid w:val="00D30644"/>
  </w:style>
  <w:style w:type="character" w:customStyle="1" w:styleId="mw-editsection">
    <w:name w:val="mw-editsection"/>
    <w:basedOn w:val="Fuentedeprrafopredeter"/>
    <w:rsid w:val="00D30644"/>
  </w:style>
  <w:style w:type="character" w:customStyle="1" w:styleId="mw-editsection-bracket">
    <w:name w:val="mw-editsection-bracket"/>
    <w:basedOn w:val="Fuentedeprrafopredeter"/>
    <w:rsid w:val="00D30644"/>
  </w:style>
  <w:style w:type="paragraph" w:customStyle="1" w:styleId="print-icon">
    <w:name w:val="print-icon"/>
    <w:basedOn w:val="Normal"/>
    <w:rsid w:val="00D30644"/>
    <w:pPr>
      <w:widowControl/>
      <w:spacing w:before="100" w:beforeAutospacing="1" w:after="100" w:afterAutospacing="1"/>
    </w:pPr>
    <w:rPr>
      <w:sz w:val="24"/>
      <w:szCs w:val="24"/>
      <w:lang w:val="es-MX" w:eastAsia="es-MX"/>
    </w:rPr>
  </w:style>
  <w:style w:type="paragraph" w:customStyle="1" w:styleId="email-icon">
    <w:name w:val="email-icon"/>
    <w:basedOn w:val="Normal"/>
    <w:rsid w:val="00D30644"/>
    <w:pPr>
      <w:widowControl/>
      <w:spacing w:before="100" w:beforeAutospacing="1" w:after="100" w:afterAutospacing="1"/>
    </w:pPr>
    <w:rPr>
      <w:sz w:val="24"/>
      <w:szCs w:val="24"/>
      <w:lang w:val="es-MX" w:eastAsia="es-MX"/>
    </w:rPr>
  </w:style>
  <w:style w:type="paragraph" w:customStyle="1" w:styleId="twli">
    <w:name w:val="twli"/>
    <w:basedOn w:val="Normal"/>
    <w:rsid w:val="00D30644"/>
    <w:pPr>
      <w:widowControl/>
      <w:spacing w:before="100" w:beforeAutospacing="1" w:after="100" w:afterAutospacing="1"/>
    </w:pPr>
    <w:rPr>
      <w:sz w:val="24"/>
      <w:szCs w:val="24"/>
      <w:lang w:val="es-MX" w:eastAsia="es-MX"/>
    </w:rPr>
  </w:style>
  <w:style w:type="paragraph" w:customStyle="1" w:styleId="fbli">
    <w:name w:val="fbli"/>
    <w:basedOn w:val="Normal"/>
    <w:rsid w:val="00D30644"/>
    <w:pPr>
      <w:widowControl/>
      <w:spacing w:before="100" w:beforeAutospacing="1" w:after="100" w:afterAutospacing="1"/>
    </w:pPr>
    <w:rPr>
      <w:sz w:val="24"/>
      <w:szCs w:val="24"/>
      <w:lang w:val="es-MX" w:eastAsia="es-MX"/>
    </w:rPr>
  </w:style>
  <w:style w:type="character" w:customStyle="1" w:styleId="bylinename">
    <w:name w:val="byline__name"/>
    <w:basedOn w:val="Fuentedeprrafopredeter"/>
    <w:rsid w:val="00D30644"/>
  </w:style>
  <w:style w:type="character" w:customStyle="1" w:styleId="bylinetitle">
    <w:name w:val="byline__title"/>
    <w:basedOn w:val="Fuentedeprrafopredeter"/>
    <w:rsid w:val="00D30644"/>
  </w:style>
  <w:style w:type="paragraph" w:customStyle="1" w:styleId="mini-info-listitem">
    <w:name w:val="mini-info-list__item"/>
    <w:basedOn w:val="Normal"/>
    <w:rsid w:val="00D30644"/>
    <w:pPr>
      <w:widowControl/>
      <w:spacing w:before="100" w:beforeAutospacing="1" w:after="100" w:afterAutospacing="1"/>
    </w:pPr>
    <w:rPr>
      <w:sz w:val="24"/>
      <w:szCs w:val="24"/>
      <w:lang w:val="es-MX" w:eastAsia="es-MX"/>
    </w:rPr>
  </w:style>
  <w:style w:type="character" w:customStyle="1" w:styleId="chart-title">
    <w:name w:val="chart-title"/>
    <w:basedOn w:val="Fuentedeprrafopredeter"/>
    <w:rsid w:val="00D30644"/>
  </w:style>
  <w:style w:type="character" w:customStyle="1" w:styleId="sapmtext">
    <w:name w:val="sapmtext"/>
    <w:basedOn w:val="Fuentedeprrafopredeter"/>
    <w:rsid w:val="00D30644"/>
  </w:style>
  <w:style w:type="character" w:customStyle="1" w:styleId="A9">
    <w:name w:val="A9"/>
    <w:uiPriority w:val="99"/>
    <w:rsid w:val="00D30644"/>
    <w:rPr>
      <w:rFonts w:cs="Myriad Pro"/>
      <w:color w:val="000000"/>
      <w:sz w:val="20"/>
      <w:szCs w:val="20"/>
    </w:rPr>
  </w:style>
  <w:style w:type="character" w:customStyle="1" w:styleId="A6">
    <w:name w:val="A6"/>
    <w:uiPriority w:val="99"/>
    <w:rsid w:val="00D30644"/>
    <w:rPr>
      <w:rFonts w:cs="Myriad Pro"/>
      <w:b/>
      <w:bCs/>
      <w:color w:val="000000"/>
      <w:sz w:val="22"/>
      <w:szCs w:val="22"/>
    </w:rPr>
  </w:style>
  <w:style w:type="character" w:customStyle="1" w:styleId="A5">
    <w:name w:val="A5"/>
    <w:uiPriority w:val="99"/>
    <w:rsid w:val="00D30644"/>
    <w:rPr>
      <w:rFonts w:cs="Myriad Pro Cond"/>
      <w:b/>
      <w:bCs/>
      <w:color w:val="000000"/>
      <w:sz w:val="52"/>
      <w:szCs w:val="52"/>
    </w:rPr>
  </w:style>
  <w:style w:type="character" w:customStyle="1" w:styleId="UnresolvedMention">
    <w:name w:val="Unresolved Mention"/>
    <w:basedOn w:val="Fuentedeprrafopredeter"/>
    <w:uiPriority w:val="99"/>
    <w:semiHidden/>
    <w:unhideWhenUsed/>
    <w:rsid w:val="004707AB"/>
    <w:rPr>
      <w:color w:val="605E5C"/>
      <w:shd w:val="clear" w:color="auto" w:fill="E1DFDD"/>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heme="minorHAnsi" w:hAnsi="Times New Roman" w:cstheme="minorBidi"/>
        <w:sz w:val="24"/>
        <w:szCs w:val="22"/>
        <w:lang w:val="es-GT"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page number" w:uiPriority="0"/>
    <w:lsdException w:name="Title" w:semiHidden="0" w:uiPriority="10" w:unhideWhenUsed="0" w:qFormat="1"/>
    <w:lsdException w:name="Default Paragraph Font" w:uiPriority="1"/>
    <w:lsdException w:name="Body Text Indent" w:uiPriority="0"/>
    <w:lsdException w:name="Subtitle" w:semiHidden="0" w:uiPriority="11" w:unhideWhenUsed="0" w:qFormat="1"/>
    <w:lsdException w:name="Body Text 2" w:uiPriority="0"/>
    <w:lsdException w:name="Body Text 3" w:uiPriority="0"/>
    <w:lsdException w:name="Body Text Indent 2" w:uiPriority="0"/>
    <w:lsdException w:name="Body Text Indent 3" w:uiPriority="0"/>
    <w:lsdException w:name="Strong" w:semiHidden="0" w:uiPriority="22" w:unhideWhenUsed="0" w:qFormat="1"/>
    <w:lsdException w:name="Emphasis" w:semiHidden="0" w:uiPriority="20" w:unhideWhenUsed="0" w:qFormat="1"/>
    <w:lsdException w:name="Document Map" w:uiPriority="0"/>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475EF"/>
    <w:pPr>
      <w:widowControl w:val="0"/>
      <w:spacing w:after="0" w:line="240" w:lineRule="auto"/>
    </w:pPr>
    <w:rPr>
      <w:rFonts w:eastAsia="Times New Roman" w:cs="Times New Roman"/>
      <w:sz w:val="20"/>
      <w:szCs w:val="20"/>
      <w:lang w:val="es-ES_tradnl" w:eastAsia="es-ES"/>
    </w:rPr>
  </w:style>
  <w:style w:type="paragraph" w:styleId="Ttulo1">
    <w:name w:val="heading 1"/>
    <w:aliases w:val="título 1"/>
    <w:basedOn w:val="Normal"/>
    <w:next w:val="Normal"/>
    <w:link w:val="Ttulo1Car"/>
    <w:uiPriority w:val="9"/>
    <w:qFormat/>
    <w:rsid w:val="006475EF"/>
    <w:pPr>
      <w:keepNext/>
      <w:jc w:val="center"/>
      <w:outlineLvl w:val="0"/>
    </w:pPr>
    <w:rPr>
      <w:b/>
      <w:color w:val="000000"/>
      <w:sz w:val="16"/>
    </w:rPr>
  </w:style>
  <w:style w:type="paragraph" w:styleId="Ttulo2">
    <w:name w:val="heading 2"/>
    <w:basedOn w:val="Normal"/>
    <w:next w:val="Normal"/>
    <w:link w:val="Ttulo2Car"/>
    <w:uiPriority w:val="9"/>
    <w:qFormat/>
    <w:rsid w:val="006475EF"/>
    <w:pPr>
      <w:keepNext/>
      <w:outlineLvl w:val="1"/>
    </w:pPr>
    <w:rPr>
      <w:b/>
      <w:color w:val="000000"/>
    </w:rPr>
  </w:style>
  <w:style w:type="paragraph" w:styleId="Ttulo3">
    <w:name w:val="heading 3"/>
    <w:aliases w:val="título 3,Título proyecto,Títul4,Título 3 Sección,I3-3,h3,3,Título 3 Car Car,T3 para doc. Metro,Titulo 3,head:3#,.h3,Headline 3,Bold Head,bh,Títulobis,Map title,ARTICULO,Subsubcapitulo,Título 3_SIGMA,Capít.,Heading 31,heading 5"/>
    <w:basedOn w:val="Normal"/>
    <w:next w:val="Normal"/>
    <w:link w:val="Ttulo3Car"/>
    <w:uiPriority w:val="9"/>
    <w:qFormat/>
    <w:rsid w:val="006475EF"/>
    <w:pPr>
      <w:keepNext/>
      <w:outlineLvl w:val="2"/>
    </w:pPr>
    <w:rPr>
      <w:b/>
      <w:sz w:val="16"/>
      <w:u w:val="single"/>
    </w:rPr>
  </w:style>
  <w:style w:type="paragraph" w:styleId="Ttulo4">
    <w:name w:val="heading 4"/>
    <w:basedOn w:val="Normal"/>
    <w:next w:val="Normal"/>
    <w:link w:val="Ttulo4Car"/>
    <w:uiPriority w:val="9"/>
    <w:qFormat/>
    <w:rsid w:val="006475EF"/>
    <w:pPr>
      <w:keepNext/>
      <w:jc w:val="center"/>
      <w:outlineLvl w:val="3"/>
    </w:pPr>
    <w:rPr>
      <w:b/>
      <w:sz w:val="16"/>
    </w:rPr>
  </w:style>
  <w:style w:type="paragraph" w:styleId="Ttulo5">
    <w:name w:val="heading 5"/>
    <w:basedOn w:val="Normal"/>
    <w:next w:val="Normal"/>
    <w:link w:val="Ttulo5Car"/>
    <w:uiPriority w:val="9"/>
    <w:qFormat/>
    <w:rsid w:val="006475EF"/>
    <w:pPr>
      <w:keepNext/>
      <w:jc w:val="center"/>
      <w:outlineLvl w:val="4"/>
    </w:pPr>
    <w:rPr>
      <w:b/>
      <w:color w:val="0000FF"/>
    </w:rPr>
  </w:style>
  <w:style w:type="paragraph" w:styleId="Ttulo6">
    <w:name w:val="heading 6"/>
    <w:basedOn w:val="Normal"/>
    <w:next w:val="Normal"/>
    <w:link w:val="Ttulo6Car"/>
    <w:uiPriority w:val="9"/>
    <w:qFormat/>
    <w:rsid w:val="006475EF"/>
    <w:pPr>
      <w:keepNext/>
      <w:outlineLvl w:val="5"/>
    </w:pPr>
    <w:rPr>
      <w:b/>
      <w:color w:val="000000"/>
      <w:sz w:val="16"/>
    </w:rPr>
  </w:style>
  <w:style w:type="paragraph" w:styleId="Ttulo7">
    <w:name w:val="heading 7"/>
    <w:basedOn w:val="Normal"/>
    <w:next w:val="Normal"/>
    <w:link w:val="Ttulo7Car"/>
    <w:uiPriority w:val="9"/>
    <w:qFormat/>
    <w:rsid w:val="006475EF"/>
    <w:pPr>
      <w:keepNext/>
      <w:jc w:val="both"/>
      <w:outlineLvl w:val="6"/>
    </w:pPr>
    <w:rPr>
      <w:b/>
    </w:rPr>
  </w:style>
  <w:style w:type="paragraph" w:styleId="Ttulo8">
    <w:name w:val="heading 8"/>
    <w:basedOn w:val="Normal"/>
    <w:next w:val="Normal"/>
    <w:link w:val="Ttulo8Car"/>
    <w:uiPriority w:val="9"/>
    <w:qFormat/>
    <w:rsid w:val="006475EF"/>
    <w:pPr>
      <w:keepNext/>
      <w:outlineLvl w:val="7"/>
    </w:pPr>
    <w:rPr>
      <w:b/>
      <w:color w:val="000000"/>
      <w:sz w:val="18"/>
      <w:lang w:val="es-ES"/>
    </w:rPr>
  </w:style>
  <w:style w:type="paragraph" w:styleId="Ttulo9">
    <w:name w:val="heading 9"/>
    <w:basedOn w:val="Normal"/>
    <w:next w:val="Normal"/>
    <w:link w:val="Ttulo9Car"/>
    <w:uiPriority w:val="9"/>
    <w:qFormat/>
    <w:rsid w:val="006475EF"/>
    <w:pPr>
      <w:keepNext/>
      <w:outlineLvl w:val="8"/>
    </w:pPr>
    <w:rPr>
      <w:b/>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aliases w:val="título 1 Car"/>
    <w:basedOn w:val="Fuentedeprrafopredeter"/>
    <w:link w:val="Ttulo1"/>
    <w:uiPriority w:val="9"/>
    <w:rsid w:val="006475EF"/>
    <w:rPr>
      <w:rFonts w:eastAsia="Times New Roman" w:cs="Times New Roman"/>
      <w:b/>
      <w:color w:val="000000"/>
      <w:sz w:val="16"/>
      <w:szCs w:val="20"/>
      <w:lang w:val="es-ES_tradnl" w:eastAsia="es-ES"/>
    </w:rPr>
  </w:style>
  <w:style w:type="character" w:customStyle="1" w:styleId="Ttulo2Car">
    <w:name w:val="Título 2 Car"/>
    <w:basedOn w:val="Fuentedeprrafopredeter"/>
    <w:link w:val="Ttulo2"/>
    <w:uiPriority w:val="9"/>
    <w:rsid w:val="006475EF"/>
    <w:rPr>
      <w:rFonts w:eastAsia="Times New Roman" w:cs="Times New Roman"/>
      <w:b/>
      <w:color w:val="000000"/>
      <w:sz w:val="20"/>
      <w:szCs w:val="20"/>
      <w:lang w:val="es-ES_tradnl" w:eastAsia="es-ES"/>
    </w:rPr>
  </w:style>
  <w:style w:type="character" w:customStyle="1" w:styleId="Ttulo3Car">
    <w:name w:val="Título 3 Car"/>
    <w:aliases w:val="título 3 Car,Título proyecto Car,Títul4 Car,Título 3 Sección Car,I3-3 Car,h3 Car,3 Car,Título 3 Car Car Car,T3 para doc. Metro Car,Titulo 3 Car,head:3# Car,.h3 Car,Headline 3 Car,Bold Head Car,bh Car,Títulobis Car,Map title Car,ARTICULO Car"/>
    <w:basedOn w:val="Fuentedeprrafopredeter"/>
    <w:link w:val="Ttulo3"/>
    <w:uiPriority w:val="9"/>
    <w:rsid w:val="006475EF"/>
    <w:rPr>
      <w:rFonts w:eastAsia="Times New Roman" w:cs="Times New Roman"/>
      <w:b/>
      <w:sz w:val="16"/>
      <w:szCs w:val="20"/>
      <w:u w:val="single"/>
      <w:lang w:val="es-ES_tradnl" w:eastAsia="es-ES"/>
    </w:rPr>
  </w:style>
  <w:style w:type="character" w:customStyle="1" w:styleId="Ttulo4Car">
    <w:name w:val="Título 4 Car"/>
    <w:basedOn w:val="Fuentedeprrafopredeter"/>
    <w:link w:val="Ttulo4"/>
    <w:uiPriority w:val="9"/>
    <w:rsid w:val="006475EF"/>
    <w:rPr>
      <w:rFonts w:eastAsia="Times New Roman" w:cs="Times New Roman"/>
      <w:b/>
      <w:sz w:val="16"/>
      <w:szCs w:val="20"/>
      <w:lang w:val="es-ES_tradnl" w:eastAsia="es-ES"/>
    </w:rPr>
  </w:style>
  <w:style w:type="character" w:customStyle="1" w:styleId="Ttulo5Car">
    <w:name w:val="Título 5 Car"/>
    <w:basedOn w:val="Fuentedeprrafopredeter"/>
    <w:link w:val="Ttulo5"/>
    <w:uiPriority w:val="9"/>
    <w:rsid w:val="006475EF"/>
    <w:rPr>
      <w:rFonts w:eastAsia="Times New Roman" w:cs="Times New Roman"/>
      <w:b/>
      <w:color w:val="0000FF"/>
      <w:sz w:val="20"/>
      <w:szCs w:val="20"/>
      <w:lang w:val="es-ES_tradnl" w:eastAsia="es-ES"/>
    </w:rPr>
  </w:style>
  <w:style w:type="character" w:customStyle="1" w:styleId="Ttulo6Car">
    <w:name w:val="Título 6 Car"/>
    <w:basedOn w:val="Fuentedeprrafopredeter"/>
    <w:link w:val="Ttulo6"/>
    <w:uiPriority w:val="9"/>
    <w:rsid w:val="006475EF"/>
    <w:rPr>
      <w:rFonts w:eastAsia="Times New Roman" w:cs="Times New Roman"/>
      <w:b/>
      <w:color w:val="000000"/>
      <w:sz w:val="16"/>
      <w:szCs w:val="20"/>
      <w:lang w:val="es-ES_tradnl" w:eastAsia="es-ES"/>
    </w:rPr>
  </w:style>
  <w:style w:type="character" w:customStyle="1" w:styleId="Ttulo7Car">
    <w:name w:val="Título 7 Car"/>
    <w:basedOn w:val="Fuentedeprrafopredeter"/>
    <w:link w:val="Ttulo7"/>
    <w:uiPriority w:val="9"/>
    <w:rsid w:val="006475EF"/>
    <w:rPr>
      <w:rFonts w:eastAsia="Times New Roman" w:cs="Times New Roman"/>
      <w:b/>
      <w:sz w:val="20"/>
      <w:szCs w:val="20"/>
      <w:lang w:val="es-ES_tradnl" w:eastAsia="es-ES"/>
    </w:rPr>
  </w:style>
  <w:style w:type="character" w:customStyle="1" w:styleId="Ttulo8Car">
    <w:name w:val="Título 8 Car"/>
    <w:basedOn w:val="Fuentedeprrafopredeter"/>
    <w:link w:val="Ttulo8"/>
    <w:uiPriority w:val="9"/>
    <w:rsid w:val="006475EF"/>
    <w:rPr>
      <w:rFonts w:eastAsia="Times New Roman" w:cs="Times New Roman"/>
      <w:b/>
      <w:color w:val="000000"/>
      <w:sz w:val="18"/>
      <w:szCs w:val="20"/>
      <w:lang w:val="es-ES" w:eastAsia="es-ES"/>
    </w:rPr>
  </w:style>
  <w:style w:type="character" w:customStyle="1" w:styleId="Ttulo9Car">
    <w:name w:val="Título 9 Car"/>
    <w:basedOn w:val="Fuentedeprrafopredeter"/>
    <w:link w:val="Ttulo9"/>
    <w:uiPriority w:val="9"/>
    <w:rsid w:val="006475EF"/>
    <w:rPr>
      <w:rFonts w:eastAsia="Times New Roman" w:cs="Times New Roman"/>
      <w:b/>
      <w:sz w:val="20"/>
      <w:szCs w:val="20"/>
      <w:lang w:val="es-ES_tradnl" w:eastAsia="es-ES"/>
    </w:rPr>
  </w:style>
  <w:style w:type="paragraph" w:styleId="Encabezado">
    <w:name w:val="header"/>
    <w:basedOn w:val="Normal"/>
    <w:link w:val="EncabezadoCar"/>
    <w:uiPriority w:val="99"/>
    <w:rsid w:val="006475EF"/>
    <w:pPr>
      <w:tabs>
        <w:tab w:val="center" w:pos="4252"/>
        <w:tab w:val="right" w:pos="8504"/>
      </w:tabs>
    </w:pPr>
  </w:style>
  <w:style w:type="character" w:customStyle="1" w:styleId="EncabezadoCar">
    <w:name w:val="Encabezado Car"/>
    <w:basedOn w:val="Fuentedeprrafopredeter"/>
    <w:link w:val="Encabezado"/>
    <w:uiPriority w:val="99"/>
    <w:rsid w:val="006475EF"/>
    <w:rPr>
      <w:rFonts w:eastAsia="Times New Roman" w:cs="Times New Roman"/>
      <w:sz w:val="20"/>
      <w:szCs w:val="20"/>
      <w:lang w:val="es-ES_tradnl" w:eastAsia="es-ES"/>
    </w:rPr>
  </w:style>
  <w:style w:type="paragraph" w:styleId="Piedepgina">
    <w:name w:val="footer"/>
    <w:basedOn w:val="Normal"/>
    <w:link w:val="PiedepginaCar"/>
    <w:uiPriority w:val="99"/>
    <w:rsid w:val="006475EF"/>
    <w:pPr>
      <w:tabs>
        <w:tab w:val="center" w:pos="4252"/>
        <w:tab w:val="right" w:pos="8504"/>
      </w:tabs>
    </w:pPr>
  </w:style>
  <w:style w:type="character" w:customStyle="1" w:styleId="PiedepginaCar">
    <w:name w:val="Pie de página Car"/>
    <w:basedOn w:val="Fuentedeprrafopredeter"/>
    <w:link w:val="Piedepgina"/>
    <w:uiPriority w:val="99"/>
    <w:rsid w:val="006475EF"/>
    <w:rPr>
      <w:rFonts w:eastAsia="Times New Roman" w:cs="Times New Roman"/>
      <w:sz w:val="20"/>
      <w:szCs w:val="20"/>
      <w:lang w:val="es-ES_tradnl" w:eastAsia="es-ES"/>
    </w:rPr>
  </w:style>
  <w:style w:type="character" w:styleId="Nmerodepgina">
    <w:name w:val="page number"/>
    <w:basedOn w:val="Fuentedeprrafopredeter"/>
    <w:rsid w:val="006475EF"/>
  </w:style>
  <w:style w:type="character" w:styleId="Refdecomentario">
    <w:name w:val="annotation reference"/>
    <w:basedOn w:val="Fuentedeprrafopredeter"/>
    <w:uiPriority w:val="99"/>
    <w:semiHidden/>
    <w:rsid w:val="006475EF"/>
    <w:rPr>
      <w:sz w:val="16"/>
    </w:rPr>
  </w:style>
  <w:style w:type="paragraph" w:styleId="Textocomentario">
    <w:name w:val="annotation text"/>
    <w:basedOn w:val="Normal"/>
    <w:link w:val="TextocomentarioCar"/>
    <w:uiPriority w:val="99"/>
    <w:semiHidden/>
    <w:rsid w:val="006475EF"/>
  </w:style>
  <w:style w:type="character" w:customStyle="1" w:styleId="TextocomentarioCar">
    <w:name w:val="Texto comentario Car"/>
    <w:basedOn w:val="Fuentedeprrafopredeter"/>
    <w:link w:val="Textocomentario"/>
    <w:uiPriority w:val="99"/>
    <w:semiHidden/>
    <w:rsid w:val="006475EF"/>
    <w:rPr>
      <w:rFonts w:eastAsia="Times New Roman" w:cs="Times New Roman"/>
      <w:sz w:val="20"/>
      <w:szCs w:val="20"/>
      <w:lang w:val="es-ES_tradnl" w:eastAsia="es-ES"/>
    </w:rPr>
  </w:style>
  <w:style w:type="paragraph" w:styleId="Ttulo">
    <w:name w:val="Title"/>
    <w:basedOn w:val="Normal"/>
    <w:link w:val="TtuloCar"/>
    <w:uiPriority w:val="10"/>
    <w:qFormat/>
    <w:rsid w:val="006475EF"/>
    <w:pPr>
      <w:jc w:val="center"/>
    </w:pPr>
    <w:rPr>
      <w:b/>
      <w:sz w:val="22"/>
    </w:rPr>
  </w:style>
  <w:style w:type="character" w:customStyle="1" w:styleId="TtuloCar">
    <w:name w:val="Título Car"/>
    <w:basedOn w:val="Fuentedeprrafopredeter"/>
    <w:link w:val="Ttulo"/>
    <w:uiPriority w:val="10"/>
    <w:rsid w:val="006475EF"/>
    <w:rPr>
      <w:rFonts w:eastAsia="Times New Roman" w:cs="Times New Roman"/>
      <w:b/>
      <w:sz w:val="22"/>
      <w:szCs w:val="20"/>
      <w:lang w:val="es-ES_tradnl" w:eastAsia="es-ES"/>
    </w:rPr>
  </w:style>
  <w:style w:type="paragraph" w:styleId="Textoindependiente">
    <w:name w:val="Body Text"/>
    <w:basedOn w:val="Normal"/>
    <w:link w:val="TextoindependienteCar"/>
    <w:uiPriority w:val="99"/>
    <w:rsid w:val="006475EF"/>
    <w:rPr>
      <w:color w:val="0000FF"/>
      <w:sz w:val="16"/>
    </w:rPr>
  </w:style>
  <w:style w:type="character" w:customStyle="1" w:styleId="TextoindependienteCar">
    <w:name w:val="Texto independiente Car"/>
    <w:basedOn w:val="Fuentedeprrafopredeter"/>
    <w:link w:val="Textoindependiente"/>
    <w:uiPriority w:val="99"/>
    <w:rsid w:val="006475EF"/>
    <w:rPr>
      <w:rFonts w:eastAsia="Times New Roman" w:cs="Times New Roman"/>
      <w:color w:val="0000FF"/>
      <w:sz w:val="16"/>
      <w:szCs w:val="20"/>
      <w:lang w:val="es-ES_tradnl" w:eastAsia="es-ES"/>
    </w:rPr>
  </w:style>
  <w:style w:type="paragraph" w:styleId="Epgrafe">
    <w:name w:val="caption"/>
    <w:basedOn w:val="Normal"/>
    <w:next w:val="Normal"/>
    <w:uiPriority w:val="35"/>
    <w:qFormat/>
    <w:rsid w:val="006475EF"/>
    <w:pPr>
      <w:jc w:val="center"/>
    </w:pPr>
    <w:rPr>
      <w:b/>
      <w:color w:val="0000FF"/>
    </w:rPr>
  </w:style>
  <w:style w:type="paragraph" w:styleId="Sangradetextonormal">
    <w:name w:val="Body Text Indent"/>
    <w:basedOn w:val="Normal"/>
    <w:link w:val="SangradetextonormalCar"/>
    <w:rsid w:val="006475EF"/>
    <w:pPr>
      <w:jc w:val="center"/>
    </w:pPr>
    <w:rPr>
      <w:b/>
    </w:rPr>
  </w:style>
  <w:style w:type="character" w:customStyle="1" w:styleId="SangradetextonormalCar">
    <w:name w:val="Sangría de texto normal Car"/>
    <w:basedOn w:val="Fuentedeprrafopredeter"/>
    <w:link w:val="Sangradetextonormal"/>
    <w:rsid w:val="006475EF"/>
    <w:rPr>
      <w:rFonts w:eastAsia="Times New Roman" w:cs="Times New Roman"/>
      <w:b/>
      <w:sz w:val="20"/>
      <w:szCs w:val="20"/>
      <w:lang w:val="es-ES_tradnl" w:eastAsia="es-ES"/>
    </w:rPr>
  </w:style>
  <w:style w:type="paragraph" w:styleId="Sangra2detindependiente">
    <w:name w:val="Body Text Indent 2"/>
    <w:basedOn w:val="Normal"/>
    <w:link w:val="Sangra2detindependienteCar"/>
    <w:rsid w:val="006475EF"/>
    <w:pPr>
      <w:ind w:left="709"/>
    </w:pPr>
  </w:style>
  <w:style w:type="character" w:customStyle="1" w:styleId="Sangra2detindependienteCar">
    <w:name w:val="Sangría 2 de t. independiente Car"/>
    <w:basedOn w:val="Fuentedeprrafopredeter"/>
    <w:link w:val="Sangra2detindependiente"/>
    <w:rsid w:val="006475EF"/>
    <w:rPr>
      <w:rFonts w:eastAsia="Times New Roman" w:cs="Times New Roman"/>
      <w:sz w:val="20"/>
      <w:szCs w:val="20"/>
      <w:lang w:val="es-ES_tradnl" w:eastAsia="es-ES"/>
    </w:rPr>
  </w:style>
  <w:style w:type="paragraph" w:styleId="Sangra3detindependiente">
    <w:name w:val="Body Text Indent 3"/>
    <w:basedOn w:val="Normal"/>
    <w:link w:val="Sangra3detindependienteCar"/>
    <w:rsid w:val="006475EF"/>
    <w:pPr>
      <w:ind w:left="630" w:firstLine="439"/>
      <w:jc w:val="both"/>
    </w:pPr>
  </w:style>
  <w:style w:type="character" w:customStyle="1" w:styleId="Sangra3detindependienteCar">
    <w:name w:val="Sangría 3 de t. independiente Car"/>
    <w:basedOn w:val="Fuentedeprrafopredeter"/>
    <w:link w:val="Sangra3detindependiente"/>
    <w:rsid w:val="006475EF"/>
    <w:rPr>
      <w:rFonts w:eastAsia="Times New Roman" w:cs="Times New Roman"/>
      <w:sz w:val="20"/>
      <w:szCs w:val="20"/>
      <w:lang w:val="es-ES_tradnl" w:eastAsia="es-ES"/>
    </w:rPr>
  </w:style>
  <w:style w:type="paragraph" w:styleId="Textoindependiente2">
    <w:name w:val="Body Text 2"/>
    <w:basedOn w:val="Normal"/>
    <w:link w:val="Textoindependiente2Car"/>
    <w:rsid w:val="006475EF"/>
    <w:pPr>
      <w:jc w:val="both"/>
    </w:pPr>
    <w:rPr>
      <w:noProof/>
      <w:sz w:val="24"/>
    </w:rPr>
  </w:style>
  <w:style w:type="character" w:customStyle="1" w:styleId="Textoindependiente2Car">
    <w:name w:val="Texto independiente 2 Car"/>
    <w:basedOn w:val="Fuentedeprrafopredeter"/>
    <w:link w:val="Textoindependiente2"/>
    <w:rsid w:val="006475EF"/>
    <w:rPr>
      <w:rFonts w:eastAsia="Times New Roman" w:cs="Times New Roman"/>
      <w:noProof/>
      <w:szCs w:val="20"/>
      <w:lang w:val="es-ES_tradnl" w:eastAsia="es-ES"/>
    </w:rPr>
  </w:style>
  <w:style w:type="paragraph" w:styleId="Mapadeldocumento">
    <w:name w:val="Document Map"/>
    <w:basedOn w:val="Normal"/>
    <w:link w:val="MapadeldocumentoCar"/>
    <w:semiHidden/>
    <w:rsid w:val="006475EF"/>
    <w:pPr>
      <w:shd w:val="clear" w:color="auto" w:fill="000080"/>
    </w:pPr>
    <w:rPr>
      <w:rFonts w:ascii="Tahoma" w:hAnsi="Tahoma"/>
    </w:rPr>
  </w:style>
  <w:style w:type="character" w:customStyle="1" w:styleId="MapadeldocumentoCar">
    <w:name w:val="Mapa del documento Car"/>
    <w:basedOn w:val="Fuentedeprrafopredeter"/>
    <w:link w:val="Mapadeldocumento"/>
    <w:semiHidden/>
    <w:rsid w:val="006475EF"/>
    <w:rPr>
      <w:rFonts w:ascii="Tahoma" w:eastAsia="Times New Roman" w:hAnsi="Tahoma" w:cs="Times New Roman"/>
      <w:sz w:val="20"/>
      <w:szCs w:val="20"/>
      <w:shd w:val="clear" w:color="auto" w:fill="000080"/>
      <w:lang w:val="es-ES_tradnl" w:eastAsia="es-ES"/>
    </w:rPr>
  </w:style>
  <w:style w:type="paragraph" w:styleId="Textoindependiente3">
    <w:name w:val="Body Text 3"/>
    <w:basedOn w:val="Normal"/>
    <w:link w:val="Textoindependiente3Car"/>
    <w:rsid w:val="006475EF"/>
    <w:pPr>
      <w:jc w:val="center"/>
    </w:pPr>
    <w:rPr>
      <w:rFonts w:eastAsia="Arial Unicode MS"/>
      <w:b/>
      <w:bCs/>
      <w:sz w:val="14"/>
    </w:rPr>
  </w:style>
  <w:style w:type="character" w:customStyle="1" w:styleId="Textoindependiente3Car">
    <w:name w:val="Texto independiente 3 Car"/>
    <w:basedOn w:val="Fuentedeprrafopredeter"/>
    <w:link w:val="Textoindependiente3"/>
    <w:rsid w:val="006475EF"/>
    <w:rPr>
      <w:rFonts w:eastAsia="Arial Unicode MS" w:cs="Times New Roman"/>
      <w:b/>
      <w:bCs/>
      <w:sz w:val="14"/>
      <w:szCs w:val="20"/>
      <w:lang w:val="es-ES_tradnl" w:eastAsia="es-ES"/>
    </w:rPr>
  </w:style>
  <w:style w:type="paragraph" w:customStyle="1" w:styleId="xl24">
    <w:name w:val="xl24"/>
    <w:basedOn w:val="Normal"/>
    <w:rsid w:val="006475EF"/>
    <w:pPr>
      <w:widowControl/>
      <w:pBdr>
        <w:left w:val="double" w:sz="6" w:space="0" w:color="auto"/>
        <w:right w:val="single" w:sz="4" w:space="0" w:color="auto"/>
      </w:pBdr>
      <w:spacing w:before="100" w:beforeAutospacing="1" w:after="100" w:afterAutospacing="1"/>
      <w:jc w:val="center"/>
    </w:pPr>
    <w:rPr>
      <w:rFonts w:eastAsia="Arial Unicode MS"/>
      <w:sz w:val="24"/>
      <w:szCs w:val="24"/>
      <w:lang w:val="es-ES"/>
    </w:rPr>
  </w:style>
  <w:style w:type="paragraph" w:customStyle="1" w:styleId="xl25">
    <w:name w:val="xl25"/>
    <w:basedOn w:val="Normal"/>
    <w:rsid w:val="006475EF"/>
    <w:pPr>
      <w:widowControl/>
      <w:pBdr>
        <w:left w:val="double" w:sz="6" w:space="0" w:color="auto"/>
        <w:right w:val="single" w:sz="4" w:space="0" w:color="auto"/>
      </w:pBdr>
      <w:spacing w:before="100" w:beforeAutospacing="1" w:after="100" w:afterAutospacing="1"/>
    </w:pPr>
    <w:rPr>
      <w:rFonts w:eastAsia="Arial Unicode MS"/>
      <w:sz w:val="24"/>
      <w:szCs w:val="24"/>
      <w:lang w:val="es-ES"/>
    </w:rPr>
  </w:style>
  <w:style w:type="paragraph" w:customStyle="1" w:styleId="xl26">
    <w:name w:val="xl26"/>
    <w:basedOn w:val="Normal"/>
    <w:rsid w:val="006475EF"/>
    <w:pPr>
      <w:widowControl/>
      <w:pBdr>
        <w:right w:val="single" w:sz="4" w:space="0" w:color="auto"/>
      </w:pBdr>
      <w:spacing w:before="100" w:beforeAutospacing="1" w:after="100" w:afterAutospacing="1"/>
    </w:pPr>
    <w:rPr>
      <w:rFonts w:eastAsia="Arial Unicode MS"/>
      <w:sz w:val="24"/>
      <w:szCs w:val="24"/>
      <w:lang w:val="es-ES"/>
    </w:rPr>
  </w:style>
  <w:style w:type="paragraph" w:customStyle="1" w:styleId="xl27">
    <w:name w:val="xl27"/>
    <w:basedOn w:val="Normal"/>
    <w:rsid w:val="006475EF"/>
    <w:pPr>
      <w:widowControl/>
      <w:pBdr>
        <w:left w:val="single" w:sz="4" w:space="0" w:color="auto"/>
        <w:right w:val="single" w:sz="4" w:space="0" w:color="auto"/>
      </w:pBdr>
      <w:spacing w:before="100" w:beforeAutospacing="1" w:after="100" w:afterAutospacing="1"/>
    </w:pPr>
    <w:rPr>
      <w:rFonts w:eastAsia="Arial Unicode MS"/>
      <w:sz w:val="24"/>
      <w:szCs w:val="24"/>
      <w:lang w:val="es-ES"/>
    </w:rPr>
  </w:style>
  <w:style w:type="paragraph" w:customStyle="1" w:styleId="xl28">
    <w:name w:val="xl28"/>
    <w:basedOn w:val="Normal"/>
    <w:rsid w:val="006475EF"/>
    <w:pPr>
      <w:widowControl/>
      <w:pBdr>
        <w:left w:val="single" w:sz="4" w:space="0" w:color="auto"/>
        <w:right w:val="double" w:sz="6" w:space="0" w:color="auto"/>
      </w:pBdr>
      <w:spacing w:before="100" w:beforeAutospacing="1" w:after="100" w:afterAutospacing="1"/>
      <w:jc w:val="center"/>
    </w:pPr>
    <w:rPr>
      <w:rFonts w:eastAsia="Arial Unicode MS"/>
      <w:sz w:val="24"/>
      <w:szCs w:val="24"/>
      <w:lang w:val="es-ES"/>
    </w:rPr>
  </w:style>
  <w:style w:type="paragraph" w:customStyle="1" w:styleId="xl29">
    <w:name w:val="xl29"/>
    <w:basedOn w:val="Normal"/>
    <w:rsid w:val="006475EF"/>
    <w:pPr>
      <w:widowControl/>
      <w:pBdr>
        <w:right w:val="single" w:sz="4" w:space="0" w:color="auto"/>
      </w:pBdr>
      <w:spacing w:before="100" w:beforeAutospacing="1" w:after="100" w:afterAutospacing="1"/>
      <w:jc w:val="center"/>
    </w:pPr>
    <w:rPr>
      <w:rFonts w:eastAsia="Arial Unicode MS"/>
      <w:b/>
      <w:bCs/>
      <w:sz w:val="24"/>
      <w:szCs w:val="24"/>
      <w:lang w:val="es-ES"/>
    </w:rPr>
  </w:style>
  <w:style w:type="paragraph" w:customStyle="1" w:styleId="xl30">
    <w:name w:val="xl30"/>
    <w:basedOn w:val="Normal"/>
    <w:rsid w:val="006475EF"/>
    <w:pPr>
      <w:widowControl/>
      <w:pBdr>
        <w:left w:val="single" w:sz="4" w:space="0" w:color="auto"/>
        <w:right w:val="single" w:sz="4" w:space="0" w:color="auto"/>
      </w:pBdr>
      <w:spacing w:before="100" w:beforeAutospacing="1" w:after="100" w:afterAutospacing="1"/>
    </w:pPr>
    <w:rPr>
      <w:rFonts w:eastAsia="Arial Unicode MS"/>
      <w:b/>
      <w:bCs/>
      <w:sz w:val="24"/>
      <w:szCs w:val="24"/>
      <w:u w:val="double"/>
      <w:lang w:val="es-ES"/>
    </w:rPr>
  </w:style>
  <w:style w:type="paragraph" w:customStyle="1" w:styleId="xl31">
    <w:name w:val="xl31"/>
    <w:basedOn w:val="Normal"/>
    <w:rsid w:val="006475EF"/>
    <w:pPr>
      <w:widowControl/>
      <w:pBdr>
        <w:left w:val="single" w:sz="4" w:space="0" w:color="auto"/>
        <w:right w:val="double" w:sz="6" w:space="0" w:color="auto"/>
      </w:pBdr>
      <w:spacing w:before="100" w:beforeAutospacing="1" w:after="100" w:afterAutospacing="1"/>
      <w:jc w:val="center"/>
    </w:pPr>
    <w:rPr>
      <w:rFonts w:eastAsia="Arial Unicode MS"/>
      <w:b/>
      <w:bCs/>
      <w:sz w:val="24"/>
      <w:szCs w:val="24"/>
      <w:u w:val="double"/>
      <w:lang w:val="es-ES"/>
    </w:rPr>
  </w:style>
  <w:style w:type="paragraph" w:customStyle="1" w:styleId="xl32">
    <w:name w:val="xl32"/>
    <w:basedOn w:val="Normal"/>
    <w:rsid w:val="006475EF"/>
    <w:pPr>
      <w:widowControl/>
      <w:pBdr>
        <w:right w:val="single" w:sz="4" w:space="0" w:color="auto"/>
      </w:pBdr>
      <w:spacing w:before="100" w:beforeAutospacing="1" w:after="100" w:afterAutospacing="1"/>
    </w:pPr>
    <w:rPr>
      <w:rFonts w:eastAsia="Arial Unicode MS"/>
      <w:b/>
      <w:bCs/>
      <w:sz w:val="24"/>
      <w:szCs w:val="24"/>
      <w:lang w:val="es-ES"/>
    </w:rPr>
  </w:style>
  <w:style w:type="paragraph" w:customStyle="1" w:styleId="xl33">
    <w:name w:val="xl33"/>
    <w:basedOn w:val="Normal"/>
    <w:rsid w:val="006475EF"/>
    <w:pPr>
      <w:widowControl/>
      <w:pBdr>
        <w:left w:val="single" w:sz="4" w:space="0" w:color="auto"/>
        <w:right w:val="single" w:sz="4" w:space="0" w:color="auto"/>
      </w:pBdr>
      <w:spacing w:before="100" w:beforeAutospacing="1" w:after="100" w:afterAutospacing="1"/>
    </w:pPr>
    <w:rPr>
      <w:rFonts w:eastAsia="Arial Unicode MS"/>
      <w:b/>
      <w:bCs/>
      <w:sz w:val="24"/>
      <w:szCs w:val="24"/>
      <w:lang w:val="es-ES"/>
    </w:rPr>
  </w:style>
  <w:style w:type="paragraph" w:customStyle="1" w:styleId="xl34">
    <w:name w:val="xl34"/>
    <w:basedOn w:val="Normal"/>
    <w:rsid w:val="006475EF"/>
    <w:pPr>
      <w:widowControl/>
      <w:pBdr>
        <w:left w:val="single" w:sz="4" w:space="0" w:color="auto"/>
        <w:right w:val="double" w:sz="6" w:space="0" w:color="auto"/>
      </w:pBdr>
      <w:spacing w:before="100" w:beforeAutospacing="1" w:after="100" w:afterAutospacing="1"/>
      <w:jc w:val="center"/>
    </w:pPr>
    <w:rPr>
      <w:rFonts w:eastAsia="Arial Unicode MS"/>
      <w:b/>
      <w:bCs/>
      <w:sz w:val="24"/>
      <w:szCs w:val="24"/>
      <w:lang w:val="es-ES"/>
    </w:rPr>
  </w:style>
  <w:style w:type="paragraph" w:customStyle="1" w:styleId="xl35">
    <w:name w:val="xl35"/>
    <w:basedOn w:val="Normal"/>
    <w:rsid w:val="006475EF"/>
    <w:pPr>
      <w:widowControl/>
      <w:pBdr>
        <w:left w:val="double" w:sz="6" w:space="0" w:color="auto"/>
        <w:right w:val="single" w:sz="4" w:space="0" w:color="auto"/>
      </w:pBdr>
      <w:spacing w:before="100" w:beforeAutospacing="1" w:after="100" w:afterAutospacing="1"/>
      <w:jc w:val="center"/>
    </w:pPr>
    <w:rPr>
      <w:rFonts w:eastAsia="Arial Unicode MS"/>
      <w:b/>
      <w:bCs/>
      <w:sz w:val="24"/>
      <w:szCs w:val="24"/>
      <w:u w:val="single"/>
      <w:lang w:val="es-ES"/>
    </w:rPr>
  </w:style>
  <w:style w:type="paragraph" w:customStyle="1" w:styleId="xl36">
    <w:name w:val="xl36"/>
    <w:basedOn w:val="Normal"/>
    <w:rsid w:val="006475EF"/>
    <w:pPr>
      <w:widowControl/>
      <w:pBdr>
        <w:left w:val="single" w:sz="4" w:space="0" w:color="auto"/>
        <w:right w:val="single" w:sz="4" w:space="0" w:color="auto"/>
      </w:pBdr>
      <w:spacing w:before="100" w:beforeAutospacing="1" w:after="100" w:afterAutospacing="1"/>
    </w:pPr>
    <w:rPr>
      <w:rFonts w:eastAsia="Arial Unicode MS"/>
      <w:b/>
      <w:bCs/>
      <w:sz w:val="24"/>
      <w:szCs w:val="24"/>
      <w:u w:val="single"/>
      <w:lang w:val="es-ES"/>
    </w:rPr>
  </w:style>
  <w:style w:type="paragraph" w:customStyle="1" w:styleId="xl37">
    <w:name w:val="xl37"/>
    <w:basedOn w:val="Normal"/>
    <w:rsid w:val="006475EF"/>
    <w:pPr>
      <w:widowControl/>
      <w:pBdr>
        <w:left w:val="single" w:sz="4" w:space="0" w:color="auto"/>
        <w:right w:val="double" w:sz="6" w:space="0" w:color="auto"/>
      </w:pBdr>
      <w:spacing w:before="100" w:beforeAutospacing="1" w:after="100" w:afterAutospacing="1"/>
      <w:jc w:val="center"/>
    </w:pPr>
    <w:rPr>
      <w:rFonts w:eastAsia="Arial Unicode MS"/>
      <w:b/>
      <w:bCs/>
      <w:sz w:val="24"/>
      <w:szCs w:val="24"/>
      <w:u w:val="single"/>
      <w:lang w:val="es-ES"/>
    </w:rPr>
  </w:style>
  <w:style w:type="paragraph" w:customStyle="1" w:styleId="xl38">
    <w:name w:val="xl38"/>
    <w:basedOn w:val="Normal"/>
    <w:rsid w:val="006475EF"/>
    <w:pPr>
      <w:widowControl/>
      <w:pBdr>
        <w:left w:val="double" w:sz="6" w:space="0" w:color="auto"/>
        <w:right w:val="single" w:sz="4" w:space="0" w:color="auto"/>
      </w:pBdr>
      <w:spacing w:before="100" w:beforeAutospacing="1" w:after="100" w:afterAutospacing="1"/>
      <w:jc w:val="center"/>
    </w:pPr>
    <w:rPr>
      <w:rFonts w:eastAsia="Arial Unicode MS"/>
      <w:b/>
      <w:bCs/>
      <w:sz w:val="24"/>
      <w:szCs w:val="24"/>
      <w:lang w:val="es-ES"/>
    </w:rPr>
  </w:style>
  <w:style w:type="paragraph" w:customStyle="1" w:styleId="xl39">
    <w:name w:val="xl39"/>
    <w:basedOn w:val="Normal"/>
    <w:rsid w:val="006475EF"/>
    <w:pPr>
      <w:widowControl/>
      <w:pBdr>
        <w:left w:val="double" w:sz="6" w:space="0" w:color="auto"/>
        <w:right w:val="single" w:sz="4" w:space="0" w:color="auto"/>
      </w:pBdr>
      <w:spacing w:before="100" w:beforeAutospacing="1" w:after="100" w:afterAutospacing="1"/>
      <w:jc w:val="center"/>
      <w:textAlignment w:val="top"/>
    </w:pPr>
    <w:rPr>
      <w:rFonts w:eastAsia="Arial Unicode MS"/>
      <w:sz w:val="24"/>
      <w:szCs w:val="24"/>
      <w:lang w:val="es-ES"/>
    </w:rPr>
  </w:style>
  <w:style w:type="paragraph" w:customStyle="1" w:styleId="xl40">
    <w:name w:val="xl40"/>
    <w:basedOn w:val="Normal"/>
    <w:rsid w:val="006475EF"/>
    <w:pPr>
      <w:widowControl/>
      <w:pBdr>
        <w:left w:val="single" w:sz="4" w:space="0" w:color="auto"/>
        <w:right w:val="single" w:sz="4" w:space="0" w:color="auto"/>
      </w:pBdr>
      <w:spacing w:before="100" w:beforeAutospacing="1" w:after="100" w:afterAutospacing="1"/>
    </w:pPr>
    <w:rPr>
      <w:rFonts w:eastAsia="Arial Unicode MS"/>
      <w:sz w:val="24"/>
      <w:szCs w:val="24"/>
      <w:lang w:val="es-ES"/>
    </w:rPr>
  </w:style>
  <w:style w:type="paragraph" w:customStyle="1" w:styleId="xl41">
    <w:name w:val="xl41"/>
    <w:basedOn w:val="Normal"/>
    <w:rsid w:val="006475EF"/>
    <w:pPr>
      <w:widowControl/>
      <w:pBdr>
        <w:left w:val="double" w:sz="6" w:space="0" w:color="auto"/>
      </w:pBdr>
      <w:spacing w:before="100" w:beforeAutospacing="1" w:after="100" w:afterAutospacing="1"/>
    </w:pPr>
    <w:rPr>
      <w:rFonts w:eastAsia="Arial Unicode MS"/>
      <w:sz w:val="24"/>
      <w:szCs w:val="24"/>
      <w:lang w:val="es-ES"/>
    </w:rPr>
  </w:style>
  <w:style w:type="paragraph" w:customStyle="1" w:styleId="xl42">
    <w:name w:val="xl42"/>
    <w:basedOn w:val="Normal"/>
    <w:rsid w:val="006475EF"/>
    <w:pPr>
      <w:widowControl/>
      <w:pBdr>
        <w:left w:val="double" w:sz="6" w:space="0" w:color="auto"/>
        <w:bottom w:val="double" w:sz="6" w:space="0" w:color="auto"/>
        <w:right w:val="single" w:sz="4" w:space="0" w:color="auto"/>
      </w:pBdr>
      <w:spacing w:before="100" w:beforeAutospacing="1" w:after="100" w:afterAutospacing="1"/>
    </w:pPr>
    <w:rPr>
      <w:rFonts w:eastAsia="Arial Unicode MS"/>
      <w:sz w:val="24"/>
      <w:szCs w:val="24"/>
      <w:lang w:val="es-ES"/>
    </w:rPr>
  </w:style>
  <w:style w:type="paragraph" w:customStyle="1" w:styleId="xl43">
    <w:name w:val="xl43"/>
    <w:basedOn w:val="Normal"/>
    <w:rsid w:val="006475EF"/>
    <w:pPr>
      <w:widowControl/>
      <w:pBdr>
        <w:bottom w:val="double" w:sz="6" w:space="0" w:color="auto"/>
        <w:right w:val="single" w:sz="4" w:space="0" w:color="auto"/>
      </w:pBdr>
      <w:spacing w:before="100" w:beforeAutospacing="1" w:after="100" w:afterAutospacing="1"/>
    </w:pPr>
    <w:rPr>
      <w:rFonts w:eastAsia="Arial Unicode MS"/>
      <w:sz w:val="24"/>
      <w:szCs w:val="24"/>
      <w:lang w:val="es-ES"/>
    </w:rPr>
  </w:style>
  <w:style w:type="paragraph" w:customStyle="1" w:styleId="xl44">
    <w:name w:val="xl44"/>
    <w:basedOn w:val="Normal"/>
    <w:rsid w:val="006475EF"/>
    <w:pPr>
      <w:widowControl/>
      <w:pBdr>
        <w:left w:val="single" w:sz="4" w:space="0" w:color="auto"/>
        <w:bottom w:val="double" w:sz="6" w:space="0" w:color="auto"/>
        <w:right w:val="single" w:sz="4" w:space="0" w:color="auto"/>
      </w:pBdr>
      <w:spacing w:before="100" w:beforeAutospacing="1" w:after="100" w:afterAutospacing="1"/>
    </w:pPr>
    <w:rPr>
      <w:rFonts w:eastAsia="Arial Unicode MS"/>
      <w:sz w:val="24"/>
      <w:szCs w:val="24"/>
      <w:lang w:val="es-ES"/>
    </w:rPr>
  </w:style>
  <w:style w:type="paragraph" w:customStyle="1" w:styleId="xl45">
    <w:name w:val="xl45"/>
    <w:basedOn w:val="Normal"/>
    <w:rsid w:val="006475EF"/>
    <w:pPr>
      <w:widowControl/>
      <w:pBdr>
        <w:left w:val="single" w:sz="4" w:space="0" w:color="auto"/>
        <w:bottom w:val="double" w:sz="6" w:space="0" w:color="auto"/>
        <w:right w:val="double" w:sz="6" w:space="0" w:color="auto"/>
      </w:pBdr>
      <w:spacing w:before="100" w:beforeAutospacing="1" w:after="100" w:afterAutospacing="1"/>
      <w:jc w:val="center"/>
    </w:pPr>
    <w:rPr>
      <w:rFonts w:eastAsia="Arial Unicode MS"/>
      <w:sz w:val="24"/>
      <w:szCs w:val="24"/>
      <w:lang w:val="es-ES"/>
    </w:rPr>
  </w:style>
  <w:style w:type="paragraph" w:customStyle="1" w:styleId="xl46">
    <w:name w:val="xl46"/>
    <w:basedOn w:val="Normal"/>
    <w:rsid w:val="006475EF"/>
    <w:pPr>
      <w:widowControl/>
      <w:pBdr>
        <w:top w:val="double" w:sz="6" w:space="0" w:color="auto"/>
        <w:left w:val="double" w:sz="6" w:space="0" w:color="auto"/>
        <w:right w:val="single" w:sz="4" w:space="0" w:color="auto"/>
      </w:pBdr>
      <w:spacing w:before="100" w:beforeAutospacing="1" w:after="100" w:afterAutospacing="1"/>
      <w:jc w:val="center"/>
    </w:pPr>
    <w:rPr>
      <w:rFonts w:eastAsia="Arial Unicode MS"/>
      <w:b/>
      <w:bCs/>
      <w:sz w:val="24"/>
      <w:szCs w:val="24"/>
      <w:lang w:val="es-ES"/>
    </w:rPr>
  </w:style>
  <w:style w:type="paragraph" w:customStyle="1" w:styleId="xl47">
    <w:name w:val="xl47"/>
    <w:basedOn w:val="Normal"/>
    <w:rsid w:val="006475EF"/>
    <w:pPr>
      <w:widowControl/>
      <w:pBdr>
        <w:top w:val="double" w:sz="6" w:space="0" w:color="auto"/>
        <w:right w:val="single" w:sz="4" w:space="0" w:color="auto"/>
      </w:pBdr>
      <w:spacing w:before="100" w:beforeAutospacing="1" w:after="100" w:afterAutospacing="1"/>
    </w:pPr>
    <w:rPr>
      <w:rFonts w:eastAsia="Arial Unicode MS"/>
      <w:b/>
      <w:bCs/>
      <w:sz w:val="24"/>
      <w:szCs w:val="24"/>
      <w:lang w:val="es-ES"/>
    </w:rPr>
  </w:style>
  <w:style w:type="paragraph" w:customStyle="1" w:styleId="xl48">
    <w:name w:val="xl48"/>
    <w:basedOn w:val="Normal"/>
    <w:rsid w:val="006475EF"/>
    <w:pPr>
      <w:widowControl/>
      <w:pBdr>
        <w:top w:val="double" w:sz="6" w:space="0" w:color="auto"/>
        <w:left w:val="single" w:sz="4" w:space="0" w:color="auto"/>
        <w:right w:val="single" w:sz="4" w:space="0" w:color="auto"/>
      </w:pBdr>
      <w:spacing w:before="100" w:beforeAutospacing="1" w:after="100" w:afterAutospacing="1"/>
      <w:jc w:val="center"/>
    </w:pPr>
    <w:rPr>
      <w:rFonts w:eastAsia="Arial Unicode MS"/>
      <w:b/>
      <w:bCs/>
      <w:sz w:val="24"/>
      <w:szCs w:val="24"/>
      <w:lang w:val="es-ES"/>
    </w:rPr>
  </w:style>
  <w:style w:type="paragraph" w:customStyle="1" w:styleId="xl49">
    <w:name w:val="xl49"/>
    <w:basedOn w:val="Normal"/>
    <w:rsid w:val="006475EF"/>
    <w:pPr>
      <w:widowControl/>
      <w:pBdr>
        <w:top w:val="double" w:sz="6" w:space="0" w:color="auto"/>
        <w:left w:val="single" w:sz="4" w:space="0" w:color="auto"/>
        <w:right w:val="double" w:sz="6" w:space="0" w:color="auto"/>
      </w:pBdr>
      <w:spacing w:before="100" w:beforeAutospacing="1" w:after="100" w:afterAutospacing="1"/>
      <w:jc w:val="center"/>
    </w:pPr>
    <w:rPr>
      <w:rFonts w:eastAsia="Arial Unicode MS"/>
      <w:b/>
      <w:bCs/>
      <w:sz w:val="24"/>
      <w:szCs w:val="24"/>
      <w:lang w:val="es-ES"/>
    </w:rPr>
  </w:style>
  <w:style w:type="paragraph" w:customStyle="1" w:styleId="xl50">
    <w:name w:val="xl50"/>
    <w:basedOn w:val="Normal"/>
    <w:rsid w:val="006475EF"/>
    <w:pPr>
      <w:widowControl/>
      <w:pBdr>
        <w:right w:val="single" w:sz="4" w:space="0" w:color="auto"/>
      </w:pBdr>
      <w:spacing w:before="100" w:beforeAutospacing="1" w:after="100" w:afterAutospacing="1"/>
      <w:jc w:val="center"/>
    </w:pPr>
    <w:rPr>
      <w:rFonts w:eastAsia="Arial Unicode MS"/>
      <w:b/>
      <w:bCs/>
      <w:sz w:val="24"/>
      <w:szCs w:val="24"/>
      <w:lang w:val="es-ES"/>
    </w:rPr>
  </w:style>
  <w:style w:type="paragraph" w:customStyle="1" w:styleId="xl51">
    <w:name w:val="xl51"/>
    <w:basedOn w:val="Normal"/>
    <w:rsid w:val="006475EF"/>
    <w:pPr>
      <w:widowControl/>
      <w:pBdr>
        <w:left w:val="single" w:sz="4" w:space="0" w:color="auto"/>
        <w:right w:val="single" w:sz="4" w:space="0" w:color="auto"/>
      </w:pBdr>
      <w:spacing w:before="100" w:beforeAutospacing="1" w:after="100" w:afterAutospacing="1"/>
      <w:jc w:val="center"/>
    </w:pPr>
    <w:rPr>
      <w:rFonts w:eastAsia="Arial Unicode MS"/>
      <w:b/>
      <w:bCs/>
      <w:sz w:val="24"/>
      <w:szCs w:val="24"/>
      <w:lang w:val="es-ES"/>
    </w:rPr>
  </w:style>
  <w:style w:type="paragraph" w:customStyle="1" w:styleId="xl52">
    <w:name w:val="xl52"/>
    <w:basedOn w:val="Normal"/>
    <w:rsid w:val="006475EF"/>
    <w:pPr>
      <w:widowControl/>
      <w:pBdr>
        <w:left w:val="single" w:sz="4" w:space="0" w:color="auto"/>
        <w:right w:val="double" w:sz="6" w:space="0" w:color="auto"/>
      </w:pBdr>
      <w:spacing w:before="100" w:beforeAutospacing="1" w:after="100" w:afterAutospacing="1"/>
      <w:jc w:val="center"/>
    </w:pPr>
    <w:rPr>
      <w:rFonts w:eastAsia="Arial Unicode MS"/>
      <w:b/>
      <w:bCs/>
      <w:sz w:val="24"/>
      <w:szCs w:val="24"/>
      <w:lang w:val="es-ES"/>
    </w:rPr>
  </w:style>
  <w:style w:type="paragraph" w:customStyle="1" w:styleId="xl53">
    <w:name w:val="xl53"/>
    <w:basedOn w:val="Normal"/>
    <w:rsid w:val="006475EF"/>
    <w:pPr>
      <w:widowControl/>
      <w:pBdr>
        <w:left w:val="double" w:sz="6" w:space="0" w:color="auto"/>
        <w:bottom w:val="single" w:sz="4" w:space="0" w:color="auto"/>
        <w:right w:val="single" w:sz="4" w:space="0" w:color="auto"/>
      </w:pBdr>
      <w:spacing w:before="100" w:beforeAutospacing="1" w:after="100" w:afterAutospacing="1"/>
      <w:jc w:val="center"/>
    </w:pPr>
    <w:rPr>
      <w:rFonts w:eastAsia="Arial Unicode MS"/>
      <w:b/>
      <w:bCs/>
      <w:sz w:val="24"/>
      <w:szCs w:val="24"/>
      <w:lang w:val="es-ES"/>
    </w:rPr>
  </w:style>
  <w:style w:type="paragraph" w:customStyle="1" w:styleId="xl54">
    <w:name w:val="xl54"/>
    <w:basedOn w:val="Normal"/>
    <w:rsid w:val="006475EF"/>
    <w:pPr>
      <w:widowControl/>
      <w:pBdr>
        <w:bottom w:val="single" w:sz="4" w:space="0" w:color="auto"/>
        <w:right w:val="single" w:sz="4" w:space="0" w:color="auto"/>
      </w:pBdr>
      <w:spacing w:before="100" w:beforeAutospacing="1" w:after="100" w:afterAutospacing="1"/>
    </w:pPr>
    <w:rPr>
      <w:rFonts w:eastAsia="Arial Unicode MS"/>
      <w:b/>
      <w:bCs/>
      <w:sz w:val="24"/>
      <w:szCs w:val="24"/>
      <w:lang w:val="es-ES"/>
    </w:rPr>
  </w:style>
  <w:style w:type="paragraph" w:customStyle="1" w:styleId="xl55">
    <w:name w:val="xl55"/>
    <w:basedOn w:val="Normal"/>
    <w:rsid w:val="006475EF"/>
    <w:pPr>
      <w:widowControl/>
      <w:pBdr>
        <w:left w:val="single" w:sz="4" w:space="0" w:color="auto"/>
        <w:bottom w:val="single" w:sz="4" w:space="0" w:color="auto"/>
        <w:right w:val="single" w:sz="4" w:space="0" w:color="auto"/>
      </w:pBdr>
      <w:spacing w:before="100" w:beforeAutospacing="1" w:after="100" w:afterAutospacing="1"/>
      <w:jc w:val="center"/>
    </w:pPr>
    <w:rPr>
      <w:rFonts w:eastAsia="Arial Unicode MS"/>
      <w:b/>
      <w:bCs/>
      <w:sz w:val="24"/>
      <w:szCs w:val="24"/>
      <w:lang w:val="es-ES"/>
    </w:rPr>
  </w:style>
  <w:style w:type="paragraph" w:customStyle="1" w:styleId="xl56">
    <w:name w:val="xl56"/>
    <w:basedOn w:val="Normal"/>
    <w:rsid w:val="006475EF"/>
    <w:pPr>
      <w:widowControl/>
      <w:pBdr>
        <w:left w:val="single" w:sz="4" w:space="0" w:color="auto"/>
        <w:bottom w:val="single" w:sz="4" w:space="0" w:color="auto"/>
        <w:right w:val="double" w:sz="6" w:space="0" w:color="auto"/>
      </w:pBdr>
      <w:spacing w:before="100" w:beforeAutospacing="1" w:after="100" w:afterAutospacing="1"/>
      <w:jc w:val="center"/>
    </w:pPr>
    <w:rPr>
      <w:rFonts w:eastAsia="Arial Unicode MS"/>
      <w:b/>
      <w:bCs/>
      <w:sz w:val="24"/>
      <w:szCs w:val="24"/>
      <w:lang w:val="es-ES"/>
    </w:rPr>
  </w:style>
  <w:style w:type="paragraph" w:styleId="Textodeglobo">
    <w:name w:val="Balloon Text"/>
    <w:basedOn w:val="Normal"/>
    <w:link w:val="TextodegloboCar"/>
    <w:uiPriority w:val="99"/>
    <w:semiHidden/>
    <w:rsid w:val="006475EF"/>
    <w:rPr>
      <w:rFonts w:ascii="Tahoma" w:hAnsi="Tahoma" w:cs="Tahoma"/>
      <w:sz w:val="16"/>
      <w:szCs w:val="16"/>
    </w:rPr>
  </w:style>
  <w:style w:type="character" w:customStyle="1" w:styleId="TextodegloboCar">
    <w:name w:val="Texto de globo Car"/>
    <w:basedOn w:val="Fuentedeprrafopredeter"/>
    <w:link w:val="Textodeglobo"/>
    <w:uiPriority w:val="99"/>
    <w:semiHidden/>
    <w:rsid w:val="006475EF"/>
    <w:rPr>
      <w:rFonts w:ascii="Tahoma" w:eastAsia="Times New Roman" w:hAnsi="Tahoma" w:cs="Tahoma"/>
      <w:sz w:val="16"/>
      <w:szCs w:val="16"/>
      <w:lang w:val="es-ES_tradnl" w:eastAsia="es-ES"/>
    </w:rPr>
  </w:style>
  <w:style w:type="paragraph" w:customStyle="1" w:styleId="xl60">
    <w:name w:val="xl60"/>
    <w:basedOn w:val="Normal"/>
    <w:rsid w:val="006475EF"/>
    <w:pPr>
      <w:widowControl/>
      <w:pBdr>
        <w:right w:val="single" w:sz="4" w:space="0" w:color="auto"/>
      </w:pBdr>
      <w:spacing w:before="100" w:beforeAutospacing="1" w:after="100" w:afterAutospacing="1"/>
    </w:pPr>
    <w:rPr>
      <w:sz w:val="18"/>
      <w:szCs w:val="18"/>
      <w:lang w:val="es-ES"/>
    </w:rPr>
  </w:style>
  <w:style w:type="paragraph" w:customStyle="1" w:styleId="xl96">
    <w:name w:val="xl96"/>
    <w:basedOn w:val="Normal"/>
    <w:rsid w:val="006475EF"/>
    <w:pPr>
      <w:widowControl/>
      <w:pBdr>
        <w:left w:val="single" w:sz="4" w:space="0" w:color="auto"/>
        <w:right w:val="single" w:sz="4" w:space="0" w:color="auto"/>
      </w:pBdr>
      <w:spacing w:before="100" w:beforeAutospacing="1" w:after="100" w:afterAutospacing="1"/>
      <w:textAlignment w:val="top"/>
    </w:pPr>
    <w:rPr>
      <w:rFonts w:eastAsia="Arial Unicode MS"/>
      <w:sz w:val="14"/>
      <w:szCs w:val="14"/>
      <w:lang w:val="es-ES"/>
    </w:rPr>
  </w:style>
  <w:style w:type="table" w:styleId="Tablaconcuadrcula">
    <w:name w:val="Table Grid"/>
    <w:basedOn w:val="Tablanormal"/>
    <w:uiPriority w:val="39"/>
    <w:rsid w:val="006475EF"/>
    <w:pPr>
      <w:spacing w:after="0" w:line="240" w:lineRule="auto"/>
    </w:pPr>
    <w:rPr>
      <w:rFonts w:eastAsia="Times New Roman" w:cs="Times New Roman"/>
      <w:sz w:val="20"/>
      <w:szCs w:val="20"/>
      <w:lang w:eastAsia="es-G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inespaciado">
    <w:name w:val="No Spacing"/>
    <w:link w:val="SinespaciadoCar"/>
    <w:uiPriority w:val="1"/>
    <w:qFormat/>
    <w:rsid w:val="006475EF"/>
    <w:pPr>
      <w:spacing w:after="0" w:line="240" w:lineRule="auto"/>
    </w:pPr>
    <w:rPr>
      <w:rFonts w:ascii="Calibri" w:eastAsia="Times New Roman" w:hAnsi="Calibri" w:cs="Times New Roman"/>
      <w:sz w:val="22"/>
      <w:lang w:val="es-ES"/>
    </w:rPr>
  </w:style>
  <w:style w:type="character" w:customStyle="1" w:styleId="SinespaciadoCar">
    <w:name w:val="Sin espaciado Car"/>
    <w:basedOn w:val="Fuentedeprrafopredeter"/>
    <w:link w:val="Sinespaciado"/>
    <w:uiPriority w:val="1"/>
    <w:rsid w:val="006475EF"/>
    <w:rPr>
      <w:rFonts w:ascii="Calibri" w:eastAsia="Times New Roman" w:hAnsi="Calibri" w:cs="Times New Roman"/>
      <w:sz w:val="22"/>
      <w:lang w:val="es-ES"/>
    </w:rPr>
  </w:style>
  <w:style w:type="paragraph" w:customStyle="1" w:styleId="Default">
    <w:name w:val="Default"/>
    <w:rsid w:val="006475EF"/>
    <w:pPr>
      <w:autoSpaceDE w:val="0"/>
      <w:autoSpaceDN w:val="0"/>
      <w:adjustRightInd w:val="0"/>
      <w:spacing w:after="0" w:line="240" w:lineRule="auto"/>
    </w:pPr>
    <w:rPr>
      <w:rFonts w:ascii="Helvetica" w:eastAsia="Times New Roman" w:hAnsi="Helvetica" w:cs="Helvetica"/>
      <w:color w:val="000000"/>
      <w:szCs w:val="24"/>
      <w:lang w:eastAsia="es-GT"/>
    </w:rPr>
  </w:style>
  <w:style w:type="paragraph" w:styleId="Asuntodelcomentario">
    <w:name w:val="annotation subject"/>
    <w:basedOn w:val="Textocomentario"/>
    <w:next w:val="Textocomentario"/>
    <w:link w:val="AsuntodelcomentarioCar"/>
    <w:uiPriority w:val="99"/>
    <w:rsid w:val="006475EF"/>
    <w:rPr>
      <w:b/>
      <w:bCs/>
    </w:rPr>
  </w:style>
  <w:style w:type="character" w:customStyle="1" w:styleId="AsuntodelcomentarioCar">
    <w:name w:val="Asunto del comentario Car"/>
    <w:basedOn w:val="TextocomentarioCar"/>
    <w:link w:val="Asuntodelcomentario"/>
    <w:uiPriority w:val="99"/>
    <w:rsid w:val="006475EF"/>
    <w:rPr>
      <w:rFonts w:eastAsia="Times New Roman" w:cs="Times New Roman"/>
      <w:b/>
      <w:bCs/>
      <w:sz w:val="20"/>
      <w:szCs w:val="20"/>
      <w:lang w:val="es-ES_tradnl" w:eastAsia="es-ES"/>
    </w:rPr>
  </w:style>
  <w:style w:type="character" w:styleId="Hipervnculo">
    <w:name w:val="Hyperlink"/>
    <w:basedOn w:val="Fuentedeprrafopredeter"/>
    <w:uiPriority w:val="99"/>
    <w:rsid w:val="006475EF"/>
    <w:rPr>
      <w:color w:val="0000FF"/>
      <w:u w:val="single"/>
    </w:rPr>
  </w:style>
  <w:style w:type="paragraph" w:styleId="Prrafodelista">
    <w:name w:val="List Paragraph"/>
    <w:aliases w:val="Párrafo de lista 2"/>
    <w:basedOn w:val="Normal"/>
    <w:link w:val="PrrafodelistaCar"/>
    <w:uiPriority w:val="34"/>
    <w:qFormat/>
    <w:rsid w:val="006475EF"/>
    <w:pPr>
      <w:ind w:left="720"/>
      <w:contextualSpacing/>
    </w:pPr>
  </w:style>
  <w:style w:type="numbering" w:customStyle="1" w:styleId="Estilo1">
    <w:name w:val="Estilo1"/>
    <w:uiPriority w:val="99"/>
    <w:rsid w:val="006475EF"/>
    <w:pPr>
      <w:numPr>
        <w:numId w:val="1"/>
      </w:numPr>
    </w:pPr>
  </w:style>
  <w:style w:type="numbering" w:customStyle="1" w:styleId="Estilo2">
    <w:name w:val="Estilo2"/>
    <w:uiPriority w:val="99"/>
    <w:rsid w:val="006475EF"/>
    <w:pPr>
      <w:numPr>
        <w:numId w:val="2"/>
      </w:numPr>
    </w:pPr>
  </w:style>
  <w:style w:type="paragraph" w:styleId="Textonotapie">
    <w:name w:val="footnote text"/>
    <w:aliases w:val="ft,ft Car,ft Car Car,Texto nota pie2,ft1,ft Car Car Car1,Texto nota pie Car2,ft Car Car2,ft Car Car Car,fn,single space,footnote text,FOOTNOTES,Texto nota pie IIRSA,foottextfra,footnote,F,Char,Footnote Text Char2,Footnote Text Char1 Char1"/>
    <w:basedOn w:val="Normal"/>
    <w:link w:val="TextonotapieCar"/>
    <w:uiPriority w:val="99"/>
    <w:rsid w:val="000A36AF"/>
  </w:style>
  <w:style w:type="character" w:customStyle="1" w:styleId="TextonotapieCar">
    <w:name w:val="Texto nota pie Car"/>
    <w:aliases w:val="ft Car2,ft Car Car3,ft Car Car Car3,Texto nota pie2 Car1,ft1 Car1,ft Car Car Car1 Car1,Texto nota pie Car2 Car1,ft Car Car2 Car1,ft Car Car Car Car1,fn Car1,single space Car1,footnote text Car1,FOOTNOTES Car1,Texto nota pie IIRSA Car1"/>
    <w:basedOn w:val="Fuentedeprrafopredeter"/>
    <w:link w:val="Textonotapie"/>
    <w:uiPriority w:val="99"/>
    <w:rsid w:val="000A36AF"/>
    <w:rPr>
      <w:rFonts w:eastAsia="Times New Roman" w:cs="Times New Roman"/>
      <w:sz w:val="20"/>
      <w:szCs w:val="20"/>
      <w:lang w:val="es-ES_tradnl" w:eastAsia="es-ES"/>
    </w:rPr>
  </w:style>
  <w:style w:type="character" w:styleId="Refdenotaalpie">
    <w:name w:val="footnote reference"/>
    <w:aliases w:val="ftref,16 Point,Superscript 6 Point,fr,Footnote Reference Number,Footnote Reference_LVL6,Footnote Reference_LVL61,Footnote Reference_LVL62,Footnote Reference_LVL63,Footnote Reference_LVL64,SUPERS,EN Footnote Reference,number"/>
    <w:basedOn w:val="Fuentedeprrafopredeter"/>
    <w:uiPriority w:val="99"/>
    <w:rsid w:val="000A36AF"/>
    <w:rPr>
      <w:vertAlign w:val="superscript"/>
    </w:rPr>
  </w:style>
  <w:style w:type="character" w:styleId="Hipervnculovisitado">
    <w:name w:val="FollowedHyperlink"/>
    <w:basedOn w:val="Fuentedeprrafopredeter"/>
    <w:uiPriority w:val="99"/>
    <w:semiHidden/>
    <w:unhideWhenUsed/>
    <w:rsid w:val="00442A3E"/>
    <w:rPr>
      <w:color w:val="800080"/>
      <w:u w:val="single"/>
    </w:rPr>
  </w:style>
  <w:style w:type="paragraph" w:customStyle="1" w:styleId="xl57">
    <w:name w:val="xl57"/>
    <w:basedOn w:val="Normal"/>
    <w:rsid w:val="00442A3E"/>
    <w:pPr>
      <w:widowControl/>
      <w:pBdr>
        <w:left w:val="single" w:sz="8" w:space="0" w:color="auto"/>
        <w:right w:val="single" w:sz="8" w:space="0" w:color="auto"/>
      </w:pBdr>
      <w:spacing w:before="100" w:beforeAutospacing="1" w:after="100" w:afterAutospacing="1"/>
      <w:textAlignment w:val="top"/>
    </w:pPr>
    <w:rPr>
      <w:color w:val="000000"/>
      <w:sz w:val="16"/>
      <w:szCs w:val="16"/>
      <w:lang w:val="es-GT" w:eastAsia="es-GT"/>
    </w:rPr>
  </w:style>
  <w:style w:type="paragraph" w:customStyle="1" w:styleId="xl58">
    <w:name w:val="xl58"/>
    <w:basedOn w:val="Normal"/>
    <w:rsid w:val="00442A3E"/>
    <w:pPr>
      <w:widowControl/>
      <w:pBdr>
        <w:left w:val="single" w:sz="8" w:space="0" w:color="auto"/>
        <w:bottom w:val="double" w:sz="6" w:space="0" w:color="auto"/>
        <w:right w:val="single" w:sz="8" w:space="0" w:color="auto"/>
      </w:pBdr>
      <w:spacing w:before="100" w:beforeAutospacing="1" w:after="100" w:afterAutospacing="1"/>
      <w:jc w:val="center"/>
      <w:textAlignment w:val="top"/>
    </w:pPr>
    <w:rPr>
      <w:sz w:val="16"/>
      <w:szCs w:val="16"/>
      <w:lang w:val="es-GT" w:eastAsia="es-GT"/>
    </w:rPr>
  </w:style>
  <w:style w:type="paragraph" w:customStyle="1" w:styleId="xl59">
    <w:name w:val="xl59"/>
    <w:basedOn w:val="Normal"/>
    <w:rsid w:val="00442A3E"/>
    <w:pPr>
      <w:widowControl/>
      <w:pBdr>
        <w:left w:val="single" w:sz="8" w:space="0" w:color="auto"/>
        <w:bottom w:val="double" w:sz="6" w:space="0" w:color="auto"/>
        <w:right w:val="single" w:sz="8" w:space="0" w:color="auto"/>
      </w:pBdr>
      <w:spacing w:before="100" w:beforeAutospacing="1" w:after="100" w:afterAutospacing="1"/>
      <w:jc w:val="right"/>
    </w:pPr>
    <w:rPr>
      <w:sz w:val="16"/>
      <w:szCs w:val="16"/>
      <w:lang w:val="es-GT" w:eastAsia="es-GT"/>
    </w:rPr>
  </w:style>
  <w:style w:type="paragraph" w:customStyle="1" w:styleId="xl61">
    <w:name w:val="xl61"/>
    <w:basedOn w:val="Normal"/>
    <w:rsid w:val="00442A3E"/>
    <w:pPr>
      <w:widowControl/>
      <w:pBdr>
        <w:left w:val="single" w:sz="8" w:space="0" w:color="auto"/>
        <w:right w:val="double" w:sz="6" w:space="0" w:color="auto"/>
      </w:pBdr>
      <w:spacing w:before="100" w:beforeAutospacing="1" w:after="100" w:afterAutospacing="1"/>
      <w:jc w:val="center"/>
    </w:pPr>
    <w:rPr>
      <w:color w:val="000000"/>
      <w:sz w:val="16"/>
      <w:szCs w:val="16"/>
      <w:lang w:val="es-GT" w:eastAsia="es-GT"/>
    </w:rPr>
  </w:style>
  <w:style w:type="paragraph" w:customStyle="1" w:styleId="xl62">
    <w:name w:val="xl62"/>
    <w:basedOn w:val="Normal"/>
    <w:rsid w:val="00442A3E"/>
    <w:pPr>
      <w:widowControl/>
      <w:pBdr>
        <w:left w:val="single" w:sz="8" w:space="0" w:color="auto"/>
        <w:right w:val="double" w:sz="6" w:space="0" w:color="auto"/>
      </w:pBdr>
      <w:spacing w:before="100" w:beforeAutospacing="1" w:after="100" w:afterAutospacing="1"/>
      <w:jc w:val="center"/>
    </w:pPr>
    <w:rPr>
      <w:b/>
      <w:bCs/>
      <w:sz w:val="16"/>
      <w:szCs w:val="16"/>
      <w:lang w:val="es-GT" w:eastAsia="es-GT"/>
    </w:rPr>
  </w:style>
  <w:style w:type="paragraph" w:customStyle="1" w:styleId="xl63">
    <w:name w:val="xl63"/>
    <w:basedOn w:val="Normal"/>
    <w:rsid w:val="00442A3E"/>
    <w:pPr>
      <w:widowControl/>
      <w:pBdr>
        <w:left w:val="single" w:sz="8" w:space="0" w:color="auto"/>
        <w:right w:val="single" w:sz="8" w:space="0" w:color="auto"/>
      </w:pBdr>
      <w:spacing w:before="100" w:beforeAutospacing="1" w:after="100" w:afterAutospacing="1"/>
      <w:jc w:val="center"/>
      <w:textAlignment w:val="top"/>
    </w:pPr>
    <w:rPr>
      <w:sz w:val="16"/>
      <w:szCs w:val="16"/>
      <w:lang w:val="es-GT" w:eastAsia="es-GT"/>
    </w:rPr>
  </w:style>
  <w:style w:type="paragraph" w:customStyle="1" w:styleId="xl64">
    <w:name w:val="xl64"/>
    <w:basedOn w:val="Normal"/>
    <w:rsid w:val="00442A3E"/>
    <w:pPr>
      <w:widowControl/>
      <w:pBdr>
        <w:left w:val="single" w:sz="8" w:space="0" w:color="auto"/>
        <w:right w:val="double" w:sz="6" w:space="0" w:color="auto"/>
      </w:pBdr>
      <w:spacing w:before="100" w:beforeAutospacing="1" w:after="100" w:afterAutospacing="1"/>
      <w:jc w:val="center"/>
      <w:textAlignment w:val="top"/>
    </w:pPr>
    <w:rPr>
      <w:sz w:val="16"/>
      <w:szCs w:val="16"/>
      <w:lang w:val="es-GT" w:eastAsia="es-GT"/>
    </w:rPr>
  </w:style>
  <w:style w:type="paragraph" w:customStyle="1" w:styleId="xl65">
    <w:name w:val="xl65"/>
    <w:basedOn w:val="Normal"/>
    <w:rsid w:val="00442A3E"/>
    <w:pPr>
      <w:widowControl/>
      <w:pBdr>
        <w:left w:val="single" w:sz="8" w:space="0" w:color="auto"/>
        <w:right w:val="single" w:sz="8" w:space="0" w:color="auto"/>
      </w:pBdr>
      <w:spacing w:before="100" w:beforeAutospacing="1" w:after="100" w:afterAutospacing="1"/>
      <w:jc w:val="center"/>
      <w:textAlignment w:val="top"/>
    </w:pPr>
    <w:rPr>
      <w:b/>
      <w:bCs/>
      <w:sz w:val="16"/>
      <w:szCs w:val="16"/>
      <w:lang w:val="es-GT" w:eastAsia="es-GT"/>
    </w:rPr>
  </w:style>
  <w:style w:type="paragraph" w:customStyle="1" w:styleId="xl66">
    <w:name w:val="xl66"/>
    <w:basedOn w:val="Normal"/>
    <w:rsid w:val="00442A3E"/>
    <w:pPr>
      <w:widowControl/>
      <w:pBdr>
        <w:left w:val="single" w:sz="8" w:space="0" w:color="auto"/>
        <w:right w:val="double" w:sz="6" w:space="0" w:color="auto"/>
      </w:pBdr>
      <w:spacing w:before="100" w:beforeAutospacing="1" w:after="100" w:afterAutospacing="1"/>
      <w:jc w:val="center"/>
      <w:textAlignment w:val="top"/>
    </w:pPr>
    <w:rPr>
      <w:b/>
      <w:bCs/>
      <w:sz w:val="16"/>
      <w:szCs w:val="16"/>
      <w:lang w:val="es-GT" w:eastAsia="es-GT"/>
    </w:rPr>
  </w:style>
  <w:style w:type="paragraph" w:customStyle="1" w:styleId="xl67">
    <w:name w:val="xl67"/>
    <w:basedOn w:val="Normal"/>
    <w:rsid w:val="00442A3E"/>
    <w:pPr>
      <w:widowControl/>
      <w:pBdr>
        <w:left w:val="single" w:sz="8" w:space="0" w:color="auto"/>
        <w:right w:val="double" w:sz="6" w:space="0" w:color="auto"/>
      </w:pBdr>
      <w:spacing w:before="100" w:beforeAutospacing="1" w:after="100" w:afterAutospacing="1"/>
      <w:jc w:val="center"/>
    </w:pPr>
    <w:rPr>
      <w:b/>
      <w:bCs/>
      <w:color w:val="000000"/>
      <w:sz w:val="16"/>
      <w:szCs w:val="16"/>
      <w:lang w:val="es-GT" w:eastAsia="es-GT"/>
    </w:rPr>
  </w:style>
  <w:style w:type="paragraph" w:customStyle="1" w:styleId="xl68">
    <w:name w:val="xl68"/>
    <w:basedOn w:val="Normal"/>
    <w:rsid w:val="00442A3E"/>
    <w:pPr>
      <w:widowControl/>
      <w:pBdr>
        <w:left w:val="single" w:sz="8" w:space="0" w:color="auto"/>
        <w:bottom w:val="double" w:sz="6" w:space="0" w:color="auto"/>
        <w:right w:val="single" w:sz="8" w:space="0" w:color="auto"/>
      </w:pBdr>
      <w:spacing w:before="100" w:beforeAutospacing="1" w:after="100" w:afterAutospacing="1"/>
    </w:pPr>
    <w:rPr>
      <w:sz w:val="16"/>
      <w:szCs w:val="16"/>
      <w:lang w:val="es-GT" w:eastAsia="es-GT"/>
    </w:rPr>
  </w:style>
  <w:style w:type="paragraph" w:customStyle="1" w:styleId="xl69">
    <w:name w:val="xl69"/>
    <w:basedOn w:val="Normal"/>
    <w:rsid w:val="00442A3E"/>
    <w:pPr>
      <w:widowControl/>
      <w:pBdr>
        <w:left w:val="single" w:sz="8" w:space="0" w:color="auto"/>
        <w:bottom w:val="double" w:sz="6" w:space="0" w:color="auto"/>
        <w:right w:val="double" w:sz="6" w:space="0" w:color="auto"/>
      </w:pBdr>
      <w:spacing w:before="100" w:beforeAutospacing="1" w:after="100" w:afterAutospacing="1"/>
      <w:jc w:val="center"/>
    </w:pPr>
    <w:rPr>
      <w:sz w:val="16"/>
      <w:szCs w:val="16"/>
      <w:lang w:val="es-GT" w:eastAsia="es-GT"/>
    </w:rPr>
  </w:style>
  <w:style w:type="paragraph" w:customStyle="1" w:styleId="xl70">
    <w:name w:val="xl70"/>
    <w:basedOn w:val="Normal"/>
    <w:rsid w:val="00442A3E"/>
    <w:pPr>
      <w:widowControl/>
      <w:pBdr>
        <w:left w:val="double" w:sz="6" w:space="0" w:color="auto"/>
        <w:right w:val="single" w:sz="8" w:space="0" w:color="auto"/>
      </w:pBdr>
      <w:spacing w:before="100" w:beforeAutospacing="1" w:after="100" w:afterAutospacing="1"/>
      <w:jc w:val="center"/>
    </w:pPr>
    <w:rPr>
      <w:b/>
      <w:bCs/>
      <w:sz w:val="16"/>
      <w:szCs w:val="16"/>
      <w:lang w:val="es-GT" w:eastAsia="es-GT"/>
    </w:rPr>
  </w:style>
  <w:style w:type="paragraph" w:customStyle="1" w:styleId="xl71">
    <w:name w:val="xl71"/>
    <w:basedOn w:val="Normal"/>
    <w:rsid w:val="00442A3E"/>
    <w:pPr>
      <w:widowControl/>
      <w:pBdr>
        <w:left w:val="single" w:sz="8" w:space="0" w:color="auto"/>
        <w:right w:val="single" w:sz="8" w:space="0" w:color="auto"/>
      </w:pBdr>
      <w:spacing w:before="100" w:beforeAutospacing="1" w:after="100" w:afterAutospacing="1"/>
      <w:jc w:val="center"/>
    </w:pPr>
    <w:rPr>
      <w:b/>
      <w:bCs/>
      <w:sz w:val="16"/>
      <w:szCs w:val="16"/>
      <w:lang w:val="es-GT" w:eastAsia="es-GT"/>
    </w:rPr>
  </w:style>
  <w:style w:type="paragraph" w:customStyle="1" w:styleId="xl72">
    <w:name w:val="xl72"/>
    <w:basedOn w:val="Normal"/>
    <w:rsid w:val="00442A3E"/>
    <w:pPr>
      <w:widowControl/>
      <w:pBdr>
        <w:left w:val="double" w:sz="6" w:space="0" w:color="auto"/>
        <w:right w:val="single" w:sz="8" w:space="0" w:color="auto"/>
      </w:pBdr>
      <w:spacing w:before="100" w:beforeAutospacing="1" w:after="100" w:afterAutospacing="1"/>
    </w:pPr>
    <w:rPr>
      <w:b/>
      <w:bCs/>
      <w:sz w:val="16"/>
      <w:szCs w:val="16"/>
      <w:lang w:val="es-GT" w:eastAsia="es-GT"/>
    </w:rPr>
  </w:style>
  <w:style w:type="paragraph" w:customStyle="1" w:styleId="xl73">
    <w:name w:val="xl73"/>
    <w:basedOn w:val="Normal"/>
    <w:rsid w:val="00442A3E"/>
    <w:pPr>
      <w:widowControl/>
      <w:pBdr>
        <w:left w:val="single" w:sz="8" w:space="0" w:color="auto"/>
        <w:right w:val="single" w:sz="8" w:space="0" w:color="auto"/>
      </w:pBdr>
      <w:spacing w:before="100" w:beforeAutospacing="1" w:after="100" w:afterAutospacing="1"/>
      <w:textAlignment w:val="top"/>
    </w:pPr>
    <w:rPr>
      <w:sz w:val="16"/>
      <w:szCs w:val="16"/>
      <w:lang w:val="es-GT" w:eastAsia="es-GT"/>
    </w:rPr>
  </w:style>
  <w:style w:type="paragraph" w:customStyle="1" w:styleId="xl74">
    <w:name w:val="xl74"/>
    <w:basedOn w:val="Normal"/>
    <w:rsid w:val="00442A3E"/>
    <w:pPr>
      <w:widowControl/>
      <w:pBdr>
        <w:left w:val="single" w:sz="8" w:space="0" w:color="auto"/>
        <w:right w:val="double" w:sz="6" w:space="0" w:color="auto"/>
      </w:pBdr>
      <w:spacing w:before="100" w:beforeAutospacing="1" w:after="100" w:afterAutospacing="1"/>
    </w:pPr>
    <w:rPr>
      <w:sz w:val="24"/>
      <w:szCs w:val="24"/>
      <w:lang w:val="es-GT" w:eastAsia="es-GT"/>
    </w:rPr>
  </w:style>
  <w:style w:type="paragraph" w:customStyle="1" w:styleId="xl75">
    <w:name w:val="xl75"/>
    <w:basedOn w:val="Normal"/>
    <w:rsid w:val="00442A3E"/>
    <w:pPr>
      <w:widowControl/>
      <w:pBdr>
        <w:left w:val="single" w:sz="8" w:space="0" w:color="auto"/>
      </w:pBdr>
      <w:spacing w:before="100" w:beforeAutospacing="1" w:after="100" w:afterAutospacing="1"/>
    </w:pPr>
    <w:rPr>
      <w:b/>
      <w:bCs/>
      <w:color w:val="000000"/>
      <w:sz w:val="16"/>
      <w:szCs w:val="16"/>
      <w:lang w:val="es-GT" w:eastAsia="es-GT"/>
    </w:rPr>
  </w:style>
  <w:style w:type="paragraph" w:customStyle="1" w:styleId="xl76">
    <w:name w:val="xl76"/>
    <w:basedOn w:val="Normal"/>
    <w:rsid w:val="00442A3E"/>
    <w:pPr>
      <w:widowControl/>
      <w:pBdr>
        <w:left w:val="single" w:sz="8" w:space="0" w:color="auto"/>
      </w:pBdr>
      <w:spacing w:before="100" w:beforeAutospacing="1" w:after="100" w:afterAutospacing="1"/>
      <w:textAlignment w:val="top"/>
    </w:pPr>
    <w:rPr>
      <w:b/>
      <w:bCs/>
      <w:color w:val="000000"/>
      <w:sz w:val="16"/>
      <w:szCs w:val="16"/>
      <w:lang w:val="es-GT" w:eastAsia="es-GT"/>
    </w:rPr>
  </w:style>
  <w:style w:type="paragraph" w:customStyle="1" w:styleId="xl77">
    <w:name w:val="xl77"/>
    <w:basedOn w:val="Normal"/>
    <w:rsid w:val="008764A0"/>
    <w:pPr>
      <w:widowControl/>
      <w:pBdr>
        <w:left w:val="double" w:sz="6" w:space="0" w:color="auto"/>
        <w:right w:val="single" w:sz="8" w:space="0" w:color="auto"/>
      </w:pBdr>
      <w:spacing w:before="100" w:beforeAutospacing="1" w:after="100" w:afterAutospacing="1"/>
    </w:pPr>
    <w:rPr>
      <w:color w:val="000000"/>
      <w:sz w:val="16"/>
      <w:szCs w:val="16"/>
      <w:lang w:val="es-GT" w:eastAsia="es-GT"/>
    </w:rPr>
  </w:style>
  <w:style w:type="paragraph" w:customStyle="1" w:styleId="xl78">
    <w:name w:val="xl78"/>
    <w:basedOn w:val="Normal"/>
    <w:rsid w:val="008764A0"/>
    <w:pPr>
      <w:widowControl/>
      <w:pBdr>
        <w:left w:val="single" w:sz="8" w:space="0" w:color="auto"/>
        <w:right w:val="single" w:sz="8" w:space="0" w:color="auto"/>
      </w:pBdr>
      <w:spacing w:before="100" w:beforeAutospacing="1" w:after="100" w:afterAutospacing="1"/>
    </w:pPr>
    <w:rPr>
      <w:color w:val="000000"/>
      <w:sz w:val="16"/>
      <w:szCs w:val="16"/>
      <w:lang w:val="es-GT" w:eastAsia="es-GT"/>
    </w:rPr>
  </w:style>
  <w:style w:type="paragraph" w:customStyle="1" w:styleId="xl79">
    <w:name w:val="xl79"/>
    <w:basedOn w:val="Normal"/>
    <w:rsid w:val="008764A0"/>
    <w:pPr>
      <w:widowControl/>
      <w:pBdr>
        <w:left w:val="single" w:sz="8" w:space="0" w:color="auto"/>
        <w:right w:val="double" w:sz="6" w:space="0" w:color="auto"/>
      </w:pBdr>
      <w:spacing w:before="100" w:beforeAutospacing="1" w:after="100" w:afterAutospacing="1"/>
    </w:pPr>
    <w:rPr>
      <w:color w:val="000000"/>
      <w:sz w:val="16"/>
      <w:szCs w:val="16"/>
      <w:lang w:val="es-GT" w:eastAsia="es-GT"/>
    </w:rPr>
  </w:style>
  <w:style w:type="paragraph" w:customStyle="1" w:styleId="xl80">
    <w:name w:val="xl80"/>
    <w:basedOn w:val="Normal"/>
    <w:rsid w:val="008764A0"/>
    <w:pPr>
      <w:widowControl/>
      <w:pBdr>
        <w:left w:val="single" w:sz="8" w:space="0" w:color="auto"/>
        <w:right w:val="single" w:sz="8" w:space="0" w:color="auto"/>
      </w:pBdr>
      <w:spacing w:before="100" w:beforeAutospacing="1" w:after="100" w:afterAutospacing="1"/>
      <w:jc w:val="center"/>
    </w:pPr>
    <w:rPr>
      <w:b/>
      <w:bCs/>
      <w:color w:val="000000"/>
      <w:sz w:val="16"/>
      <w:szCs w:val="16"/>
      <w:lang w:val="es-GT" w:eastAsia="es-GT"/>
    </w:rPr>
  </w:style>
  <w:style w:type="paragraph" w:customStyle="1" w:styleId="xl81">
    <w:name w:val="xl81"/>
    <w:basedOn w:val="Normal"/>
    <w:rsid w:val="008764A0"/>
    <w:pPr>
      <w:widowControl/>
      <w:pBdr>
        <w:left w:val="single" w:sz="8" w:space="0" w:color="auto"/>
        <w:right w:val="single" w:sz="8" w:space="0" w:color="auto"/>
      </w:pBdr>
      <w:spacing w:before="100" w:beforeAutospacing="1" w:after="100" w:afterAutospacing="1"/>
      <w:jc w:val="center"/>
      <w:textAlignment w:val="top"/>
    </w:pPr>
    <w:rPr>
      <w:b/>
      <w:bCs/>
      <w:color w:val="000000"/>
      <w:sz w:val="16"/>
      <w:szCs w:val="16"/>
      <w:lang w:val="es-GT" w:eastAsia="es-GT"/>
    </w:rPr>
  </w:style>
  <w:style w:type="paragraph" w:customStyle="1" w:styleId="xl82">
    <w:name w:val="xl82"/>
    <w:basedOn w:val="Normal"/>
    <w:rsid w:val="008764A0"/>
    <w:pPr>
      <w:widowControl/>
      <w:pBdr>
        <w:left w:val="double" w:sz="6" w:space="0" w:color="auto"/>
        <w:right w:val="single" w:sz="8" w:space="0" w:color="auto"/>
      </w:pBdr>
      <w:spacing w:before="100" w:beforeAutospacing="1" w:after="100" w:afterAutospacing="1"/>
    </w:pPr>
    <w:rPr>
      <w:sz w:val="24"/>
      <w:szCs w:val="24"/>
      <w:lang w:val="es-GT" w:eastAsia="es-GT"/>
    </w:rPr>
  </w:style>
  <w:style w:type="paragraph" w:customStyle="1" w:styleId="xl83">
    <w:name w:val="xl83"/>
    <w:basedOn w:val="Normal"/>
    <w:rsid w:val="008764A0"/>
    <w:pPr>
      <w:widowControl/>
      <w:pBdr>
        <w:left w:val="single" w:sz="8" w:space="0" w:color="auto"/>
        <w:right w:val="single" w:sz="8" w:space="0" w:color="auto"/>
      </w:pBdr>
      <w:spacing w:before="100" w:beforeAutospacing="1" w:after="100" w:afterAutospacing="1"/>
    </w:pPr>
    <w:rPr>
      <w:b/>
      <w:bCs/>
      <w:color w:val="000000"/>
      <w:sz w:val="16"/>
      <w:szCs w:val="16"/>
      <w:lang w:val="es-GT" w:eastAsia="es-GT"/>
    </w:rPr>
  </w:style>
  <w:style w:type="paragraph" w:customStyle="1" w:styleId="xl84">
    <w:name w:val="xl84"/>
    <w:basedOn w:val="Normal"/>
    <w:rsid w:val="008764A0"/>
    <w:pPr>
      <w:widowControl/>
      <w:pBdr>
        <w:left w:val="single" w:sz="8" w:space="0" w:color="auto"/>
        <w:right w:val="single" w:sz="8" w:space="0" w:color="auto"/>
      </w:pBdr>
      <w:spacing w:before="100" w:beforeAutospacing="1" w:after="100" w:afterAutospacing="1"/>
      <w:textAlignment w:val="top"/>
    </w:pPr>
    <w:rPr>
      <w:b/>
      <w:bCs/>
      <w:color w:val="000000"/>
      <w:sz w:val="16"/>
      <w:szCs w:val="16"/>
      <w:lang w:val="es-GT" w:eastAsia="es-GT"/>
    </w:rPr>
  </w:style>
  <w:style w:type="paragraph" w:customStyle="1" w:styleId="xl85">
    <w:name w:val="xl85"/>
    <w:basedOn w:val="Normal"/>
    <w:rsid w:val="008764A0"/>
    <w:pPr>
      <w:widowControl/>
      <w:pBdr>
        <w:left w:val="single" w:sz="8" w:space="0" w:color="auto"/>
        <w:bottom w:val="double" w:sz="6" w:space="0" w:color="auto"/>
        <w:right w:val="single" w:sz="8" w:space="0" w:color="auto"/>
      </w:pBdr>
      <w:spacing w:before="100" w:beforeAutospacing="1" w:after="100" w:afterAutospacing="1"/>
      <w:jc w:val="center"/>
      <w:textAlignment w:val="top"/>
    </w:pPr>
    <w:rPr>
      <w:sz w:val="16"/>
      <w:szCs w:val="16"/>
      <w:lang w:val="es-GT" w:eastAsia="es-GT"/>
    </w:rPr>
  </w:style>
  <w:style w:type="paragraph" w:customStyle="1" w:styleId="xl86">
    <w:name w:val="xl86"/>
    <w:basedOn w:val="Normal"/>
    <w:rsid w:val="008764A0"/>
    <w:pPr>
      <w:widowControl/>
      <w:pBdr>
        <w:left w:val="single" w:sz="8" w:space="0" w:color="auto"/>
        <w:bottom w:val="double" w:sz="6" w:space="0" w:color="auto"/>
        <w:right w:val="single" w:sz="8" w:space="0" w:color="auto"/>
      </w:pBdr>
      <w:spacing w:before="100" w:beforeAutospacing="1" w:after="100" w:afterAutospacing="1"/>
      <w:jc w:val="right"/>
    </w:pPr>
    <w:rPr>
      <w:sz w:val="16"/>
      <w:szCs w:val="16"/>
      <w:lang w:val="es-GT" w:eastAsia="es-GT"/>
    </w:rPr>
  </w:style>
  <w:style w:type="paragraph" w:customStyle="1" w:styleId="xl87">
    <w:name w:val="xl87"/>
    <w:basedOn w:val="Normal"/>
    <w:rsid w:val="008764A0"/>
    <w:pPr>
      <w:widowControl/>
      <w:pBdr>
        <w:left w:val="single" w:sz="8" w:space="0" w:color="auto"/>
        <w:right w:val="single" w:sz="8" w:space="0" w:color="auto"/>
      </w:pBdr>
      <w:spacing w:before="100" w:beforeAutospacing="1" w:after="100" w:afterAutospacing="1"/>
    </w:pPr>
    <w:rPr>
      <w:b/>
      <w:bCs/>
      <w:sz w:val="16"/>
      <w:szCs w:val="16"/>
      <w:lang w:val="es-GT" w:eastAsia="es-GT"/>
    </w:rPr>
  </w:style>
  <w:style w:type="paragraph" w:customStyle="1" w:styleId="xl88">
    <w:name w:val="xl88"/>
    <w:basedOn w:val="Normal"/>
    <w:rsid w:val="008764A0"/>
    <w:pPr>
      <w:widowControl/>
      <w:pBdr>
        <w:left w:val="single" w:sz="8" w:space="0" w:color="auto"/>
        <w:right w:val="double" w:sz="6" w:space="0" w:color="auto"/>
      </w:pBdr>
      <w:spacing w:before="100" w:beforeAutospacing="1" w:after="100" w:afterAutospacing="1"/>
      <w:jc w:val="center"/>
    </w:pPr>
    <w:rPr>
      <w:color w:val="000000"/>
      <w:sz w:val="16"/>
      <w:szCs w:val="16"/>
      <w:lang w:val="es-GT" w:eastAsia="es-GT"/>
    </w:rPr>
  </w:style>
  <w:style w:type="paragraph" w:customStyle="1" w:styleId="xl89">
    <w:name w:val="xl89"/>
    <w:basedOn w:val="Normal"/>
    <w:rsid w:val="008764A0"/>
    <w:pPr>
      <w:widowControl/>
      <w:pBdr>
        <w:left w:val="single" w:sz="8" w:space="0" w:color="auto"/>
        <w:right w:val="double" w:sz="6" w:space="0" w:color="auto"/>
      </w:pBdr>
      <w:spacing w:before="100" w:beforeAutospacing="1" w:after="100" w:afterAutospacing="1"/>
      <w:jc w:val="center"/>
    </w:pPr>
    <w:rPr>
      <w:b/>
      <w:bCs/>
      <w:sz w:val="16"/>
      <w:szCs w:val="16"/>
      <w:lang w:val="es-GT" w:eastAsia="es-GT"/>
    </w:rPr>
  </w:style>
  <w:style w:type="paragraph" w:customStyle="1" w:styleId="xl90">
    <w:name w:val="xl90"/>
    <w:basedOn w:val="Normal"/>
    <w:rsid w:val="008764A0"/>
    <w:pPr>
      <w:widowControl/>
      <w:pBdr>
        <w:left w:val="single" w:sz="8" w:space="0" w:color="auto"/>
        <w:right w:val="single" w:sz="8" w:space="0" w:color="auto"/>
      </w:pBdr>
      <w:spacing w:before="100" w:beforeAutospacing="1" w:after="100" w:afterAutospacing="1"/>
      <w:jc w:val="center"/>
      <w:textAlignment w:val="top"/>
    </w:pPr>
    <w:rPr>
      <w:sz w:val="16"/>
      <w:szCs w:val="16"/>
      <w:lang w:val="es-GT" w:eastAsia="es-GT"/>
    </w:rPr>
  </w:style>
  <w:style w:type="paragraph" w:customStyle="1" w:styleId="xl91">
    <w:name w:val="xl91"/>
    <w:basedOn w:val="Normal"/>
    <w:rsid w:val="008764A0"/>
    <w:pPr>
      <w:widowControl/>
      <w:pBdr>
        <w:left w:val="single" w:sz="8" w:space="0" w:color="auto"/>
        <w:right w:val="double" w:sz="6" w:space="0" w:color="auto"/>
      </w:pBdr>
      <w:spacing w:before="100" w:beforeAutospacing="1" w:after="100" w:afterAutospacing="1"/>
      <w:jc w:val="center"/>
      <w:textAlignment w:val="top"/>
    </w:pPr>
    <w:rPr>
      <w:sz w:val="16"/>
      <w:szCs w:val="16"/>
      <w:lang w:val="es-GT" w:eastAsia="es-GT"/>
    </w:rPr>
  </w:style>
  <w:style w:type="paragraph" w:customStyle="1" w:styleId="xl92">
    <w:name w:val="xl92"/>
    <w:basedOn w:val="Normal"/>
    <w:rsid w:val="008764A0"/>
    <w:pPr>
      <w:widowControl/>
      <w:pBdr>
        <w:left w:val="single" w:sz="8" w:space="0" w:color="auto"/>
        <w:right w:val="single" w:sz="8" w:space="0" w:color="auto"/>
      </w:pBdr>
      <w:spacing w:before="100" w:beforeAutospacing="1" w:after="100" w:afterAutospacing="1"/>
      <w:jc w:val="center"/>
      <w:textAlignment w:val="top"/>
    </w:pPr>
    <w:rPr>
      <w:b/>
      <w:bCs/>
      <w:sz w:val="16"/>
      <w:szCs w:val="16"/>
      <w:lang w:val="es-GT" w:eastAsia="es-GT"/>
    </w:rPr>
  </w:style>
  <w:style w:type="paragraph" w:customStyle="1" w:styleId="xl93">
    <w:name w:val="xl93"/>
    <w:basedOn w:val="Normal"/>
    <w:rsid w:val="008764A0"/>
    <w:pPr>
      <w:widowControl/>
      <w:pBdr>
        <w:left w:val="single" w:sz="8" w:space="0" w:color="auto"/>
        <w:right w:val="double" w:sz="6" w:space="0" w:color="auto"/>
      </w:pBdr>
      <w:spacing w:before="100" w:beforeAutospacing="1" w:after="100" w:afterAutospacing="1"/>
      <w:jc w:val="center"/>
      <w:textAlignment w:val="top"/>
    </w:pPr>
    <w:rPr>
      <w:b/>
      <w:bCs/>
      <w:sz w:val="16"/>
      <w:szCs w:val="16"/>
      <w:lang w:val="es-GT" w:eastAsia="es-GT"/>
    </w:rPr>
  </w:style>
  <w:style w:type="paragraph" w:customStyle="1" w:styleId="xl94">
    <w:name w:val="xl94"/>
    <w:basedOn w:val="Normal"/>
    <w:rsid w:val="008764A0"/>
    <w:pPr>
      <w:widowControl/>
      <w:pBdr>
        <w:left w:val="single" w:sz="8" w:space="0" w:color="auto"/>
        <w:right w:val="double" w:sz="6" w:space="0" w:color="auto"/>
      </w:pBdr>
      <w:spacing w:before="100" w:beforeAutospacing="1" w:after="100" w:afterAutospacing="1"/>
      <w:jc w:val="center"/>
    </w:pPr>
    <w:rPr>
      <w:b/>
      <w:bCs/>
      <w:color w:val="000000"/>
      <w:sz w:val="16"/>
      <w:szCs w:val="16"/>
      <w:lang w:val="es-GT" w:eastAsia="es-GT"/>
    </w:rPr>
  </w:style>
  <w:style w:type="paragraph" w:customStyle="1" w:styleId="xl95">
    <w:name w:val="xl95"/>
    <w:basedOn w:val="Normal"/>
    <w:rsid w:val="008764A0"/>
    <w:pPr>
      <w:widowControl/>
      <w:pBdr>
        <w:left w:val="single" w:sz="8" w:space="0" w:color="auto"/>
        <w:bottom w:val="double" w:sz="6" w:space="0" w:color="auto"/>
        <w:right w:val="double" w:sz="6" w:space="0" w:color="auto"/>
      </w:pBdr>
      <w:spacing w:before="100" w:beforeAutospacing="1" w:after="100" w:afterAutospacing="1"/>
      <w:jc w:val="center"/>
    </w:pPr>
    <w:rPr>
      <w:sz w:val="16"/>
      <w:szCs w:val="16"/>
      <w:lang w:val="es-GT" w:eastAsia="es-GT"/>
    </w:rPr>
  </w:style>
  <w:style w:type="paragraph" w:customStyle="1" w:styleId="xl97">
    <w:name w:val="xl97"/>
    <w:basedOn w:val="Normal"/>
    <w:rsid w:val="008764A0"/>
    <w:pPr>
      <w:widowControl/>
      <w:pBdr>
        <w:left w:val="single" w:sz="8" w:space="0" w:color="auto"/>
        <w:right w:val="single" w:sz="8" w:space="0" w:color="auto"/>
      </w:pBdr>
      <w:spacing w:before="100" w:beforeAutospacing="1" w:after="100" w:afterAutospacing="1"/>
      <w:textAlignment w:val="top"/>
    </w:pPr>
    <w:rPr>
      <w:sz w:val="16"/>
      <w:szCs w:val="16"/>
      <w:lang w:val="es-GT" w:eastAsia="es-GT"/>
    </w:rPr>
  </w:style>
  <w:style w:type="paragraph" w:customStyle="1" w:styleId="xl98">
    <w:name w:val="xl98"/>
    <w:basedOn w:val="Normal"/>
    <w:rsid w:val="008764A0"/>
    <w:pPr>
      <w:widowControl/>
      <w:pBdr>
        <w:left w:val="single" w:sz="8" w:space="0" w:color="auto"/>
        <w:right w:val="double" w:sz="6" w:space="0" w:color="auto"/>
      </w:pBdr>
      <w:spacing w:before="100" w:beforeAutospacing="1" w:after="100" w:afterAutospacing="1"/>
    </w:pPr>
    <w:rPr>
      <w:sz w:val="24"/>
      <w:szCs w:val="24"/>
      <w:lang w:val="es-GT" w:eastAsia="es-GT"/>
    </w:rPr>
  </w:style>
  <w:style w:type="paragraph" w:customStyle="1" w:styleId="xl99">
    <w:name w:val="xl99"/>
    <w:basedOn w:val="Normal"/>
    <w:rsid w:val="008764A0"/>
    <w:pPr>
      <w:widowControl/>
      <w:pBdr>
        <w:left w:val="single" w:sz="8" w:space="0" w:color="auto"/>
      </w:pBdr>
      <w:spacing w:before="100" w:beforeAutospacing="1" w:after="100" w:afterAutospacing="1"/>
    </w:pPr>
    <w:rPr>
      <w:b/>
      <w:bCs/>
      <w:color w:val="000000"/>
      <w:sz w:val="16"/>
      <w:szCs w:val="16"/>
      <w:lang w:val="es-GT" w:eastAsia="es-GT"/>
    </w:rPr>
  </w:style>
  <w:style w:type="paragraph" w:customStyle="1" w:styleId="xl100">
    <w:name w:val="xl100"/>
    <w:basedOn w:val="Normal"/>
    <w:rsid w:val="008764A0"/>
    <w:pPr>
      <w:widowControl/>
      <w:pBdr>
        <w:left w:val="single" w:sz="8" w:space="0" w:color="auto"/>
      </w:pBdr>
      <w:spacing w:before="100" w:beforeAutospacing="1" w:after="100" w:afterAutospacing="1"/>
      <w:textAlignment w:val="top"/>
    </w:pPr>
    <w:rPr>
      <w:b/>
      <w:bCs/>
      <w:color w:val="000000"/>
      <w:sz w:val="16"/>
      <w:szCs w:val="16"/>
      <w:lang w:val="es-GT" w:eastAsia="es-GT"/>
    </w:rPr>
  </w:style>
  <w:style w:type="paragraph" w:customStyle="1" w:styleId="xl101">
    <w:name w:val="xl101"/>
    <w:basedOn w:val="Normal"/>
    <w:rsid w:val="008764A0"/>
    <w:pPr>
      <w:widowControl/>
      <w:pBdr>
        <w:left w:val="single" w:sz="8" w:space="0" w:color="auto"/>
        <w:bottom w:val="single" w:sz="8" w:space="0" w:color="auto"/>
        <w:right w:val="single" w:sz="8" w:space="0" w:color="auto"/>
      </w:pBdr>
      <w:spacing w:before="100" w:beforeAutospacing="1" w:after="100" w:afterAutospacing="1"/>
      <w:jc w:val="center"/>
    </w:pPr>
    <w:rPr>
      <w:b/>
      <w:bCs/>
      <w:color w:val="000000"/>
      <w:sz w:val="16"/>
      <w:szCs w:val="16"/>
      <w:lang w:val="es-GT" w:eastAsia="es-GT"/>
    </w:rPr>
  </w:style>
  <w:style w:type="paragraph" w:customStyle="1" w:styleId="xl102">
    <w:name w:val="xl102"/>
    <w:basedOn w:val="Normal"/>
    <w:rsid w:val="008764A0"/>
    <w:pPr>
      <w:widowControl/>
      <w:pBdr>
        <w:top w:val="single" w:sz="8" w:space="0" w:color="auto"/>
        <w:left w:val="single" w:sz="8" w:space="0" w:color="auto"/>
        <w:bottom w:val="single" w:sz="8" w:space="0" w:color="auto"/>
        <w:right w:val="double" w:sz="6" w:space="0" w:color="auto"/>
      </w:pBdr>
      <w:spacing w:before="100" w:beforeAutospacing="1" w:after="100" w:afterAutospacing="1"/>
      <w:jc w:val="center"/>
    </w:pPr>
    <w:rPr>
      <w:b/>
      <w:bCs/>
      <w:color w:val="000000"/>
      <w:sz w:val="16"/>
      <w:szCs w:val="16"/>
      <w:lang w:val="es-GT" w:eastAsia="es-GT"/>
    </w:rPr>
  </w:style>
  <w:style w:type="paragraph" w:customStyle="1" w:styleId="xl103">
    <w:name w:val="xl103"/>
    <w:basedOn w:val="Normal"/>
    <w:rsid w:val="008764A0"/>
    <w:pPr>
      <w:widowControl/>
      <w:pBdr>
        <w:left w:val="single" w:sz="8" w:space="0" w:color="auto"/>
        <w:right w:val="single" w:sz="8" w:space="0" w:color="auto"/>
      </w:pBdr>
      <w:spacing w:before="100" w:beforeAutospacing="1" w:after="100" w:afterAutospacing="1"/>
    </w:pPr>
    <w:rPr>
      <w:b/>
      <w:bCs/>
      <w:color w:val="000000"/>
      <w:sz w:val="16"/>
      <w:szCs w:val="16"/>
      <w:lang w:val="es-GT" w:eastAsia="es-GT"/>
    </w:rPr>
  </w:style>
  <w:style w:type="paragraph" w:customStyle="1" w:styleId="xl104">
    <w:name w:val="xl104"/>
    <w:basedOn w:val="Normal"/>
    <w:rsid w:val="008764A0"/>
    <w:pPr>
      <w:widowControl/>
      <w:pBdr>
        <w:left w:val="single" w:sz="8" w:space="0" w:color="auto"/>
        <w:right w:val="single" w:sz="8" w:space="0" w:color="auto"/>
      </w:pBdr>
      <w:spacing w:before="100" w:beforeAutospacing="1" w:after="100" w:afterAutospacing="1"/>
      <w:jc w:val="center"/>
    </w:pPr>
    <w:rPr>
      <w:b/>
      <w:bCs/>
      <w:color w:val="000000"/>
      <w:sz w:val="16"/>
      <w:szCs w:val="16"/>
      <w:lang w:val="es-GT" w:eastAsia="es-GT"/>
    </w:rPr>
  </w:style>
  <w:style w:type="paragraph" w:customStyle="1" w:styleId="xl105">
    <w:name w:val="xl105"/>
    <w:basedOn w:val="Normal"/>
    <w:rsid w:val="008764A0"/>
    <w:pPr>
      <w:widowControl/>
      <w:pBdr>
        <w:left w:val="single" w:sz="8" w:space="0" w:color="auto"/>
        <w:right w:val="single" w:sz="8" w:space="0" w:color="auto"/>
      </w:pBdr>
      <w:spacing w:before="100" w:beforeAutospacing="1" w:after="100" w:afterAutospacing="1"/>
    </w:pPr>
    <w:rPr>
      <w:b/>
      <w:bCs/>
      <w:sz w:val="16"/>
      <w:szCs w:val="16"/>
      <w:lang w:val="es-GT" w:eastAsia="es-GT"/>
    </w:rPr>
  </w:style>
  <w:style w:type="paragraph" w:customStyle="1" w:styleId="xl106">
    <w:name w:val="xl106"/>
    <w:basedOn w:val="Normal"/>
    <w:rsid w:val="008764A0"/>
    <w:pPr>
      <w:widowControl/>
      <w:pBdr>
        <w:left w:val="single" w:sz="8" w:space="0" w:color="auto"/>
        <w:right w:val="single" w:sz="8" w:space="0" w:color="auto"/>
      </w:pBdr>
      <w:spacing w:before="100" w:beforeAutospacing="1" w:after="100" w:afterAutospacing="1"/>
      <w:textAlignment w:val="top"/>
    </w:pPr>
    <w:rPr>
      <w:color w:val="000000"/>
      <w:sz w:val="16"/>
      <w:szCs w:val="16"/>
      <w:lang w:val="es-GT" w:eastAsia="es-GT"/>
    </w:rPr>
  </w:style>
  <w:style w:type="paragraph" w:customStyle="1" w:styleId="xl107">
    <w:name w:val="xl107"/>
    <w:basedOn w:val="Normal"/>
    <w:rsid w:val="008764A0"/>
    <w:pPr>
      <w:widowControl/>
      <w:pBdr>
        <w:left w:val="single" w:sz="8" w:space="0" w:color="auto"/>
        <w:right w:val="single" w:sz="8" w:space="0" w:color="auto"/>
      </w:pBdr>
      <w:spacing w:before="100" w:beforeAutospacing="1" w:after="100" w:afterAutospacing="1"/>
    </w:pPr>
    <w:rPr>
      <w:color w:val="000000"/>
      <w:sz w:val="16"/>
      <w:szCs w:val="16"/>
      <w:lang w:val="es-GT" w:eastAsia="es-GT"/>
    </w:rPr>
  </w:style>
  <w:style w:type="paragraph" w:customStyle="1" w:styleId="xl108">
    <w:name w:val="xl108"/>
    <w:basedOn w:val="Normal"/>
    <w:rsid w:val="008764A0"/>
    <w:pPr>
      <w:widowControl/>
      <w:pBdr>
        <w:left w:val="single" w:sz="8" w:space="0" w:color="auto"/>
        <w:right w:val="single" w:sz="8" w:space="0" w:color="auto"/>
      </w:pBdr>
      <w:spacing w:before="100" w:beforeAutospacing="1" w:after="100" w:afterAutospacing="1"/>
      <w:textAlignment w:val="top"/>
    </w:pPr>
    <w:rPr>
      <w:b/>
      <w:bCs/>
      <w:color w:val="000000"/>
      <w:sz w:val="16"/>
      <w:szCs w:val="16"/>
      <w:lang w:val="es-GT" w:eastAsia="es-GT"/>
    </w:rPr>
  </w:style>
  <w:style w:type="paragraph" w:customStyle="1" w:styleId="xl109">
    <w:name w:val="xl109"/>
    <w:basedOn w:val="Normal"/>
    <w:rsid w:val="008764A0"/>
    <w:pPr>
      <w:widowControl/>
      <w:pBdr>
        <w:left w:val="single" w:sz="8" w:space="0" w:color="auto"/>
        <w:right w:val="single" w:sz="8" w:space="0" w:color="auto"/>
      </w:pBdr>
      <w:spacing w:before="100" w:beforeAutospacing="1" w:after="100" w:afterAutospacing="1"/>
    </w:pPr>
    <w:rPr>
      <w:sz w:val="16"/>
      <w:szCs w:val="16"/>
      <w:lang w:val="es-GT" w:eastAsia="es-GT"/>
    </w:rPr>
  </w:style>
  <w:style w:type="paragraph" w:customStyle="1" w:styleId="xl110">
    <w:name w:val="xl110"/>
    <w:basedOn w:val="Normal"/>
    <w:rsid w:val="008764A0"/>
    <w:pPr>
      <w:widowControl/>
      <w:pBdr>
        <w:left w:val="single" w:sz="8" w:space="0" w:color="auto"/>
        <w:bottom w:val="double" w:sz="6" w:space="0" w:color="auto"/>
        <w:right w:val="single" w:sz="8" w:space="0" w:color="auto"/>
      </w:pBdr>
      <w:spacing w:before="100" w:beforeAutospacing="1" w:after="100" w:afterAutospacing="1"/>
    </w:pPr>
    <w:rPr>
      <w:sz w:val="16"/>
      <w:szCs w:val="16"/>
      <w:lang w:val="es-GT" w:eastAsia="es-GT"/>
    </w:rPr>
  </w:style>
  <w:style w:type="paragraph" w:customStyle="1" w:styleId="xl111">
    <w:name w:val="xl111"/>
    <w:basedOn w:val="Normal"/>
    <w:rsid w:val="008764A0"/>
    <w:pPr>
      <w:widowControl/>
      <w:spacing w:before="100" w:beforeAutospacing="1" w:after="100" w:afterAutospacing="1"/>
    </w:pPr>
    <w:rPr>
      <w:sz w:val="24"/>
      <w:szCs w:val="24"/>
      <w:lang w:val="es-GT" w:eastAsia="es-GT"/>
    </w:rPr>
  </w:style>
  <w:style w:type="paragraph" w:customStyle="1" w:styleId="xl112">
    <w:name w:val="xl112"/>
    <w:basedOn w:val="Normal"/>
    <w:rsid w:val="008764A0"/>
    <w:pPr>
      <w:widowControl/>
      <w:pBdr>
        <w:left w:val="double" w:sz="6" w:space="0" w:color="auto"/>
        <w:bottom w:val="single" w:sz="8" w:space="0" w:color="auto"/>
        <w:right w:val="single" w:sz="8" w:space="0" w:color="auto"/>
      </w:pBdr>
      <w:spacing w:before="100" w:beforeAutospacing="1" w:after="100" w:afterAutospacing="1"/>
      <w:jc w:val="center"/>
    </w:pPr>
    <w:rPr>
      <w:b/>
      <w:bCs/>
      <w:sz w:val="16"/>
      <w:szCs w:val="16"/>
      <w:lang w:val="es-GT" w:eastAsia="es-GT"/>
    </w:rPr>
  </w:style>
  <w:style w:type="paragraph" w:customStyle="1" w:styleId="xl113">
    <w:name w:val="xl113"/>
    <w:basedOn w:val="Normal"/>
    <w:rsid w:val="008764A0"/>
    <w:pPr>
      <w:widowControl/>
      <w:pBdr>
        <w:left w:val="single" w:sz="8" w:space="0" w:color="auto"/>
        <w:bottom w:val="single" w:sz="8" w:space="0" w:color="auto"/>
        <w:right w:val="single" w:sz="8" w:space="0" w:color="auto"/>
      </w:pBdr>
      <w:spacing w:before="100" w:beforeAutospacing="1" w:after="100" w:afterAutospacing="1"/>
      <w:jc w:val="center"/>
    </w:pPr>
    <w:rPr>
      <w:b/>
      <w:bCs/>
      <w:sz w:val="16"/>
      <w:szCs w:val="16"/>
      <w:lang w:val="es-GT" w:eastAsia="es-GT"/>
    </w:rPr>
  </w:style>
  <w:style w:type="paragraph" w:customStyle="1" w:styleId="xl114">
    <w:name w:val="xl114"/>
    <w:basedOn w:val="Normal"/>
    <w:rsid w:val="008764A0"/>
    <w:pPr>
      <w:widowControl/>
      <w:pBdr>
        <w:left w:val="single" w:sz="8" w:space="0" w:color="auto"/>
        <w:bottom w:val="single" w:sz="8" w:space="0" w:color="auto"/>
        <w:right w:val="single" w:sz="8" w:space="0" w:color="auto"/>
      </w:pBdr>
      <w:spacing w:before="100" w:beforeAutospacing="1" w:after="100" w:afterAutospacing="1"/>
      <w:jc w:val="center"/>
    </w:pPr>
    <w:rPr>
      <w:b/>
      <w:bCs/>
      <w:sz w:val="16"/>
      <w:szCs w:val="16"/>
      <w:lang w:val="es-GT" w:eastAsia="es-GT"/>
    </w:rPr>
  </w:style>
  <w:style w:type="paragraph" w:customStyle="1" w:styleId="xl115">
    <w:name w:val="xl115"/>
    <w:basedOn w:val="Normal"/>
    <w:rsid w:val="008764A0"/>
    <w:pPr>
      <w:widowControl/>
      <w:pBdr>
        <w:top w:val="double" w:sz="6" w:space="0" w:color="auto"/>
        <w:left w:val="single" w:sz="8" w:space="0" w:color="auto"/>
        <w:bottom w:val="single" w:sz="8" w:space="0" w:color="auto"/>
        <w:right w:val="single" w:sz="8" w:space="0" w:color="auto"/>
      </w:pBdr>
      <w:spacing w:before="100" w:beforeAutospacing="1" w:after="100" w:afterAutospacing="1"/>
      <w:jc w:val="center"/>
      <w:textAlignment w:val="center"/>
    </w:pPr>
    <w:rPr>
      <w:b/>
      <w:bCs/>
      <w:color w:val="000000"/>
      <w:sz w:val="16"/>
      <w:szCs w:val="16"/>
      <w:lang w:val="es-GT" w:eastAsia="es-GT"/>
    </w:rPr>
  </w:style>
  <w:style w:type="paragraph" w:styleId="NormalWeb">
    <w:name w:val="Normal (Web)"/>
    <w:basedOn w:val="Normal"/>
    <w:uiPriority w:val="99"/>
    <w:unhideWhenUsed/>
    <w:rsid w:val="00711BCD"/>
    <w:pPr>
      <w:widowControl/>
      <w:spacing w:before="100" w:beforeAutospacing="1" w:after="100" w:afterAutospacing="1"/>
    </w:pPr>
    <w:rPr>
      <w:sz w:val="24"/>
      <w:szCs w:val="24"/>
      <w:lang w:val="es-GT" w:eastAsia="es-GT"/>
    </w:rPr>
  </w:style>
  <w:style w:type="paragraph" w:customStyle="1" w:styleId="xl116">
    <w:name w:val="xl116"/>
    <w:basedOn w:val="Normal"/>
    <w:rsid w:val="00774E44"/>
    <w:pPr>
      <w:widowControl/>
      <w:pBdr>
        <w:left w:val="single" w:sz="4" w:space="0" w:color="auto"/>
        <w:right w:val="single" w:sz="4" w:space="0" w:color="auto"/>
      </w:pBdr>
      <w:spacing w:before="100" w:beforeAutospacing="1" w:after="100" w:afterAutospacing="1"/>
      <w:jc w:val="right"/>
    </w:pPr>
    <w:rPr>
      <w:i/>
      <w:iCs/>
      <w:color w:val="000000"/>
      <w:sz w:val="16"/>
      <w:szCs w:val="16"/>
      <w:u w:val="single"/>
      <w:lang w:val="es-GT" w:eastAsia="es-GT"/>
    </w:rPr>
  </w:style>
  <w:style w:type="paragraph" w:customStyle="1" w:styleId="xl117">
    <w:name w:val="xl117"/>
    <w:basedOn w:val="Normal"/>
    <w:rsid w:val="00774E44"/>
    <w:pPr>
      <w:widowControl/>
      <w:pBdr>
        <w:left w:val="single" w:sz="4" w:space="0" w:color="auto"/>
        <w:right w:val="single" w:sz="4" w:space="0" w:color="auto"/>
      </w:pBdr>
      <w:spacing w:before="100" w:beforeAutospacing="1" w:after="100" w:afterAutospacing="1"/>
    </w:pPr>
    <w:rPr>
      <w:i/>
      <w:iCs/>
      <w:sz w:val="16"/>
      <w:szCs w:val="16"/>
      <w:u w:val="single"/>
      <w:lang w:val="es-GT" w:eastAsia="es-GT"/>
    </w:rPr>
  </w:style>
  <w:style w:type="paragraph" w:customStyle="1" w:styleId="xl118">
    <w:name w:val="xl118"/>
    <w:basedOn w:val="Normal"/>
    <w:rsid w:val="00774E44"/>
    <w:pPr>
      <w:widowControl/>
      <w:pBdr>
        <w:top w:val="double" w:sz="6"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16"/>
      <w:szCs w:val="16"/>
      <w:lang w:val="es-GT" w:eastAsia="es-GT"/>
    </w:rPr>
  </w:style>
  <w:style w:type="paragraph" w:customStyle="1" w:styleId="xl119">
    <w:name w:val="xl119"/>
    <w:basedOn w:val="Normal"/>
    <w:rsid w:val="00774E44"/>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16"/>
      <w:szCs w:val="16"/>
      <w:lang w:val="es-GT" w:eastAsia="es-GT"/>
    </w:rPr>
  </w:style>
  <w:style w:type="paragraph" w:customStyle="1" w:styleId="xl120">
    <w:name w:val="xl120"/>
    <w:basedOn w:val="Normal"/>
    <w:rsid w:val="00774E44"/>
    <w:pPr>
      <w:widowControl/>
      <w:pBdr>
        <w:top w:val="double" w:sz="6"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color w:val="000000"/>
      <w:sz w:val="16"/>
      <w:szCs w:val="16"/>
      <w:lang w:val="es-GT" w:eastAsia="es-GT"/>
    </w:rPr>
  </w:style>
  <w:style w:type="paragraph" w:customStyle="1" w:styleId="xl121">
    <w:name w:val="xl121"/>
    <w:basedOn w:val="Normal"/>
    <w:rsid w:val="00774E44"/>
    <w:pPr>
      <w:widowControl/>
      <w:pBdr>
        <w:top w:val="double" w:sz="6" w:space="0" w:color="auto"/>
        <w:left w:val="single" w:sz="4" w:space="0" w:color="auto"/>
        <w:bottom w:val="single" w:sz="4" w:space="0" w:color="auto"/>
        <w:right w:val="double" w:sz="6" w:space="0" w:color="auto"/>
      </w:pBdr>
      <w:spacing w:before="100" w:beforeAutospacing="1" w:after="100" w:afterAutospacing="1"/>
      <w:jc w:val="center"/>
      <w:textAlignment w:val="center"/>
    </w:pPr>
    <w:rPr>
      <w:b/>
      <w:bCs/>
      <w:color w:val="000000"/>
      <w:sz w:val="16"/>
      <w:szCs w:val="16"/>
      <w:lang w:val="es-GT" w:eastAsia="es-GT"/>
    </w:rPr>
  </w:style>
  <w:style w:type="paragraph" w:customStyle="1" w:styleId="xl122">
    <w:name w:val="xl122"/>
    <w:basedOn w:val="Normal"/>
    <w:rsid w:val="00774E44"/>
    <w:pPr>
      <w:widowControl/>
      <w:pBdr>
        <w:top w:val="double" w:sz="6" w:space="0" w:color="auto"/>
        <w:left w:val="single" w:sz="4" w:space="0" w:color="auto"/>
        <w:right w:val="single" w:sz="4" w:space="0" w:color="auto"/>
      </w:pBdr>
      <w:spacing w:before="100" w:beforeAutospacing="1" w:after="100" w:afterAutospacing="1"/>
      <w:jc w:val="center"/>
    </w:pPr>
    <w:rPr>
      <w:b/>
      <w:bCs/>
      <w:color w:val="000000"/>
      <w:sz w:val="16"/>
      <w:szCs w:val="16"/>
      <w:lang w:val="es-GT" w:eastAsia="es-GT"/>
    </w:rPr>
  </w:style>
  <w:style w:type="paragraph" w:customStyle="1" w:styleId="xl123">
    <w:name w:val="xl123"/>
    <w:basedOn w:val="Normal"/>
    <w:rsid w:val="00774E44"/>
    <w:pPr>
      <w:widowControl/>
      <w:pBdr>
        <w:left w:val="single" w:sz="4" w:space="0" w:color="auto"/>
        <w:bottom w:val="single" w:sz="4" w:space="0" w:color="auto"/>
        <w:right w:val="single" w:sz="4" w:space="0" w:color="auto"/>
      </w:pBdr>
      <w:spacing w:before="100" w:beforeAutospacing="1" w:after="100" w:afterAutospacing="1"/>
      <w:jc w:val="center"/>
    </w:pPr>
    <w:rPr>
      <w:b/>
      <w:bCs/>
      <w:color w:val="000000"/>
      <w:sz w:val="16"/>
      <w:szCs w:val="16"/>
      <w:lang w:val="es-GT" w:eastAsia="es-GT"/>
    </w:rPr>
  </w:style>
  <w:style w:type="paragraph" w:customStyle="1" w:styleId="xl124">
    <w:name w:val="xl124"/>
    <w:basedOn w:val="Normal"/>
    <w:rsid w:val="00774E44"/>
    <w:pPr>
      <w:widowControl/>
      <w:pBdr>
        <w:top w:val="double" w:sz="6" w:space="0" w:color="auto"/>
        <w:left w:val="single" w:sz="4" w:space="0" w:color="auto"/>
        <w:bottom w:val="single" w:sz="4" w:space="0" w:color="auto"/>
      </w:pBdr>
      <w:spacing w:before="100" w:beforeAutospacing="1" w:after="100" w:afterAutospacing="1"/>
      <w:jc w:val="center"/>
      <w:textAlignment w:val="center"/>
    </w:pPr>
    <w:rPr>
      <w:b/>
      <w:bCs/>
      <w:color w:val="000000"/>
      <w:sz w:val="16"/>
      <w:szCs w:val="16"/>
      <w:lang w:val="es-GT" w:eastAsia="es-GT"/>
    </w:rPr>
  </w:style>
  <w:style w:type="paragraph" w:customStyle="1" w:styleId="xl125">
    <w:name w:val="xl125"/>
    <w:basedOn w:val="Normal"/>
    <w:rsid w:val="00774E44"/>
    <w:pPr>
      <w:widowControl/>
      <w:pBdr>
        <w:top w:val="single" w:sz="4" w:space="0" w:color="auto"/>
        <w:left w:val="single" w:sz="4" w:space="0" w:color="auto"/>
        <w:bottom w:val="single" w:sz="4" w:space="0" w:color="auto"/>
      </w:pBdr>
      <w:spacing w:before="100" w:beforeAutospacing="1" w:after="100" w:afterAutospacing="1"/>
      <w:jc w:val="center"/>
      <w:textAlignment w:val="center"/>
    </w:pPr>
    <w:rPr>
      <w:b/>
      <w:bCs/>
      <w:color w:val="000000"/>
      <w:sz w:val="16"/>
      <w:szCs w:val="16"/>
      <w:lang w:val="es-GT" w:eastAsia="es-GT"/>
    </w:rPr>
  </w:style>
  <w:style w:type="paragraph" w:styleId="Listaconvietas">
    <w:name w:val="List Bullet"/>
    <w:basedOn w:val="Normal"/>
    <w:uiPriority w:val="99"/>
    <w:unhideWhenUsed/>
    <w:rsid w:val="00AB70BF"/>
    <w:pPr>
      <w:numPr>
        <w:numId w:val="3"/>
      </w:numPr>
      <w:contextualSpacing/>
    </w:pPr>
  </w:style>
  <w:style w:type="table" w:styleId="Sombreadoclaro-nfasis1">
    <w:name w:val="Light Shading Accent 1"/>
    <w:basedOn w:val="Tablanormal"/>
    <w:uiPriority w:val="60"/>
    <w:rsid w:val="00AB70BF"/>
    <w:pPr>
      <w:spacing w:after="0" w:line="240" w:lineRule="auto"/>
    </w:pPr>
    <w:rPr>
      <w:color w:val="2F5496" w:themeColor="accent1" w:themeShade="BF"/>
    </w:rPr>
    <w:tblPr>
      <w:tblStyleRowBandSize w:val="1"/>
      <w:tblStyleColBandSize w:val="1"/>
      <w:tblBorders>
        <w:top w:val="single" w:sz="8" w:space="0" w:color="4472C4" w:themeColor="accent1"/>
        <w:bottom w:val="single" w:sz="8" w:space="0" w:color="4472C4" w:themeColor="accent1"/>
      </w:tblBorders>
    </w:tblPr>
    <w:tblStylePr w:type="firstRow">
      <w:pPr>
        <w:spacing w:before="0" w:after="0" w:line="240" w:lineRule="auto"/>
      </w:pPr>
      <w:rPr>
        <w:b/>
        <w:bCs/>
      </w:rPr>
      <w:tblPr/>
      <w:tcPr>
        <w:tcBorders>
          <w:top w:val="single" w:sz="8" w:space="0" w:color="4472C4" w:themeColor="accent1"/>
          <w:left w:val="nil"/>
          <w:bottom w:val="single" w:sz="8" w:space="0" w:color="4472C4" w:themeColor="accent1"/>
          <w:right w:val="nil"/>
          <w:insideH w:val="nil"/>
          <w:insideV w:val="nil"/>
        </w:tcBorders>
      </w:tcPr>
    </w:tblStylePr>
    <w:tblStylePr w:type="lastRow">
      <w:pPr>
        <w:spacing w:before="0" w:after="0" w:line="240" w:lineRule="auto"/>
      </w:pPr>
      <w:rPr>
        <w:b/>
        <w:bCs/>
      </w:rPr>
      <w:tblPr/>
      <w:tcPr>
        <w:tcBorders>
          <w:top w:val="single" w:sz="8" w:space="0" w:color="4472C4" w:themeColor="accent1"/>
          <w:left w:val="nil"/>
          <w:bottom w:val="single" w:sz="8" w:space="0" w:color="4472C4"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0DBF0" w:themeFill="accent1" w:themeFillTint="3F"/>
      </w:tcPr>
    </w:tblStylePr>
    <w:tblStylePr w:type="band1Horz">
      <w:tblPr/>
      <w:tcPr>
        <w:tcBorders>
          <w:left w:val="nil"/>
          <w:right w:val="nil"/>
          <w:insideH w:val="nil"/>
          <w:insideV w:val="nil"/>
        </w:tcBorders>
        <w:shd w:val="clear" w:color="auto" w:fill="D0DBF0" w:themeFill="accent1" w:themeFillTint="3F"/>
      </w:tcPr>
    </w:tblStylePr>
  </w:style>
  <w:style w:type="paragraph" w:styleId="TtulodeTDC">
    <w:name w:val="TOC Heading"/>
    <w:basedOn w:val="Ttulo1"/>
    <w:next w:val="Normal"/>
    <w:uiPriority w:val="39"/>
    <w:unhideWhenUsed/>
    <w:qFormat/>
    <w:rsid w:val="00AB70BF"/>
    <w:pPr>
      <w:keepLines/>
      <w:widowControl/>
      <w:spacing w:before="480" w:line="276" w:lineRule="auto"/>
      <w:jc w:val="left"/>
      <w:outlineLvl w:val="9"/>
    </w:pPr>
    <w:rPr>
      <w:rFonts w:asciiTheme="majorHAnsi" w:eastAsiaTheme="majorEastAsia" w:hAnsiTheme="majorHAnsi" w:cstheme="majorBidi"/>
      <w:bCs/>
      <w:color w:val="2F5496" w:themeColor="accent1" w:themeShade="BF"/>
      <w:sz w:val="28"/>
      <w:szCs w:val="28"/>
      <w:lang w:val="es-GT" w:eastAsia="es-GT"/>
    </w:rPr>
  </w:style>
  <w:style w:type="paragraph" w:styleId="TDC2">
    <w:name w:val="toc 2"/>
    <w:basedOn w:val="Normal"/>
    <w:next w:val="Normal"/>
    <w:autoRedefine/>
    <w:uiPriority w:val="39"/>
    <w:unhideWhenUsed/>
    <w:qFormat/>
    <w:rsid w:val="00270ED2"/>
    <w:pPr>
      <w:tabs>
        <w:tab w:val="left" w:pos="880"/>
        <w:tab w:val="right" w:leader="dot" w:pos="9962"/>
      </w:tabs>
      <w:spacing w:after="100"/>
      <w:ind w:left="142"/>
    </w:pPr>
  </w:style>
  <w:style w:type="paragraph" w:styleId="TDC3">
    <w:name w:val="toc 3"/>
    <w:basedOn w:val="Normal"/>
    <w:next w:val="Normal"/>
    <w:autoRedefine/>
    <w:uiPriority w:val="39"/>
    <w:unhideWhenUsed/>
    <w:qFormat/>
    <w:rsid w:val="00621133"/>
    <w:pPr>
      <w:tabs>
        <w:tab w:val="left" w:pos="993"/>
        <w:tab w:val="left" w:pos="1100"/>
        <w:tab w:val="right" w:leader="dot" w:pos="9962"/>
      </w:tabs>
      <w:spacing w:after="100"/>
      <w:ind w:left="142"/>
    </w:pPr>
  </w:style>
  <w:style w:type="paragraph" w:styleId="TDC1">
    <w:name w:val="toc 1"/>
    <w:basedOn w:val="Normal"/>
    <w:next w:val="Normal"/>
    <w:autoRedefine/>
    <w:uiPriority w:val="39"/>
    <w:unhideWhenUsed/>
    <w:qFormat/>
    <w:rsid w:val="00720B8C"/>
    <w:pPr>
      <w:tabs>
        <w:tab w:val="left" w:pos="400"/>
        <w:tab w:val="right" w:leader="dot" w:pos="9962"/>
      </w:tabs>
      <w:spacing w:after="100"/>
      <w:ind w:left="142" w:hanging="142"/>
    </w:pPr>
  </w:style>
  <w:style w:type="character" w:styleId="Textoennegrita">
    <w:name w:val="Strong"/>
    <w:basedOn w:val="Fuentedeprrafopredeter"/>
    <w:uiPriority w:val="22"/>
    <w:qFormat/>
    <w:rsid w:val="00AB70BF"/>
    <w:rPr>
      <w:b/>
      <w:bCs/>
    </w:rPr>
  </w:style>
  <w:style w:type="paragraph" w:customStyle="1" w:styleId="default0">
    <w:name w:val="default"/>
    <w:basedOn w:val="Normal"/>
    <w:rsid w:val="00AB70BF"/>
    <w:pPr>
      <w:widowControl/>
      <w:spacing w:after="150"/>
    </w:pPr>
    <w:rPr>
      <w:sz w:val="24"/>
      <w:szCs w:val="24"/>
      <w:lang w:val="es-GT" w:eastAsia="es-GT"/>
    </w:rPr>
  </w:style>
  <w:style w:type="paragraph" w:styleId="Subttulo">
    <w:name w:val="Subtitle"/>
    <w:basedOn w:val="Normal"/>
    <w:link w:val="SubttuloCar"/>
    <w:uiPriority w:val="11"/>
    <w:qFormat/>
    <w:rsid w:val="00D50E05"/>
    <w:pPr>
      <w:widowControl/>
      <w:jc w:val="both"/>
    </w:pPr>
    <w:rPr>
      <w:rFonts w:ascii="CG Times" w:hAnsi="CG Times"/>
      <w:b/>
      <w:bCs/>
      <w:sz w:val="24"/>
      <w:szCs w:val="24"/>
      <w:lang w:val="es-ES"/>
    </w:rPr>
  </w:style>
  <w:style w:type="character" w:customStyle="1" w:styleId="SubttuloCar">
    <w:name w:val="Subtítulo Car"/>
    <w:basedOn w:val="Fuentedeprrafopredeter"/>
    <w:link w:val="Subttulo"/>
    <w:uiPriority w:val="11"/>
    <w:rsid w:val="00D50E05"/>
    <w:rPr>
      <w:rFonts w:ascii="CG Times" w:eastAsia="Times New Roman" w:hAnsi="CG Times" w:cs="Times New Roman"/>
      <w:b/>
      <w:bCs/>
      <w:szCs w:val="24"/>
      <w:lang w:val="es-ES" w:eastAsia="es-ES"/>
    </w:rPr>
  </w:style>
  <w:style w:type="table" w:customStyle="1" w:styleId="TableNormal">
    <w:name w:val="Table Normal"/>
    <w:uiPriority w:val="2"/>
    <w:semiHidden/>
    <w:unhideWhenUsed/>
    <w:qFormat/>
    <w:rsid w:val="00D50E05"/>
    <w:pPr>
      <w:widowControl w:val="0"/>
      <w:spacing w:after="0" w:line="240" w:lineRule="auto"/>
    </w:pPr>
    <w:rPr>
      <w:rFonts w:asciiTheme="minorHAnsi" w:hAnsiTheme="minorHAnsi"/>
      <w:sz w:val="22"/>
      <w:lang w:val="en-US"/>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D50E05"/>
    <w:rPr>
      <w:rFonts w:asciiTheme="minorHAnsi" w:eastAsiaTheme="minorHAnsi" w:hAnsiTheme="minorHAnsi" w:cstheme="minorBidi"/>
      <w:sz w:val="22"/>
      <w:szCs w:val="22"/>
      <w:lang w:val="en-US" w:eastAsia="en-US"/>
    </w:rPr>
  </w:style>
  <w:style w:type="character" w:customStyle="1" w:styleId="TextonotapieCar1">
    <w:name w:val="Texto nota pie Car1"/>
    <w:aliases w:val="ft Car1,ft Car Car1,ft Car Car Car2,Texto nota pie2 Car,ft1 Car,ft Car Car Car1 Car,Texto nota pie Car2 Car,ft Car Car2 Car,ft Car Car Car Car,fn Car,single space Car,footnote text Car,FOOTNOTES Car,Texto nota pie IIRSA Car,F Car"/>
    <w:basedOn w:val="Fuentedeprrafopredeter"/>
    <w:rsid w:val="00D50E05"/>
    <w:rPr>
      <w:rFonts w:ascii="Times New Roman" w:eastAsia="SimSun" w:hAnsi="Times New Roman" w:cs="Times New Roman"/>
      <w:sz w:val="20"/>
      <w:szCs w:val="20"/>
      <w:lang w:val="es-ES"/>
    </w:rPr>
  </w:style>
  <w:style w:type="character" w:customStyle="1" w:styleId="PrrafodelistaCar">
    <w:name w:val="Párrafo de lista Car"/>
    <w:aliases w:val="Párrafo de lista 2 Car"/>
    <w:basedOn w:val="Fuentedeprrafopredeter"/>
    <w:link w:val="Prrafodelista"/>
    <w:uiPriority w:val="34"/>
    <w:rsid w:val="00D50E05"/>
    <w:rPr>
      <w:rFonts w:eastAsia="Times New Roman" w:cs="Times New Roman"/>
      <w:sz w:val="20"/>
      <w:szCs w:val="20"/>
      <w:lang w:val="es-ES_tradnl" w:eastAsia="es-ES"/>
    </w:rPr>
  </w:style>
  <w:style w:type="character" w:customStyle="1" w:styleId="None">
    <w:name w:val="None"/>
    <w:rsid w:val="00D50E05"/>
  </w:style>
  <w:style w:type="paragraph" w:customStyle="1" w:styleId="Pa2">
    <w:name w:val="Pa2"/>
    <w:basedOn w:val="Default"/>
    <w:next w:val="Default"/>
    <w:uiPriority w:val="99"/>
    <w:rsid w:val="008C102B"/>
    <w:pPr>
      <w:spacing w:line="241" w:lineRule="atLeast"/>
    </w:pPr>
    <w:rPr>
      <w:rFonts w:ascii="Andada" w:eastAsia="Malgun Gothic" w:hAnsi="Andada" w:cs="Times New Roman"/>
      <w:color w:val="auto"/>
      <w:lang w:eastAsia="es-ES"/>
    </w:rPr>
  </w:style>
  <w:style w:type="paragraph" w:customStyle="1" w:styleId="Pa3">
    <w:name w:val="Pa3"/>
    <w:basedOn w:val="Default"/>
    <w:next w:val="Default"/>
    <w:uiPriority w:val="99"/>
    <w:rsid w:val="008C102B"/>
    <w:pPr>
      <w:spacing w:line="241" w:lineRule="atLeast"/>
    </w:pPr>
    <w:rPr>
      <w:rFonts w:ascii="Andada" w:eastAsia="Malgun Gothic" w:hAnsi="Andada" w:cs="Times New Roman"/>
      <w:color w:val="auto"/>
      <w:lang w:eastAsia="es-ES"/>
    </w:rPr>
  </w:style>
  <w:style w:type="character" w:customStyle="1" w:styleId="A4">
    <w:name w:val="A4"/>
    <w:uiPriority w:val="99"/>
    <w:rsid w:val="008C102B"/>
    <w:rPr>
      <w:rFonts w:cs="Andada"/>
      <w:color w:val="000000"/>
      <w:sz w:val="14"/>
      <w:szCs w:val="14"/>
    </w:rPr>
  </w:style>
  <w:style w:type="paragraph" w:customStyle="1" w:styleId="Pa4">
    <w:name w:val="Pa4"/>
    <w:basedOn w:val="Default"/>
    <w:next w:val="Default"/>
    <w:uiPriority w:val="99"/>
    <w:rsid w:val="008C102B"/>
    <w:pPr>
      <w:spacing w:line="241" w:lineRule="atLeast"/>
    </w:pPr>
    <w:rPr>
      <w:rFonts w:ascii="Andada" w:eastAsia="Malgun Gothic" w:hAnsi="Andada" w:cs="Times New Roman"/>
      <w:color w:val="auto"/>
      <w:lang w:eastAsia="es-ES"/>
    </w:rPr>
  </w:style>
  <w:style w:type="paragraph" w:styleId="HTMLconformatoprevio">
    <w:name w:val="HTML Preformatted"/>
    <w:basedOn w:val="Normal"/>
    <w:link w:val="HTMLconformatoprevioCar"/>
    <w:uiPriority w:val="99"/>
    <w:semiHidden/>
    <w:unhideWhenUsed/>
    <w:rsid w:val="008C102B"/>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lang w:val="es-GT" w:eastAsia="es-GT"/>
    </w:rPr>
  </w:style>
  <w:style w:type="character" w:customStyle="1" w:styleId="HTMLconformatoprevioCar">
    <w:name w:val="HTML con formato previo Car"/>
    <w:basedOn w:val="Fuentedeprrafopredeter"/>
    <w:link w:val="HTMLconformatoprevio"/>
    <w:uiPriority w:val="99"/>
    <w:semiHidden/>
    <w:rsid w:val="008C102B"/>
    <w:rPr>
      <w:rFonts w:ascii="Courier New" w:eastAsia="Times New Roman" w:hAnsi="Courier New" w:cs="Courier New"/>
      <w:sz w:val="20"/>
      <w:szCs w:val="20"/>
      <w:lang w:eastAsia="es-GT"/>
    </w:rPr>
  </w:style>
  <w:style w:type="character" w:customStyle="1" w:styleId="Mencinsinresolver1">
    <w:name w:val="Mención sin resolver1"/>
    <w:basedOn w:val="Fuentedeprrafopredeter"/>
    <w:uiPriority w:val="99"/>
    <w:semiHidden/>
    <w:unhideWhenUsed/>
    <w:rsid w:val="008C102B"/>
    <w:rPr>
      <w:color w:val="605E5C"/>
      <w:shd w:val="clear" w:color="auto" w:fill="E1DFDD"/>
    </w:rPr>
  </w:style>
  <w:style w:type="table" w:customStyle="1" w:styleId="Tablanormal41">
    <w:name w:val="Tabla normal 41"/>
    <w:basedOn w:val="Tablanormal"/>
    <w:uiPriority w:val="44"/>
    <w:rsid w:val="008C102B"/>
    <w:pPr>
      <w:spacing w:after="0" w:line="240" w:lineRule="auto"/>
    </w:pPr>
    <w:rPr>
      <w:rFonts w:ascii="Cambria" w:eastAsia="Malgun Gothic" w:hAnsi="Cambria" w:cs="Times New Roman"/>
      <w:sz w:val="20"/>
      <w:szCs w:val="20"/>
      <w:lang w:eastAsia="es-GT"/>
    </w:r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Tabladecuadrcula4-nfasis11">
    <w:name w:val="Tabla de cuadrícula 4 - Énfasis 11"/>
    <w:basedOn w:val="Tablanormal"/>
    <w:uiPriority w:val="49"/>
    <w:rsid w:val="008C102B"/>
    <w:pPr>
      <w:spacing w:after="0" w:line="240" w:lineRule="auto"/>
    </w:pPr>
    <w:rPr>
      <w:rFonts w:ascii="Cambria" w:eastAsia="Malgun Gothic" w:hAnsi="Cambria" w:cs="Times New Roman"/>
      <w:sz w:val="20"/>
      <w:szCs w:val="20"/>
      <w:lang w:eastAsia="es-GT"/>
    </w:rPr>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Pr>
    <w:tblStylePr w:type="firstRow">
      <w:rPr>
        <w:b/>
        <w:bCs/>
        <w:color w:val="FFFFFF" w:themeColor="background1"/>
      </w:rPr>
      <w:tblPr/>
      <w:tcPr>
        <w:tcBorders>
          <w:top w:val="single" w:sz="4" w:space="0" w:color="4472C4" w:themeColor="accent1"/>
          <w:left w:val="single" w:sz="4" w:space="0" w:color="4472C4" w:themeColor="accent1"/>
          <w:bottom w:val="single" w:sz="4" w:space="0" w:color="4472C4" w:themeColor="accent1"/>
          <w:right w:val="single" w:sz="4" w:space="0" w:color="4472C4" w:themeColor="accent1"/>
          <w:insideH w:val="nil"/>
          <w:insideV w:val="nil"/>
        </w:tcBorders>
        <w:shd w:val="clear" w:color="auto" w:fill="4472C4" w:themeFill="accent1"/>
      </w:tcPr>
    </w:tblStylePr>
    <w:tblStylePr w:type="lastRow">
      <w:rPr>
        <w:b/>
        <w:bCs/>
      </w:rPr>
      <w:tblPr/>
      <w:tcPr>
        <w:tcBorders>
          <w:top w:val="double" w:sz="4" w:space="0" w:color="4472C4" w:themeColor="accent1"/>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character" w:styleId="nfasissutil">
    <w:name w:val="Subtle Emphasis"/>
    <w:uiPriority w:val="19"/>
    <w:qFormat/>
    <w:rsid w:val="008C102B"/>
    <w:rPr>
      <w:rFonts w:ascii="Times New Roman" w:hAnsi="Times New Roman"/>
    </w:rPr>
  </w:style>
  <w:style w:type="character" w:styleId="Textodelmarcadordeposicin">
    <w:name w:val="Placeholder Text"/>
    <w:basedOn w:val="Fuentedeprrafopredeter"/>
    <w:uiPriority w:val="99"/>
    <w:semiHidden/>
    <w:rsid w:val="008C102B"/>
    <w:rPr>
      <w:color w:val="808080"/>
    </w:rPr>
  </w:style>
  <w:style w:type="table" w:customStyle="1" w:styleId="Tablanormal11">
    <w:name w:val="Tabla normal 11"/>
    <w:basedOn w:val="Tablanormal"/>
    <w:uiPriority w:val="41"/>
    <w:rsid w:val="008C102B"/>
    <w:pPr>
      <w:spacing w:after="0" w:line="240" w:lineRule="auto"/>
    </w:pPr>
    <w:rPr>
      <w:rFonts w:ascii="Cambria" w:eastAsia="Malgun Gothic" w:hAnsi="Cambria" w:cs="Times New Roman"/>
      <w:sz w:val="20"/>
      <w:szCs w:val="20"/>
      <w:lang w:eastAsia="es-GT"/>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customStyle="1" w:styleId="Ttulo11">
    <w:name w:val="Título 11"/>
    <w:basedOn w:val="Normal"/>
    <w:rsid w:val="008C102B"/>
    <w:pPr>
      <w:widowControl/>
      <w:numPr>
        <w:numId w:val="4"/>
      </w:numPr>
      <w:spacing w:after="200" w:line="288" w:lineRule="auto"/>
    </w:pPr>
    <w:rPr>
      <w:rFonts w:asciiTheme="minorHAnsi" w:eastAsiaTheme="minorEastAsia" w:hAnsiTheme="minorHAnsi" w:cstheme="minorBidi"/>
      <w:sz w:val="21"/>
      <w:szCs w:val="21"/>
      <w:lang w:val="es-GT" w:eastAsia="en-US"/>
    </w:rPr>
  </w:style>
  <w:style w:type="paragraph" w:customStyle="1" w:styleId="Ttulo21">
    <w:name w:val="Título 21"/>
    <w:basedOn w:val="Normal"/>
    <w:rsid w:val="008C102B"/>
    <w:pPr>
      <w:widowControl/>
      <w:numPr>
        <w:ilvl w:val="1"/>
        <w:numId w:val="4"/>
      </w:numPr>
      <w:spacing w:after="200" w:line="288" w:lineRule="auto"/>
      <w:ind w:left="576"/>
    </w:pPr>
    <w:rPr>
      <w:rFonts w:asciiTheme="minorHAnsi" w:eastAsiaTheme="minorEastAsia" w:hAnsiTheme="minorHAnsi" w:cstheme="minorBidi"/>
      <w:sz w:val="21"/>
      <w:szCs w:val="21"/>
      <w:lang w:val="es-GT" w:eastAsia="en-US"/>
    </w:rPr>
  </w:style>
  <w:style w:type="paragraph" w:customStyle="1" w:styleId="Ttulo31">
    <w:name w:val="Título 31"/>
    <w:basedOn w:val="Normal"/>
    <w:rsid w:val="008C102B"/>
    <w:pPr>
      <w:widowControl/>
      <w:numPr>
        <w:ilvl w:val="2"/>
        <w:numId w:val="4"/>
      </w:numPr>
      <w:spacing w:after="200" w:line="288" w:lineRule="auto"/>
    </w:pPr>
    <w:rPr>
      <w:rFonts w:asciiTheme="minorHAnsi" w:eastAsiaTheme="minorEastAsia" w:hAnsiTheme="minorHAnsi" w:cstheme="minorBidi"/>
      <w:sz w:val="21"/>
      <w:szCs w:val="21"/>
      <w:lang w:val="es-GT" w:eastAsia="en-US"/>
    </w:rPr>
  </w:style>
  <w:style w:type="paragraph" w:customStyle="1" w:styleId="Ttulo41">
    <w:name w:val="Título 41"/>
    <w:basedOn w:val="Normal"/>
    <w:rsid w:val="008C102B"/>
    <w:pPr>
      <w:widowControl/>
      <w:numPr>
        <w:ilvl w:val="3"/>
        <w:numId w:val="4"/>
      </w:numPr>
      <w:spacing w:after="200" w:line="288" w:lineRule="auto"/>
    </w:pPr>
    <w:rPr>
      <w:rFonts w:asciiTheme="minorHAnsi" w:eastAsiaTheme="minorEastAsia" w:hAnsiTheme="minorHAnsi" w:cstheme="minorBidi"/>
      <w:sz w:val="21"/>
      <w:szCs w:val="21"/>
      <w:lang w:val="es-GT" w:eastAsia="en-US"/>
    </w:rPr>
  </w:style>
  <w:style w:type="paragraph" w:customStyle="1" w:styleId="Ttulo51">
    <w:name w:val="Título 51"/>
    <w:basedOn w:val="Normal"/>
    <w:rsid w:val="008C102B"/>
    <w:pPr>
      <w:widowControl/>
      <w:numPr>
        <w:ilvl w:val="4"/>
        <w:numId w:val="4"/>
      </w:numPr>
      <w:spacing w:after="200" w:line="288" w:lineRule="auto"/>
    </w:pPr>
    <w:rPr>
      <w:rFonts w:asciiTheme="minorHAnsi" w:eastAsiaTheme="minorEastAsia" w:hAnsiTheme="minorHAnsi" w:cstheme="minorBidi"/>
      <w:sz w:val="21"/>
      <w:szCs w:val="21"/>
      <w:lang w:val="es-GT" w:eastAsia="en-US"/>
    </w:rPr>
  </w:style>
  <w:style w:type="paragraph" w:customStyle="1" w:styleId="Ttulo61">
    <w:name w:val="Título 61"/>
    <w:basedOn w:val="Normal"/>
    <w:rsid w:val="008C102B"/>
    <w:pPr>
      <w:widowControl/>
      <w:numPr>
        <w:ilvl w:val="5"/>
        <w:numId w:val="4"/>
      </w:numPr>
      <w:spacing w:after="200" w:line="288" w:lineRule="auto"/>
    </w:pPr>
    <w:rPr>
      <w:rFonts w:asciiTheme="minorHAnsi" w:eastAsiaTheme="minorEastAsia" w:hAnsiTheme="minorHAnsi" w:cstheme="minorBidi"/>
      <w:sz w:val="21"/>
      <w:szCs w:val="21"/>
      <w:lang w:val="es-GT" w:eastAsia="en-US"/>
    </w:rPr>
  </w:style>
  <w:style w:type="paragraph" w:customStyle="1" w:styleId="Ttulo71">
    <w:name w:val="Título 71"/>
    <w:basedOn w:val="Normal"/>
    <w:rsid w:val="008C102B"/>
    <w:pPr>
      <w:widowControl/>
      <w:numPr>
        <w:ilvl w:val="6"/>
        <w:numId w:val="4"/>
      </w:numPr>
      <w:spacing w:after="200" w:line="288" w:lineRule="auto"/>
    </w:pPr>
    <w:rPr>
      <w:rFonts w:asciiTheme="minorHAnsi" w:eastAsiaTheme="minorEastAsia" w:hAnsiTheme="minorHAnsi" w:cstheme="minorBidi"/>
      <w:sz w:val="21"/>
      <w:szCs w:val="21"/>
      <w:lang w:val="es-GT" w:eastAsia="en-US"/>
    </w:rPr>
  </w:style>
  <w:style w:type="paragraph" w:customStyle="1" w:styleId="Ttulo81">
    <w:name w:val="Título 81"/>
    <w:basedOn w:val="Normal"/>
    <w:rsid w:val="008C102B"/>
    <w:pPr>
      <w:widowControl/>
      <w:numPr>
        <w:ilvl w:val="7"/>
        <w:numId w:val="4"/>
      </w:numPr>
      <w:spacing w:after="200" w:line="288" w:lineRule="auto"/>
    </w:pPr>
    <w:rPr>
      <w:rFonts w:asciiTheme="minorHAnsi" w:eastAsiaTheme="minorEastAsia" w:hAnsiTheme="minorHAnsi" w:cstheme="minorBidi"/>
      <w:sz w:val="21"/>
      <w:szCs w:val="21"/>
      <w:lang w:val="es-GT" w:eastAsia="en-US"/>
    </w:rPr>
  </w:style>
  <w:style w:type="paragraph" w:customStyle="1" w:styleId="Ttulo91">
    <w:name w:val="Título 91"/>
    <w:basedOn w:val="Normal"/>
    <w:rsid w:val="008C102B"/>
    <w:pPr>
      <w:widowControl/>
      <w:numPr>
        <w:ilvl w:val="8"/>
        <w:numId w:val="4"/>
      </w:numPr>
      <w:spacing w:after="200" w:line="288" w:lineRule="auto"/>
    </w:pPr>
    <w:rPr>
      <w:rFonts w:asciiTheme="minorHAnsi" w:eastAsiaTheme="minorEastAsia" w:hAnsiTheme="minorHAnsi" w:cstheme="minorBidi"/>
      <w:sz w:val="21"/>
      <w:szCs w:val="21"/>
      <w:lang w:val="es-GT" w:eastAsia="en-US"/>
    </w:rPr>
  </w:style>
  <w:style w:type="table" w:customStyle="1" w:styleId="Tablanormal411">
    <w:name w:val="Tabla normal 411"/>
    <w:basedOn w:val="Tablanormal"/>
    <w:uiPriority w:val="44"/>
    <w:rsid w:val="00EA05E6"/>
    <w:pPr>
      <w:spacing w:after="0" w:line="240" w:lineRule="auto"/>
    </w:pPr>
    <w:rPr>
      <w:rFonts w:ascii="Cambria" w:eastAsia="Malgun Gothic" w:hAnsi="Cambria" w:cs="Times New Roman"/>
      <w:sz w:val="20"/>
      <w:szCs w:val="20"/>
      <w:lang w:eastAsia="es-GT"/>
    </w:r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Tabladecuadrcula4-nfasis111">
    <w:name w:val="Tabla de cuadrícula 4 - Énfasis 111"/>
    <w:basedOn w:val="Tablanormal"/>
    <w:uiPriority w:val="49"/>
    <w:rsid w:val="00EA05E6"/>
    <w:pPr>
      <w:spacing w:after="0" w:line="240" w:lineRule="auto"/>
    </w:pPr>
    <w:rPr>
      <w:rFonts w:ascii="Cambria" w:eastAsia="Malgun Gothic" w:hAnsi="Cambria" w:cs="Times New Roman"/>
      <w:sz w:val="20"/>
      <w:szCs w:val="20"/>
      <w:lang w:eastAsia="es-GT"/>
    </w:rPr>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Pr>
    <w:tblStylePr w:type="firstRow">
      <w:rPr>
        <w:b/>
        <w:bCs/>
        <w:color w:val="FFFFFF" w:themeColor="background1"/>
      </w:rPr>
      <w:tblPr/>
      <w:tcPr>
        <w:tcBorders>
          <w:top w:val="single" w:sz="4" w:space="0" w:color="4472C4" w:themeColor="accent1"/>
          <w:left w:val="single" w:sz="4" w:space="0" w:color="4472C4" w:themeColor="accent1"/>
          <w:bottom w:val="single" w:sz="4" w:space="0" w:color="4472C4" w:themeColor="accent1"/>
          <w:right w:val="single" w:sz="4" w:space="0" w:color="4472C4" w:themeColor="accent1"/>
          <w:insideH w:val="nil"/>
          <w:insideV w:val="nil"/>
        </w:tcBorders>
        <w:shd w:val="clear" w:color="auto" w:fill="4472C4" w:themeFill="accent1"/>
      </w:tcPr>
    </w:tblStylePr>
    <w:tblStylePr w:type="lastRow">
      <w:rPr>
        <w:b/>
        <w:bCs/>
      </w:rPr>
      <w:tblPr/>
      <w:tcPr>
        <w:tcBorders>
          <w:top w:val="double" w:sz="4" w:space="0" w:color="4472C4" w:themeColor="accent1"/>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customStyle="1" w:styleId="Tablanormal111">
    <w:name w:val="Tabla normal 111"/>
    <w:basedOn w:val="Tablanormal"/>
    <w:uiPriority w:val="41"/>
    <w:rsid w:val="00EA05E6"/>
    <w:pPr>
      <w:spacing w:after="0" w:line="240" w:lineRule="auto"/>
    </w:pPr>
    <w:rPr>
      <w:rFonts w:ascii="Cambria" w:eastAsia="Malgun Gothic" w:hAnsi="Cambria" w:cs="Times New Roman"/>
      <w:sz w:val="20"/>
      <w:szCs w:val="20"/>
      <w:lang w:eastAsia="es-GT"/>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styleId="nfasis">
    <w:name w:val="Emphasis"/>
    <w:basedOn w:val="Fuentedeprrafopredeter"/>
    <w:uiPriority w:val="20"/>
    <w:qFormat/>
    <w:rsid w:val="008A5924"/>
    <w:rPr>
      <w:rFonts w:asciiTheme="minorHAnsi" w:hAnsiTheme="minorHAnsi"/>
      <w:b/>
      <w:i/>
      <w:iCs/>
    </w:rPr>
  </w:style>
  <w:style w:type="paragraph" w:styleId="Cita">
    <w:name w:val="Quote"/>
    <w:basedOn w:val="Normal"/>
    <w:next w:val="Normal"/>
    <w:link w:val="CitaCar"/>
    <w:uiPriority w:val="29"/>
    <w:qFormat/>
    <w:rsid w:val="008A5924"/>
    <w:pPr>
      <w:widowControl/>
    </w:pPr>
    <w:rPr>
      <w:rFonts w:asciiTheme="minorHAnsi" w:eastAsiaTheme="minorEastAsia" w:hAnsiTheme="minorHAnsi"/>
      <w:i/>
      <w:sz w:val="24"/>
      <w:szCs w:val="24"/>
      <w:lang w:val="es-GT" w:eastAsia="en-US"/>
    </w:rPr>
  </w:style>
  <w:style w:type="character" w:customStyle="1" w:styleId="CitaCar">
    <w:name w:val="Cita Car"/>
    <w:basedOn w:val="Fuentedeprrafopredeter"/>
    <w:link w:val="Cita"/>
    <w:uiPriority w:val="29"/>
    <w:rsid w:val="008A5924"/>
    <w:rPr>
      <w:rFonts w:asciiTheme="minorHAnsi" w:eastAsiaTheme="minorEastAsia" w:hAnsiTheme="minorHAnsi" w:cs="Times New Roman"/>
      <w:i/>
      <w:szCs w:val="24"/>
    </w:rPr>
  </w:style>
  <w:style w:type="paragraph" w:styleId="Citadestacada">
    <w:name w:val="Intense Quote"/>
    <w:basedOn w:val="Normal"/>
    <w:next w:val="Normal"/>
    <w:link w:val="CitadestacadaCar"/>
    <w:uiPriority w:val="30"/>
    <w:qFormat/>
    <w:rsid w:val="008A5924"/>
    <w:pPr>
      <w:widowControl/>
      <w:ind w:left="720" w:right="720"/>
    </w:pPr>
    <w:rPr>
      <w:rFonts w:asciiTheme="minorHAnsi" w:eastAsiaTheme="minorEastAsia" w:hAnsiTheme="minorHAnsi"/>
      <w:b/>
      <w:i/>
      <w:sz w:val="24"/>
      <w:szCs w:val="22"/>
      <w:lang w:val="es-GT" w:eastAsia="en-US"/>
    </w:rPr>
  </w:style>
  <w:style w:type="character" w:customStyle="1" w:styleId="CitadestacadaCar">
    <w:name w:val="Cita destacada Car"/>
    <w:basedOn w:val="Fuentedeprrafopredeter"/>
    <w:link w:val="Citadestacada"/>
    <w:uiPriority w:val="30"/>
    <w:rsid w:val="008A5924"/>
    <w:rPr>
      <w:rFonts w:asciiTheme="minorHAnsi" w:eastAsiaTheme="minorEastAsia" w:hAnsiTheme="minorHAnsi" w:cs="Times New Roman"/>
      <w:b/>
      <w:i/>
    </w:rPr>
  </w:style>
  <w:style w:type="character" w:styleId="nfasisintenso">
    <w:name w:val="Intense Emphasis"/>
    <w:basedOn w:val="Fuentedeprrafopredeter"/>
    <w:uiPriority w:val="21"/>
    <w:qFormat/>
    <w:rsid w:val="008A5924"/>
    <w:rPr>
      <w:b/>
      <w:i/>
      <w:sz w:val="24"/>
      <w:szCs w:val="24"/>
      <w:u w:val="single"/>
    </w:rPr>
  </w:style>
  <w:style w:type="character" w:styleId="Referenciasutil">
    <w:name w:val="Subtle Reference"/>
    <w:basedOn w:val="Fuentedeprrafopredeter"/>
    <w:uiPriority w:val="31"/>
    <w:qFormat/>
    <w:rsid w:val="008A5924"/>
    <w:rPr>
      <w:sz w:val="24"/>
      <w:szCs w:val="24"/>
      <w:u w:val="single"/>
    </w:rPr>
  </w:style>
  <w:style w:type="character" w:styleId="Referenciaintensa">
    <w:name w:val="Intense Reference"/>
    <w:basedOn w:val="Fuentedeprrafopredeter"/>
    <w:uiPriority w:val="32"/>
    <w:qFormat/>
    <w:rsid w:val="008A5924"/>
    <w:rPr>
      <w:b/>
      <w:sz w:val="24"/>
      <w:u w:val="single"/>
    </w:rPr>
  </w:style>
  <w:style w:type="character" w:styleId="Ttulodellibro">
    <w:name w:val="Book Title"/>
    <w:basedOn w:val="Fuentedeprrafopredeter"/>
    <w:uiPriority w:val="33"/>
    <w:qFormat/>
    <w:rsid w:val="008A5924"/>
    <w:rPr>
      <w:rFonts w:asciiTheme="majorHAnsi" w:eastAsiaTheme="majorEastAsia" w:hAnsiTheme="majorHAnsi"/>
      <w:b/>
      <w:i/>
      <w:sz w:val="24"/>
      <w:szCs w:val="24"/>
    </w:rPr>
  </w:style>
  <w:style w:type="table" w:customStyle="1" w:styleId="Tabladecuadrcula4-nfasis51">
    <w:name w:val="Tabla de cuadrícula 4 - Énfasis 51"/>
    <w:basedOn w:val="Tablanormal"/>
    <w:uiPriority w:val="49"/>
    <w:rsid w:val="008A5924"/>
    <w:pPr>
      <w:spacing w:after="0" w:line="240" w:lineRule="auto"/>
    </w:pPr>
    <w:rPr>
      <w:rFonts w:asciiTheme="minorHAnsi" w:hAnsiTheme="minorHAnsi"/>
      <w:sz w:val="22"/>
    </w:rPr>
    <w:tblPr>
      <w:tblStyleRowBandSize w:val="1"/>
      <w:tblStyleColBandSize w:val="1"/>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Pr>
    <w:tblStylePr w:type="firstRow">
      <w:rPr>
        <w:b/>
        <w:bCs/>
        <w:color w:val="FFFFFF" w:themeColor="background1"/>
      </w:rPr>
      <w:tblPr/>
      <w:tcPr>
        <w:tcBorders>
          <w:top w:val="single" w:sz="4" w:space="0" w:color="5B9BD5" w:themeColor="accent5"/>
          <w:left w:val="single" w:sz="4" w:space="0" w:color="5B9BD5" w:themeColor="accent5"/>
          <w:bottom w:val="single" w:sz="4" w:space="0" w:color="5B9BD5" w:themeColor="accent5"/>
          <w:right w:val="single" w:sz="4" w:space="0" w:color="5B9BD5" w:themeColor="accent5"/>
          <w:insideH w:val="nil"/>
          <w:insideV w:val="nil"/>
        </w:tcBorders>
        <w:shd w:val="clear" w:color="auto" w:fill="5B9BD5" w:themeFill="accent5"/>
      </w:tcPr>
    </w:tblStylePr>
    <w:tblStylePr w:type="lastRow">
      <w:rPr>
        <w:b/>
        <w:bCs/>
      </w:rPr>
      <w:tblPr/>
      <w:tcPr>
        <w:tcBorders>
          <w:top w:val="double" w:sz="4" w:space="0" w:color="5B9BD5" w:themeColor="accent5"/>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paragraph" w:styleId="Tabladeilustraciones">
    <w:name w:val="table of figures"/>
    <w:basedOn w:val="Normal"/>
    <w:next w:val="Normal"/>
    <w:uiPriority w:val="99"/>
    <w:unhideWhenUsed/>
    <w:rsid w:val="008A5924"/>
    <w:pPr>
      <w:widowControl/>
      <w:spacing w:after="60"/>
    </w:pPr>
    <w:rPr>
      <w:rFonts w:eastAsiaTheme="minorEastAsia"/>
      <w:sz w:val="24"/>
      <w:szCs w:val="24"/>
      <w:lang w:val="es-GT" w:eastAsia="en-US"/>
    </w:rPr>
  </w:style>
  <w:style w:type="paragraph" w:styleId="TDC4">
    <w:name w:val="toc 4"/>
    <w:basedOn w:val="Normal"/>
    <w:next w:val="Normal"/>
    <w:autoRedefine/>
    <w:uiPriority w:val="39"/>
    <w:unhideWhenUsed/>
    <w:rsid w:val="008A5924"/>
    <w:pPr>
      <w:widowControl/>
      <w:tabs>
        <w:tab w:val="left" w:pos="1760"/>
        <w:tab w:val="right" w:leader="dot" w:pos="8828"/>
      </w:tabs>
      <w:spacing w:after="100"/>
      <w:ind w:left="720"/>
    </w:pPr>
    <w:rPr>
      <w:rFonts w:eastAsiaTheme="minorEastAsia"/>
      <w:noProof/>
      <w:lang w:val="es-GT" w:eastAsia="en-US"/>
    </w:rPr>
  </w:style>
  <w:style w:type="paragraph" w:styleId="TDC5">
    <w:name w:val="toc 5"/>
    <w:basedOn w:val="Normal"/>
    <w:next w:val="Normal"/>
    <w:autoRedefine/>
    <w:uiPriority w:val="39"/>
    <w:unhideWhenUsed/>
    <w:rsid w:val="008A5924"/>
    <w:pPr>
      <w:widowControl/>
      <w:spacing w:after="100"/>
      <w:ind w:left="960"/>
    </w:pPr>
    <w:rPr>
      <w:rFonts w:asciiTheme="minorHAnsi" w:eastAsiaTheme="minorEastAsia" w:hAnsiTheme="minorHAnsi"/>
      <w:sz w:val="24"/>
      <w:szCs w:val="24"/>
      <w:lang w:val="es-GT" w:eastAsia="en-US"/>
    </w:rPr>
  </w:style>
  <w:style w:type="table" w:styleId="Listaclara-nfasis1">
    <w:name w:val="Light List Accent 1"/>
    <w:basedOn w:val="Tablanormal"/>
    <w:uiPriority w:val="61"/>
    <w:rsid w:val="008A5924"/>
    <w:pPr>
      <w:spacing w:after="0" w:line="240" w:lineRule="auto"/>
    </w:pPr>
    <w:rPr>
      <w:rFonts w:asciiTheme="minorHAnsi" w:hAnsiTheme="minorHAnsi"/>
      <w:sz w:val="22"/>
    </w:rPr>
    <w:tblPr>
      <w:tblStyleRowBandSize w:val="1"/>
      <w:tblStyleColBandSize w:val="1"/>
      <w:tblBorders>
        <w:top w:val="single" w:sz="8" w:space="0" w:color="4472C4" w:themeColor="accent1"/>
        <w:left w:val="single" w:sz="8" w:space="0" w:color="4472C4" w:themeColor="accent1"/>
        <w:bottom w:val="single" w:sz="8" w:space="0" w:color="4472C4" w:themeColor="accent1"/>
        <w:right w:val="single" w:sz="8" w:space="0" w:color="4472C4" w:themeColor="accent1"/>
      </w:tblBorders>
    </w:tblPr>
    <w:tblStylePr w:type="firstRow">
      <w:pPr>
        <w:spacing w:before="0" w:after="0" w:line="240" w:lineRule="auto"/>
      </w:pPr>
      <w:rPr>
        <w:b/>
        <w:bCs/>
        <w:color w:val="FFFFFF" w:themeColor="background1"/>
      </w:rPr>
      <w:tblPr/>
      <w:tcPr>
        <w:shd w:val="clear" w:color="auto" w:fill="4472C4" w:themeFill="accent1"/>
      </w:tcPr>
    </w:tblStylePr>
    <w:tblStylePr w:type="lastRow">
      <w:pPr>
        <w:spacing w:before="0" w:after="0" w:line="240" w:lineRule="auto"/>
      </w:pPr>
      <w:rPr>
        <w:b/>
        <w:bCs/>
      </w:rPr>
      <w:tblPr/>
      <w:tcPr>
        <w:tcBorders>
          <w:top w:val="double" w:sz="6" w:space="0" w:color="4472C4" w:themeColor="accent1"/>
          <w:left w:val="single" w:sz="8" w:space="0" w:color="4472C4" w:themeColor="accent1"/>
          <w:bottom w:val="single" w:sz="8" w:space="0" w:color="4472C4" w:themeColor="accent1"/>
          <w:right w:val="single" w:sz="8" w:space="0" w:color="4472C4" w:themeColor="accent1"/>
        </w:tcBorders>
      </w:tcPr>
    </w:tblStylePr>
    <w:tblStylePr w:type="firstCol">
      <w:rPr>
        <w:b/>
        <w:bCs/>
      </w:rPr>
    </w:tblStylePr>
    <w:tblStylePr w:type="lastCol">
      <w:rPr>
        <w:b/>
        <w:bCs/>
      </w:rPr>
    </w:tblStylePr>
    <w:tblStylePr w:type="band1Vert">
      <w:tblPr/>
      <w:tcPr>
        <w:tcBorders>
          <w:top w:val="single" w:sz="8" w:space="0" w:color="4472C4" w:themeColor="accent1"/>
          <w:left w:val="single" w:sz="8" w:space="0" w:color="4472C4" w:themeColor="accent1"/>
          <w:bottom w:val="single" w:sz="8" w:space="0" w:color="4472C4" w:themeColor="accent1"/>
          <w:right w:val="single" w:sz="8" w:space="0" w:color="4472C4" w:themeColor="accent1"/>
        </w:tcBorders>
      </w:tcPr>
    </w:tblStylePr>
    <w:tblStylePr w:type="band1Horz">
      <w:tblPr/>
      <w:tcPr>
        <w:tcBorders>
          <w:top w:val="single" w:sz="8" w:space="0" w:color="4472C4" w:themeColor="accent1"/>
          <w:left w:val="single" w:sz="8" w:space="0" w:color="4472C4" w:themeColor="accent1"/>
          <w:bottom w:val="single" w:sz="8" w:space="0" w:color="4472C4" w:themeColor="accent1"/>
          <w:right w:val="single" w:sz="8" w:space="0" w:color="4472C4" w:themeColor="accent1"/>
        </w:tcBorders>
      </w:tcPr>
    </w:tblStylePr>
  </w:style>
  <w:style w:type="paragraph" w:styleId="Textonotaalfinal">
    <w:name w:val="endnote text"/>
    <w:basedOn w:val="Normal"/>
    <w:link w:val="TextonotaalfinalCar"/>
    <w:uiPriority w:val="99"/>
    <w:semiHidden/>
    <w:unhideWhenUsed/>
    <w:rsid w:val="00AE116A"/>
  </w:style>
  <w:style w:type="character" w:customStyle="1" w:styleId="TextonotaalfinalCar">
    <w:name w:val="Texto nota al final Car"/>
    <w:basedOn w:val="Fuentedeprrafopredeter"/>
    <w:link w:val="Textonotaalfinal"/>
    <w:uiPriority w:val="99"/>
    <w:semiHidden/>
    <w:rsid w:val="00AE116A"/>
    <w:rPr>
      <w:rFonts w:eastAsia="Times New Roman" w:cs="Times New Roman"/>
      <w:sz w:val="20"/>
      <w:szCs w:val="20"/>
      <w:lang w:val="es-ES_tradnl" w:eastAsia="es-ES"/>
    </w:rPr>
  </w:style>
  <w:style w:type="character" w:styleId="Refdenotaalfinal">
    <w:name w:val="endnote reference"/>
    <w:basedOn w:val="Fuentedeprrafopredeter"/>
    <w:uiPriority w:val="99"/>
    <w:semiHidden/>
    <w:unhideWhenUsed/>
    <w:rsid w:val="00AE116A"/>
    <w:rPr>
      <w:vertAlign w:val="superscript"/>
    </w:rPr>
  </w:style>
  <w:style w:type="table" w:styleId="Cuadrculaclara-nfasis1">
    <w:name w:val="Light Grid Accent 1"/>
    <w:basedOn w:val="Tablanormal"/>
    <w:uiPriority w:val="62"/>
    <w:rsid w:val="00D30644"/>
    <w:pPr>
      <w:spacing w:after="0" w:line="240" w:lineRule="auto"/>
    </w:pPr>
    <w:rPr>
      <w:rFonts w:asciiTheme="minorHAnsi" w:hAnsiTheme="minorHAnsi"/>
      <w:sz w:val="22"/>
    </w:rPr>
    <w:tblPr>
      <w:tblStyleRowBandSize w:val="1"/>
      <w:tblStyleColBandSize w:val="1"/>
      <w:tblBorders>
        <w:top w:val="single" w:sz="8" w:space="0" w:color="4472C4" w:themeColor="accent1"/>
        <w:left w:val="single" w:sz="8" w:space="0" w:color="4472C4" w:themeColor="accent1"/>
        <w:bottom w:val="single" w:sz="8" w:space="0" w:color="4472C4" w:themeColor="accent1"/>
        <w:right w:val="single" w:sz="8" w:space="0" w:color="4472C4" w:themeColor="accent1"/>
        <w:insideH w:val="single" w:sz="8" w:space="0" w:color="4472C4" w:themeColor="accent1"/>
        <w:insideV w:val="single" w:sz="8" w:space="0" w:color="4472C4"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472C4" w:themeColor="accent1"/>
          <w:left w:val="single" w:sz="8" w:space="0" w:color="4472C4" w:themeColor="accent1"/>
          <w:bottom w:val="single" w:sz="18" w:space="0" w:color="4472C4" w:themeColor="accent1"/>
          <w:right w:val="single" w:sz="8" w:space="0" w:color="4472C4" w:themeColor="accent1"/>
          <w:insideH w:val="nil"/>
          <w:insideV w:val="single" w:sz="8" w:space="0" w:color="4472C4"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472C4" w:themeColor="accent1"/>
          <w:left w:val="single" w:sz="8" w:space="0" w:color="4472C4" w:themeColor="accent1"/>
          <w:bottom w:val="single" w:sz="8" w:space="0" w:color="4472C4" w:themeColor="accent1"/>
          <w:right w:val="single" w:sz="8" w:space="0" w:color="4472C4" w:themeColor="accent1"/>
          <w:insideH w:val="nil"/>
          <w:insideV w:val="single" w:sz="8" w:space="0" w:color="4472C4"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472C4" w:themeColor="accent1"/>
          <w:left w:val="single" w:sz="8" w:space="0" w:color="4472C4" w:themeColor="accent1"/>
          <w:bottom w:val="single" w:sz="8" w:space="0" w:color="4472C4" w:themeColor="accent1"/>
          <w:right w:val="single" w:sz="8" w:space="0" w:color="4472C4" w:themeColor="accent1"/>
        </w:tcBorders>
      </w:tcPr>
    </w:tblStylePr>
    <w:tblStylePr w:type="band1Vert">
      <w:tblPr/>
      <w:tcPr>
        <w:tcBorders>
          <w:top w:val="single" w:sz="8" w:space="0" w:color="4472C4" w:themeColor="accent1"/>
          <w:left w:val="single" w:sz="8" w:space="0" w:color="4472C4" w:themeColor="accent1"/>
          <w:bottom w:val="single" w:sz="8" w:space="0" w:color="4472C4" w:themeColor="accent1"/>
          <w:right w:val="single" w:sz="8" w:space="0" w:color="4472C4" w:themeColor="accent1"/>
        </w:tcBorders>
        <w:shd w:val="clear" w:color="auto" w:fill="D0DBF0" w:themeFill="accent1" w:themeFillTint="3F"/>
      </w:tcPr>
    </w:tblStylePr>
    <w:tblStylePr w:type="band1Horz">
      <w:tblPr/>
      <w:tcPr>
        <w:tcBorders>
          <w:top w:val="single" w:sz="8" w:space="0" w:color="4472C4" w:themeColor="accent1"/>
          <w:left w:val="single" w:sz="8" w:space="0" w:color="4472C4" w:themeColor="accent1"/>
          <w:bottom w:val="single" w:sz="8" w:space="0" w:color="4472C4" w:themeColor="accent1"/>
          <w:right w:val="single" w:sz="8" w:space="0" w:color="4472C4" w:themeColor="accent1"/>
          <w:insideV w:val="single" w:sz="8" w:space="0" w:color="4472C4" w:themeColor="accent1"/>
        </w:tcBorders>
        <w:shd w:val="clear" w:color="auto" w:fill="D0DBF0" w:themeFill="accent1" w:themeFillTint="3F"/>
      </w:tcPr>
    </w:tblStylePr>
    <w:tblStylePr w:type="band2Horz">
      <w:tblPr/>
      <w:tcPr>
        <w:tcBorders>
          <w:top w:val="single" w:sz="8" w:space="0" w:color="4472C4" w:themeColor="accent1"/>
          <w:left w:val="single" w:sz="8" w:space="0" w:color="4472C4" w:themeColor="accent1"/>
          <w:bottom w:val="single" w:sz="8" w:space="0" w:color="4472C4" w:themeColor="accent1"/>
          <w:right w:val="single" w:sz="8" w:space="0" w:color="4472C4" w:themeColor="accent1"/>
          <w:insideV w:val="single" w:sz="8" w:space="0" w:color="4472C4" w:themeColor="accent1"/>
        </w:tcBorders>
      </w:tcPr>
    </w:tblStylePr>
  </w:style>
  <w:style w:type="table" w:styleId="Sombreadoclaro-nfasis5">
    <w:name w:val="Light Shading Accent 5"/>
    <w:basedOn w:val="Tablanormal"/>
    <w:uiPriority w:val="60"/>
    <w:rsid w:val="00D30644"/>
    <w:pPr>
      <w:spacing w:after="0" w:line="240" w:lineRule="auto"/>
    </w:pPr>
    <w:rPr>
      <w:rFonts w:asciiTheme="minorHAnsi" w:hAnsiTheme="minorHAnsi"/>
      <w:color w:val="2E74B5" w:themeColor="accent5" w:themeShade="BF"/>
      <w:sz w:val="22"/>
    </w:rPr>
    <w:tblPr>
      <w:tblStyleRowBandSize w:val="1"/>
      <w:tblStyleColBandSize w:val="1"/>
      <w:tblBorders>
        <w:top w:val="single" w:sz="8" w:space="0" w:color="5B9BD5" w:themeColor="accent5"/>
        <w:bottom w:val="single" w:sz="8" w:space="0" w:color="5B9BD5" w:themeColor="accent5"/>
      </w:tblBorders>
    </w:tblPr>
    <w:tblStylePr w:type="firstRow">
      <w:pPr>
        <w:spacing w:before="0" w:after="0" w:line="240" w:lineRule="auto"/>
      </w:pPr>
      <w:rPr>
        <w:b/>
        <w:bCs/>
      </w:rPr>
      <w:tblPr/>
      <w:tcPr>
        <w:tcBorders>
          <w:top w:val="single" w:sz="8" w:space="0" w:color="5B9BD5" w:themeColor="accent5"/>
          <w:left w:val="nil"/>
          <w:bottom w:val="single" w:sz="8" w:space="0" w:color="5B9BD5" w:themeColor="accent5"/>
          <w:right w:val="nil"/>
          <w:insideH w:val="nil"/>
          <w:insideV w:val="nil"/>
        </w:tcBorders>
      </w:tcPr>
    </w:tblStylePr>
    <w:tblStylePr w:type="lastRow">
      <w:pPr>
        <w:spacing w:before="0" w:after="0" w:line="240" w:lineRule="auto"/>
      </w:pPr>
      <w:rPr>
        <w:b/>
        <w:bCs/>
      </w:rPr>
      <w:tblPr/>
      <w:tcPr>
        <w:tcBorders>
          <w:top w:val="single" w:sz="8" w:space="0" w:color="5B9BD5" w:themeColor="accent5"/>
          <w:left w:val="nil"/>
          <w:bottom w:val="single" w:sz="8" w:space="0" w:color="5B9BD5"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6E6F4" w:themeFill="accent5" w:themeFillTint="3F"/>
      </w:tcPr>
    </w:tblStylePr>
    <w:tblStylePr w:type="band1Horz">
      <w:tblPr/>
      <w:tcPr>
        <w:tcBorders>
          <w:left w:val="nil"/>
          <w:right w:val="nil"/>
          <w:insideH w:val="nil"/>
          <w:insideV w:val="nil"/>
        </w:tcBorders>
        <w:shd w:val="clear" w:color="auto" w:fill="D6E6F4" w:themeFill="accent5" w:themeFillTint="3F"/>
      </w:tcPr>
    </w:tblStylePr>
  </w:style>
  <w:style w:type="paragraph" w:customStyle="1" w:styleId="BodyText2Sgl">
    <w:name w:val="Body Text 2 Sgl"/>
    <w:basedOn w:val="Normal"/>
    <w:qFormat/>
    <w:rsid w:val="00D30644"/>
    <w:pPr>
      <w:widowControl/>
      <w:spacing w:after="240"/>
      <w:ind w:firstLine="720"/>
    </w:pPr>
    <w:rPr>
      <w:rFonts w:eastAsiaTheme="minorHAnsi" w:cstheme="minorBidi"/>
      <w:szCs w:val="24"/>
      <w:lang w:val="en-US" w:eastAsia="en-US"/>
    </w:rPr>
  </w:style>
  <w:style w:type="paragraph" w:styleId="Revisin">
    <w:name w:val="Revision"/>
    <w:hidden/>
    <w:uiPriority w:val="99"/>
    <w:semiHidden/>
    <w:rsid w:val="00D30644"/>
    <w:pPr>
      <w:spacing w:after="0" w:line="240" w:lineRule="auto"/>
    </w:pPr>
    <w:rPr>
      <w:rFonts w:asciiTheme="minorHAnsi" w:eastAsiaTheme="minorEastAsia" w:hAnsiTheme="minorHAnsi"/>
      <w:szCs w:val="24"/>
      <w:lang w:val="es-ES_tradnl" w:eastAsia="es-ES"/>
    </w:rPr>
  </w:style>
  <w:style w:type="character" w:customStyle="1" w:styleId="mw-headline">
    <w:name w:val="mw-headline"/>
    <w:basedOn w:val="Fuentedeprrafopredeter"/>
    <w:rsid w:val="00D30644"/>
  </w:style>
  <w:style w:type="character" w:customStyle="1" w:styleId="mw-editsection">
    <w:name w:val="mw-editsection"/>
    <w:basedOn w:val="Fuentedeprrafopredeter"/>
    <w:rsid w:val="00D30644"/>
  </w:style>
  <w:style w:type="character" w:customStyle="1" w:styleId="mw-editsection-bracket">
    <w:name w:val="mw-editsection-bracket"/>
    <w:basedOn w:val="Fuentedeprrafopredeter"/>
    <w:rsid w:val="00D30644"/>
  </w:style>
  <w:style w:type="paragraph" w:customStyle="1" w:styleId="print-icon">
    <w:name w:val="print-icon"/>
    <w:basedOn w:val="Normal"/>
    <w:rsid w:val="00D30644"/>
    <w:pPr>
      <w:widowControl/>
      <w:spacing w:before="100" w:beforeAutospacing="1" w:after="100" w:afterAutospacing="1"/>
    </w:pPr>
    <w:rPr>
      <w:sz w:val="24"/>
      <w:szCs w:val="24"/>
      <w:lang w:val="es-MX" w:eastAsia="es-MX"/>
    </w:rPr>
  </w:style>
  <w:style w:type="paragraph" w:customStyle="1" w:styleId="email-icon">
    <w:name w:val="email-icon"/>
    <w:basedOn w:val="Normal"/>
    <w:rsid w:val="00D30644"/>
    <w:pPr>
      <w:widowControl/>
      <w:spacing w:before="100" w:beforeAutospacing="1" w:after="100" w:afterAutospacing="1"/>
    </w:pPr>
    <w:rPr>
      <w:sz w:val="24"/>
      <w:szCs w:val="24"/>
      <w:lang w:val="es-MX" w:eastAsia="es-MX"/>
    </w:rPr>
  </w:style>
  <w:style w:type="paragraph" w:customStyle="1" w:styleId="twli">
    <w:name w:val="twli"/>
    <w:basedOn w:val="Normal"/>
    <w:rsid w:val="00D30644"/>
    <w:pPr>
      <w:widowControl/>
      <w:spacing w:before="100" w:beforeAutospacing="1" w:after="100" w:afterAutospacing="1"/>
    </w:pPr>
    <w:rPr>
      <w:sz w:val="24"/>
      <w:szCs w:val="24"/>
      <w:lang w:val="es-MX" w:eastAsia="es-MX"/>
    </w:rPr>
  </w:style>
  <w:style w:type="paragraph" w:customStyle="1" w:styleId="fbli">
    <w:name w:val="fbli"/>
    <w:basedOn w:val="Normal"/>
    <w:rsid w:val="00D30644"/>
    <w:pPr>
      <w:widowControl/>
      <w:spacing w:before="100" w:beforeAutospacing="1" w:after="100" w:afterAutospacing="1"/>
    </w:pPr>
    <w:rPr>
      <w:sz w:val="24"/>
      <w:szCs w:val="24"/>
      <w:lang w:val="es-MX" w:eastAsia="es-MX"/>
    </w:rPr>
  </w:style>
  <w:style w:type="character" w:customStyle="1" w:styleId="bylinename">
    <w:name w:val="byline__name"/>
    <w:basedOn w:val="Fuentedeprrafopredeter"/>
    <w:rsid w:val="00D30644"/>
  </w:style>
  <w:style w:type="character" w:customStyle="1" w:styleId="bylinetitle">
    <w:name w:val="byline__title"/>
    <w:basedOn w:val="Fuentedeprrafopredeter"/>
    <w:rsid w:val="00D30644"/>
  </w:style>
  <w:style w:type="paragraph" w:customStyle="1" w:styleId="mini-info-listitem">
    <w:name w:val="mini-info-list__item"/>
    <w:basedOn w:val="Normal"/>
    <w:rsid w:val="00D30644"/>
    <w:pPr>
      <w:widowControl/>
      <w:spacing w:before="100" w:beforeAutospacing="1" w:after="100" w:afterAutospacing="1"/>
    </w:pPr>
    <w:rPr>
      <w:sz w:val="24"/>
      <w:szCs w:val="24"/>
      <w:lang w:val="es-MX" w:eastAsia="es-MX"/>
    </w:rPr>
  </w:style>
  <w:style w:type="character" w:customStyle="1" w:styleId="chart-title">
    <w:name w:val="chart-title"/>
    <w:basedOn w:val="Fuentedeprrafopredeter"/>
    <w:rsid w:val="00D30644"/>
  </w:style>
  <w:style w:type="character" w:customStyle="1" w:styleId="sapmtext">
    <w:name w:val="sapmtext"/>
    <w:basedOn w:val="Fuentedeprrafopredeter"/>
    <w:rsid w:val="00D30644"/>
  </w:style>
  <w:style w:type="character" w:customStyle="1" w:styleId="A9">
    <w:name w:val="A9"/>
    <w:uiPriority w:val="99"/>
    <w:rsid w:val="00D30644"/>
    <w:rPr>
      <w:rFonts w:cs="Myriad Pro"/>
      <w:color w:val="000000"/>
      <w:sz w:val="20"/>
      <w:szCs w:val="20"/>
    </w:rPr>
  </w:style>
  <w:style w:type="character" w:customStyle="1" w:styleId="A6">
    <w:name w:val="A6"/>
    <w:uiPriority w:val="99"/>
    <w:rsid w:val="00D30644"/>
    <w:rPr>
      <w:rFonts w:cs="Myriad Pro"/>
      <w:b/>
      <w:bCs/>
      <w:color w:val="000000"/>
      <w:sz w:val="22"/>
      <w:szCs w:val="22"/>
    </w:rPr>
  </w:style>
  <w:style w:type="character" w:customStyle="1" w:styleId="A5">
    <w:name w:val="A5"/>
    <w:uiPriority w:val="99"/>
    <w:rsid w:val="00D30644"/>
    <w:rPr>
      <w:rFonts w:cs="Myriad Pro Cond"/>
      <w:b/>
      <w:bCs/>
      <w:color w:val="000000"/>
      <w:sz w:val="52"/>
      <w:szCs w:val="52"/>
    </w:rPr>
  </w:style>
  <w:style w:type="character" w:customStyle="1" w:styleId="UnresolvedMention">
    <w:name w:val="Unresolved Mention"/>
    <w:basedOn w:val="Fuentedeprrafopredeter"/>
    <w:uiPriority w:val="99"/>
    <w:semiHidden/>
    <w:unhideWhenUsed/>
    <w:rsid w:val="004707AB"/>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6348319">
      <w:bodyDiv w:val="1"/>
      <w:marLeft w:val="0"/>
      <w:marRight w:val="0"/>
      <w:marTop w:val="0"/>
      <w:marBottom w:val="0"/>
      <w:divBdr>
        <w:top w:val="none" w:sz="0" w:space="0" w:color="auto"/>
        <w:left w:val="none" w:sz="0" w:space="0" w:color="auto"/>
        <w:bottom w:val="none" w:sz="0" w:space="0" w:color="auto"/>
        <w:right w:val="none" w:sz="0" w:space="0" w:color="auto"/>
      </w:divBdr>
    </w:div>
    <w:div w:id="26493884">
      <w:bodyDiv w:val="1"/>
      <w:marLeft w:val="0"/>
      <w:marRight w:val="0"/>
      <w:marTop w:val="0"/>
      <w:marBottom w:val="0"/>
      <w:divBdr>
        <w:top w:val="none" w:sz="0" w:space="0" w:color="auto"/>
        <w:left w:val="none" w:sz="0" w:space="0" w:color="auto"/>
        <w:bottom w:val="none" w:sz="0" w:space="0" w:color="auto"/>
        <w:right w:val="none" w:sz="0" w:space="0" w:color="auto"/>
      </w:divBdr>
    </w:div>
    <w:div w:id="28843476">
      <w:bodyDiv w:val="1"/>
      <w:marLeft w:val="0"/>
      <w:marRight w:val="0"/>
      <w:marTop w:val="0"/>
      <w:marBottom w:val="0"/>
      <w:divBdr>
        <w:top w:val="none" w:sz="0" w:space="0" w:color="auto"/>
        <w:left w:val="none" w:sz="0" w:space="0" w:color="auto"/>
        <w:bottom w:val="none" w:sz="0" w:space="0" w:color="auto"/>
        <w:right w:val="none" w:sz="0" w:space="0" w:color="auto"/>
      </w:divBdr>
    </w:div>
    <w:div w:id="36975263">
      <w:bodyDiv w:val="1"/>
      <w:marLeft w:val="0"/>
      <w:marRight w:val="0"/>
      <w:marTop w:val="0"/>
      <w:marBottom w:val="0"/>
      <w:divBdr>
        <w:top w:val="none" w:sz="0" w:space="0" w:color="auto"/>
        <w:left w:val="none" w:sz="0" w:space="0" w:color="auto"/>
        <w:bottom w:val="none" w:sz="0" w:space="0" w:color="auto"/>
        <w:right w:val="none" w:sz="0" w:space="0" w:color="auto"/>
      </w:divBdr>
    </w:div>
    <w:div w:id="46611828">
      <w:bodyDiv w:val="1"/>
      <w:marLeft w:val="0"/>
      <w:marRight w:val="0"/>
      <w:marTop w:val="0"/>
      <w:marBottom w:val="0"/>
      <w:divBdr>
        <w:top w:val="none" w:sz="0" w:space="0" w:color="auto"/>
        <w:left w:val="none" w:sz="0" w:space="0" w:color="auto"/>
        <w:bottom w:val="none" w:sz="0" w:space="0" w:color="auto"/>
        <w:right w:val="none" w:sz="0" w:space="0" w:color="auto"/>
      </w:divBdr>
    </w:div>
    <w:div w:id="47462630">
      <w:bodyDiv w:val="1"/>
      <w:marLeft w:val="0"/>
      <w:marRight w:val="0"/>
      <w:marTop w:val="0"/>
      <w:marBottom w:val="0"/>
      <w:divBdr>
        <w:top w:val="none" w:sz="0" w:space="0" w:color="auto"/>
        <w:left w:val="none" w:sz="0" w:space="0" w:color="auto"/>
        <w:bottom w:val="none" w:sz="0" w:space="0" w:color="auto"/>
        <w:right w:val="none" w:sz="0" w:space="0" w:color="auto"/>
      </w:divBdr>
    </w:div>
    <w:div w:id="70931145">
      <w:bodyDiv w:val="1"/>
      <w:marLeft w:val="0"/>
      <w:marRight w:val="0"/>
      <w:marTop w:val="0"/>
      <w:marBottom w:val="0"/>
      <w:divBdr>
        <w:top w:val="none" w:sz="0" w:space="0" w:color="auto"/>
        <w:left w:val="none" w:sz="0" w:space="0" w:color="auto"/>
        <w:bottom w:val="none" w:sz="0" w:space="0" w:color="auto"/>
        <w:right w:val="none" w:sz="0" w:space="0" w:color="auto"/>
      </w:divBdr>
    </w:div>
    <w:div w:id="78454636">
      <w:bodyDiv w:val="1"/>
      <w:marLeft w:val="0"/>
      <w:marRight w:val="0"/>
      <w:marTop w:val="0"/>
      <w:marBottom w:val="0"/>
      <w:divBdr>
        <w:top w:val="none" w:sz="0" w:space="0" w:color="auto"/>
        <w:left w:val="none" w:sz="0" w:space="0" w:color="auto"/>
        <w:bottom w:val="none" w:sz="0" w:space="0" w:color="auto"/>
        <w:right w:val="none" w:sz="0" w:space="0" w:color="auto"/>
      </w:divBdr>
    </w:div>
    <w:div w:id="84304453">
      <w:bodyDiv w:val="1"/>
      <w:marLeft w:val="0"/>
      <w:marRight w:val="0"/>
      <w:marTop w:val="0"/>
      <w:marBottom w:val="0"/>
      <w:divBdr>
        <w:top w:val="none" w:sz="0" w:space="0" w:color="auto"/>
        <w:left w:val="none" w:sz="0" w:space="0" w:color="auto"/>
        <w:bottom w:val="none" w:sz="0" w:space="0" w:color="auto"/>
        <w:right w:val="none" w:sz="0" w:space="0" w:color="auto"/>
      </w:divBdr>
    </w:div>
    <w:div w:id="93284860">
      <w:bodyDiv w:val="1"/>
      <w:marLeft w:val="0"/>
      <w:marRight w:val="0"/>
      <w:marTop w:val="0"/>
      <w:marBottom w:val="0"/>
      <w:divBdr>
        <w:top w:val="none" w:sz="0" w:space="0" w:color="auto"/>
        <w:left w:val="none" w:sz="0" w:space="0" w:color="auto"/>
        <w:bottom w:val="none" w:sz="0" w:space="0" w:color="auto"/>
        <w:right w:val="none" w:sz="0" w:space="0" w:color="auto"/>
      </w:divBdr>
    </w:div>
    <w:div w:id="104468093">
      <w:bodyDiv w:val="1"/>
      <w:marLeft w:val="0"/>
      <w:marRight w:val="0"/>
      <w:marTop w:val="0"/>
      <w:marBottom w:val="0"/>
      <w:divBdr>
        <w:top w:val="none" w:sz="0" w:space="0" w:color="auto"/>
        <w:left w:val="none" w:sz="0" w:space="0" w:color="auto"/>
        <w:bottom w:val="none" w:sz="0" w:space="0" w:color="auto"/>
        <w:right w:val="none" w:sz="0" w:space="0" w:color="auto"/>
      </w:divBdr>
    </w:div>
    <w:div w:id="120617582">
      <w:bodyDiv w:val="1"/>
      <w:marLeft w:val="0"/>
      <w:marRight w:val="0"/>
      <w:marTop w:val="0"/>
      <w:marBottom w:val="0"/>
      <w:divBdr>
        <w:top w:val="none" w:sz="0" w:space="0" w:color="auto"/>
        <w:left w:val="none" w:sz="0" w:space="0" w:color="auto"/>
        <w:bottom w:val="none" w:sz="0" w:space="0" w:color="auto"/>
        <w:right w:val="none" w:sz="0" w:space="0" w:color="auto"/>
      </w:divBdr>
      <w:divsChild>
        <w:div w:id="4410033">
          <w:marLeft w:val="0"/>
          <w:marRight w:val="0"/>
          <w:marTop w:val="0"/>
          <w:marBottom w:val="0"/>
          <w:divBdr>
            <w:top w:val="none" w:sz="0" w:space="0" w:color="auto"/>
            <w:left w:val="none" w:sz="0" w:space="0" w:color="auto"/>
            <w:bottom w:val="none" w:sz="0" w:space="0" w:color="auto"/>
            <w:right w:val="none" w:sz="0" w:space="0" w:color="auto"/>
          </w:divBdr>
          <w:divsChild>
            <w:div w:id="1069885169">
              <w:marLeft w:val="0"/>
              <w:marRight w:val="0"/>
              <w:marTop w:val="0"/>
              <w:marBottom w:val="0"/>
              <w:divBdr>
                <w:top w:val="none" w:sz="0" w:space="0" w:color="auto"/>
                <w:left w:val="none" w:sz="0" w:space="0" w:color="auto"/>
                <w:bottom w:val="none" w:sz="0" w:space="0" w:color="auto"/>
                <w:right w:val="none" w:sz="0" w:space="0" w:color="auto"/>
              </w:divBdr>
              <w:divsChild>
                <w:div w:id="685208606">
                  <w:marLeft w:val="0"/>
                  <w:marRight w:val="0"/>
                  <w:marTop w:val="0"/>
                  <w:marBottom w:val="0"/>
                  <w:divBdr>
                    <w:top w:val="none" w:sz="0" w:space="0" w:color="auto"/>
                    <w:left w:val="none" w:sz="0" w:space="0" w:color="auto"/>
                    <w:bottom w:val="none" w:sz="0" w:space="0" w:color="auto"/>
                    <w:right w:val="none" w:sz="0" w:space="0" w:color="auto"/>
                  </w:divBdr>
                  <w:divsChild>
                    <w:div w:id="127818559">
                      <w:marLeft w:val="0"/>
                      <w:marRight w:val="0"/>
                      <w:marTop w:val="0"/>
                      <w:marBottom w:val="0"/>
                      <w:divBdr>
                        <w:top w:val="none" w:sz="0" w:space="0" w:color="auto"/>
                        <w:left w:val="none" w:sz="0" w:space="0" w:color="auto"/>
                        <w:bottom w:val="none" w:sz="0" w:space="0" w:color="auto"/>
                        <w:right w:val="none" w:sz="0" w:space="0" w:color="auto"/>
                      </w:divBdr>
                      <w:divsChild>
                        <w:div w:id="220099065">
                          <w:marLeft w:val="0"/>
                          <w:marRight w:val="0"/>
                          <w:marTop w:val="0"/>
                          <w:marBottom w:val="0"/>
                          <w:divBdr>
                            <w:top w:val="none" w:sz="0" w:space="0" w:color="auto"/>
                            <w:left w:val="none" w:sz="0" w:space="0" w:color="auto"/>
                            <w:bottom w:val="none" w:sz="0" w:space="0" w:color="auto"/>
                            <w:right w:val="none" w:sz="0" w:space="0" w:color="auto"/>
                          </w:divBdr>
                          <w:divsChild>
                            <w:div w:id="1407845857">
                              <w:marLeft w:val="0"/>
                              <w:marRight w:val="0"/>
                              <w:marTop w:val="0"/>
                              <w:marBottom w:val="0"/>
                              <w:divBdr>
                                <w:top w:val="none" w:sz="0" w:space="0" w:color="auto"/>
                                <w:left w:val="none" w:sz="0" w:space="0" w:color="auto"/>
                                <w:bottom w:val="none" w:sz="0" w:space="0" w:color="auto"/>
                                <w:right w:val="none" w:sz="0" w:space="0" w:color="auto"/>
                              </w:divBdr>
                              <w:divsChild>
                                <w:div w:id="1890805139">
                                  <w:marLeft w:val="0"/>
                                  <w:marRight w:val="0"/>
                                  <w:marTop w:val="0"/>
                                  <w:marBottom w:val="0"/>
                                  <w:divBdr>
                                    <w:top w:val="none" w:sz="0" w:space="0" w:color="auto"/>
                                    <w:left w:val="none" w:sz="0" w:space="0" w:color="auto"/>
                                    <w:bottom w:val="none" w:sz="0" w:space="0" w:color="auto"/>
                                    <w:right w:val="none" w:sz="0" w:space="0" w:color="auto"/>
                                  </w:divBdr>
                                  <w:divsChild>
                                    <w:div w:id="1800411661">
                                      <w:marLeft w:val="60"/>
                                      <w:marRight w:val="0"/>
                                      <w:marTop w:val="0"/>
                                      <w:marBottom w:val="0"/>
                                      <w:divBdr>
                                        <w:top w:val="none" w:sz="0" w:space="0" w:color="auto"/>
                                        <w:left w:val="none" w:sz="0" w:space="0" w:color="auto"/>
                                        <w:bottom w:val="none" w:sz="0" w:space="0" w:color="auto"/>
                                        <w:right w:val="none" w:sz="0" w:space="0" w:color="auto"/>
                                      </w:divBdr>
                                      <w:divsChild>
                                        <w:div w:id="737747316">
                                          <w:marLeft w:val="0"/>
                                          <w:marRight w:val="0"/>
                                          <w:marTop w:val="0"/>
                                          <w:marBottom w:val="0"/>
                                          <w:divBdr>
                                            <w:top w:val="none" w:sz="0" w:space="0" w:color="auto"/>
                                            <w:left w:val="none" w:sz="0" w:space="0" w:color="auto"/>
                                            <w:bottom w:val="none" w:sz="0" w:space="0" w:color="auto"/>
                                            <w:right w:val="none" w:sz="0" w:space="0" w:color="auto"/>
                                          </w:divBdr>
                                          <w:divsChild>
                                            <w:div w:id="385757916">
                                              <w:marLeft w:val="0"/>
                                              <w:marRight w:val="0"/>
                                              <w:marTop w:val="0"/>
                                              <w:marBottom w:val="120"/>
                                              <w:divBdr>
                                                <w:top w:val="single" w:sz="6" w:space="0" w:color="F5F5F5"/>
                                                <w:left w:val="single" w:sz="6" w:space="0" w:color="F5F5F5"/>
                                                <w:bottom w:val="single" w:sz="6" w:space="0" w:color="F5F5F5"/>
                                                <w:right w:val="single" w:sz="6" w:space="0" w:color="F5F5F5"/>
                                              </w:divBdr>
                                              <w:divsChild>
                                                <w:div w:id="1820267292">
                                                  <w:marLeft w:val="0"/>
                                                  <w:marRight w:val="0"/>
                                                  <w:marTop w:val="0"/>
                                                  <w:marBottom w:val="0"/>
                                                  <w:divBdr>
                                                    <w:top w:val="none" w:sz="0" w:space="0" w:color="auto"/>
                                                    <w:left w:val="none" w:sz="0" w:space="0" w:color="auto"/>
                                                    <w:bottom w:val="none" w:sz="0" w:space="0" w:color="auto"/>
                                                    <w:right w:val="none" w:sz="0" w:space="0" w:color="auto"/>
                                                  </w:divBdr>
                                                  <w:divsChild>
                                                    <w:div w:id="8707998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94150160">
      <w:bodyDiv w:val="1"/>
      <w:marLeft w:val="0"/>
      <w:marRight w:val="0"/>
      <w:marTop w:val="0"/>
      <w:marBottom w:val="0"/>
      <w:divBdr>
        <w:top w:val="none" w:sz="0" w:space="0" w:color="auto"/>
        <w:left w:val="none" w:sz="0" w:space="0" w:color="auto"/>
        <w:bottom w:val="none" w:sz="0" w:space="0" w:color="auto"/>
        <w:right w:val="none" w:sz="0" w:space="0" w:color="auto"/>
      </w:divBdr>
    </w:div>
    <w:div w:id="217939351">
      <w:bodyDiv w:val="1"/>
      <w:marLeft w:val="0"/>
      <w:marRight w:val="0"/>
      <w:marTop w:val="0"/>
      <w:marBottom w:val="0"/>
      <w:divBdr>
        <w:top w:val="none" w:sz="0" w:space="0" w:color="auto"/>
        <w:left w:val="none" w:sz="0" w:space="0" w:color="auto"/>
        <w:bottom w:val="none" w:sz="0" w:space="0" w:color="auto"/>
        <w:right w:val="none" w:sz="0" w:space="0" w:color="auto"/>
      </w:divBdr>
    </w:div>
    <w:div w:id="259533499">
      <w:bodyDiv w:val="1"/>
      <w:marLeft w:val="0"/>
      <w:marRight w:val="0"/>
      <w:marTop w:val="0"/>
      <w:marBottom w:val="0"/>
      <w:divBdr>
        <w:top w:val="none" w:sz="0" w:space="0" w:color="auto"/>
        <w:left w:val="none" w:sz="0" w:space="0" w:color="auto"/>
        <w:bottom w:val="none" w:sz="0" w:space="0" w:color="auto"/>
        <w:right w:val="none" w:sz="0" w:space="0" w:color="auto"/>
      </w:divBdr>
    </w:div>
    <w:div w:id="293027647">
      <w:bodyDiv w:val="1"/>
      <w:marLeft w:val="0"/>
      <w:marRight w:val="0"/>
      <w:marTop w:val="0"/>
      <w:marBottom w:val="0"/>
      <w:divBdr>
        <w:top w:val="none" w:sz="0" w:space="0" w:color="auto"/>
        <w:left w:val="none" w:sz="0" w:space="0" w:color="auto"/>
        <w:bottom w:val="none" w:sz="0" w:space="0" w:color="auto"/>
        <w:right w:val="none" w:sz="0" w:space="0" w:color="auto"/>
      </w:divBdr>
    </w:div>
    <w:div w:id="320043745">
      <w:bodyDiv w:val="1"/>
      <w:marLeft w:val="0"/>
      <w:marRight w:val="0"/>
      <w:marTop w:val="0"/>
      <w:marBottom w:val="0"/>
      <w:divBdr>
        <w:top w:val="none" w:sz="0" w:space="0" w:color="auto"/>
        <w:left w:val="none" w:sz="0" w:space="0" w:color="auto"/>
        <w:bottom w:val="none" w:sz="0" w:space="0" w:color="auto"/>
        <w:right w:val="none" w:sz="0" w:space="0" w:color="auto"/>
      </w:divBdr>
    </w:div>
    <w:div w:id="346635988">
      <w:bodyDiv w:val="1"/>
      <w:marLeft w:val="0"/>
      <w:marRight w:val="0"/>
      <w:marTop w:val="0"/>
      <w:marBottom w:val="0"/>
      <w:divBdr>
        <w:top w:val="none" w:sz="0" w:space="0" w:color="auto"/>
        <w:left w:val="none" w:sz="0" w:space="0" w:color="auto"/>
        <w:bottom w:val="none" w:sz="0" w:space="0" w:color="auto"/>
        <w:right w:val="none" w:sz="0" w:space="0" w:color="auto"/>
      </w:divBdr>
      <w:divsChild>
        <w:div w:id="1037966434">
          <w:marLeft w:val="360"/>
          <w:marRight w:val="0"/>
          <w:marTop w:val="200"/>
          <w:marBottom w:val="0"/>
          <w:divBdr>
            <w:top w:val="none" w:sz="0" w:space="0" w:color="auto"/>
            <w:left w:val="none" w:sz="0" w:space="0" w:color="auto"/>
            <w:bottom w:val="none" w:sz="0" w:space="0" w:color="auto"/>
            <w:right w:val="none" w:sz="0" w:space="0" w:color="auto"/>
          </w:divBdr>
        </w:div>
        <w:div w:id="1048721200">
          <w:marLeft w:val="360"/>
          <w:marRight w:val="0"/>
          <w:marTop w:val="200"/>
          <w:marBottom w:val="0"/>
          <w:divBdr>
            <w:top w:val="none" w:sz="0" w:space="0" w:color="auto"/>
            <w:left w:val="none" w:sz="0" w:space="0" w:color="auto"/>
            <w:bottom w:val="none" w:sz="0" w:space="0" w:color="auto"/>
            <w:right w:val="none" w:sz="0" w:space="0" w:color="auto"/>
          </w:divBdr>
        </w:div>
        <w:div w:id="1130783992">
          <w:marLeft w:val="360"/>
          <w:marRight w:val="0"/>
          <w:marTop w:val="200"/>
          <w:marBottom w:val="0"/>
          <w:divBdr>
            <w:top w:val="none" w:sz="0" w:space="0" w:color="auto"/>
            <w:left w:val="none" w:sz="0" w:space="0" w:color="auto"/>
            <w:bottom w:val="none" w:sz="0" w:space="0" w:color="auto"/>
            <w:right w:val="none" w:sz="0" w:space="0" w:color="auto"/>
          </w:divBdr>
        </w:div>
      </w:divsChild>
    </w:div>
    <w:div w:id="375618931">
      <w:bodyDiv w:val="1"/>
      <w:marLeft w:val="0"/>
      <w:marRight w:val="0"/>
      <w:marTop w:val="0"/>
      <w:marBottom w:val="0"/>
      <w:divBdr>
        <w:top w:val="none" w:sz="0" w:space="0" w:color="auto"/>
        <w:left w:val="none" w:sz="0" w:space="0" w:color="auto"/>
        <w:bottom w:val="none" w:sz="0" w:space="0" w:color="auto"/>
        <w:right w:val="none" w:sz="0" w:space="0" w:color="auto"/>
      </w:divBdr>
    </w:div>
    <w:div w:id="384835675">
      <w:bodyDiv w:val="1"/>
      <w:marLeft w:val="0"/>
      <w:marRight w:val="0"/>
      <w:marTop w:val="0"/>
      <w:marBottom w:val="0"/>
      <w:divBdr>
        <w:top w:val="none" w:sz="0" w:space="0" w:color="auto"/>
        <w:left w:val="none" w:sz="0" w:space="0" w:color="auto"/>
        <w:bottom w:val="none" w:sz="0" w:space="0" w:color="auto"/>
        <w:right w:val="none" w:sz="0" w:space="0" w:color="auto"/>
      </w:divBdr>
    </w:div>
    <w:div w:id="390617092">
      <w:bodyDiv w:val="1"/>
      <w:marLeft w:val="0"/>
      <w:marRight w:val="0"/>
      <w:marTop w:val="0"/>
      <w:marBottom w:val="0"/>
      <w:divBdr>
        <w:top w:val="none" w:sz="0" w:space="0" w:color="auto"/>
        <w:left w:val="none" w:sz="0" w:space="0" w:color="auto"/>
        <w:bottom w:val="none" w:sz="0" w:space="0" w:color="auto"/>
        <w:right w:val="none" w:sz="0" w:space="0" w:color="auto"/>
      </w:divBdr>
    </w:div>
    <w:div w:id="460735300">
      <w:bodyDiv w:val="1"/>
      <w:marLeft w:val="0"/>
      <w:marRight w:val="0"/>
      <w:marTop w:val="0"/>
      <w:marBottom w:val="0"/>
      <w:divBdr>
        <w:top w:val="none" w:sz="0" w:space="0" w:color="auto"/>
        <w:left w:val="none" w:sz="0" w:space="0" w:color="auto"/>
        <w:bottom w:val="none" w:sz="0" w:space="0" w:color="auto"/>
        <w:right w:val="none" w:sz="0" w:space="0" w:color="auto"/>
      </w:divBdr>
    </w:div>
    <w:div w:id="464734323">
      <w:bodyDiv w:val="1"/>
      <w:marLeft w:val="0"/>
      <w:marRight w:val="0"/>
      <w:marTop w:val="0"/>
      <w:marBottom w:val="0"/>
      <w:divBdr>
        <w:top w:val="none" w:sz="0" w:space="0" w:color="auto"/>
        <w:left w:val="none" w:sz="0" w:space="0" w:color="auto"/>
        <w:bottom w:val="none" w:sz="0" w:space="0" w:color="auto"/>
        <w:right w:val="none" w:sz="0" w:space="0" w:color="auto"/>
      </w:divBdr>
    </w:div>
    <w:div w:id="496118866">
      <w:bodyDiv w:val="1"/>
      <w:marLeft w:val="0"/>
      <w:marRight w:val="0"/>
      <w:marTop w:val="0"/>
      <w:marBottom w:val="0"/>
      <w:divBdr>
        <w:top w:val="none" w:sz="0" w:space="0" w:color="auto"/>
        <w:left w:val="none" w:sz="0" w:space="0" w:color="auto"/>
        <w:bottom w:val="none" w:sz="0" w:space="0" w:color="auto"/>
        <w:right w:val="none" w:sz="0" w:space="0" w:color="auto"/>
      </w:divBdr>
    </w:div>
    <w:div w:id="506946504">
      <w:bodyDiv w:val="1"/>
      <w:marLeft w:val="0"/>
      <w:marRight w:val="0"/>
      <w:marTop w:val="0"/>
      <w:marBottom w:val="0"/>
      <w:divBdr>
        <w:top w:val="none" w:sz="0" w:space="0" w:color="auto"/>
        <w:left w:val="none" w:sz="0" w:space="0" w:color="auto"/>
        <w:bottom w:val="none" w:sz="0" w:space="0" w:color="auto"/>
        <w:right w:val="none" w:sz="0" w:space="0" w:color="auto"/>
      </w:divBdr>
    </w:div>
    <w:div w:id="560143521">
      <w:bodyDiv w:val="1"/>
      <w:marLeft w:val="0"/>
      <w:marRight w:val="0"/>
      <w:marTop w:val="0"/>
      <w:marBottom w:val="0"/>
      <w:divBdr>
        <w:top w:val="none" w:sz="0" w:space="0" w:color="auto"/>
        <w:left w:val="none" w:sz="0" w:space="0" w:color="auto"/>
        <w:bottom w:val="none" w:sz="0" w:space="0" w:color="auto"/>
        <w:right w:val="none" w:sz="0" w:space="0" w:color="auto"/>
      </w:divBdr>
    </w:div>
    <w:div w:id="577903038">
      <w:bodyDiv w:val="1"/>
      <w:marLeft w:val="0"/>
      <w:marRight w:val="0"/>
      <w:marTop w:val="0"/>
      <w:marBottom w:val="0"/>
      <w:divBdr>
        <w:top w:val="none" w:sz="0" w:space="0" w:color="auto"/>
        <w:left w:val="none" w:sz="0" w:space="0" w:color="auto"/>
        <w:bottom w:val="none" w:sz="0" w:space="0" w:color="auto"/>
        <w:right w:val="none" w:sz="0" w:space="0" w:color="auto"/>
      </w:divBdr>
      <w:divsChild>
        <w:div w:id="1623806759">
          <w:marLeft w:val="547"/>
          <w:marRight w:val="0"/>
          <w:marTop w:val="86"/>
          <w:marBottom w:val="0"/>
          <w:divBdr>
            <w:top w:val="none" w:sz="0" w:space="0" w:color="auto"/>
            <w:left w:val="none" w:sz="0" w:space="0" w:color="auto"/>
            <w:bottom w:val="none" w:sz="0" w:space="0" w:color="auto"/>
            <w:right w:val="none" w:sz="0" w:space="0" w:color="auto"/>
          </w:divBdr>
        </w:div>
      </w:divsChild>
    </w:div>
    <w:div w:id="601835876">
      <w:bodyDiv w:val="1"/>
      <w:marLeft w:val="0"/>
      <w:marRight w:val="0"/>
      <w:marTop w:val="0"/>
      <w:marBottom w:val="0"/>
      <w:divBdr>
        <w:top w:val="none" w:sz="0" w:space="0" w:color="auto"/>
        <w:left w:val="none" w:sz="0" w:space="0" w:color="auto"/>
        <w:bottom w:val="none" w:sz="0" w:space="0" w:color="auto"/>
        <w:right w:val="none" w:sz="0" w:space="0" w:color="auto"/>
      </w:divBdr>
    </w:div>
    <w:div w:id="602080372">
      <w:bodyDiv w:val="1"/>
      <w:marLeft w:val="0"/>
      <w:marRight w:val="0"/>
      <w:marTop w:val="0"/>
      <w:marBottom w:val="0"/>
      <w:divBdr>
        <w:top w:val="none" w:sz="0" w:space="0" w:color="auto"/>
        <w:left w:val="none" w:sz="0" w:space="0" w:color="auto"/>
        <w:bottom w:val="none" w:sz="0" w:space="0" w:color="auto"/>
        <w:right w:val="none" w:sz="0" w:space="0" w:color="auto"/>
      </w:divBdr>
    </w:div>
    <w:div w:id="609749156">
      <w:bodyDiv w:val="1"/>
      <w:marLeft w:val="0"/>
      <w:marRight w:val="0"/>
      <w:marTop w:val="0"/>
      <w:marBottom w:val="0"/>
      <w:divBdr>
        <w:top w:val="none" w:sz="0" w:space="0" w:color="auto"/>
        <w:left w:val="none" w:sz="0" w:space="0" w:color="auto"/>
        <w:bottom w:val="none" w:sz="0" w:space="0" w:color="auto"/>
        <w:right w:val="none" w:sz="0" w:space="0" w:color="auto"/>
      </w:divBdr>
    </w:div>
    <w:div w:id="629628759">
      <w:bodyDiv w:val="1"/>
      <w:marLeft w:val="0"/>
      <w:marRight w:val="0"/>
      <w:marTop w:val="0"/>
      <w:marBottom w:val="0"/>
      <w:divBdr>
        <w:top w:val="none" w:sz="0" w:space="0" w:color="auto"/>
        <w:left w:val="none" w:sz="0" w:space="0" w:color="auto"/>
        <w:bottom w:val="none" w:sz="0" w:space="0" w:color="auto"/>
        <w:right w:val="none" w:sz="0" w:space="0" w:color="auto"/>
      </w:divBdr>
    </w:div>
    <w:div w:id="633220302">
      <w:bodyDiv w:val="1"/>
      <w:marLeft w:val="0"/>
      <w:marRight w:val="0"/>
      <w:marTop w:val="0"/>
      <w:marBottom w:val="0"/>
      <w:divBdr>
        <w:top w:val="none" w:sz="0" w:space="0" w:color="auto"/>
        <w:left w:val="none" w:sz="0" w:space="0" w:color="auto"/>
        <w:bottom w:val="none" w:sz="0" w:space="0" w:color="auto"/>
        <w:right w:val="none" w:sz="0" w:space="0" w:color="auto"/>
      </w:divBdr>
    </w:div>
    <w:div w:id="645933457">
      <w:bodyDiv w:val="1"/>
      <w:marLeft w:val="0"/>
      <w:marRight w:val="0"/>
      <w:marTop w:val="0"/>
      <w:marBottom w:val="0"/>
      <w:divBdr>
        <w:top w:val="none" w:sz="0" w:space="0" w:color="auto"/>
        <w:left w:val="none" w:sz="0" w:space="0" w:color="auto"/>
        <w:bottom w:val="none" w:sz="0" w:space="0" w:color="auto"/>
        <w:right w:val="none" w:sz="0" w:space="0" w:color="auto"/>
      </w:divBdr>
      <w:divsChild>
        <w:div w:id="86198770">
          <w:marLeft w:val="360"/>
          <w:marRight w:val="0"/>
          <w:marTop w:val="200"/>
          <w:marBottom w:val="0"/>
          <w:divBdr>
            <w:top w:val="none" w:sz="0" w:space="0" w:color="auto"/>
            <w:left w:val="none" w:sz="0" w:space="0" w:color="auto"/>
            <w:bottom w:val="none" w:sz="0" w:space="0" w:color="auto"/>
            <w:right w:val="none" w:sz="0" w:space="0" w:color="auto"/>
          </w:divBdr>
        </w:div>
        <w:div w:id="1895848216">
          <w:marLeft w:val="360"/>
          <w:marRight w:val="0"/>
          <w:marTop w:val="200"/>
          <w:marBottom w:val="0"/>
          <w:divBdr>
            <w:top w:val="none" w:sz="0" w:space="0" w:color="auto"/>
            <w:left w:val="none" w:sz="0" w:space="0" w:color="auto"/>
            <w:bottom w:val="none" w:sz="0" w:space="0" w:color="auto"/>
            <w:right w:val="none" w:sz="0" w:space="0" w:color="auto"/>
          </w:divBdr>
        </w:div>
        <w:div w:id="2145540680">
          <w:marLeft w:val="360"/>
          <w:marRight w:val="0"/>
          <w:marTop w:val="200"/>
          <w:marBottom w:val="0"/>
          <w:divBdr>
            <w:top w:val="none" w:sz="0" w:space="0" w:color="auto"/>
            <w:left w:val="none" w:sz="0" w:space="0" w:color="auto"/>
            <w:bottom w:val="none" w:sz="0" w:space="0" w:color="auto"/>
            <w:right w:val="none" w:sz="0" w:space="0" w:color="auto"/>
          </w:divBdr>
        </w:div>
      </w:divsChild>
    </w:div>
    <w:div w:id="667907903">
      <w:bodyDiv w:val="1"/>
      <w:marLeft w:val="0"/>
      <w:marRight w:val="0"/>
      <w:marTop w:val="0"/>
      <w:marBottom w:val="0"/>
      <w:divBdr>
        <w:top w:val="none" w:sz="0" w:space="0" w:color="auto"/>
        <w:left w:val="none" w:sz="0" w:space="0" w:color="auto"/>
        <w:bottom w:val="none" w:sz="0" w:space="0" w:color="auto"/>
        <w:right w:val="none" w:sz="0" w:space="0" w:color="auto"/>
      </w:divBdr>
    </w:div>
    <w:div w:id="673535863">
      <w:bodyDiv w:val="1"/>
      <w:marLeft w:val="0"/>
      <w:marRight w:val="0"/>
      <w:marTop w:val="0"/>
      <w:marBottom w:val="0"/>
      <w:divBdr>
        <w:top w:val="none" w:sz="0" w:space="0" w:color="auto"/>
        <w:left w:val="none" w:sz="0" w:space="0" w:color="auto"/>
        <w:bottom w:val="none" w:sz="0" w:space="0" w:color="auto"/>
        <w:right w:val="none" w:sz="0" w:space="0" w:color="auto"/>
      </w:divBdr>
    </w:div>
    <w:div w:id="696388802">
      <w:bodyDiv w:val="1"/>
      <w:marLeft w:val="0"/>
      <w:marRight w:val="0"/>
      <w:marTop w:val="0"/>
      <w:marBottom w:val="0"/>
      <w:divBdr>
        <w:top w:val="none" w:sz="0" w:space="0" w:color="auto"/>
        <w:left w:val="none" w:sz="0" w:space="0" w:color="auto"/>
        <w:bottom w:val="none" w:sz="0" w:space="0" w:color="auto"/>
        <w:right w:val="none" w:sz="0" w:space="0" w:color="auto"/>
      </w:divBdr>
    </w:div>
    <w:div w:id="730345227">
      <w:bodyDiv w:val="1"/>
      <w:marLeft w:val="0"/>
      <w:marRight w:val="0"/>
      <w:marTop w:val="0"/>
      <w:marBottom w:val="0"/>
      <w:divBdr>
        <w:top w:val="none" w:sz="0" w:space="0" w:color="auto"/>
        <w:left w:val="none" w:sz="0" w:space="0" w:color="auto"/>
        <w:bottom w:val="none" w:sz="0" w:space="0" w:color="auto"/>
        <w:right w:val="none" w:sz="0" w:space="0" w:color="auto"/>
      </w:divBdr>
    </w:div>
    <w:div w:id="750005612">
      <w:bodyDiv w:val="1"/>
      <w:marLeft w:val="0"/>
      <w:marRight w:val="0"/>
      <w:marTop w:val="0"/>
      <w:marBottom w:val="0"/>
      <w:divBdr>
        <w:top w:val="none" w:sz="0" w:space="0" w:color="auto"/>
        <w:left w:val="none" w:sz="0" w:space="0" w:color="auto"/>
        <w:bottom w:val="none" w:sz="0" w:space="0" w:color="auto"/>
        <w:right w:val="none" w:sz="0" w:space="0" w:color="auto"/>
      </w:divBdr>
    </w:div>
    <w:div w:id="751778733">
      <w:bodyDiv w:val="1"/>
      <w:marLeft w:val="0"/>
      <w:marRight w:val="0"/>
      <w:marTop w:val="0"/>
      <w:marBottom w:val="0"/>
      <w:divBdr>
        <w:top w:val="none" w:sz="0" w:space="0" w:color="auto"/>
        <w:left w:val="none" w:sz="0" w:space="0" w:color="auto"/>
        <w:bottom w:val="none" w:sz="0" w:space="0" w:color="auto"/>
        <w:right w:val="none" w:sz="0" w:space="0" w:color="auto"/>
      </w:divBdr>
      <w:divsChild>
        <w:div w:id="1256549398">
          <w:marLeft w:val="547"/>
          <w:marRight w:val="0"/>
          <w:marTop w:val="0"/>
          <w:marBottom w:val="0"/>
          <w:divBdr>
            <w:top w:val="none" w:sz="0" w:space="0" w:color="auto"/>
            <w:left w:val="none" w:sz="0" w:space="0" w:color="auto"/>
            <w:bottom w:val="none" w:sz="0" w:space="0" w:color="auto"/>
            <w:right w:val="none" w:sz="0" w:space="0" w:color="auto"/>
          </w:divBdr>
        </w:div>
      </w:divsChild>
    </w:div>
    <w:div w:id="790199745">
      <w:bodyDiv w:val="1"/>
      <w:marLeft w:val="0"/>
      <w:marRight w:val="0"/>
      <w:marTop w:val="0"/>
      <w:marBottom w:val="0"/>
      <w:divBdr>
        <w:top w:val="none" w:sz="0" w:space="0" w:color="auto"/>
        <w:left w:val="none" w:sz="0" w:space="0" w:color="auto"/>
        <w:bottom w:val="none" w:sz="0" w:space="0" w:color="auto"/>
        <w:right w:val="none" w:sz="0" w:space="0" w:color="auto"/>
      </w:divBdr>
    </w:div>
    <w:div w:id="804591636">
      <w:bodyDiv w:val="1"/>
      <w:marLeft w:val="0"/>
      <w:marRight w:val="0"/>
      <w:marTop w:val="0"/>
      <w:marBottom w:val="0"/>
      <w:divBdr>
        <w:top w:val="none" w:sz="0" w:space="0" w:color="auto"/>
        <w:left w:val="none" w:sz="0" w:space="0" w:color="auto"/>
        <w:bottom w:val="none" w:sz="0" w:space="0" w:color="auto"/>
        <w:right w:val="none" w:sz="0" w:space="0" w:color="auto"/>
      </w:divBdr>
    </w:div>
    <w:div w:id="809522081">
      <w:bodyDiv w:val="1"/>
      <w:marLeft w:val="0"/>
      <w:marRight w:val="0"/>
      <w:marTop w:val="0"/>
      <w:marBottom w:val="0"/>
      <w:divBdr>
        <w:top w:val="none" w:sz="0" w:space="0" w:color="auto"/>
        <w:left w:val="none" w:sz="0" w:space="0" w:color="auto"/>
        <w:bottom w:val="none" w:sz="0" w:space="0" w:color="auto"/>
        <w:right w:val="none" w:sz="0" w:space="0" w:color="auto"/>
      </w:divBdr>
    </w:div>
    <w:div w:id="820660625">
      <w:bodyDiv w:val="1"/>
      <w:marLeft w:val="0"/>
      <w:marRight w:val="0"/>
      <w:marTop w:val="0"/>
      <w:marBottom w:val="0"/>
      <w:divBdr>
        <w:top w:val="none" w:sz="0" w:space="0" w:color="auto"/>
        <w:left w:val="none" w:sz="0" w:space="0" w:color="auto"/>
        <w:bottom w:val="none" w:sz="0" w:space="0" w:color="auto"/>
        <w:right w:val="none" w:sz="0" w:space="0" w:color="auto"/>
      </w:divBdr>
    </w:div>
    <w:div w:id="829518740">
      <w:bodyDiv w:val="1"/>
      <w:marLeft w:val="0"/>
      <w:marRight w:val="0"/>
      <w:marTop w:val="0"/>
      <w:marBottom w:val="0"/>
      <w:divBdr>
        <w:top w:val="none" w:sz="0" w:space="0" w:color="auto"/>
        <w:left w:val="none" w:sz="0" w:space="0" w:color="auto"/>
        <w:bottom w:val="none" w:sz="0" w:space="0" w:color="auto"/>
        <w:right w:val="none" w:sz="0" w:space="0" w:color="auto"/>
      </w:divBdr>
    </w:div>
    <w:div w:id="851997416">
      <w:bodyDiv w:val="1"/>
      <w:marLeft w:val="0"/>
      <w:marRight w:val="0"/>
      <w:marTop w:val="0"/>
      <w:marBottom w:val="0"/>
      <w:divBdr>
        <w:top w:val="none" w:sz="0" w:space="0" w:color="auto"/>
        <w:left w:val="none" w:sz="0" w:space="0" w:color="auto"/>
        <w:bottom w:val="none" w:sz="0" w:space="0" w:color="auto"/>
        <w:right w:val="none" w:sz="0" w:space="0" w:color="auto"/>
      </w:divBdr>
    </w:div>
    <w:div w:id="858617432">
      <w:bodyDiv w:val="1"/>
      <w:marLeft w:val="0"/>
      <w:marRight w:val="0"/>
      <w:marTop w:val="0"/>
      <w:marBottom w:val="0"/>
      <w:divBdr>
        <w:top w:val="none" w:sz="0" w:space="0" w:color="auto"/>
        <w:left w:val="none" w:sz="0" w:space="0" w:color="auto"/>
        <w:bottom w:val="none" w:sz="0" w:space="0" w:color="auto"/>
        <w:right w:val="none" w:sz="0" w:space="0" w:color="auto"/>
      </w:divBdr>
    </w:div>
    <w:div w:id="871191237">
      <w:bodyDiv w:val="1"/>
      <w:marLeft w:val="0"/>
      <w:marRight w:val="0"/>
      <w:marTop w:val="0"/>
      <w:marBottom w:val="0"/>
      <w:divBdr>
        <w:top w:val="none" w:sz="0" w:space="0" w:color="auto"/>
        <w:left w:val="none" w:sz="0" w:space="0" w:color="auto"/>
        <w:bottom w:val="none" w:sz="0" w:space="0" w:color="auto"/>
        <w:right w:val="none" w:sz="0" w:space="0" w:color="auto"/>
      </w:divBdr>
      <w:divsChild>
        <w:div w:id="21447089">
          <w:marLeft w:val="1440"/>
          <w:marRight w:val="0"/>
          <w:marTop w:val="0"/>
          <w:marBottom w:val="0"/>
          <w:divBdr>
            <w:top w:val="none" w:sz="0" w:space="0" w:color="auto"/>
            <w:left w:val="none" w:sz="0" w:space="0" w:color="auto"/>
            <w:bottom w:val="none" w:sz="0" w:space="0" w:color="auto"/>
            <w:right w:val="none" w:sz="0" w:space="0" w:color="auto"/>
          </w:divBdr>
        </w:div>
        <w:div w:id="836534235">
          <w:marLeft w:val="1440"/>
          <w:marRight w:val="0"/>
          <w:marTop w:val="0"/>
          <w:marBottom w:val="0"/>
          <w:divBdr>
            <w:top w:val="none" w:sz="0" w:space="0" w:color="auto"/>
            <w:left w:val="none" w:sz="0" w:space="0" w:color="auto"/>
            <w:bottom w:val="none" w:sz="0" w:space="0" w:color="auto"/>
            <w:right w:val="none" w:sz="0" w:space="0" w:color="auto"/>
          </w:divBdr>
        </w:div>
        <w:div w:id="1394619757">
          <w:marLeft w:val="1440"/>
          <w:marRight w:val="0"/>
          <w:marTop w:val="0"/>
          <w:marBottom w:val="0"/>
          <w:divBdr>
            <w:top w:val="none" w:sz="0" w:space="0" w:color="auto"/>
            <w:left w:val="none" w:sz="0" w:space="0" w:color="auto"/>
            <w:bottom w:val="none" w:sz="0" w:space="0" w:color="auto"/>
            <w:right w:val="none" w:sz="0" w:space="0" w:color="auto"/>
          </w:divBdr>
        </w:div>
        <w:div w:id="1549074510">
          <w:marLeft w:val="1440"/>
          <w:marRight w:val="0"/>
          <w:marTop w:val="0"/>
          <w:marBottom w:val="0"/>
          <w:divBdr>
            <w:top w:val="none" w:sz="0" w:space="0" w:color="auto"/>
            <w:left w:val="none" w:sz="0" w:space="0" w:color="auto"/>
            <w:bottom w:val="none" w:sz="0" w:space="0" w:color="auto"/>
            <w:right w:val="none" w:sz="0" w:space="0" w:color="auto"/>
          </w:divBdr>
        </w:div>
        <w:div w:id="1564021390">
          <w:marLeft w:val="1440"/>
          <w:marRight w:val="0"/>
          <w:marTop w:val="0"/>
          <w:marBottom w:val="0"/>
          <w:divBdr>
            <w:top w:val="none" w:sz="0" w:space="0" w:color="auto"/>
            <w:left w:val="none" w:sz="0" w:space="0" w:color="auto"/>
            <w:bottom w:val="none" w:sz="0" w:space="0" w:color="auto"/>
            <w:right w:val="none" w:sz="0" w:space="0" w:color="auto"/>
          </w:divBdr>
        </w:div>
      </w:divsChild>
    </w:div>
    <w:div w:id="893588881">
      <w:bodyDiv w:val="1"/>
      <w:marLeft w:val="0"/>
      <w:marRight w:val="0"/>
      <w:marTop w:val="0"/>
      <w:marBottom w:val="0"/>
      <w:divBdr>
        <w:top w:val="none" w:sz="0" w:space="0" w:color="auto"/>
        <w:left w:val="none" w:sz="0" w:space="0" w:color="auto"/>
        <w:bottom w:val="none" w:sz="0" w:space="0" w:color="auto"/>
        <w:right w:val="none" w:sz="0" w:space="0" w:color="auto"/>
      </w:divBdr>
    </w:div>
    <w:div w:id="901525500">
      <w:bodyDiv w:val="1"/>
      <w:marLeft w:val="0"/>
      <w:marRight w:val="0"/>
      <w:marTop w:val="0"/>
      <w:marBottom w:val="0"/>
      <w:divBdr>
        <w:top w:val="none" w:sz="0" w:space="0" w:color="auto"/>
        <w:left w:val="none" w:sz="0" w:space="0" w:color="auto"/>
        <w:bottom w:val="none" w:sz="0" w:space="0" w:color="auto"/>
        <w:right w:val="none" w:sz="0" w:space="0" w:color="auto"/>
      </w:divBdr>
    </w:div>
    <w:div w:id="901601597">
      <w:bodyDiv w:val="1"/>
      <w:marLeft w:val="0"/>
      <w:marRight w:val="0"/>
      <w:marTop w:val="0"/>
      <w:marBottom w:val="0"/>
      <w:divBdr>
        <w:top w:val="none" w:sz="0" w:space="0" w:color="auto"/>
        <w:left w:val="none" w:sz="0" w:space="0" w:color="auto"/>
        <w:bottom w:val="none" w:sz="0" w:space="0" w:color="auto"/>
        <w:right w:val="none" w:sz="0" w:space="0" w:color="auto"/>
      </w:divBdr>
    </w:div>
    <w:div w:id="904150059">
      <w:bodyDiv w:val="1"/>
      <w:marLeft w:val="0"/>
      <w:marRight w:val="0"/>
      <w:marTop w:val="0"/>
      <w:marBottom w:val="0"/>
      <w:divBdr>
        <w:top w:val="none" w:sz="0" w:space="0" w:color="auto"/>
        <w:left w:val="none" w:sz="0" w:space="0" w:color="auto"/>
        <w:bottom w:val="none" w:sz="0" w:space="0" w:color="auto"/>
        <w:right w:val="none" w:sz="0" w:space="0" w:color="auto"/>
      </w:divBdr>
    </w:div>
    <w:div w:id="922907744">
      <w:bodyDiv w:val="1"/>
      <w:marLeft w:val="0"/>
      <w:marRight w:val="0"/>
      <w:marTop w:val="0"/>
      <w:marBottom w:val="0"/>
      <w:divBdr>
        <w:top w:val="none" w:sz="0" w:space="0" w:color="auto"/>
        <w:left w:val="none" w:sz="0" w:space="0" w:color="auto"/>
        <w:bottom w:val="none" w:sz="0" w:space="0" w:color="auto"/>
        <w:right w:val="none" w:sz="0" w:space="0" w:color="auto"/>
      </w:divBdr>
    </w:div>
    <w:div w:id="933634795">
      <w:bodyDiv w:val="1"/>
      <w:marLeft w:val="0"/>
      <w:marRight w:val="0"/>
      <w:marTop w:val="0"/>
      <w:marBottom w:val="0"/>
      <w:divBdr>
        <w:top w:val="none" w:sz="0" w:space="0" w:color="auto"/>
        <w:left w:val="none" w:sz="0" w:space="0" w:color="auto"/>
        <w:bottom w:val="none" w:sz="0" w:space="0" w:color="auto"/>
        <w:right w:val="none" w:sz="0" w:space="0" w:color="auto"/>
      </w:divBdr>
      <w:divsChild>
        <w:div w:id="1023441740">
          <w:marLeft w:val="0"/>
          <w:marRight w:val="0"/>
          <w:marTop w:val="0"/>
          <w:marBottom w:val="0"/>
          <w:divBdr>
            <w:top w:val="none" w:sz="0" w:space="0" w:color="auto"/>
            <w:left w:val="none" w:sz="0" w:space="0" w:color="auto"/>
            <w:bottom w:val="none" w:sz="0" w:space="0" w:color="auto"/>
            <w:right w:val="none" w:sz="0" w:space="0" w:color="auto"/>
          </w:divBdr>
          <w:divsChild>
            <w:div w:id="1248804490">
              <w:marLeft w:val="0"/>
              <w:marRight w:val="0"/>
              <w:marTop w:val="0"/>
              <w:marBottom w:val="0"/>
              <w:divBdr>
                <w:top w:val="none" w:sz="0" w:space="0" w:color="auto"/>
                <w:left w:val="none" w:sz="0" w:space="0" w:color="auto"/>
                <w:bottom w:val="none" w:sz="0" w:space="0" w:color="auto"/>
                <w:right w:val="none" w:sz="0" w:space="0" w:color="auto"/>
              </w:divBdr>
              <w:divsChild>
                <w:div w:id="1766733239">
                  <w:marLeft w:val="0"/>
                  <w:marRight w:val="0"/>
                  <w:marTop w:val="0"/>
                  <w:marBottom w:val="0"/>
                  <w:divBdr>
                    <w:top w:val="none" w:sz="0" w:space="0" w:color="auto"/>
                    <w:left w:val="none" w:sz="0" w:space="0" w:color="auto"/>
                    <w:bottom w:val="none" w:sz="0" w:space="0" w:color="auto"/>
                    <w:right w:val="none" w:sz="0" w:space="0" w:color="auto"/>
                  </w:divBdr>
                  <w:divsChild>
                    <w:div w:id="405734873">
                      <w:marLeft w:val="0"/>
                      <w:marRight w:val="0"/>
                      <w:marTop w:val="0"/>
                      <w:marBottom w:val="0"/>
                      <w:divBdr>
                        <w:top w:val="none" w:sz="0" w:space="0" w:color="auto"/>
                        <w:left w:val="none" w:sz="0" w:space="0" w:color="auto"/>
                        <w:bottom w:val="none" w:sz="0" w:space="0" w:color="auto"/>
                        <w:right w:val="none" w:sz="0" w:space="0" w:color="auto"/>
                      </w:divBdr>
                      <w:divsChild>
                        <w:div w:id="1719236473">
                          <w:marLeft w:val="0"/>
                          <w:marRight w:val="0"/>
                          <w:marTop w:val="0"/>
                          <w:marBottom w:val="0"/>
                          <w:divBdr>
                            <w:top w:val="none" w:sz="0" w:space="0" w:color="auto"/>
                            <w:left w:val="none" w:sz="0" w:space="0" w:color="auto"/>
                            <w:bottom w:val="none" w:sz="0" w:space="0" w:color="auto"/>
                            <w:right w:val="none" w:sz="0" w:space="0" w:color="auto"/>
                          </w:divBdr>
                          <w:divsChild>
                            <w:div w:id="2003121562">
                              <w:marLeft w:val="0"/>
                              <w:marRight w:val="0"/>
                              <w:marTop w:val="0"/>
                              <w:marBottom w:val="0"/>
                              <w:divBdr>
                                <w:top w:val="none" w:sz="0" w:space="0" w:color="auto"/>
                                <w:left w:val="none" w:sz="0" w:space="0" w:color="auto"/>
                                <w:bottom w:val="none" w:sz="0" w:space="0" w:color="auto"/>
                                <w:right w:val="none" w:sz="0" w:space="0" w:color="auto"/>
                              </w:divBdr>
                              <w:divsChild>
                                <w:div w:id="429786629">
                                  <w:marLeft w:val="0"/>
                                  <w:marRight w:val="0"/>
                                  <w:marTop w:val="0"/>
                                  <w:marBottom w:val="0"/>
                                  <w:divBdr>
                                    <w:top w:val="none" w:sz="0" w:space="0" w:color="auto"/>
                                    <w:left w:val="none" w:sz="0" w:space="0" w:color="auto"/>
                                    <w:bottom w:val="none" w:sz="0" w:space="0" w:color="auto"/>
                                    <w:right w:val="none" w:sz="0" w:space="0" w:color="auto"/>
                                  </w:divBdr>
                                  <w:divsChild>
                                    <w:div w:id="1008750938">
                                      <w:marLeft w:val="60"/>
                                      <w:marRight w:val="0"/>
                                      <w:marTop w:val="0"/>
                                      <w:marBottom w:val="0"/>
                                      <w:divBdr>
                                        <w:top w:val="none" w:sz="0" w:space="0" w:color="auto"/>
                                        <w:left w:val="none" w:sz="0" w:space="0" w:color="auto"/>
                                        <w:bottom w:val="none" w:sz="0" w:space="0" w:color="auto"/>
                                        <w:right w:val="none" w:sz="0" w:space="0" w:color="auto"/>
                                      </w:divBdr>
                                      <w:divsChild>
                                        <w:div w:id="2139951901">
                                          <w:marLeft w:val="0"/>
                                          <w:marRight w:val="0"/>
                                          <w:marTop w:val="0"/>
                                          <w:marBottom w:val="0"/>
                                          <w:divBdr>
                                            <w:top w:val="none" w:sz="0" w:space="0" w:color="auto"/>
                                            <w:left w:val="none" w:sz="0" w:space="0" w:color="auto"/>
                                            <w:bottom w:val="none" w:sz="0" w:space="0" w:color="auto"/>
                                            <w:right w:val="none" w:sz="0" w:space="0" w:color="auto"/>
                                          </w:divBdr>
                                          <w:divsChild>
                                            <w:div w:id="1167284687">
                                              <w:marLeft w:val="0"/>
                                              <w:marRight w:val="0"/>
                                              <w:marTop w:val="0"/>
                                              <w:marBottom w:val="120"/>
                                              <w:divBdr>
                                                <w:top w:val="single" w:sz="6" w:space="0" w:color="F5F5F5"/>
                                                <w:left w:val="single" w:sz="6" w:space="0" w:color="F5F5F5"/>
                                                <w:bottom w:val="single" w:sz="6" w:space="0" w:color="F5F5F5"/>
                                                <w:right w:val="single" w:sz="6" w:space="0" w:color="F5F5F5"/>
                                              </w:divBdr>
                                              <w:divsChild>
                                                <w:div w:id="518004096">
                                                  <w:marLeft w:val="0"/>
                                                  <w:marRight w:val="0"/>
                                                  <w:marTop w:val="0"/>
                                                  <w:marBottom w:val="0"/>
                                                  <w:divBdr>
                                                    <w:top w:val="none" w:sz="0" w:space="0" w:color="auto"/>
                                                    <w:left w:val="none" w:sz="0" w:space="0" w:color="auto"/>
                                                    <w:bottom w:val="none" w:sz="0" w:space="0" w:color="auto"/>
                                                    <w:right w:val="none" w:sz="0" w:space="0" w:color="auto"/>
                                                  </w:divBdr>
                                                  <w:divsChild>
                                                    <w:div w:id="1348213205">
                                                      <w:marLeft w:val="0"/>
                                                      <w:marRight w:val="0"/>
                                                      <w:marTop w:val="0"/>
                                                      <w:marBottom w:val="0"/>
                                                      <w:divBdr>
                                                        <w:top w:val="none" w:sz="0" w:space="0" w:color="auto"/>
                                                        <w:left w:val="none" w:sz="0" w:space="0" w:color="auto"/>
                                                        <w:bottom w:val="none" w:sz="0" w:space="0" w:color="auto"/>
                                                        <w:right w:val="none" w:sz="0" w:space="0" w:color="auto"/>
                                                      </w:divBdr>
                                                    </w:div>
                                                  </w:divsChild>
                                                </w:div>
                                                <w:div w:id="724136249">
                                                  <w:marLeft w:val="0"/>
                                                  <w:marRight w:val="0"/>
                                                  <w:marTop w:val="0"/>
                                                  <w:marBottom w:val="0"/>
                                                  <w:divBdr>
                                                    <w:top w:val="none" w:sz="0" w:space="0" w:color="auto"/>
                                                    <w:left w:val="none" w:sz="0" w:space="0" w:color="auto"/>
                                                    <w:bottom w:val="none" w:sz="0" w:space="0" w:color="auto"/>
                                                    <w:right w:val="none" w:sz="0" w:space="0" w:color="auto"/>
                                                  </w:divBdr>
                                                  <w:divsChild>
                                                    <w:div w:id="13161049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938485793">
      <w:bodyDiv w:val="1"/>
      <w:marLeft w:val="0"/>
      <w:marRight w:val="0"/>
      <w:marTop w:val="0"/>
      <w:marBottom w:val="0"/>
      <w:divBdr>
        <w:top w:val="none" w:sz="0" w:space="0" w:color="auto"/>
        <w:left w:val="none" w:sz="0" w:space="0" w:color="auto"/>
        <w:bottom w:val="none" w:sz="0" w:space="0" w:color="auto"/>
        <w:right w:val="none" w:sz="0" w:space="0" w:color="auto"/>
      </w:divBdr>
    </w:div>
    <w:div w:id="938639262">
      <w:bodyDiv w:val="1"/>
      <w:marLeft w:val="0"/>
      <w:marRight w:val="0"/>
      <w:marTop w:val="0"/>
      <w:marBottom w:val="0"/>
      <w:divBdr>
        <w:top w:val="none" w:sz="0" w:space="0" w:color="auto"/>
        <w:left w:val="none" w:sz="0" w:space="0" w:color="auto"/>
        <w:bottom w:val="none" w:sz="0" w:space="0" w:color="auto"/>
        <w:right w:val="none" w:sz="0" w:space="0" w:color="auto"/>
      </w:divBdr>
      <w:divsChild>
        <w:div w:id="868907562">
          <w:marLeft w:val="547"/>
          <w:marRight w:val="0"/>
          <w:marTop w:val="86"/>
          <w:marBottom w:val="0"/>
          <w:divBdr>
            <w:top w:val="none" w:sz="0" w:space="0" w:color="auto"/>
            <w:left w:val="none" w:sz="0" w:space="0" w:color="auto"/>
            <w:bottom w:val="none" w:sz="0" w:space="0" w:color="auto"/>
            <w:right w:val="none" w:sz="0" w:space="0" w:color="auto"/>
          </w:divBdr>
        </w:div>
      </w:divsChild>
    </w:div>
    <w:div w:id="949244792">
      <w:bodyDiv w:val="1"/>
      <w:marLeft w:val="0"/>
      <w:marRight w:val="0"/>
      <w:marTop w:val="0"/>
      <w:marBottom w:val="0"/>
      <w:divBdr>
        <w:top w:val="none" w:sz="0" w:space="0" w:color="auto"/>
        <w:left w:val="none" w:sz="0" w:space="0" w:color="auto"/>
        <w:bottom w:val="none" w:sz="0" w:space="0" w:color="auto"/>
        <w:right w:val="none" w:sz="0" w:space="0" w:color="auto"/>
      </w:divBdr>
    </w:div>
    <w:div w:id="966357348">
      <w:bodyDiv w:val="1"/>
      <w:marLeft w:val="0"/>
      <w:marRight w:val="0"/>
      <w:marTop w:val="0"/>
      <w:marBottom w:val="0"/>
      <w:divBdr>
        <w:top w:val="none" w:sz="0" w:space="0" w:color="auto"/>
        <w:left w:val="none" w:sz="0" w:space="0" w:color="auto"/>
        <w:bottom w:val="none" w:sz="0" w:space="0" w:color="auto"/>
        <w:right w:val="none" w:sz="0" w:space="0" w:color="auto"/>
      </w:divBdr>
    </w:div>
    <w:div w:id="1039671287">
      <w:bodyDiv w:val="1"/>
      <w:marLeft w:val="0"/>
      <w:marRight w:val="0"/>
      <w:marTop w:val="0"/>
      <w:marBottom w:val="0"/>
      <w:divBdr>
        <w:top w:val="none" w:sz="0" w:space="0" w:color="auto"/>
        <w:left w:val="none" w:sz="0" w:space="0" w:color="auto"/>
        <w:bottom w:val="none" w:sz="0" w:space="0" w:color="auto"/>
        <w:right w:val="none" w:sz="0" w:space="0" w:color="auto"/>
      </w:divBdr>
    </w:div>
    <w:div w:id="1044333053">
      <w:bodyDiv w:val="1"/>
      <w:marLeft w:val="0"/>
      <w:marRight w:val="0"/>
      <w:marTop w:val="0"/>
      <w:marBottom w:val="0"/>
      <w:divBdr>
        <w:top w:val="none" w:sz="0" w:space="0" w:color="auto"/>
        <w:left w:val="none" w:sz="0" w:space="0" w:color="auto"/>
        <w:bottom w:val="none" w:sz="0" w:space="0" w:color="auto"/>
        <w:right w:val="none" w:sz="0" w:space="0" w:color="auto"/>
      </w:divBdr>
    </w:div>
    <w:div w:id="1066104694">
      <w:bodyDiv w:val="1"/>
      <w:marLeft w:val="0"/>
      <w:marRight w:val="0"/>
      <w:marTop w:val="0"/>
      <w:marBottom w:val="0"/>
      <w:divBdr>
        <w:top w:val="none" w:sz="0" w:space="0" w:color="auto"/>
        <w:left w:val="none" w:sz="0" w:space="0" w:color="auto"/>
        <w:bottom w:val="none" w:sz="0" w:space="0" w:color="auto"/>
        <w:right w:val="none" w:sz="0" w:space="0" w:color="auto"/>
      </w:divBdr>
    </w:div>
    <w:div w:id="1074856777">
      <w:bodyDiv w:val="1"/>
      <w:marLeft w:val="0"/>
      <w:marRight w:val="0"/>
      <w:marTop w:val="0"/>
      <w:marBottom w:val="0"/>
      <w:divBdr>
        <w:top w:val="none" w:sz="0" w:space="0" w:color="auto"/>
        <w:left w:val="none" w:sz="0" w:space="0" w:color="auto"/>
        <w:bottom w:val="none" w:sz="0" w:space="0" w:color="auto"/>
        <w:right w:val="none" w:sz="0" w:space="0" w:color="auto"/>
      </w:divBdr>
    </w:div>
    <w:div w:id="1079138236">
      <w:bodyDiv w:val="1"/>
      <w:marLeft w:val="0"/>
      <w:marRight w:val="0"/>
      <w:marTop w:val="0"/>
      <w:marBottom w:val="0"/>
      <w:divBdr>
        <w:top w:val="none" w:sz="0" w:space="0" w:color="auto"/>
        <w:left w:val="none" w:sz="0" w:space="0" w:color="auto"/>
        <w:bottom w:val="none" w:sz="0" w:space="0" w:color="auto"/>
        <w:right w:val="none" w:sz="0" w:space="0" w:color="auto"/>
      </w:divBdr>
    </w:div>
    <w:div w:id="1082683439">
      <w:bodyDiv w:val="1"/>
      <w:marLeft w:val="0"/>
      <w:marRight w:val="0"/>
      <w:marTop w:val="0"/>
      <w:marBottom w:val="0"/>
      <w:divBdr>
        <w:top w:val="none" w:sz="0" w:space="0" w:color="auto"/>
        <w:left w:val="none" w:sz="0" w:space="0" w:color="auto"/>
        <w:bottom w:val="none" w:sz="0" w:space="0" w:color="auto"/>
        <w:right w:val="none" w:sz="0" w:space="0" w:color="auto"/>
      </w:divBdr>
      <w:divsChild>
        <w:div w:id="2032684746">
          <w:marLeft w:val="547"/>
          <w:marRight w:val="0"/>
          <w:marTop w:val="86"/>
          <w:marBottom w:val="0"/>
          <w:divBdr>
            <w:top w:val="none" w:sz="0" w:space="0" w:color="auto"/>
            <w:left w:val="none" w:sz="0" w:space="0" w:color="auto"/>
            <w:bottom w:val="none" w:sz="0" w:space="0" w:color="auto"/>
            <w:right w:val="none" w:sz="0" w:space="0" w:color="auto"/>
          </w:divBdr>
        </w:div>
      </w:divsChild>
    </w:div>
    <w:div w:id="1084765109">
      <w:bodyDiv w:val="1"/>
      <w:marLeft w:val="0"/>
      <w:marRight w:val="0"/>
      <w:marTop w:val="0"/>
      <w:marBottom w:val="0"/>
      <w:divBdr>
        <w:top w:val="none" w:sz="0" w:space="0" w:color="auto"/>
        <w:left w:val="none" w:sz="0" w:space="0" w:color="auto"/>
        <w:bottom w:val="none" w:sz="0" w:space="0" w:color="auto"/>
        <w:right w:val="none" w:sz="0" w:space="0" w:color="auto"/>
      </w:divBdr>
    </w:div>
    <w:div w:id="1102602509">
      <w:bodyDiv w:val="1"/>
      <w:marLeft w:val="0"/>
      <w:marRight w:val="0"/>
      <w:marTop w:val="0"/>
      <w:marBottom w:val="0"/>
      <w:divBdr>
        <w:top w:val="none" w:sz="0" w:space="0" w:color="auto"/>
        <w:left w:val="none" w:sz="0" w:space="0" w:color="auto"/>
        <w:bottom w:val="none" w:sz="0" w:space="0" w:color="auto"/>
        <w:right w:val="none" w:sz="0" w:space="0" w:color="auto"/>
      </w:divBdr>
    </w:div>
    <w:div w:id="1123577246">
      <w:bodyDiv w:val="1"/>
      <w:marLeft w:val="0"/>
      <w:marRight w:val="0"/>
      <w:marTop w:val="0"/>
      <w:marBottom w:val="0"/>
      <w:divBdr>
        <w:top w:val="none" w:sz="0" w:space="0" w:color="auto"/>
        <w:left w:val="none" w:sz="0" w:space="0" w:color="auto"/>
        <w:bottom w:val="none" w:sz="0" w:space="0" w:color="auto"/>
        <w:right w:val="none" w:sz="0" w:space="0" w:color="auto"/>
      </w:divBdr>
    </w:div>
    <w:div w:id="1147087961">
      <w:bodyDiv w:val="1"/>
      <w:marLeft w:val="0"/>
      <w:marRight w:val="0"/>
      <w:marTop w:val="0"/>
      <w:marBottom w:val="0"/>
      <w:divBdr>
        <w:top w:val="none" w:sz="0" w:space="0" w:color="auto"/>
        <w:left w:val="none" w:sz="0" w:space="0" w:color="auto"/>
        <w:bottom w:val="none" w:sz="0" w:space="0" w:color="auto"/>
        <w:right w:val="none" w:sz="0" w:space="0" w:color="auto"/>
      </w:divBdr>
    </w:div>
    <w:div w:id="1161579754">
      <w:bodyDiv w:val="1"/>
      <w:marLeft w:val="0"/>
      <w:marRight w:val="0"/>
      <w:marTop w:val="0"/>
      <w:marBottom w:val="0"/>
      <w:divBdr>
        <w:top w:val="none" w:sz="0" w:space="0" w:color="auto"/>
        <w:left w:val="none" w:sz="0" w:space="0" w:color="auto"/>
        <w:bottom w:val="none" w:sz="0" w:space="0" w:color="auto"/>
        <w:right w:val="none" w:sz="0" w:space="0" w:color="auto"/>
      </w:divBdr>
    </w:div>
    <w:div w:id="1231580021">
      <w:bodyDiv w:val="1"/>
      <w:marLeft w:val="0"/>
      <w:marRight w:val="0"/>
      <w:marTop w:val="0"/>
      <w:marBottom w:val="0"/>
      <w:divBdr>
        <w:top w:val="none" w:sz="0" w:space="0" w:color="auto"/>
        <w:left w:val="none" w:sz="0" w:space="0" w:color="auto"/>
        <w:bottom w:val="none" w:sz="0" w:space="0" w:color="auto"/>
        <w:right w:val="none" w:sz="0" w:space="0" w:color="auto"/>
      </w:divBdr>
    </w:div>
    <w:div w:id="1237208764">
      <w:bodyDiv w:val="1"/>
      <w:marLeft w:val="0"/>
      <w:marRight w:val="0"/>
      <w:marTop w:val="0"/>
      <w:marBottom w:val="0"/>
      <w:divBdr>
        <w:top w:val="none" w:sz="0" w:space="0" w:color="auto"/>
        <w:left w:val="none" w:sz="0" w:space="0" w:color="auto"/>
        <w:bottom w:val="none" w:sz="0" w:space="0" w:color="auto"/>
        <w:right w:val="none" w:sz="0" w:space="0" w:color="auto"/>
      </w:divBdr>
    </w:div>
    <w:div w:id="1264145387">
      <w:bodyDiv w:val="1"/>
      <w:marLeft w:val="0"/>
      <w:marRight w:val="0"/>
      <w:marTop w:val="0"/>
      <w:marBottom w:val="0"/>
      <w:divBdr>
        <w:top w:val="none" w:sz="0" w:space="0" w:color="auto"/>
        <w:left w:val="none" w:sz="0" w:space="0" w:color="auto"/>
        <w:bottom w:val="none" w:sz="0" w:space="0" w:color="auto"/>
        <w:right w:val="none" w:sz="0" w:space="0" w:color="auto"/>
      </w:divBdr>
    </w:div>
    <w:div w:id="1276209789">
      <w:bodyDiv w:val="1"/>
      <w:marLeft w:val="0"/>
      <w:marRight w:val="0"/>
      <w:marTop w:val="0"/>
      <w:marBottom w:val="0"/>
      <w:divBdr>
        <w:top w:val="none" w:sz="0" w:space="0" w:color="auto"/>
        <w:left w:val="none" w:sz="0" w:space="0" w:color="auto"/>
        <w:bottom w:val="none" w:sz="0" w:space="0" w:color="auto"/>
        <w:right w:val="none" w:sz="0" w:space="0" w:color="auto"/>
      </w:divBdr>
    </w:div>
    <w:div w:id="1316685951">
      <w:bodyDiv w:val="1"/>
      <w:marLeft w:val="0"/>
      <w:marRight w:val="0"/>
      <w:marTop w:val="0"/>
      <w:marBottom w:val="0"/>
      <w:divBdr>
        <w:top w:val="none" w:sz="0" w:space="0" w:color="auto"/>
        <w:left w:val="none" w:sz="0" w:space="0" w:color="auto"/>
        <w:bottom w:val="none" w:sz="0" w:space="0" w:color="auto"/>
        <w:right w:val="none" w:sz="0" w:space="0" w:color="auto"/>
      </w:divBdr>
    </w:div>
    <w:div w:id="1320771002">
      <w:bodyDiv w:val="1"/>
      <w:marLeft w:val="0"/>
      <w:marRight w:val="0"/>
      <w:marTop w:val="0"/>
      <w:marBottom w:val="0"/>
      <w:divBdr>
        <w:top w:val="none" w:sz="0" w:space="0" w:color="auto"/>
        <w:left w:val="none" w:sz="0" w:space="0" w:color="auto"/>
        <w:bottom w:val="none" w:sz="0" w:space="0" w:color="auto"/>
        <w:right w:val="none" w:sz="0" w:space="0" w:color="auto"/>
      </w:divBdr>
    </w:div>
    <w:div w:id="1328285680">
      <w:bodyDiv w:val="1"/>
      <w:marLeft w:val="0"/>
      <w:marRight w:val="0"/>
      <w:marTop w:val="0"/>
      <w:marBottom w:val="0"/>
      <w:divBdr>
        <w:top w:val="none" w:sz="0" w:space="0" w:color="auto"/>
        <w:left w:val="none" w:sz="0" w:space="0" w:color="auto"/>
        <w:bottom w:val="none" w:sz="0" w:space="0" w:color="auto"/>
        <w:right w:val="none" w:sz="0" w:space="0" w:color="auto"/>
      </w:divBdr>
    </w:div>
    <w:div w:id="1346321658">
      <w:bodyDiv w:val="1"/>
      <w:marLeft w:val="0"/>
      <w:marRight w:val="0"/>
      <w:marTop w:val="0"/>
      <w:marBottom w:val="0"/>
      <w:divBdr>
        <w:top w:val="none" w:sz="0" w:space="0" w:color="auto"/>
        <w:left w:val="none" w:sz="0" w:space="0" w:color="auto"/>
        <w:bottom w:val="none" w:sz="0" w:space="0" w:color="auto"/>
        <w:right w:val="none" w:sz="0" w:space="0" w:color="auto"/>
      </w:divBdr>
    </w:div>
    <w:div w:id="1349060356">
      <w:bodyDiv w:val="1"/>
      <w:marLeft w:val="0"/>
      <w:marRight w:val="0"/>
      <w:marTop w:val="0"/>
      <w:marBottom w:val="0"/>
      <w:divBdr>
        <w:top w:val="none" w:sz="0" w:space="0" w:color="auto"/>
        <w:left w:val="none" w:sz="0" w:space="0" w:color="auto"/>
        <w:bottom w:val="none" w:sz="0" w:space="0" w:color="auto"/>
        <w:right w:val="none" w:sz="0" w:space="0" w:color="auto"/>
      </w:divBdr>
    </w:div>
    <w:div w:id="1349720368">
      <w:bodyDiv w:val="1"/>
      <w:marLeft w:val="0"/>
      <w:marRight w:val="0"/>
      <w:marTop w:val="0"/>
      <w:marBottom w:val="0"/>
      <w:divBdr>
        <w:top w:val="none" w:sz="0" w:space="0" w:color="auto"/>
        <w:left w:val="none" w:sz="0" w:space="0" w:color="auto"/>
        <w:bottom w:val="none" w:sz="0" w:space="0" w:color="auto"/>
        <w:right w:val="none" w:sz="0" w:space="0" w:color="auto"/>
      </w:divBdr>
    </w:div>
    <w:div w:id="1356888028">
      <w:bodyDiv w:val="1"/>
      <w:marLeft w:val="0"/>
      <w:marRight w:val="0"/>
      <w:marTop w:val="0"/>
      <w:marBottom w:val="0"/>
      <w:divBdr>
        <w:top w:val="none" w:sz="0" w:space="0" w:color="auto"/>
        <w:left w:val="none" w:sz="0" w:space="0" w:color="auto"/>
        <w:bottom w:val="none" w:sz="0" w:space="0" w:color="auto"/>
        <w:right w:val="none" w:sz="0" w:space="0" w:color="auto"/>
      </w:divBdr>
      <w:divsChild>
        <w:div w:id="211236513">
          <w:marLeft w:val="360"/>
          <w:marRight w:val="0"/>
          <w:marTop w:val="200"/>
          <w:marBottom w:val="0"/>
          <w:divBdr>
            <w:top w:val="none" w:sz="0" w:space="0" w:color="auto"/>
            <w:left w:val="none" w:sz="0" w:space="0" w:color="auto"/>
            <w:bottom w:val="none" w:sz="0" w:space="0" w:color="auto"/>
            <w:right w:val="none" w:sz="0" w:space="0" w:color="auto"/>
          </w:divBdr>
        </w:div>
        <w:div w:id="1746144562">
          <w:marLeft w:val="360"/>
          <w:marRight w:val="0"/>
          <w:marTop w:val="200"/>
          <w:marBottom w:val="0"/>
          <w:divBdr>
            <w:top w:val="none" w:sz="0" w:space="0" w:color="auto"/>
            <w:left w:val="none" w:sz="0" w:space="0" w:color="auto"/>
            <w:bottom w:val="none" w:sz="0" w:space="0" w:color="auto"/>
            <w:right w:val="none" w:sz="0" w:space="0" w:color="auto"/>
          </w:divBdr>
        </w:div>
      </w:divsChild>
    </w:div>
    <w:div w:id="1359355426">
      <w:bodyDiv w:val="1"/>
      <w:marLeft w:val="0"/>
      <w:marRight w:val="0"/>
      <w:marTop w:val="0"/>
      <w:marBottom w:val="0"/>
      <w:divBdr>
        <w:top w:val="none" w:sz="0" w:space="0" w:color="auto"/>
        <w:left w:val="none" w:sz="0" w:space="0" w:color="auto"/>
        <w:bottom w:val="none" w:sz="0" w:space="0" w:color="auto"/>
        <w:right w:val="none" w:sz="0" w:space="0" w:color="auto"/>
      </w:divBdr>
      <w:divsChild>
        <w:div w:id="1943144430">
          <w:marLeft w:val="1080"/>
          <w:marRight w:val="0"/>
          <w:marTop w:val="100"/>
          <w:marBottom w:val="0"/>
          <w:divBdr>
            <w:top w:val="none" w:sz="0" w:space="0" w:color="auto"/>
            <w:left w:val="none" w:sz="0" w:space="0" w:color="auto"/>
            <w:bottom w:val="none" w:sz="0" w:space="0" w:color="auto"/>
            <w:right w:val="none" w:sz="0" w:space="0" w:color="auto"/>
          </w:divBdr>
        </w:div>
      </w:divsChild>
    </w:div>
    <w:div w:id="1423136721">
      <w:bodyDiv w:val="1"/>
      <w:marLeft w:val="0"/>
      <w:marRight w:val="0"/>
      <w:marTop w:val="0"/>
      <w:marBottom w:val="0"/>
      <w:divBdr>
        <w:top w:val="none" w:sz="0" w:space="0" w:color="auto"/>
        <w:left w:val="none" w:sz="0" w:space="0" w:color="auto"/>
        <w:bottom w:val="none" w:sz="0" w:space="0" w:color="auto"/>
        <w:right w:val="none" w:sz="0" w:space="0" w:color="auto"/>
      </w:divBdr>
    </w:div>
    <w:div w:id="1449662969">
      <w:bodyDiv w:val="1"/>
      <w:marLeft w:val="0"/>
      <w:marRight w:val="0"/>
      <w:marTop w:val="0"/>
      <w:marBottom w:val="0"/>
      <w:divBdr>
        <w:top w:val="none" w:sz="0" w:space="0" w:color="auto"/>
        <w:left w:val="none" w:sz="0" w:space="0" w:color="auto"/>
        <w:bottom w:val="none" w:sz="0" w:space="0" w:color="auto"/>
        <w:right w:val="none" w:sz="0" w:space="0" w:color="auto"/>
      </w:divBdr>
    </w:div>
    <w:div w:id="1469737768">
      <w:bodyDiv w:val="1"/>
      <w:marLeft w:val="0"/>
      <w:marRight w:val="0"/>
      <w:marTop w:val="0"/>
      <w:marBottom w:val="0"/>
      <w:divBdr>
        <w:top w:val="none" w:sz="0" w:space="0" w:color="auto"/>
        <w:left w:val="none" w:sz="0" w:space="0" w:color="auto"/>
        <w:bottom w:val="none" w:sz="0" w:space="0" w:color="auto"/>
        <w:right w:val="none" w:sz="0" w:space="0" w:color="auto"/>
      </w:divBdr>
    </w:div>
    <w:div w:id="1493331113">
      <w:bodyDiv w:val="1"/>
      <w:marLeft w:val="0"/>
      <w:marRight w:val="0"/>
      <w:marTop w:val="0"/>
      <w:marBottom w:val="0"/>
      <w:divBdr>
        <w:top w:val="none" w:sz="0" w:space="0" w:color="auto"/>
        <w:left w:val="none" w:sz="0" w:space="0" w:color="auto"/>
        <w:bottom w:val="none" w:sz="0" w:space="0" w:color="auto"/>
        <w:right w:val="none" w:sz="0" w:space="0" w:color="auto"/>
      </w:divBdr>
    </w:div>
    <w:div w:id="1496148198">
      <w:bodyDiv w:val="1"/>
      <w:marLeft w:val="0"/>
      <w:marRight w:val="0"/>
      <w:marTop w:val="0"/>
      <w:marBottom w:val="0"/>
      <w:divBdr>
        <w:top w:val="none" w:sz="0" w:space="0" w:color="auto"/>
        <w:left w:val="none" w:sz="0" w:space="0" w:color="auto"/>
        <w:bottom w:val="none" w:sz="0" w:space="0" w:color="auto"/>
        <w:right w:val="none" w:sz="0" w:space="0" w:color="auto"/>
      </w:divBdr>
    </w:div>
    <w:div w:id="1499729980">
      <w:bodyDiv w:val="1"/>
      <w:marLeft w:val="0"/>
      <w:marRight w:val="0"/>
      <w:marTop w:val="0"/>
      <w:marBottom w:val="0"/>
      <w:divBdr>
        <w:top w:val="none" w:sz="0" w:space="0" w:color="auto"/>
        <w:left w:val="none" w:sz="0" w:space="0" w:color="auto"/>
        <w:bottom w:val="none" w:sz="0" w:space="0" w:color="auto"/>
        <w:right w:val="none" w:sz="0" w:space="0" w:color="auto"/>
      </w:divBdr>
    </w:div>
    <w:div w:id="1506675114">
      <w:bodyDiv w:val="1"/>
      <w:marLeft w:val="0"/>
      <w:marRight w:val="0"/>
      <w:marTop w:val="0"/>
      <w:marBottom w:val="0"/>
      <w:divBdr>
        <w:top w:val="none" w:sz="0" w:space="0" w:color="auto"/>
        <w:left w:val="none" w:sz="0" w:space="0" w:color="auto"/>
        <w:bottom w:val="none" w:sz="0" w:space="0" w:color="auto"/>
        <w:right w:val="none" w:sz="0" w:space="0" w:color="auto"/>
      </w:divBdr>
    </w:div>
    <w:div w:id="1543514939">
      <w:bodyDiv w:val="1"/>
      <w:marLeft w:val="0"/>
      <w:marRight w:val="0"/>
      <w:marTop w:val="0"/>
      <w:marBottom w:val="0"/>
      <w:divBdr>
        <w:top w:val="none" w:sz="0" w:space="0" w:color="auto"/>
        <w:left w:val="none" w:sz="0" w:space="0" w:color="auto"/>
        <w:bottom w:val="none" w:sz="0" w:space="0" w:color="auto"/>
        <w:right w:val="none" w:sz="0" w:space="0" w:color="auto"/>
      </w:divBdr>
    </w:div>
    <w:div w:id="1553269071">
      <w:bodyDiv w:val="1"/>
      <w:marLeft w:val="0"/>
      <w:marRight w:val="0"/>
      <w:marTop w:val="0"/>
      <w:marBottom w:val="0"/>
      <w:divBdr>
        <w:top w:val="none" w:sz="0" w:space="0" w:color="auto"/>
        <w:left w:val="none" w:sz="0" w:space="0" w:color="auto"/>
        <w:bottom w:val="none" w:sz="0" w:space="0" w:color="auto"/>
        <w:right w:val="none" w:sz="0" w:space="0" w:color="auto"/>
      </w:divBdr>
    </w:div>
    <w:div w:id="1564024517">
      <w:bodyDiv w:val="1"/>
      <w:marLeft w:val="0"/>
      <w:marRight w:val="0"/>
      <w:marTop w:val="0"/>
      <w:marBottom w:val="0"/>
      <w:divBdr>
        <w:top w:val="none" w:sz="0" w:space="0" w:color="auto"/>
        <w:left w:val="none" w:sz="0" w:space="0" w:color="auto"/>
        <w:bottom w:val="none" w:sz="0" w:space="0" w:color="auto"/>
        <w:right w:val="none" w:sz="0" w:space="0" w:color="auto"/>
      </w:divBdr>
    </w:div>
    <w:div w:id="1566604601">
      <w:bodyDiv w:val="1"/>
      <w:marLeft w:val="0"/>
      <w:marRight w:val="0"/>
      <w:marTop w:val="0"/>
      <w:marBottom w:val="0"/>
      <w:divBdr>
        <w:top w:val="none" w:sz="0" w:space="0" w:color="auto"/>
        <w:left w:val="none" w:sz="0" w:space="0" w:color="auto"/>
        <w:bottom w:val="none" w:sz="0" w:space="0" w:color="auto"/>
        <w:right w:val="none" w:sz="0" w:space="0" w:color="auto"/>
      </w:divBdr>
    </w:div>
    <w:div w:id="1593198024">
      <w:bodyDiv w:val="1"/>
      <w:marLeft w:val="0"/>
      <w:marRight w:val="0"/>
      <w:marTop w:val="0"/>
      <w:marBottom w:val="0"/>
      <w:divBdr>
        <w:top w:val="none" w:sz="0" w:space="0" w:color="auto"/>
        <w:left w:val="none" w:sz="0" w:space="0" w:color="auto"/>
        <w:bottom w:val="none" w:sz="0" w:space="0" w:color="auto"/>
        <w:right w:val="none" w:sz="0" w:space="0" w:color="auto"/>
      </w:divBdr>
    </w:div>
    <w:div w:id="1607543436">
      <w:bodyDiv w:val="1"/>
      <w:marLeft w:val="0"/>
      <w:marRight w:val="0"/>
      <w:marTop w:val="0"/>
      <w:marBottom w:val="0"/>
      <w:divBdr>
        <w:top w:val="none" w:sz="0" w:space="0" w:color="auto"/>
        <w:left w:val="none" w:sz="0" w:space="0" w:color="auto"/>
        <w:bottom w:val="none" w:sz="0" w:space="0" w:color="auto"/>
        <w:right w:val="none" w:sz="0" w:space="0" w:color="auto"/>
      </w:divBdr>
    </w:div>
    <w:div w:id="1696735766">
      <w:bodyDiv w:val="1"/>
      <w:marLeft w:val="0"/>
      <w:marRight w:val="0"/>
      <w:marTop w:val="0"/>
      <w:marBottom w:val="0"/>
      <w:divBdr>
        <w:top w:val="none" w:sz="0" w:space="0" w:color="auto"/>
        <w:left w:val="none" w:sz="0" w:space="0" w:color="auto"/>
        <w:bottom w:val="none" w:sz="0" w:space="0" w:color="auto"/>
        <w:right w:val="none" w:sz="0" w:space="0" w:color="auto"/>
      </w:divBdr>
    </w:div>
    <w:div w:id="1711302736">
      <w:bodyDiv w:val="1"/>
      <w:marLeft w:val="0"/>
      <w:marRight w:val="0"/>
      <w:marTop w:val="0"/>
      <w:marBottom w:val="0"/>
      <w:divBdr>
        <w:top w:val="none" w:sz="0" w:space="0" w:color="auto"/>
        <w:left w:val="none" w:sz="0" w:space="0" w:color="auto"/>
        <w:bottom w:val="none" w:sz="0" w:space="0" w:color="auto"/>
        <w:right w:val="none" w:sz="0" w:space="0" w:color="auto"/>
      </w:divBdr>
    </w:div>
    <w:div w:id="1724213260">
      <w:bodyDiv w:val="1"/>
      <w:marLeft w:val="0"/>
      <w:marRight w:val="0"/>
      <w:marTop w:val="0"/>
      <w:marBottom w:val="0"/>
      <w:divBdr>
        <w:top w:val="none" w:sz="0" w:space="0" w:color="auto"/>
        <w:left w:val="none" w:sz="0" w:space="0" w:color="auto"/>
        <w:bottom w:val="none" w:sz="0" w:space="0" w:color="auto"/>
        <w:right w:val="none" w:sz="0" w:space="0" w:color="auto"/>
      </w:divBdr>
    </w:div>
    <w:div w:id="1736736066">
      <w:bodyDiv w:val="1"/>
      <w:marLeft w:val="0"/>
      <w:marRight w:val="0"/>
      <w:marTop w:val="0"/>
      <w:marBottom w:val="0"/>
      <w:divBdr>
        <w:top w:val="none" w:sz="0" w:space="0" w:color="auto"/>
        <w:left w:val="none" w:sz="0" w:space="0" w:color="auto"/>
        <w:bottom w:val="none" w:sz="0" w:space="0" w:color="auto"/>
        <w:right w:val="none" w:sz="0" w:space="0" w:color="auto"/>
      </w:divBdr>
    </w:div>
    <w:div w:id="1752501417">
      <w:bodyDiv w:val="1"/>
      <w:marLeft w:val="0"/>
      <w:marRight w:val="0"/>
      <w:marTop w:val="0"/>
      <w:marBottom w:val="0"/>
      <w:divBdr>
        <w:top w:val="none" w:sz="0" w:space="0" w:color="auto"/>
        <w:left w:val="none" w:sz="0" w:space="0" w:color="auto"/>
        <w:bottom w:val="none" w:sz="0" w:space="0" w:color="auto"/>
        <w:right w:val="none" w:sz="0" w:space="0" w:color="auto"/>
      </w:divBdr>
    </w:div>
    <w:div w:id="1781800409">
      <w:bodyDiv w:val="1"/>
      <w:marLeft w:val="0"/>
      <w:marRight w:val="0"/>
      <w:marTop w:val="0"/>
      <w:marBottom w:val="0"/>
      <w:divBdr>
        <w:top w:val="none" w:sz="0" w:space="0" w:color="auto"/>
        <w:left w:val="none" w:sz="0" w:space="0" w:color="auto"/>
        <w:bottom w:val="none" w:sz="0" w:space="0" w:color="auto"/>
        <w:right w:val="none" w:sz="0" w:space="0" w:color="auto"/>
      </w:divBdr>
    </w:div>
    <w:div w:id="1790733759">
      <w:bodyDiv w:val="1"/>
      <w:marLeft w:val="0"/>
      <w:marRight w:val="0"/>
      <w:marTop w:val="0"/>
      <w:marBottom w:val="0"/>
      <w:divBdr>
        <w:top w:val="none" w:sz="0" w:space="0" w:color="auto"/>
        <w:left w:val="none" w:sz="0" w:space="0" w:color="auto"/>
        <w:bottom w:val="none" w:sz="0" w:space="0" w:color="auto"/>
        <w:right w:val="none" w:sz="0" w:space="0" w:color="auto"/>
      </w:divBdr>
    </w:div>
    <w:div w:id="1800495402">
      <w:bodyDiv w:val="1"/>
      <w:marLeft w:val="0"/>
      <w:marRight w:val="0"/>
      <w:marTop w:val="0"/>
      <w:marBottom w:val="0"/>
      <w:divBdr>
        <w:top w:val="none" w:sz="0" w:space="0" w:color="auto"/>
        <w:left w:val="none" w:sz="0" w:space="0" w:color="auto"/>
        <w:bottom w:val="none" w:sz="0" w:space="0" w:color="auto"/>
        <w:right w:val="none" w:sz="0" w:space="0" w:color="auto"/>
      </w:divBdr>
    </w:div>
    <w:div w:id="1812401408">
      <w:bodyDiv w:val="1"/>
      <w:marLeft w:val="0"/>
      <w:marRight w:val="0"/>
      <w:marTop w:val="0"/>
      <w:marBottom w:val="0"/>
      <w:divBdr>
        <w:top w:val="none" w:sz="0" w:space="0" w:color="auto"/>
        <w:left w:val="none" w:sz="0" w:space="0" w:color="auto"/>
        <w:bottom w:val="none" w:sz="0" w:space="0" w:color="auto"/>
        <w:right w:val="none" w:sz="0" w:space="0" w:color="auto"/>
      </w:divBdr>
    </w:div>
    <w:div w:id="1837066349">
      <w:bodyDiv w:val="1"/>
      <w:marLeft w:val="0"/>
      <w:marRight w:val="0"/>
      <w:marTop w:val="0"/>
      <w:marBottom w:val="0"/>
      <w:divBdr>
        <w:top w:val="none" w:sz="0" w:space="0" w:color="auto"/>
        <w:left w:val="none" w:sz="0" w:space="0" w:color="auto"/>
        <w:bottom w:val="none" w:sz="0" w:space="0" w:color="auto"/>
        <w:right w:val="none" w:sz="0" w:space="0" w:color="auto"/>
      </w:divBdr>
    </w:div>
    <w:div w:id="1845897349">
      <w:bodyDiv w:val="1"/>
      <w:marLeft w:val="0"/>
      <w:marRight w:val="0"/>
      <w:marTop w:val="0"/>
      <w:marBottom w:val="0"/>
      <w:divBdr>
        <w:top w:val="none" w:sz="0" w:space="0" w:color="auto"/>
        <w:left w:val="none" w:sz="0" w:space="0" w:color="auto"/>
        <w:bottom w:val="none" w:sz="0" w:space="0" w:color="auto"/>
        <w:right w:val="none" w:sz="0" w:space="0" w:color="auto"/>
      </w:divBdr>
    </w:div>
    <w:div w:id="1856729247">
      <w:bodyDiv w:val="1"/>
      <w:marLeft w:val="0"/>
      <w:marRight w:val="0"/>
      <w:marTop w:val="0"/>
      <w:marBottom w:val="0"/>
      <w:divBdr>
        <w:top w:val="none" w:sz="0" w:space="0" w:color="auto"/>
        <w:left w:val="none" w:sz="0" w:space="0" w:color="auto"/>
        <w:bottom w:val="none" w:sz="0" w:space="0" w:color="auto"/>
        <w:right w:val="none" w:sz="0" w:space="0" w:color="auto"/>
      </w:divBdr>
      <w:divsChild>
        <w:div w:id="1034770765">
          <w:marLeft w:val="547"/>
          <w:marRight w:val="0"/>
          <w:marTop w:val="0"/>
          <w:marBottom w:val="0"/>
          <w:divBdr>
            <w:top w:val="none" w:sz="0" w:space="0" w:color="auto"/>
            <w:left w:val="none" w:sz="0" w:space="0" w:color="auto"/>
            <w:bottom w:val="none" w:sz="0" w:space="0" w:color="auto"/>
            <w:right w:val="none" w:sz="0" w:space="0" w:color="auto"/>
          </w:divBdr>
        </w:div>
      </w:divsChild>
    </w:div>
    <w:div w:id="1911966013">
      <w:bodyDiv w:val="1"/>
      <w:marLeft w:val="0"/>
      <w:marRight w:val="0"/>
      <w:marTop w:val="0"/>
      <w:marBottom w:val="0"/>
      <w:divBdr>
        <w:top w:val="none" w:sz="0" w:space="0" w:color="auto"/>
        <w:left w:val="none" w:sz="0" w:space="0" w:color="auto"/>
        <w:bottom w:val="none" w:sz="0" w:space="0" w:color="auto"/>
        <w:right w:val="none" w:sz="0" w:space="0" w:color="auto"/>
      </w:divBdr>
    </w:div>
    <w:div w:id="1913540686">
      <w:bodyDiv w:val="1"/>
      <w:marLeft w:val="0"/>
      <w:marRight w:val="0"/>
      <w:marTop w:val="0"/>
      <w:marBottom w:val="0"/>
      <w:divBdr>
        <w:top w:val="none" w:sz="0" w:space="0" w:color="auto"/>
        <w:left w:val="none" w:sz="0" w:space="0" w:color="auto"/>
        <w:bottom w:val="none" w:sz="0" w:space="0" w:color="auto"/>
        <w:right w:val="none" w:sz="0" w:space="0" w:color="auto"/>
      </w:divBdr>
    </w:div>
    <w:div w:id="1925140997">
      <w:bodyDiv w:val="1"/>
      <w:marLeft w:val="0"/>
      <w:marRight w:val="0"/>
      <w:marTop w:val="0"/>
      <w:marBottom w:val="0"/>
      <w:divBdr>
        <w:top w:val="none" w:sz="0" w:space="0" w:color="auto"/>
        <w:left w:val="none" w:sz="0" w:space="0" w:color="auto"/>
        <w:bottom w:val="none" w:sz="0" w:space="0" w:color="auto"/>
        <w:right w:val="none" w:sz="0" w:space="0" w:color="auto"/>
      </w:divBdr>
    </w:div>
    <w:div w:id="1941600492">
      <w:bodyDiv w:val="1"/>
      <w:marLeft w:val="0"/>
      <w:marRight w:val="0"/>
      <w:marTop w:val="0"/>
      <w:marBottom w:val="0"/>
      <w:divBdr>
        <w:top w:val="none" w:sz="0" w:space="0" w:color="auto"/>
        <w:left w:val="none" w:sz="0" w:space="0" w:color="auto"/>
        <w:bottom w:val="none" w:sz="0" w:space="0" w:color="auto"/>
        <w:right w:val="none" w:sz="0" w:space="0" w:color="auto"/>
      </w:divBdr>
    </w:div>
    <w:div w:id="1943225032">
      <w:bodyDiv w:val="1"/>
      <w:marLeft w:val="0"/>
      <w:marRight w:val="0"/>
      <w:marTop w:val="0"/>
      <w:marBottom w:val="0"/>
      <w:divBdr>
        <w:top w:val="none" w:sz="0" w:space="0" w:color="auto"/>
        <w:left w:val="none" w:sz="0" w:space="0" w:color="auto"/>
        <w:bottom w:val="none" w:sz="0" w:space="0" w:color="auto"/>
        <w:right w:val="none" w:sz="0" w:space="0" w:color="auto"/>
      </w:divBdr>
    </w:div>
    <w:div w:id="1951357779">
      <w:bodyDiv w:val="1"/>
      <w:marLeft w:val="0"/>
      <w:marRight w:val="0"/>
      <w:marTop w:val="0"/>
      <w:marBottom w:val="0"/>
      <w:divBdr>
        <w:top w:val="none" w:sz="0" w:space="0" w:color="auto"/>
        <w:left w:val="none" w:sz="0" w:space="0" w:color="auto"/>
        <w:bottom w:val="none" w:sz="0" w:space="0" w:color="auto"/>
        <w:right w:val="none" w:sz="0" w:space="0" w:color="auto"/>
      </w:divBdr>
      <w:divsChild>
        <w:div w:id="1059593721">
          <w:marLeft w:val="547"/>
          <w:marRight w:val="0"/>
          <w:marTop w:val="0"/>
          <w:marBottom w:val="0"/>
          <w:divBdr>
            <w:top w:val="none" w:sz="0" w:space="0" w:color="auto"/>
            <w:left w:val="none" w:sz="0" w:space="0" w:color="auto"/>
            <w:bottom w:val="none" w:sz="0" w:space="0" w:color="auto"/>
            <w:right w:val="none" w:sz="0" w:space="0" w:color="auto"/>
          </w:divBdr>
        </w:div>
      </w:divsChild>
    </w:div>
    <w:div w:id="1998414971">
      <w:bodyDiv w:val="1"/>
      <w:marLeft w:val="0"/>
      <w:marRight w:val="0"/>
      <w:marTop w:val="0"/>
      <w:marBottom w:val="0"/>
      <w:divBdr>
        <w:top w:val="none" w:sz="0" w:space="0" w:color="auto"/>
        <w:left w:val="none" w:sz="0" w:space="0" w:color="auto"/>
        <w:bottom w:val="none" w:sz="0" w:space="0" w:color="auto"/>
        <w:right w:val="none" w:sz="0" w:space="0" w:color="auto"/>
      </w:divBdr>
    </w:div>
    <w:div w:id="2003659688">
      <w:bodyDiv w:val="1"/>
      <w:marLeft w:val="0"/>
      <w:marRight w:val="0"/>
      <w:marTop w:val="0"/>
      <w:marBottom w:val="0"/>
      <w:divBdr>
        <w:top w:val="none" w:sz="0" w:space="0" w:color="auto"/>
        <w:left w:val="none" w:sz="0" w:space="0" w:color="auto"/>
        <w:bottom w:val="none" w:sz="0" w:space="0" w:color="auto"/>
        <w:right w:val="none" w:sz="0" w:space="0" w:color="auto"/>
      </w:divBdr>
    </w:div>
    <w:div w:id="2012751081">
      <w:bodyDiv w:val="1"/>
      <w:marLeft w:val="0"/>
      <w:marRight w:val="0"/>
      <w:marTop w:val="0"/>
      <w:marBottom w:val="0"/>
      <w:divBdr>
        <w:top w:val="none" w:sz="0" w:space="0" w:color="auto"/>
        <w:left w:val="none" w:sz="0" w:space="0" w:color="auto"/>
        <w:bottom w:val="none" w:sz="0" w:space="0" w:color="auto"/>
        <w:right w:val="none" w:sz="0" w:space="0" w:color="auto"/>
      </w:divBdr>
    </w:div>
    <w:div w:id="2042590244">
      <w:bodyDiv w:val="1"/>
      <w:marLeft w:val="0"/>
      <w:marRight w:val="0"/>
      <w:marTop w:val="0"/>
      <w:marBottom w:val="0"/>
      <w:divBdr>
        <w:top w:val="none" w:sz="0" w:space="0" w:color="auto"/>
        <w:left w:val="none" w:sz="0" w:space="0" w:color="auto"/>
        <w:bottom w:val="none" w:sz="0" w:space="0" w:color="auto"/>
        <w:right w:val="none" w:sz="0" w:space="0" w:color="auto"/>
      </w:divBdr>
    </w:div>
    <w:div w:id="2052608748">
      <w:bodyDiv w:val="1"/>
      <w:marLeft w:val="0"/>
      <w:marRight w:val="0"/>
      <w:marTop w:val="0"/>
      <w:marBottom w:val="0"/>
      <w:divBdr>
        <w:top w:val="none" w:sz="0" w:space="0" w:color="auto"/>
        <w:left w:val="none" w:sz="0" w:space="0" w:color="auto"/>
        <w:bottom w:val="none" w:sz="0" w:space="0" w:color="auto"/>
        <w:right w:val="none" w:sz="0" w:space="0" w:color="auto"/>
      </w:divBdr>
      <w:divsChild>
        <w:div w:id="41373671">
          <w:marLeft w:val="1080"/>
          <w:marRight w:val="0"/>
          <w:marTop w:val="100"/>
          <w:marBottom w:val="0"/>
          <w:divBdr>
            <w:top w:val="none" w:sz="0" w:space="0" w:color="auto"/>
            <w:left w:val="none" w:sz="0" w:space="0" w:color="auto"/>
            <w:bottom w:val="none" w:sz="0" w:space="0" w:color="auto"/>
            <w:right w:val="none" w:sz="0" w:space="0" w:color="auto"/>
          </w:divBdr>
        </w:div>
      </w:divsChild>
    </w:div>
    <w:div w:id="2088265300">
      <w:bodyDiv w:val="1"/>
      <w:marLeft w:val="0"/>
      <w:marRight w:val="0"/>
      <w:marTop w:val="0"/>
      <w:marBottom w:val="0"/>
      <w:divBdr>
        <w:top w:val="none" w:sz="0" w:space="0" w:color="auto"/>
        <w:left w:val="none" w:sz="0" w:space="0" w:color="auto"/>
        <w:bottom w:val="none" w:sz="0" w:space="0" w:color="auto"/>
        <w:right w:val="none" w:sz="0" w:space="0" w:color="auto"/>
      </w:divBdr>
    </w:div>
    <w:div w:id="2119909033">
      <w:bodyDiv w:val="1"/>
      <w:marLeft w:val="0"/>
      <w:marRight w:val="0"/>
      <w:marTop w:val="0"/>
      <w:marBottom w:val="0"/>
      <w:divBdr>
        <w:top w:val="none" w:sz="0" w:space="0" w:color="auto"/>
        <w:left w:val="none" w:sz="0" w:space="0" w:color="auto"/>
        <w:bottom w:val="none" w:sz="0" w:space="0" w:color="auto"/>
        <w:right w:val="none" w:sz="0" w:space="0" w:color="auto"/>
      </w:divBdr>
    </w:div>
    <w:div w:id="2126610370">
      <w:bodyDiv w:val="1"/>
      <w:marLeft w:val="0"/>
      <w:marRight w:val="0"/>
      <w:marTop w:val="0"/>
      <w:marBottom w:val="0"/>
      <w:divBdr>
        <w:top w:val="none" w:sz="0" w:space="0" w:color="auto"/>
        <w:left w:val="none" w:sz="0" w:space="0" w:color="auto"/>
        <w:bottom w:val="none" w:sz="0" w:space="0" w:color="auto"/>
        <w:right w:val="none" w:sz="0" w:space="0" w:color="auto"/>
      </w:divBdr>
    </w:div>
    <w:div w:id="214291681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chart" Target="charts/chart4.xml"/><Relationship Id="rId18" Type="http://schemas.openxmlformats.org/officeDocument/2006/relationships/chart" Target="charts/chart9.xml"/><Relationship Id="rId26" Type="http://schemas.openxmlformats.org/officeDocument/2006/relationships/chart" Target="charts/chart17.xml"/><Relationship Id="rId39" Type="http://schemas.openxmlformats.org/officeDocument/2006/relationships/image" Target="media/image6.png"/><Relationship Id="rId21" Type="http://schemas.openxmlformats.org/officeDocument/2006/relationships/chart" Target="charts/chart12.xml"/><Relationship Id="rId34" Type="http://schemas.openxmlformats.org/officeDocument/2006/relationships/chart" Target="charts/chart23.xml"/><Relationship Id="rId42" Type="http://schemas.openxmlformats.org/officeDocument/2006/relationships/image" Target="media/image8.png"/><Relationship Id="rId47" Type="http://schemas.openxmlformats.org/officeDocument/2006/relationships/hyperlink" Target="https://trends" TargetMode="External"/><Relationship Id="rId50" Type="http://schemas.openxmlformats.org/officeDocument/2006/relationships/chart" Target="charts/chart31.xml"/><Relationship Id="rId55" Type="http://schemas.openxmlformats.org/officeDocument/2006/relationships/chart" Target="charts/chart35.xml"/><Relationship Id="rId63" Type="http://schemas.openxmlformats.org/officeDocument/2006/relationships/hyperlink" Target="https://es.wikipedia.org/wiki/24_de_mayo" TargetMode="External"/><Relationship Id="rId68" Type="http://schemas.openxmlformats.org/officeDocument/2006/relationships/hyperlink" Target="https://es.wikipedia.org/wiki/30_de_mayo" TargetMode="External"/><Relationship Id="rId76" Type="http://schemas.openxmlformats.org/officeDocument/2006/relationships/header" Target="header1.xml"/><Relationship Id="rId7" Type="http://schemas.openxmlformats.org/officeDocument/2006/relationships/footnotes" Target="footnotes.xml"/><Relationship Id="rId71" Type="http://schemas.openxmlformats.org/officeDocument/2006/relationships/hyperlink" Target="https://es.wikipedia.org/wiki/Guatemala" TargetMode="External"/><Relationship Id="rId2" Type="http://schemas.openxmlformats.org/officeDocument/2006/relationships/numbering" Target="numbering.xml"/><Relationship Id="rId16" Type="http://schemas.openxmlformats.org/officeDocument/2006/relationships/chart" Target="charts/chart7.xml"/><Relationship Id="rId29" Type="http://schemas.openxmlformats.org/officeDocument/2006/relationships/chart" Target="charts/chart20.xml"/><Relationship Id="rId11" Type="http://schemas.openxmlformats.org/officeDocument/2006/relationships/chart" Target="charts/chart2.xml"/><Relationship Id="rId24" Type="http://schemas.openxmlformats.org/officeDocument/2006/relationships/chart" Target="charts/chart15.xml"/><Relationship Id="rId32" Type="http://schemas.openxmlformats.org/officeDocument/2006/relationships/image" Target="media/image3.png"/><Relationship Id="rId37" Type="http://schemas.openxmlformats.org/officeDocument/2006/relationships/chart" Target="charts/chart25.xml"/><Relationship Id="rId40" Type="http://schemas.openxmlformats.org/officeDocument/2006/relationships/chart" Target="charts/chart26.xml"/><Relationship Id="rId45" Type="http://schemas.openxmlformats.org/officeDocument/2006/relationships/chart" Target="charts/chart28.xml"/><Relationship Id="rId53" Type="http://schemas.openxmlformats.org/officeDocument/2006/relationships/chart" Target="charts/chart33.xml"/><Relationship Id="rId58" Type="http://schemas.openxmlformats.org/officeDocument/2006/relationships/diagramLayout" Target="diagrams/layout1.xml"/><Relationship Id="rId66" Type="http://schemas.openxmlformats.org/officeDocument/2006/relationships/hyperlink" Target="https://es.wikipedia.org/wiki/El_Salvador" TargetMode="External"/><Relationship Id="rId74" Type="http://schemas.openxmlformats.org/officeDocument/2006/relationships/image" Target="media/image26.jpeg"/><Relationship Id="rId79" Type="http://schemas.openxmlformats.org/officeDocument/2006/relationships/footer" Target="footer2.xml"/><Relationship Id="rId5" Type="http://schemas.openxmlformats.org/officeDocument/2006/relationships/settings" Target="settings.xml"/><Relationship Id="rId61" Type="http://schemas.microsoft.com/office/2007/relationships/diagramDrawing" Target="diagrams/drawing1.xml"/><Relationship Id="rId10" Type="http://schemas.openxmlformats.org/officeDocument/2006/relationships/chart" Target="charts/chart1.xml"/><Relationship Id="rId19" Type="http://schemas.openxmlformats.org/officeDocument/2006/relationships/chart" Target="charts/chart10.xml"/><Relationship Id="rId31" Type="http://schemas.openxmlformats.org/officeDocument/2006/relationships/image" Target="media/image2.png"/><Relationship Id="rId44" Type="http://schemas.openxmlformats.org/officeDocument/2006/relationships/chart" Target="charts/chart27.xml"/><Relationship Id="rId52" Type="http://schemas.openxmlformats.org/officeDocument/2006/relationships/chart" Target="charts/chart32.xml"/><Relationship Id="rId60" Type="http://schemas.openxmlformats.org/officeDocument/2006/relationships/diagramColors" Target="diagrams/colors1.xml"/><Relationship Id="rId65" Type="http://schemas.openxmlformats.org/officeDocument/2006/relationships/hyperlink" Target="https://es.wikipedia.org/wiki/Centro_Nacional_de_Huracanes" TargetMode="External"/><Relationship Id="rId73" Type="http://schemas.openxmlformats.org/officeDocument/2006/relationships/image" Target="media/image25.jpeg"/><Relationship Id="rId78" Type="http://schemas.openxmlformats.org/officeDocument/2006/relationships/footer" Target="footer1.xml"/><Relationship Id="rId81"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chart" Target="charts/chart5.xml"/><Relationship Id="rId22" Type="http://schemas.openxmlformats.org/officeDocument/2006/relationships/chart" Target="charts/chart13.xml"/><Relationship Id="rId27" Type="http://schemas.openxmlformats.org/officeDocument/2006/relationships/chart" Target="charts/chart18.xml"/><Relationship Id="rId30" Type="http://schemas.openxmlformats.org/officeDocument/2006/relationships/chart" Target="charts/chart21.xml"/><Relationship Id="rId35" Type="http://schemas.openxmlformats.org/officeDocument/2006/relationships/chart" Target="charts/chart24.xml"/><Relationship Id="rId43" Type="http://schemas.openxmlformats.org/officeDocument/2006/relationships/image" Target="media/image9.png"/><Relationship Id="rId48" Type="http://schemas.openxmlformats.org/officeDocument/2006/relationships/chart" Target="charts/chart29.xml"/><Relationship Id="rId56" Type="http://schemas.openxmlformats.org/officeDocument/2006/relationships/image" Target="media/image22.emf"/><Relationship Id="rId64" Type="http://schemas.openxmlformats.org/officeDocument/2006/relationships/hyperlink" Target="https://es.wikipedia.org/wiki/2020" TargetMode="External"/><Relationship Id="rId69" Type="http://schemas.openxmlformats.org/officeDocument/2006/relationships/hyperlink" Target="https://es.wikipedia.org/wiki/Centro_Nacional_de_Huracanes" TargetMode="External"/><Relationship Id="rId77" Type="http://schemas.openxmlformats.org/officeDocument/2006/relationships/header" Target="header2.xml"/><Relationship Id="rId8" Type="http://schemas.openxmlformats.org/officeDocument/2006/relationships/endnotes" Target="endnotes.xml"/><Relationship Id="rId51" Type="http://schemas.openxmlformats.org/officeDocument/2006/relationships/image" Target="media/image21.png"/><Relationship Id="rId72" Type="http://schemas.openxmlformats.org/officeDocument/2006/relationships/image" Target="media/image24.jpeg"/><Relationship Id="rId80"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chart" Target="charts/chart3.xml"/><Relationship Id="rId17" Type="http://schemas.openxmlformats.org/officeDocument/2006/relationships/chart" Target="charts/chart8.xml"/><Relationship Id="rId25" Type="http://schemas.openxmlformats.org/officeDocument/2006/relationships/chart" Target="charts/chart16.xml"/><Relationship Id="rId33" Type="http://schemas.openxmlformats.org/officeDocument/2006/relationships/chart" Target="charts/chart22.xml"/><Relationship Id="rId38" Type="http://schemas.openxmlformats.org/officeDocument/2006/relationships/image" Target="media/image5.png"/><Relationship Id="rId46" Type="http://schemas.openxmlformats.org/officeDocument/2006/relationships/image" Target="media/image10.png"/><Relationship Id="rId59" Type="http://schemas.openxmlformats.org/officeDocument/2006/relationships/diagramQuickStyle" Target="diagrams/quickStyle1.xml"/><Relationship Id="rId67" Type="http://schemas.openxmlformats.org/officeDocument/2006/relationships/hyperlink" Target="https://es.wikipedia.org/wiki/Ola_tropical" TargetMode="External"/><Relationship Id="rId20" Type="http://schemas.openxmlformats.org/officeDocument/2006/relationships/chart" Target="charts/chart11.xml"/><Relationship Id="rId41" Type="http://schemas.openxmlformats.org/officeDocument/2006/relationships/image" Target="media/image7.png"/><Relationship Id="rId54" Type="http://schemas.openxmlformats.org/officeDocument/2006/relationships/chart" Target="charts/chart34.xml"/><Relationship Id="rId62" Type="http://schemas.openxmlformats.org/officeDocument/2006/relationships/image" Target="media/image23.png"/><Relationship Id="rId70" Type="http://schemas.openxmlformats.org/officeDocument/2006/relationships/hyperlink" Target="https://es.wikipedia.org/wiki/31_de_mayo" TargetMode="External"/><Relationship Id="rId75" Type="http://schemas.openxmlformats.org/officeDocument/2006/relationships/image" Target="media/image27.pn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chart" Target="charts/chart6.xml"/><Relationship Id="rId23" Type="http://schemas.openxmlformats.org/officeDocument/2006/relationships/chart" Target="charts/chart14.xml"/><Relationship Id="rId28" Type="http://schemas.openxmlformats.org/officeDocument/2006/relationships/chart" Target="charts/chart19.xml"/><Relationship Id="rId36" Type="http://schemas.openxmlformats.org/officeDocument/2006/relationships/image" Target="media/image4.png"/><Relationship Id="rId49" Type="http://schemas.openxmlformats.org/officeDocument/2006/relationships/chart" Target="charts/chart30.xml"/><Relationship Id="rId57" Type="http://schemas.openxmlformats.org/officeDocument/2006/relationships/diagramData" Target="diagrams/data1.xml"/></Relationships>
</file>

<file path=word/charts/_rels/chart1.xml.rels><?xml version="1.0" encoding="UTF-8" standalone="yes"?>
<Relationships xmlns="http://schemas.openxmlformats.org/package/2006/relationships"><Relationship Id="rId1" Type="http://schemas.openxmlformats.org/officeDocument/2006/relationships/oleObject" Target="file:///C:\Users\joshp\Desktop\Riesgos\gr&#225;ficas.xlsx" TargetMode="External"/></Relationships>
</file>

<file path=word/charts/_rels/chart10.xml.rels><?xml version="1.0" encoding="UTF-8" standalone="yes"?>
<Relationships xmlns="http://schemas.openxmlformats.org/package/2006/relationships"><Relationship Id="rId1" Type="http://schemas.openxmlformats.org/officeDocument/2006/relationships/oleObject" Target="file:///C:\Users\joshp\Desktop\Riesgos\gr&#225;ficas.xlsx" TargetMode="External"/></Relationships>
</file>

<file path=word/charts/_rels/chart11.xml.rels><?xml version="1.0" encoding="UTF-8" standalone="yes"?>
<Relationships xmlns="http://schemas.openxmlformats.org/package/2006/relationships"><Relationship Id="rId1" Type="http://schemas.openxmlformats.org/officeDocument/2006/relationships/oleObject" Target="file:///C:\Users\joshp\Desktop\Riesgos\gr&#225;ficas.xlsx" TargetMode="External"/></Relationships>
</file>

<file path=word/charts/_rels/chart12.xml.rels><?xml version="1.0" encoding="UTF-8" standalone="yes"?>
<Relationships xmlns="http://schemas.openxmlformats.org/package/2006/relationships"><Relationship Id="rId1" Type="http://schemas.openxmlformats.org/officeDocument/2006/relationships/oleObject" Target="file:///C:\Users\joshp\Desktop\Riesgos\gr&#225;ficas.xlsx" TargetMode="External"/></Relationships>
</file>

<file path=word/charts/_rels/chart13.xml.rels><?xml version="1.0" encoding="UTF-8" standalone="yes"?>
<Relationships xmlns="http://schemas.openxmlformats.org/package/2006/relationships"><Relationship Id="rId1" Type="http://schemas.openxmlformats.org/officeDocument/2006/relationships/oleObject" Target="file:///C:\Users\joshp\Desktop\Riesgos\gr&#225;ficas.xlsx" TargetMode="External"/></Relationships>
</file>

<file path=word/charts/_rels/chart14.xml.rels><?xml version="1.0" encoding="UTF-8" standalone="yes"?>
<Relationships xmlns="http://schemas.openxmlformats.org/package/2006/relationships"><Relationship Id="rId1" Type="http://schemas.openxmlformats.org/officeDocument/2006/relationships/oleObject" Target="https://d.docs.live.net/17cfdb5950b27963/Riesgos/gr&#225;ficas_2.xlsx" TargetMode="External"/></Relationships>
</file>

<file path=word/charts/_rels/chart15.xml.rels><?xml version="1.0" encoding="UTF-8" standalone="yes"?>
<Relationships xmlns="http://schemas.openxmlformats.org/package/2006/relationships"><Relationship Id="rId1" Type="http://schemas.openxmlformats.org/officeDocument/2006/relationships/oleObject" Target="https://d.docs.live.net/17cfdb5950b27963/Riesgos/gr&#225;ficas_2.xlsx" TargetMode="External"/></Relationships>
</file>

<file path=word/charts/_rels/chart16.xml.rels><?xml version="1.0" encoding="UTF-8" standalone="yes"?>
<Relationships xmlns="http://schemas.openxmlformats.org/package/2006/relationships"><Relationship Id="rId1" Type="http://schemas.openxmlformats.org/officeDocument/2006/relationships/oleObject" Target="https://d.docs.live.net/17cfdb5950b27963/Riesgos/gr&#225;ficas.xlsx" TargetMode="External"/></Relationships>
</file>

<file path=word/charts/_rels/chart17.xml.rels><?xml version="1.0" encoding="UTF-8" standalone="yes"?>
<Relationships xmlns="http://schemas.openxmlformats.org/package/2006/relationships"><Relationship Id="rId1" Type="http://schemas.openxmlformats.org/officeDocument/2006/relationships/oleObject" Target="https://d.docs.live.net/17cfdb5950b27963/Riesgos/gr&#225;ficas.xlsx" TargetMode="External"/></Relationships>
</file>

<file path=word/charts/_rels/chart18.xml.rels><?xml version="1.0" encoding="UTF-8" standalone="yes"?>
<Relationships xmlns="http://schemas.openxmlformats.org/package/2006/relationships"><Relationship Id="rId1" Type="http://schemas.openxmlformats.org/officeDocument/2006/relationships/oleObject" Target="https://d.docs.live.net/17cfdb5950b27963/Riesgos/gr&#225;ficas.xlsx" TargetMode="External"/></Relationships>
</file>

<file path=word/charts/_rels/chart19.xml.rels><?xml version="1.0" encoding="UTF-8" standalone="yes"?>
<Relationships xmlns="http://schemas.openxmlformats.org/package/2006/relationships"><Relationship Id="rId1" Type="http://schemas.openxmlformats.org/officeDocument/2006/relationships/oleObject" Target="https://d.docs.live.net/17cfdb5950b27963/Riesgos/gr&#225;ficas.xlsx" TargetMode="External"/></Relationships>
</file>

<file path=word/charts/_rels/chart2.xml.rels><?xml version="1.0" encoding="UTF-8" standalone="yes"?>
<Relationships xmlns="http://schemas.openxmlformats.org/package/2006/relationships"><Relationship Id="rId2" Type="http://schemas.openxmlformats.org/officeDocument/2006/relationships/chartUserShapes" Target="../drawings/drawing1.xml"/><Relationship Id="rId1" Type="http://schemas.openxmlformats.org/officeDocument/2006/relationships/oleObject" Target="file:///C:\Users\joshp\Desktop\Riesgos\gr&#225;ficas.xlsx" TargetMode="External"/></Relationships>
</file>

<file path=word/charts/_rels/chart20.xml.rels><?xml version="1.0" encoding="UTF-8" standalone="yes"?>
<Relationships xmlns="http://schemas.openxmlformats.org/package/2006/relationships"><Relationship Id="rId1" Type="http://schemas.openxmlformats.org/officeDocument/2006/relationships/oleObject" Target="https://d.docs.live.net/17cfdb5950b27963/Riesgos/gr&#225;ficas.xlsx" TargetMode="External"/></Relationships>
</file>

<file path=word/charts/_rels/chart21.xml.rels><?xml version="1.0" encoding="UTF-8" standalone="yes"?>
<Relationships xmlns="http://schemas.openxmlformats.org/package/2006/relationships"><Relationship Id="rId2" Type="http://schemas.openxmlformats.org/officeDocument/2006/relationships/chartUserShapes" Target="../drawings/drawing4.xml"/><Relationship Id="rId1" Type="http://schemas.openxmlformats.org/officeDocument/2006/relationships/oleObject" Target="https://d.docs.live.net/17cfdb5950b27963/deudaaa/atlas.xls" TargetMode="External"/></Relationships>
</file>

<file path=word/charts/_rels/chart22.xml.rels><?xml version="1.0" encoding="UTF-8" standalone="yes"?>
<Relationships xmlns="http://schemas.openxmlformats.org/package/2006/relationships"><Relationship Id="rId1" Type="http://schemas.openxmlformats.org/officeDocument/2006/relationships/oleObject" Target="https://d.docs.live.net/17cfdb5950b27963/Riesgos/debt%20to%20gdp.xls" TargetMode="External"/></Relationships>
</file>

<file path=word/charts/_rels/chart23.xml.rels><?xml version="1.0" encoding="UTF-8" standalone="yes"?>
<Relationships xmlns="http://schemas.openxmlformats.org/package/2006/relationships"><Relationship Id="rId1" Type="http://schemas.openxmlformats.org/officeDocument/2006/relationships/oleObject" Target="https://d.docs.live.net/17cfdb5950b27963/deudaaa/deudaaa/atlas.xls" TargetMode="External"/></Relationships>
</file>

<file path=word/charts/_rels/chart24.xml.rels><?xml version="1.0" encoding="UTF-8" standalone="yes"?>
<Relationships xmlns="http://schemas.openxmlformats.org/package/2006/relationships"><Relationship Id="rId1" Type="http://schemas.openxmlformats.org/officeDocument/2006/relationships/oleObject" Target="https://d.docs.live.net/17cfdb5950b27963/deudaaa/deudaaa/atlas.xls" TargetMode="External"/></Relationships>
</file>

<file path=word/charts/_rels/chart25.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_rels/chart26.xml.rels><?xml version="1.0" encoding="UTF-8" standalone="yes"?>
<Relationships xmlns="http://schemas.openxmlformats.org/package/2006/relationships"><Relationship Id="rId1" Type="http://schemas.openxmlformats.org/officeDocument/2006/relationships/oleObject" Target="https://d.docs.live.net/17cfdb5950b27963/Riesgos/gr&#225;ficas_2.xlsx" TargetMode="External"/></Relationships>
</file>

<file path=word/charts/_rels/chart27.xml.rels><?xml version="1.0" encoding="UTF-8" standalone="yes"?>
<Relationships xmlns="http://schemas.openxmlformats.org/package/2006/relationships"><Relationship Id="rId1" Type="http://schemas.openxmlformats.org/officeDocument/2006/relationships/oleObject" Target="https://d.docs.live.net/17cfdb5950b27963/Riesgos/An&#225;lisis%20de%20sostenibilidad%20(Blanchard)%20090720.xlsx" TargetMode="External"/></Relationships>
</file>

<file path=word/charts/_rels/chart28.xml.rels><?xml version="1.0" encoding="UTF-8" standalone="yes"?>
<Relationships xmlns="http://schemas.openxmlformats.org/package/2006/relationships"><Relationship Id="rId1" Type="http://schemas.openxmlformats.org/officeDocument/2006/relationships/oleObject" Target="https://d.docs.live.net/17cfdb5950b27963/Riesgos/An&#225;lisis%20de%20sostenibilidad%20(Blanchard)%20090720.xlsx" TargetMode="External"/></Relationships>
</file>

<file path=word/charts/_rels/chart29.xml.rels><?xml version="1.0" encoding="UTF-8" standalone="yes"?>
<Relationships xmlns="http://schemas.openxmlformats.org/package/2006/relationships"><Relationship Id="rId8" Type="http://schemas.openxmlformats.org/officeDocument/2006/relationships/image" Target="../media/image18.png"/><Relationship Id="rId3" Type="http://schemas.openxmlformats.org/officeDocument/2006/relationships/image" Target="../media/image13.png"/><Relationship Id="rId7" Type="http://schemas.openxmlformats.org/officeDocument/2006/relationships/image" Target="../media/image17.png"/><Relationship Id="rId2" Type="http://schemas.openxmlformats.org/officeDocument/2006/relationships/image" Target="../media/image12.png"/><Relationship Id="rId1" Type="http://schemas.openxmlformats.org/officeDocument/2006/relationships/image" Target="../media/image11.png"/><Relationship Id="rId6" Type="http://schemas.openxmlformats.org/officeDocument/2006/relationships/image" Target="../media/image16.png"/><Relationship Id="rId11" Type="http://schemas.openxmlformats.org/officeDocument/2006/relationships/package" Target="../embeddings/Microsoft_Excel_Worksheet2.xlsx"/><Relationship Id="rId5" Type="http://schemas.openxmlformats.org/officeDocument/2006/relationships/image" Target="../media/image15.png"/><Relationship Id="rId10" Type="http://schemas.openxmlformats.org/officeDocument/2006/relationships/image" Target="../media/image20.png"/><Relationship Id="rId4" Type="http://schemas.openxmlformats.org/officeDocument/2006/relationships/image" Target="../media/image14.png"/><Relationship Id="rId9" Type="http://schemas.openxmlformats.org/officeDocument/2006/relationships/image" Target="../media/image19.png"/></Relationships>
</file>

<file path=word/charts/_rels/chart3.xml.rels><?xml version="1.0" encoding="UTF-8" standalone="yes"?>
<Relationships xmlns="http://schemas.openxmlformats.org/package/2006/relationships"><Relationship Id="rId2" Type="http://schemas.openxmlformats.org/officeDocument/2006/relationships/chartUserShapes" Target="../drawings/drawing2.xml"/><Relationship Id="rId1" Type="http://schemas.openxmlformats.org/officeDocument/2006/relationships/oleObject" Target="https://d.docs.live.net/17cfdb5950b27963/Riesgos/gr&#225;ficas.xlsx" TargetMode="External"/></Relationships>
</file>

<file path=word/charts/_rels/chart30.xml.rels><?xml version="1.0" encoding="UTF-8" standalone="yes"?>
<Relationships xmlns="http://schemas.openxmlformats.org/package/2006/relationships"><Relationship Id="rId2" Type="http://schemas.openxmlformats.org/officeDocument/2006/relationships/package" Target="../embeddings/Microsoft_Excel_Worksheet3.xlsx"/><Relationship Id="rId1" Type="http://schemas.openxmlformats.org/officeDocument/2006/relationships/themeOverride" Target="../theme/themeOverride1.xml"/></Relationships>
</file>

<file path=word/charts/_rels/chart31.xml.rels><?xml version="1.0" encoding="UTF-8" standalone="yes"?>
<Relationships xmlns="http://schemas.openxmlformats.org/package/2006/relationships"><Relationship Id="rId2" Type="http://schemas.openxmlformats.org/officeDocument/2006/relationships/package" Target="../embeddings/Microsoft_Excel_Worksheet4.xlsx"/><Relationship Id="rId1" Type="http://schemas.openxmlformats.org/officeDocument/2006/relationships/themeOverride" Target="../theme/themeOverride2.xml"/></Relationships>
</file>

<file path=word/charts/_rels/chart32.xml.rels><?xml version="1.0" encoding="UTF-8" standalone="yes"?>
<Relationships xmlns="http://schemas.openxmlformats.org/package/2006/relationships"><Relationship Id="rId2" Type="http://schemas.openxmlformats.org/officeDocument/2006/relationships/package" Target="../embeddings/Microsoft_Excel_Worksheet5.xlsx"/><Relationship Id="rId1" Type="http://schemas.openxmlformats.org/officeDocument/2006/relationships/themeOverride" Target="../theme/themeOverride3.xml"/></Relationships>
</file>

<file path=word/charts/_rels/chart33.xml.rels><?xml version="1.0" encoding="UTF-8" standalone="yes"?>
<Relationships xmlns="http://schemas.openxmlformats.org/package/2006/relationships"><Relationship Id="rId2" Type="http://schemas.openxmlformats.org/officeDocument/2006/relationships/package" Target="../embeddings/Microsoft_Excel_Worksheet6.xlsx"/><Relationship Id="rId1" Type="http://schemas.openxmlformats.org/officeDocument/2006/relationships/themeOverride" Target="../theme/themeOverride4.xml"/></Relationships>
</file>

<file path=word/charts/_rels/chart34.xml.rels><?xml version="1.0" encoding="UTF-8" standalone="yes"?>
<Relationships xmlns="http://schemas.openxmlformats.org/package/2006/relationships"><Relationship Id="rId3" Type="http://schemas.openxmlformats.org/officeDocument/2006/relationships/chartUserShapes" Target="../drawings/drawing5.xml"/><Relationship Id="rId2" Type="http://schemas.openxmlformats.org/officeDocument/2006/relationships/package" Target="../embeddings/Microsoft_Excel_Worksheet7.xlsx"/><Relationship Id="rId1" Type="http://schemas.openxmlformats.org/officeDocument/2006/relationships/themeOverride" Target="../theme/themeOverride5.xml"/></Relationships>
</file>

<file path=word/charts/_rels/chart35.xml.rels><?xml version="1.0" encoding="UTF-8" standalone="yes"?>
<Relationships xmlns="http://schemas.openxmlformats.org/package/2006/relationships"><Relationship Id="rId2" Type="http://schemas.openxmlformats.org/officeDocument/2006/relationships/package" Target="../embeddings/Microsoft_Excel_Worksheet8.xlsx"/><Relationship Id="rId1" Type="http://schemas.openxmlformats.org/officeDocument/2006/relationships/themeOverride" Target="../theme/themeOverride6.xml"/></Relationships>
</file>

<file path=word/charts/_rels/chart4.xml.rels><?xml version="1.0" encoding="UTF-8" standalone="yes"?>
<Relationships xmlns="http://schemas.openxmlformats.org/package/2006/relationships"><Relationship Id="rId1" Type="http://schemas.openxmlformats.org/officeDocument/2006/relationships/oleObject" Target="https://d.docs.live.net/17cfdb5950b27963/Riesgos/gr&#225;ficas.xlsx" TargetMode="External"/></Relationships>
</file>

<file path=word/charts/_rels/chart5.xml.rels><?xml version="1.0" encoding="UTF-8" standalone="yes"?>
<Relationships xmlns="http://schemas.openxmlformats.org/package/2006/relationships"><Relationship Id="rId2" Type="http://schemas.openxmlformats.org/officeDocument/2006/relationships/chartUserShapes" Target="../drawings/drawing3.xml"/><Relationship Id="rId1" Type="http://schemas.openxmlformats.org/officeDocument/2006/relationships/oleObject" Target="https://d.docs.live.net/17cfdb5950b27963/Riesgos/gr&#225;ficas.xlsx"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https://d.docs.live.net/17cfdb5950b27963/Riesgos/gr&#225;ficas.xlsx" TargetMode="External"/></Relationships>
</file>

<file path=word/charts/_rels/chart7.xml.rels><?xml version="1.0" encoding="UTF-8" standalone="yes"?>
<Relationships xmlns="http://schemas.openxmlformats.org/package/2006/relationships"><Relationship Id="rId1" Type="http://schemas.openxmlformats.org/officeDocument/2006/relationships/oleObject" Target="https://d.docs.live.net/17cfdb5950b27963/Riesgos/gr&#225;ficas.xlsx" TargetMode="External"/></Relationships>
</file>

<file path=word/charts/_rels/chart8.xml.rels><?xml version="1.0" encoding="UTF-8" standalone="yes"?>
<Relationships xmlns="http://schemas.openxmlformats.org/package/2006/relationships"><Relationship Id="rId1" Type="http://schemas.openxmlformats.org/officeDocument/2006/relationships/oleObject" Target="file:///C:\Users\joshp\Desktop\Riesgos\gr&#225;ficas.xlsx" TargetMode="External"/></Relationships>
</file>

<file path=word/charts/_rels/chart9.xml.rels><?xml version="1.0" encoding="UTF-8" standalone="yes"?>
<Relationships xmlns="http://schemas.openxmlformats.org/package/2006/relationships"><Relationship Id="rId1" Type="http://schemas.openxmlformats.org/officeDocument/2006/relationships/oleObject" Target="file:///C:\Users\joshp\Desktop\Riesgos\gr&#225;ficas.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2.7718253968253968E-2"/>
          <c:y val="5.2916366005496179E-2"/>
          <c:w val="0.94456349206349211"/>
          <c:h val="0.67890864256453098"/>
        </c:manualLayout>
      </c:layout>
      <c:barChart>
        <c:barDir val="col"/>
        <c:grouping val="clustered"/>
        <c:varyColors val="0"/>
        <c:ser>
          <c:idx val="1"/>
          <c:order val="0"/>
          <c:tx>
            <c:strRef>
              <c:f>'2019'!$B$4</c:f>
              <c:strCache>
                <c:ptCount val="1"/>
                <c:pt idx="0">
                  <c:v>Proyección WEO 10/2019</c:v>
                </c:pt>
              </c:strCache>
            </c:strRef>
          </c:tx>
          <c:spPr>
            <a:solidFill>
              <a:schemeClr val="accent5">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ES"/>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'2019'!$A$5:$A$10</c:f>
              <c:strCache>
                <c:ptCount val="6"/>
                <c:pt idx="0">
                  <c:v>Mundo</c:v>
                </c:pt>
                <c:pt idx="1">
                  <c:v>Economias Avanzaas</c:v>
                </c:pt>
                <c:pt idx="2">
                  <c:v>Estados Unidos</c:v>
                </c:pt>
                <c:pt idx="3">
                  <c:v>Zona del Euro</c:v>
                </c:pt>
                <c:pt idx="4">
                  <c:v>Economias Emergentes y en Desarrollo</c:v>
                </c:pt>
                <c:pt idx="5">
                  <c:v>Latinoamérica y el Cáribe</c:v>
                </c:pt>
              </c:strCache>
            </c:strRef>
          </c:cat>
          <c:val>
            <c:numRef>
              <c:f>'2019'!$B$5:$B$10</c:f>
              <c:numCache>
                <c:formatCode>General</c:formatCode>
                <c:ptCount val="6"/>
                <c:pt idx="0" formatCode="0.0">
                  <c:v>3</c:v>
                </c:pt>
                <c:pt idx="1">
                  <c:v>1.7</c:v>
                </c:pt>
                <c:pt idx="2">
                  <c:v>2.4</c:v>
                </c:pt>
                <c:pt idx="3">
                  <c:v>1.2</c:v>
                </c:pt>
                <c:pt idx="4">
                  <c:v>3.9</c:v>
                </c:pt>
                <c:pt idx="5">
                  <c:v>0.2</c:v>
                </c:pt>
              </c:numCache>
            </c:numRef>
          </c:val>
          <c:extLst xmlns:c16r2="http://schemas.microsoft.com/office/drawing/2015/06/chart">
            <c:ext xmlns:c16="http://schemas.microsoft.com/office/drawing/2014/chart" uri="{C3380CC4-5D6E-409C-BE32-E72D297353CC}">
              <c16:uniqueId val="{00000000-567A-4460-B177-A9D346A8AB4D}"/>
            </c:ext>
          </c:extLst>
        </c:ser>
        <c:dLbls>
          <c:showLegendKey val="0"/>
          <c:showVal val="0"/>
          <c:showCatName val="0"/>
          <c:showSerName val="0"/>
          <c:showPercent val="0"/>
          <c:showBubbleSize val="0"/>
        </c:dLbls>
        <c:gapWidth val="100"/>
        <c:axId val="145314944"/>
        <c:axId val="145316480"/>
      </c:barChart>
      <c:lineChart>
        <c:grouping val="stacked"/>
        <c:varyColors val="0"/>
        <c:ser>
          <c:idx val="2"/>
          <c:order val="1"/>
          <c:tx>
            <c:strRef>
              <c:f>'2019'!$D$4</c:f>
              <c:strCache>
                <c:ptCount val="1"/>
                <c:pt idx="0">
                  <c:v>Desviciaón con respecto al observado</c:v>
                </c:pt>
              </c:strCache>
            </c:strRef>
          </c:tx>
          <c:spPr>
            <a:ln w="28575" cap="rnd">
              <a:noFill/>
              <a:round/>
            </a:ln>
            <a:effectLst/>
          </c:spPr>
          <c:marker>
            <c:symbol val="diamond"/>
            <c:size val="7"/>
            <c:spPr>
              <a:solidFill>
                <a:srgbClr val="C00000"/>
              </a:solidFill>
              <a:ln w="9525">
                <a:noFill/>
              </a:ln>
              <a:effectLst/>
            </c:spPr>
          </c:marker>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rgbClr val="C00000"/>
                    </a:solidFill>
                    <a:latin typeface="+mn-lt"/>
                    <a:ea typeface="+mn-ea"/>
                    <a:cs typeface="+mn-cs"/>
                  </a:defRPr>
                </a:pPr>
                <a:endParaRPr lang="es-ES"/>
              </a:p>
            </c:txPr>
            <c:dLblPos val="b"/>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'2019'!$A$5:$A$10</c:f>
              <c:strCache>
                <c:ptCount val="6"/>
                <c:pt idx="0">
                  <c:v>Mundo</c:v>
                </c:pt>
                <c:pt idx="1">
                  <c:v>Economias Avanzaas</c:v>
                </c:pt>
                <c:pt idx="2">
                  <c:v>Estados Unidos</c:v>
                </c:pt>
                <c:pt idx="3">
                  <c:v>Zona del Euro</c:v>
                </c:pt>
                <c:pt idx="4">
                  <c:v>Economias Emergentes y en Desarrollo</c:v>
                </c:pt>
                <c:pt idx="5">
                  <c:v>Latinoamérica y el Cáribe</c:v>
                </c:pt>
              </c:strCache>
            </c:strRef>
          </c:cat>
          <c:val>
            <c:numRef>
              <c:f>'2019'!$D$5:$D$10</c:f>
              <c:numCache>
                <c:formatCode>0.0</c:formatCode>
                <c:ptCount val="6"/>
                <c:pt idx="0">
                  <c:v>0.10000000000000009</c:v>
                </c:pt>
                <c:pt idx="1">
                  <c:v>0</c:v>
                </c:pt>
                <c:pt idx="2">
                  <c:v>0.10000000000000009</c:v>
                </c:pt>
                <c:pt idx="3">
                  <c:v>-0.10000000000000009</c:v>
                </c:pt>
                <c:pt idx="4">
                  <c:v>0.19999999999999973</c:v>
                </c:pt>
                <c:pt idx="5">
                  <c:v>0.1</c:v>
                </c:pt>
              </c:numCache>
            </c:numRef>
          </c:val>
          <c:smooth val="0"/>
          <c:extLst xmlns:c16r2="http://schemas.microsoft.com/office/drawing/2015/06/chart">
            <c:ext xmlns:c16="http://schemas.microsoft.com/office/drawing/2014/chart" uri="{C3380CC4-5D6E-409C-BE32-E72D297353CC}">
              <c16:uniqueId val="{00000001-567A-4460-B177-A9D346A8AB4D}"/>
            </c:ext>
          </c:extLst>
        </c:ser>
        <c:dLbls>
          <c:showLegendKey val="0"/>
          <c:showVal val="0"/>
          <c:showCatName val="0"/>
          <c:showSerName val="0"/>
          <c:showPercent val="0"/>
          <c:showBubbleSize val="0"/>
        </c:dLbls>
        <c:marker val="1"/>
        <c:smooth val="0"/>
        <c:axId val="145314944"/>
        <c:axId val="145316480"/>
      </c:lineChart>
      <c:catAx>
        <c:axId val="145314944"/>
        <c:scaling>
          <c:orientation val="minMax"/>
        </c:scaling>
        <c:delete val="0"/>
        <c:axPos val="b"/>
        <c:numFmt formatCode="General" sourceLinked="1"/>
        <c:majorTickMark val="none"/>
        <c:minorTickMark val="none"/>
        <c:tickLblPos val="low"/>
        <c:spPr>
          <a:noFill/>
          <a:ln w="15875" cap="flat" cmpd="sng" algn="ctr">
            <a:solidFill>
              <a:schemeClr val="bg1">
                <a:lumMod val="6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s-ES"/>
          </a:p>
        </c:txPr>
        <c:crossAx val="145316480"/>
        <c:crosses val="autoZero"/>
        <c:auto val="1"/>
        <c:lblAlgn val="ctr"/>
        <c:lblOffset val="100"/>
        <c:noMultiLvlLbl val="0"/>
      </c:catAx>
      <c:valAx>
        <c:axId val="145316480"/>
        <c:scaling>
          <c:orientation val="minMax"/>
          <c:min val="-2"/>
        </c:scaling>
        <c:delete val="1"/>
        <c:axPos val="l"/>
        <c:majorGridlines>
          <c:spPr>
            <a:ln w="9525" cap="flat" cmpd="sng" algn="ctr">
              <a:solidFill>
                <a:schemeClr val="tx1">
                  <a:lumMod val="95000"/>
                  <a:lumOff val="5000"/>
                  <a:alpha val="7000"/>
                </a:schemeClr>
              </a:solidFill>
              <a:round/>
            </a:ln>
            <a:effectLst/>
          </c:spPr>
        </c:majorGridlines>
        <c:numFmt formatCode="0.0" sourceLinked="1"/>
        <c:majorTickMark val="out"/>
        <c:minorTickMark val="none"/>
        <c:tickLblPos val="nextTo"/>
        <c:crossAx val="14531494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ES"/>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pPr>
      <a:endParaRPr lang="es-ES"/>
    </a:p>
  </c:txPr>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Interno!$P$3</c:f>
              <c:strCache>
                <c:ptCount val="1"/>
                <c:pt idx="0">
                  <c:v>Pronóstico</c:v>
                </c:pt>
              </c:strCache>
            </c:strRef>
          </c:tx>
          <c:spPr>
            <a:solidFill>
              <a:schemeClr val="accent6">
                <a:lumMod val="40000"/>
                <a:lumOff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ES"/>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Interno!$M$4:$M$7</c:f>
              <c:strCache>
                <c:ptCount val="4"/>
                <c:pt idx="0">
                  <c:v>Dic-18</c:v>
                </c:pt>
                <c:pt idx="1">
                  <c:v>Abr-19</c:v>
                </c:pt>
                <c:pt idx="2">
                  <c:v>Ago-19</c:v>
                </c:pt>
                <c:pt idx="3">
                  <c:v>Dic-19</c:v>
                </c:pt>
              </c:strCache>
            </c:strRef>
          </c:cat>
          <c:val>
            <c:numRef>
              <c:f>Interno!$P$4:$P$7</c:f>
              <c:numCache>
                <c:formatCode>0.0</c:formatCode>
                <c:ptCount val="4"/>
                <c:pt idx="0">
                  <c:v>7.5</c:v>
                </c:pt>
                <c:pt idx="1">
                  <c:v>6</c:v>
                </c:pt>
                <c:pt idx="2">
                  <c:v>2.5</c:v>
                </c:pt>
                <c:pt idx="3">
                  <c:v>2.5</c:v>
                </c:pt>
              </c:numCache>
            </c:numRef>
          </c:val>
          <c:extLst xmlns:c16r2="http://schemas.microsoft.com/office/drawing/2015/06/chart">
            <c:ext xmlns:c16="http://schemas.microsoft.com/office/drawing/2014/chart" uri="{C3380CC4-5D6E-409C-BE32-E72D297353CC}">
              <c16:uniqueId val="{00000000-C00D-499A-8D3D-54F9B0CC40E8}"/>
            </c:ext>
          </c:extLst>
        </c:ser>
        <c:dLbls>
          <c:showLegendKey val="0"/>
          <c:showVal val="0"/>
          <c:showCatName val="0"/>
          <c:showSerName val="0"/>
          <c:showPercent val="0"/>
          <c:showBubbleSize val="0"/>
        </c:dLbls>
        <c:gapWidth val="100"/>
        <c:axId val="146440576"/>
        <c:axId val="146442112"/>
      </c:barChart>
      <c:lineChart>
        <c:grouping val="stacked"/>
        <c:varyColors val="0"/>
        <c:ser>
          <c:idx val="1"/>
          <c:order val="1"/>
          <c:tx>
            <c:strRef>
              <c:f>Interno!$M$10</c:f>
              <c:strCache>
                <c:ptCount val="1"/>
                <c:pt idx="0">
                  <c:v>Desviación con respecto al observado</c:v>
                </c:pt>
              </c:strCache>
            </c:strRef>
          </c:tx>
          <c:spPr>
            <a:ln w="31750" cap="rnd">
              <a:noFill/>
              <a:round/>
            </a:ln>
            <a:effectLst/>
          </c:spPr>
          <c:marker>
            <c:symbol val="diamond"/>
            <c:size val="7"/>
            <c:spPr>
              <a:solidFill>
                <a:srgbClr val="C00000"/>
              </a:solidFill>
              <a:ln w="9525">
                <a:noFill/>
              </a:ln>
              <a:effectLst/>
            </c:spPr>
          </c:marker>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rgbClr val="C00000"/>
                    </a:solidFill>
                    <a:latin typeface="Times New Roman" panose="02020603050405020304" pitchFamily="18" charset="0"/>
                    <a:ea typeface="+mn-ea"/>
                    <a:cs typeface="Times New Roman" panose="02020603050405020304" pitchFamily="18" charset="0"/>
                  </a:defRPr>
                </a:pPr>
                <a:endParaRPr lang="es-ES"/>
              </a:p>
            </c:txPr>
            <c:dLblPos val="b"/>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Interno!$P$11:$P$14</c:f>
              <c:numCache>
                <c:formatCode>0.0</c:formatCode>
                <c:ptCount val="4"/>
                <c:pt idx="0">
                  <c:v>4</c:v>
                </c:pt>
                <c:pt idx="1">
                  <c:v>2.5</c:v>
                </c:pt>
                <c:pt idx="2">
                  <c:v>-1</c:v>
                </c:pt>
                <c:pt idx="3">
                  <c:v>-1</c:v>
                </c:pt>
              </c:numCache>
            </c:numRef>
          </c:val>
          <c:smooth val="0"/>
          <c:extLst xmlns:c16r2="http://schemas.microsoft.com/office/drawing/2015/06/chart">
            <c:ext xmlns:c16="http://schemas.microsoft.com/office/drawing/2014/chart" uri="{C3380CC4-5D6E-409C-BE32-E72D297353CC}">
              <c16:uniqueId val="{00000001-C00D-499A-8D3D-54F9B0CC40E8}"/>
            </c:ext>
          </c:extLst>
        </c:ser>
        <c:dLbls>
          <c:showLegendKey val="0"/>
          <c:showVal val="0"/>
          <c:showCatName val="0"/>
          <c:showSerName val="0"/>
          <c:showPercent val="0"/>
          <c:showBubbleSize val="0"/>
        </c:dLbls>
        <c:marker val="1"/>
        <c:smooth val="0"/>
        <c:axId val="146440576"/>
        <c:axId val="146442112"/>
      </c:lineChart>
      <c:catAx>
        <c:axId val="146440576"/>
        <c:scaling>
          <c:orientation val="minMax"/>
        </c:scaling>
        <c:delete val="0"/>
        <c:axPos val="b"/>
        <c:numFmt formatCode="General" sourceLinked="1"/>
        <c:majorTickMark val="none"/>
        <c:minorTickMark val="none"/>
        <c:tickLblPos val="low"/>
        <c:spPr>
          <a:noFill/>
          <a:ln w="19050" cap="flat" cmpd="sng" algn="ctr">
            <a:solidFill>
              <a:schemeClr val="bg1">
                <a:lumMod val="6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146442112"/>
        <c:crosses val="autoZero"/>
        <c:auto val="1"/>
        <c:lblAlgn val="ctr"/>
        <c:lblOffset val="100"/>
        <c:noMultiLvlLbl val="0"/>
      </c:catAx>
      <c:valAx>
        <c:axId val="146442112"/>
        <c:scaling>
          <c:orientation val="minMax"/>
        </c:scaling>
        <c:delete val="1"/>
        <c:axPos val="l"/>
        <c:majorGridlines>
          <c:spPr>
            <a:ln w="9525" cap="flat" cmpd="sng" algn="ctr">
              <a:solidFill>
                <a:schemeClr val="tx1">
                  <a:alpha val="7000"/>
                </a:schemeClr>
              </a:solidFill>
              <a:round/>
            </a:ln>
            <a:effectLst/>
          </c:spPr>
        </c:majorGridlines>
        <c:numFmt formatCode="0.0" sourceLinked="1"/>
        <c:majorTickMark val="none"/>
        <c:minorTickMark val="none"/>
        <c:tickLblPos val="nextTo"/>
        <c:crossAx val="146440576"/>
        <c:crosses val="autoZero"/>
        <c:crossBetween val="between"/>
      </c:valAx>
      <c:spPr>
        <a:noFill/>
        <a:ln>
          <a:noFill/>
        </a:ln>
        <a:effectLst/>
      </c:spPr>
    </c:plotArea>
    <c:legend>
      <c:legendPos val="b"/>
      <c:layout>
        <c:manualLayout>
          <c:xMode val="edge"/>
          <c:yMode val="edge"/>
          <c:x val="8.570238095238096E-3"/>
          <c:y val="0.84460317460317458"/>
          <c:w val="0.95766071428571431"/>
          <c:h val="0.12515873015873014"/>
        </c:manualLayout>
      </c:layout>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ES"/>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pPr>
      <a:endParaRPr lang="es-ES"/>
    </a:p>
  </c:txPr>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Interno!$Q$3</c:f>
              <c:strCache>
                <c:ptCount val="1"/>
                <c:pt idx="0">
                  <c:v>Pronóstico</c:v>
                </c:pt>
              </c:strCache>
            </c:strRef>
          </c:tx>
          <c:spPr>
            <a:solidFill>
              <a:schemeClr val="accent5">
                <a:lumMod val="40000"/>
                <a:lumOff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ES"/>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Interno!$M$4:$M$7</c:f>
              <c:strCache>
                <c:ptCount val="4"/>
                <c:pt idx="0">
                  <c:v>Dic-18</c:v>
                </c:pt>
                <c:pt idx="1">
                  <c:v>Abr-19</c:v>
                </c:pt>
                <c:pt idx="2">
                  <c:v>Ago-19</c:v>
                </c:pt>
                <c:pt idx="3">
                  <c:v>Dic-19</c:v>
                </c:pt>
              </c:strCache>
            </c:strRef>
          </c:cat>
          <c:val>
            <c:numRef>
              <c:f>Interno!$Q$4:$Q$7</c:f>
              <c:numCache>
                <c:formatCode>General</c:formatCode>
                <c:ptCount val="4"/>
                <c:pt idx="0">
                  <c:v>7.5</c:v>
                </c:pt>
                <c:pt idx="1">
                  <c:v>7.5</c:v>
                </c:pt>
                <c:pt idx="2">
                  <c:v>6.5</c:v>
                </c:pt>
                <c:pt idx="3" formatCode="0.0">
                  <c:v>3</c:v>
                </c:pt>
              </c:numCache>
            </c:numRef>
          </c:val>
          <c:extLst xmlns:c16r2="http://schemas.microsoft.com/office/drawing/2015/06/chart">
            <c:ext xmlns:c16="http://schemas.microsoft.com/office/drawing/2014/chart" uri="{C3380CC4-5D6E-409C-BE32-E72D297353CC}">
              <c16:uniqueId val="{00000000-EBFD-4CD0-B09F-DF0FF4E4A211}"/>
            </c:ext>
          </c:extLst>
        </c:ser>
        <c:dLbls>
          <c:showLegendKey val="0"/>
          <c:showVal val="0"/>
          <c:showCatName val="0"/>
          <c:showSerName val="0"/>
          <c:showPercent val="0"/>
          <c:showBubbleSize val="0"/>
        </c:dLbls>
        <c:gapWidth val="100"/>
        <c:axId val="146028032"/>
        <c:axId val="146029568"/>
      </c:barChart>
      <c:lineChart>
        <c:grouping val="stacked"/>
        <c:varyColors val="0"/>
        <c:ser>
          <c:idx val="1"/>
          <c:order val="1"/>
          <c:tx>
            <c:strRef>
              <c:f>Interno!$M$10</c:f>
              <c:strCache>
                <c:ptCount val="1"/>
                <c:pt idx="0">
                  <c:v>Desviación con respecto al observado</c:v>
                </c:pt>
              </c:strCache>
            </c:strRef>
          </c:tx>
          <c:spPr>
            <a:ln w="31750" cap="rnd">
              <a:noFill/>
              <a:round/>
            </a:ln>
            <a:effectLst/>
          </c:spPr>
          <c:marker>
            <c:symbol val="diamond"/>
            <c:size val="7"/>
            <c:spPr>
              <a:solidFill>
                <a:srgbClr val="C00000"/>
              </a:solidFill>
              <a:ln w="9525">
                <a:noFill/>
              </a:ln>
              <a:effectLst/>
            </c:spPr>
          </c:marker>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rgbClr val="C00000"/>
                    </a:solidFill>
                    <a:latin typeface="Times New Roman" panose="02020603050405020304" pitchFamily="18" charset="0"/>
                    <a:ea typeface="+mn-ea"/>
                    <a:cs typeface="Times New Roman" panose="02020603050405020304" pitchFamily="18" charset="0"/>
                  </a:defRPr>
                </a:pPr>
                <a:endParaRPr lang="es-ES"/>
              </a:p>
            </c:txPr>
            <c:dLblPos val="b"/>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Interno!$Q$11:$Q$14</c:f>
              <c:numCache>
                <c:formatCode>0.0</c:formatCode>
                <c:ptCount val="4"/>
                <c:pt idx="0">
                  <c:v>5.7</c:v>
                </c:pt>
                <c:pt idx="1">
                  <c:v>5.7</c:v>
                </c:pt>
                <c:pt idx="2">
                  <c:v>4.7</c:v>
                </c:pt>
                <c:pt idx="3">
                  <c:v>1.2</c:v>
                </c:pt>
              </c:numCache>
            </c:numRef>
          </c:val>
          <c:smooth val="0"/>
          <c:extLst xmlns:c16r2="http://schemas.microsoft.com/office/drawing/2015/06/chart">
            <c:ext xmlns:c16="http://schemas.microsoft.com/office/drawing/2014/chart" uri="{C3380CC4-5D6E-409C-BE32-E72D297353CC}">
              <c16:uniqueId val="{00000001-EBFD-4CD0-B09F-DF0FF4E4A211}"/>
            </c:ext>
          </c:extLst>
        </c:ser>
        <c:dLbls>
          <c:showLegendKey val="0"/>
          <c:showVal val="0"/>
          <c:showCatName val="0"/>
          <c:showSerName val="0"/>
          <c:showPercent val="0"/>
          <c:showBubbleSize val="0"/>
        </c:dLbls>
        <c:marker val="1"/>
        <c:smooth val="0"/>
        <c:axId val="146028032"/>
        <c:axId val="146029568"/>
      </c:lineChart>
      <c:catAx>
        <c:axId val="146028032"/>
        <c:scaling>
          <c:orientation val="minMax"/>
        </c:scaling>
        <c:delete val="0"/>
        <c:axPos val="b"/>
        <c:numFmt formatCode="General" sourceLinked="1"/>
        <c:majorTickMark val="none"/>
        <c:minorTickMark val="none"/>
        <c:tickLblPos val="low"/>
        <c:spPr>
          <a:noFill/>
          <a:ln w="19050" cap="flat" cmpd="sng" algn="ctr">
            <a:solidFill>
              <a:schemeClr val="bg1">
                <a:lumMod val="6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ES"/>
          </a:p>
        </c:txPr>
        <c:crossAx val="146029568"/>
        <c:crosses val="autoZero"/>
        <c:auto val="1"/>
        <c:lblAlgn val="ctr"/>
        <c:lblOffset val="100"/>
        <c:noMultiLvlLbl val="0"/>
      </c:catAx>
      <c:valAx>
        <c:axId val="146029568"/>
        <c:scaling>
          <c:orientation val="minMax"/>
        </c:scaling>
        <c:delete val="1"/>
        <c:axPos val="l"/>
        <c:majorGridlines>
          <c:spPr>
            <a:ln w="9525" cap="flat" cmpd="sng" algn="ctr">
              <a:solidFill>
                <a:schemeClr val="tx1">
                  <a:alpha val="7000"/>
                </a:schemeClr>
              </a:solidFill>
              <a:round/>
            </a:ln>
            <a:effectLst/>
          </c:spPr>
        </c:majorGridlines>
        <c:numFmt formatCode="General" sourceLinked="1"/>
        <c:majorTickMark val="none"/>
        <c:minorTickMark val="none"/>
        <c:tickLblPos val="nextTo"/>
        <c:crossAx val="14602803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ES"/>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pPr>
      <a:endParaRPr lang="es-ES"/>
    </a:p>
  </c:txPr>
  <c:externalData r:id="rId1">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5.6131085571980585E-2"/>
          <c:y val="9.7013888888888886E-2"/>
          <c:w val="0.8877378288560388"/>
          <c:h val="0.6313368055555556"/>
        </c:manualLayout>
      </c:layout>
      <c:barChart>
        <c:barDir val="col"/>
        <c:grouping val="clustered"/>
        <c:varyColors val="0"/>
        <c:ser>
          <c:idx val="0"/>
          <c:order val="0"/>
          <c:tx>
            <c:strRef>
              <c:f>Sheet1!$D$16</c:f>
              <c:strCache>
                <c:ptCount val="1"/>
                <c:pt idx="0">
                  <c:v>Pronóstico</c:v>
                </c:pt>
              </c:strCache>
            </c:strRef>
          </c:tx>
          <c:spPr>
            <a:solidFill>
              <a:schemeClr val="accent6">
                <a:lumMod val="60000"/>
                <a:lumOff val="40000"/>
              </a:schemeClr>
            </a:solidFill>
            <a:ln>
              <a:noFill/>
            </a:ln>
            <a:effectLst/>
          </c:spPr>
          <c:invertIfNegative val="0"/>
          <c:dLbls>
            <c:dLbl>
              <c:idx val="1"/>
              <c:layout>
                <c:manualLayout>
                  <c:x val="-9.3550728580634747E-17"/>
                  <c:y val="5.2916666666666667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EB88-4EFC-80A0-DA39ED86AD99}"/>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accent6">
                        <a:lumMod val="50000"/>
                      </a:schemeClr>
                    </a:solidFill>
                    <a:latin typeface="Times New Roman" panose="02020603050405020304" pitchFamily="18" charset="0"/>
                    <a:ea typeface="+mn-ea"/>
                    <a:cs typeface="Times New Roman" panose="02020603050405020304" pitchFamily="18" charset="0"/>
                  </a:defRPr>
                </a:pPr>
                <a:endParaRPr lang="es-E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Sheet1!$C$22:$C$24</c:f>
              <c:strCache>
                <c:ptCount val="3"/>
                <c:pt idx="0">
                  <c:v>Dic-19</c:v>
                </c:pt>
                <c:pt idx="1">
                  <c:v>May-20</c:v>
                </c:pt>
                <c:pt idx="2">
                  <c:v>Jun-20</c:v>
                </c:pt>
              </c:strCache>
            </c:strRef>
          </c:cat>
          <c:val>
            <c:numRef>
              <c:f>Sheet1!$D$17:$D$19</c:f>
              <c:numCache>
                <c:formatCode>0.0</c:formatCode>
                <c:ptCount val="3"/>
                <c:pt idx="0">
                  <c:v>3.7</c:v>
                </c:pt>
                <c:pt idx="1">
                  <c:v>-0.5</c:v>
                </c:pt>
                <c:pt idx="2">
                  <c:v>-2.4925305890134979</c:v>
                </c:pt>
              </c:numCache>
            </c:numRef>
          </c:val>
          <c:extLst xmlns:c16r2="http://schemas.microsoft.com/office/drawing/2015/06/chart">
            <c:ext xmlns:c16="http://schemas.microsoft.com/office/drawing/2014/chart" uri="{C3380CC4-5D6E-409C-BE32-E72D297353CC}">
              <c16:uniqueId val="{00000001-EB88-4EFC-80A0-DA39ED86AD99}"/>
            </c:ext>
          </c:extLst>
        </c:ser>
        <c:dLbls>
          <c:showLegendKey val="0"/>
          <c:showVal val="0"/>
          <c:showCatName val="0"/>
          <c:showSerName val="0"/>
          <c:showPercent val="0"/>
          <c:showBubbleSize val="0"/>
        </c:dLbls>
        <c:gapWidth val="80"/>
        <c:overlap val="-27"/>
        <c:axId val="146065664"/>
        <c:axId val="146071552"/>
      </c:barChart>
      <c:lineChart>
        <c:grouping val="stacked"/>
        <c:varyColors val="0"/>
        <c:ser>
          <c:idx val="1"/>
          <c:order val="1"/>
          <c:tx>
            <c:strRef>
              <c:f>Sheet1!$C$16</c:f>
              <c:strCache>
                <c:ptCount val="1"/>
                <c:pt idx="0">
                  <c:v>Desviación</c:v>
                </c:pt>
              </c:strCache>
            </c:strRef>
          </c:tx>
          <c:spPr>
            <a:ln w="28575" cap="rnd">
              <a:solidFill>
                <a:srgbClr val="C00000"/>
              </a:solidFill>
              <a:round/>
            </a:ln>
            <a:effectLst/>
          </c:spPr>
          <c:marker>
            <c:symbol val="diamond"/>
            <c:size val="5"/>
            <c:spPr>
              <a:solidFill>
                <a:srgbClr val="C00000"/>
              </a:solidFill>
              <a:ln w="9525">
                <a:solidFill>
                  <a:srgbClr val="C00000"/>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rgbClr val="C00000"/>
                    </a:solidFill>
                    <a:latin typeface="Times New Roman" panose="02020603050405020304" pitchFamily="18" charset="0"/>
                    <a:ea typeface="+mn-ea"/>
                    <a:cs typeface="Times New Roman" panose="02020603050405020304" pitchFamily="18" charset="0"/>
                  </a:defRPr>
                </a:pPr>
                <a:endParaRPr lang="es-ES"/>
              </a:p>
            </c:txPr>
            <c:dLblPos val="b"/>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Sheet1!$D$22:$D$24</c:f>
              <c:numCache>
                <c:formatCode>0.0</c:formatCode>
                <c:ptCount val="3"/>
                <c:pt idx="0">
                  <c:v>0</c:v>
                </c:pt>
                <c:pt idx="1">
                  <c:v>-4.2</c:v>
                </c:pt>
                <c:pt idx="2">
                  <c:v>-6.1925305890134981</c:v>
                </c:pt>
              </c:numCache>
            </c:numRef>
          </c:val>
          <c:smooth val="0"/>
          <c:extLst xmlns:c16r2="http://schemas.microsoft.com/office/drawing/2015/06/chart">
            <c:ext xmlns:c16="http://schemas.microsoft.com/office/drawing/2014/chart" uri="{C3380CC4-5D6E-409C-BE32-E72D297353CC}">
              <c16:uniqueId val="{00000002-EB88-4EFC-80A0-DA39ED86AD99}"/>
            </c:ext>
          </c:extLst>
        </c:ser>
        <c:dLbls>
          <c:showLegendKey val="0"/>
          <c:showVal val="0"/>
          <c:showCatName val="0"/>
          <c:showSerName val="0"/>
          <c:showPercent val="0"/>
          <c:showBubbleSize val="0"/>
        </c:dLbls>
        <c:marker val="1"/>
        <c:smooth val="0"/>
        <c:axId val="146065664"/>
        <c:axId val="146071552"/>
      </c:lineChart>
      <c:catAx>
        <c:axId val="146065664"/>
        <c:scaling>
          <c:orientation val="minMax"/>
        </c:scaling>
        <c:delete val="0"/>
        <c:axPos val="b"/>
        <c:numFmt formatCode="General" sourceLinked="1"/>
        <c:majorTickMark val="none"/>
        <c:minorTickMark val="none"/>
        <c:tickLblPos val="low"/>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ES"/>
          </a:p>
        </c:txPr>
        <c:crossAx val="146071552"/>
        <c:crosses val="autoZero"/>
        <c:auto val="1"/>
        <c:lblAlgn val="ctr"/>
        <c:lblOffset val="100"/>
        <c:noMultiLvlLbl val="0"/>
      </c:catAx>
      <c:valAx>
        <c:axId val="146071552"/>
        <c:scaling>
          <c:orientation val="minMax"/>
        </c:scaling>
        <c:delete val="1"/>
        <c:axPos val="l"/>
        <c:majorGridlines>
          <c:spPr>
            <a:ln w="9525" cap="flat" cmpd="sng" algn="ctr">
              <a:solidFill>
                <a:schemeClr val="tx1">
                  <a:alpha val="7000"/>
                </a:schemeClr>
              </a:solidFill>
              <a:round/>
            </a:ln>
            <a:effectLst/>
          </c:spPr>
        </c:majorGridlines>
        <c:numFmt formatCode="0.0" sourceLinked="1"/>
        <c:majorTickMark val="none"/>
        <c:minorTickMark val="none"/>
        <c:tickLblPos val="nextTo"/>
        <c:crossAx val="146065664"/>
        <c:crosses val="autoZero"/>
        <c:crossBetween val="between"/>
      </c:valAx>
      <c:spPr>
        <a:noFill/>
        <a:ln>
          <a:noFill/>
        </a:ln>
        <a:effectLst/>
      </c:spPr>
    </c:plotArea>
    <c:legend>
      <c:legendPos val="b"/>
      <c:layout>
        <c:manualLayout>
          <c:xMode val="edge"/>
          <c:yMode val="edge"/>
          <c:x val="2.5772887279378105E-2"/>
          <c:y val="0.83719791666666665"/>
          <c:w val="0.95865987736342184"/>
          <c:h val="0.12752430555555555"/>
        </c:manualLayout>
      </c:layout>
      <c:overlay val="0"/>
      <c:spPr>
        <a:noFill/>
        <a:ln>
          <a:noFill/>
        </a:ln>
        <a:effectLst/>
      </c:spPr>
      <c:txPr>
        <a:bodyPr rot="0" spcFirstLastPara="1" vertOverflow="ellipsis" vert="horz" wrap="square" anchor="ctr" anchorCtr="1"/>
        <a:lstStyle/>
        <a:p>
          <a:pPr>
            <a:defRPr sz="7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ES"/>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pPr>
      <a:endParaRPr lang="es-ES"/>
    </a:p>
  </c:txPr>
  <c:externalData r:id="rId1">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5.6131085571980585E-2"/>
          <c:y val="9.7013888888888886E-2"/>
          <c:w val="0.8877378288560388"/>
          <c:h val="0.6313368055555556"/>
        </c:manualLayout>
      </c:layout>
      <c:barChart>
        <c:barDir val="col"/>
        <c:grouping val="clustered"/>
        <c:varyColors val="0"/>
        <c:ser>
          <c:idx val="0"/>
          <c:order val="0"/>
          <c:tx>
            <c:strRef>
              <c:f>Sheet1!$D$16</c:f>
              <c:strCache>
                <c:ptCount val="1"/>
                <c:pt idx="0">
                  <c:v>Pronóstico</c:v>
                </c:pt>
              </c:strCache>
            </c:strRef>
          </c:tx>
          <c:spPr>
            <a:solidFill>
              <a:schemeClr val="accent6">
                <a:lumMod val="60000"/>
                <a:lumOff val="40000"/>
              </a:schemeClr>
            </a:solidFill>
            <a:ln>
              <a:noFill/>
            </a:ln>
            <a:effectLst/>
          </c:spPr>
          <c:invertIfNegative val="0"/>
          <c:dLbls>
            <c:dLbl>
              <c:idx val="1"/>
              <c:layout>
                <c:manualLayout>
                  <c:x val="-9.3550728580634747E-17"/>
                  <c:y val="5.2916666666666667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98FE-4223-9DF5-8006217DB97F}"/>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accent6">
                        <a:lumMod val="50000"/>
                      </a:schemeClr>
                    </a:solidFill>
                    <a:latin typeface="Times New Roman" panose="02020603050405020304" pitchFamily="18" charset="0"/>
                    <a:ea typeface="+mn-ea"/>
                    <a:cs typeface="Times New Roman" panose="02020603050405020304" pitchFamily="18" charset="0"/>
                  </a:defRPr>
                </a:pPr>
                <a:endParaRPr lang="es-E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Sheet1!$C$22:$C$24</c:f>
              <c:strCache>
                <c:ptCount val="3"/>
                <c:pt idx="0">
                  <c:v>Dic-19</c:v>
                </c:pt>
                <c:pt idx="1">
                  <c:v>May-20</c:v>
                </c:pt>
                <c:pt idx="2">
                  <c:v>Jun-20</c:v>
                </c:pt>
              </c:strCache>
            </c:strRef>
          </c:cat>
          <c:val>
            <c:numRef>
              <c:f>Sheet1!$E$17:$E$19</c:f>
              <c:numCache>
                <c:formatCode>0.0</c:formatCode>
                <c:ptCount val="3"/>
                <c:pt idx="0">
                  <c:v>6.2</c:v>
                </c:pt>
                <c:pt idx="1">
                  <c:v>1.8</c:v>
                </c:pt>
                <c:pt idx="2">
                  <c:v>-0.46159682801123836</c:v>
                </c:pt>
              </c:numCache>
            </c:numRef>
          </c:val>
          <c:extLst xmlns:c16r2="http://schemas.microsoft.com/office/drawing/2015/06/chart">
            <c:ext xmlns:c16="http://schemas.microsoft.com/office/drawing/2014/chart" uri="{C3380CC4-5D6E-409C-BE32-E72D297353CC}">
              <c16:uniqueId val="{00000001-98FE-4223-9DF5-8006217DB97F}"/>
            </c:ext>
          </c:extLst>
        </c:ser>
        <c:dLbls>
          <c:showLegendKey val="0"/>
          <c:showVal val="0"/>
          <c:showCatName val="0"/>
          <c:showSerName val="0"/>
          <c:showPercent val="0"/>
          <c:showBubbleSize val="0"/>
        </c:dLbls>
        <c:gapWidth val="80"/>
        <c:overlap val="-27"/>
        <c:axId val="146549760"/>
        <c:axId val="146559744"/>
      </c:barChart>
      <c:lineChart>
        <c:grouping val="stacked"/>
        <c:varyColors val="0"/>
        <c:ser>
          <c:idx val="1"/>
          <c:order val="1"/>
          <c:tx>
            <c:strRef>
              <c:f>Sheet1!$C$16</c:f>
              <c:strCache>
                <c:ptCount val="1"/>
                <c:pt idx="0">
                  <c:v>Desviación</c:v>
                </c:pt>
              </c:strCache>
            </c:strRef>
          </c:tx>
          <c:spPr>
            <a:ln w="28575" cap="rnd">
              <a:solidFill>
                <a:srgbClr val="C00000"/>
              </a:solidFill>
              <a:round/>
            </a:ln>
            <a:effectLst/>
          </c:spPr>
          <c:marker>
            <c:symbol val="diamond"/>
            <c:size val="5"/>
            <c:spPr>
              <a:solidFill>
                <a:srgbClr val="C00000"/>
              </a:solidFill>
              <a:ln w="9525">
                <a:solidFill>
                  <a:srgbClr val="C00000"/>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rgbClr val="C00000"/>
                    </a:solidFill>
                    <a:latin typeface="Times New Roman" panose="02020603050405020304" pitchFamily="18" charset="0"/>
                    <a:ea typeface="+mn-ea"/>
                    <a:cs typeface="Times New Roman" panose="02020603050405020304" pitchFamily="18" charset="0"/>
                  </a:defRPr>
                </a:pPr>
                <a:endParaRPr lang="es-ES"/>
              </a:p>
            </c:txPr>
            <c:dLblPos val="b"/>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Sheet1!$E$22:$E$24</c:f>
              <c:numCache>
                <c:formatCode>0.0</c:formatCode>
                <c:ptCount val="3"/>
                <c:pt idx="0">
                  <c:v>0</c:v>
                </c:pt>
                <c:pt idx="1">
                  <c:v>-4.4000000000000004</c:v>
                </c:pt>
                <c:pt idx="2">
                  <c:v>-6.6615968280112385</c:v>
                </c:pt>
              </c:numCache>
            </c:numRef>
          </c:val>
          <c:smooth val="0"/>
          <c:extLst xmlns:c16r2="http://schemas.microsoft.com/office/drawing/2015/06/chart">
            <c:ext xmlns:c16="http://schemas.microsoft.com/office/drawing/2014/chart" uri="{C3380CC4-5D6E-409C-BE32-E72D297353CC}">
              <c16:uniqueId val="{00000002-98FE-4223-9DF5-8006217DB97F}"/>
            </c:ext>
          </c:extLst>
        </c:ser>
        <c:dLbls>
          <c:showLegendKey val="0"/>
          <c:showVal val="0"/>
          <c:showCatName val="0"/>
          <c:showSerName val="0"/>
          <c:showPercent val="0"/>
          <c:showBubbleSize val="0"/>
        </c:dLbls>
        <c:marker val="1"/>
        <c:smooth val="0"/>
        <c:axId val="146549760"/>
        <c:axId val="146559744"/>
      </c:lineChart>
      <c:catAx>
        <c:axId val="146549760"/>
        <c:scaling>
          <c:orientation val="minMax"/>
        </c:scaling>
        <c:delete val="0"/>
        <c:axPos val="b"/>
        <c:numFmt formatCode="General" sourceLinked="1"/>
        <c:majorTickMark val="none"/>
        <c:minorTickMark val="none"/>
        <c:tickLblPos val="low"/>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ES"/>
          </a:p>
        </c:txPr>
        <c:crossAx val="146559744"/>
        <c:crosses val="autoZero"/>
        <c:auto val="1"/>
        <c:lblAlgn val="ctr"/>
        <c:lblOffset val="100"/>
        <c:noMultiLvlLbl val="0"/>
      </c:catAx>
      <c:valAx>
        <c:axId val="146559744"/>
        <c:scaling>
          <c:orientation val="minMax"/>
        </c:scaling>
        <c:delete val="1"/>
        <c:axPos val="l"/>
        <c:majorGridlines>
          <c:spPr>
            <a:ln w="9525" cap="flat" cmpd="sng" algn="ctr">
              <a:solidFill>
                <a:schemeClr val="tx1">
                  <a:alpha val="7000"/>
                </a:schemeClr>
              </a:solidFill>
              <a:round/>
            </a:ln>
            <a:effectLst/>
          </c:spPr>
        </c:majorGridlines>
        <c:numFmt formatCode="0.0" sourceLinked="1"/>
        <c:majorTickMark val="none"/>
        <c:minorTickMark val="none"/>
        <c:tickLblPos val="nextTo"/>
        <c:crossAx val="146549760"/>
        <c:crosses val="autoZero"/>
        <c:crossBetween val="between"/>
      </c:valAx>
      <c:spPr>
        <a:noFill/>
        <a:ln>
          <a:noFill/>
        </a:ln>
        <a:effectLst/>
      </c:spPr>
    </c:plotArea>
    <c:legend>
      <c:legendPos val="b"/>
      <c:layout>
        <c:manualLayout>
          <c:xMode val="edge"/>
          <c:yMode val="edge"/>
          <c:x val="2.5772887279378105E-2"/>
          <c:y val="0.83719791666666665"/>
          <c:w val="0.95865987736342184"/>
          <c:h val="0.12752430555555555"/>
        </c:manualLayout>
      </c:layout>
      <c:overlay val="0"/>
      <c:spPr>
        <a:noFill/>
        <a:ln>
          <a:noFill/>
        </a:ln>
        <a:effectLst/>
      </c:spPr>
      <c:txPr>
        <a:bodyPr rot="0" spcFirstLastPara="1" vertOverflow="ellipsis" vert="horz" wrap="square" anchor="ctr" anchorCtr="1"/>
        <a:lstStyle/>
        <a:p>
          <a:pPr>
            <a:defRPr sz="7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ES"/>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pPr>
      <a:endParaRPr lang="es-ES"/>
    </a:p>
  </c:txPr>
  <c:externalData r:id="rId1">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5.6131085571980585E-2"/>
          <c:y val="9.7013888888888886E-2"/>
          <c:w val="0.8877378288560388"/>
          <c:h val="0.6313368055555556"/>
        </c:manualLayout>
      </c:layout>
      <c:barChart>
        <c:barDir val="col"/>
        <c:grouping val="clustered"/>
        <c:varyColors val="0"/>
        <c:ser>
          <c:idx val="0"/>
          <c:order val="0"/>
          <c:tx>
            <c:strRef>
              <c:f>'interno 2020'!$D$16</c:f>
              <c:strCache>
                <c:ptCount val="1"/>
                <c:pt idx="0">
                  <c:v>Pronóstico</c:v>
                </c:pt>
              </c:strCache>
            </c:strRef>
          </c:tx>
          <c:spPr>
            <a:solidFill>
              <a:schemeClr val="accent6">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accent6">
                        <a:lumMod val="50000"/>
                      </a:schemeClr>
                    </a:solidFill>
                    <a:latin typeface="+mn-lt"/>
                    <a:ea typeface="+mn-ea"/>
                    <a:cs typeface="+mn-cs"/>
                  </a:defRPr>
                </a:pPr>
                <a:endParaRPr lang="es-ES"/>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'interno 2020'!$C$22:$C$24</c:f>
              <c:strCache>
                <c:ptCount val="3"/>
                <c:pt idx="0">
                  <c:v>Dic-19</c:v>
                </c:pt>
                <c:pt idx="1">
                  <c:v>May-20</c:v>
                </c:pt>
                <c:pt idx="2">
                  <c:v>Jun-20</c:v>
                </c:pt>
              </c:strCache>
            </c:strRef>
          </c:cat>
          <c:val>
            <c:numRef>
              <c:f>'interno 2020'!$F$17:$F$19</c:f>
              <c:numCache>
                <c:formatCode>0.0</c:formatCode>
                <c:ptCount val="3"/>
                <c:pt idx="0">
                  <c:v>1.5</c:v>
                </c:pt>
                <c:pt idx="1">
                  <c:v>-9.5</c:v>
                </c:pt>
                <c:pt idx="2">
                  <c:v>-11.5</c:v>
                </c:pt>
              </c:numCache>
            </c:numRef>
          </c:val>
          <c:extLst xmlns:c16r2="http://schemas.microsoft.com/office/drawing/2015/06/chart">
            <c:ext xmlns:c16="http://schemas.microsoft.com/office/drawing/2014/chart" uri="{C3380CC4-5D6E-409C-BE32-E72D297353CC}">
              <c16:uniqueId val="{00000000-78E0-4B1C-8533-20C1E2897482}"/>
            </c:ext>
          </c:extLst>
        </c:ser>
        <c:dLbls>
          <c:showLegendKey val="0"/>
          <c:showVal val="0"/>
          <c:showCatName val="0"/>
          <c:showSerName val="0"/>
          <c:showPercent val="0"/>
          <c:showBubbleSize val="0"/>
        </c:dLbls>
        <c:gapWidth val="80"/>
        <c:overlap val="-27"/>
        <c:axId val="146600320"/>
        <c:axId val="146601856"/>
      </c:barChart>
      <c:lineChart>
        <c:grouping val="stacked"/>
        <c:varyColors val="0"/>
        <c:ser>
          <c:idx val="1"/>
          <c:order val="1"/>
          <c:tx>
            <c:strRef>
              <c:f>'interno 2020'!$C$16</c:f>
              <c:strCache>
                <c:ptCount val="1"/>
                <c:pt idx="0">
                  <c:v>Desviación</c:v>
                </c:pt>
              </c:strCache>
            </c:strRef>
          </c:tx>
          <c:spPr>
            <a:ln w="28575" cap="rnd">
              <a:solidFill>
                <a:srgbClr val="C00000"/>
              </a:solidFill>
              <a:round/>
            </a:ln>
            <a:effectLst/>
          </c:spPr>
          <c:marker>
            <c:symbol val="diamond"/>
            <c:size val="5"/>
            <c:spPr>
              <a:solidFill>
                <a:srgbClr val="C00000"/>
              </a:solidFill>
              <a:ln w="9525">
                <a:solidFill>
                  <a:srgbClr val="C00000"/>
                </a:solidFill>
              </a:ln>
              <a:effectLst/>
            </c:spPr>
          </c:marker>
          <c:dLbls>
            <c:dLbl>
              <c:idx val="2"/>
              <c:layout>
                <c:manualLayout>
                  <c:x val="-8.5494467531027268E-2"/>
                  <c:y val="8.1801833159299134E-2"/>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78E0-4B1C-8533-20C1E2897482}"/>
                </c:ext>
              </c:extLst>
            </c:dLbl>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rgbClr val="C00000"/>
                    </a:solidFill>
                    <a:latin typeface="+mn-lt"/>
                    <a:ea typeface="+mn-ea"/>
                    <a:cs typeface="+mn-cs"/>
                  </a:defRPr>
                </a:pPr>
                <a:endParaRPr lang="es-ES"/>
              </a:p>
            </c:txPr>
            <c:dLblPos val="b"/>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'interno 2020'!$F$22:$F$24</c:f>
              <c:numCache>
                <c:formatCode>0.0</c:formatCode>
                <c:ptCount val="3"/>
                <c:pt idx="0">
                  <c:v>0</c:v>
                </c:pt>
                <c:pt idx="1">
                  <c:v>-11</c:v>
                </c:pt>
                <c:pt idx="2">
                  <c:v>-13</c:v>
                </c:pt>
              </c:numCache>
            </c:numRef>
          </c:val>
          <c:smooth val="0"/>
          <c:extLst xmlns:c16r2="http://schemas.microsoft.com/office/drawing/2015/06/chart">
            <c:ext xmlns:c16="http://schemas.microsoft.com/office/drawing/2014/chart" uri="{C3380CC4-5D6E-409C-BE32-E72D297353CC}">
              <c16:uniqueId val="{00000002-78E0-4B1C-8533-20C1E2897482}"/>
            </c:ext>
          </c:extLst>
        </c:ser>
        <c:dLbls>
          <c:showLegendKey val="0"/>
          <c:showVal val="0"/>
          <c:showCatName val="0"/>
          <c:showSerName val="0"/>
          <c:showPercent val="0"/>
          <c:showBubbleSize val="0"/>
        </c:dLbls>
        <c:marker val="1"/>
        <c:smooth val="0"/>
        <c:axId val="146600320"/>
        <c:axId val="146601856"/>
      </c:lineChart>
      <c:catAx>
        <c:axId val="146600320"/>
        <c:scaling>
          <c:orientation val="minMax"/>
        </c:scaling>
        <c:delete val="0"/>
        <c:axPos val="b"/>
        <c:numFmt formatCode="General" sourceLinked="1"/>
        <c:majorTickMark val="none"/>
        <c:minorTickMark val="none"/>
        <c:tickLblPos val="low"/>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s-ES"/>
          </a:p>
        </c:txPr>
        <c:crossAx val="146601856"/>
        <c:crosses val="autoZero"/>
        <c:auto val="1"/>
        <c:lblAlgn val="ctr"/>
        <c:lblOffset val="100"/>
        <c:noMultiLvlLbl val="0"/>
      </c:catAx>
      <c:valAx>
        <c:axId val="146601856"/>
        <c:scaling>
          <c:orientation val="minMax"/>
        </c:scaling>
        <c:delete val="1"/>
        <c:axPos val="l"/>
        <c:majorGridlines>
          <c:spPr>
            <a:ln w="9525" cap="flat" cmpd="sng" algn="ctr">
              <a:solidFill>
                <a:schemeClr val="tx1">
                  <a:alpha val="7000"/>
                </a:schemeClr>
              </a:solidFill>
              <a:round/>
            </a:ln>
            <a:effectLst/>
          </c:spPr>
        </c:majorGridlines>
        <c:numFmt formatCode="0.0" sourceLinked="1"/>
        <c:majorTickMark val="none"/>
        <c:minorTickMark val="none"/>
        <c:tickLblPos val="nextTo"/>
        <c:crossAx val="146600320"/>
        <c:crosses val="autoZero"/>
        <c:crossBetween val="between"/>
      </c:valAx>
      <c:spPr>
        <a:noFill/>
        <a:ln>
          <a:noFill/>
        </a:ln>
        <a:effectLst/>
      </c:spPr>
    </c:plotArea>
    <c:legend>
      <c:legendPos val="b"/>
      <c:layout>
        <c:manualLayout>
          <c:xMode val="edge"/>
          <c:yMode val="edge"/>
          <c:x val="2.5772887279378105E-2"/>
          <c:y val="0.83719791666666665"/>
          <c:w val="0.95865987736342184"/>
          <c:h val="0.12752430555555555"/>
        </c:manualLayout>
      </c:layout>
      <c:overlay val="0"/>
      <c:spPr>
        <a:noFill/>
        <a:ln>
          <a:noFill/>
        </a:ln>
        <a:effectLst/>
      </c:spPr>
      <c:txPr>
        <a:bodyPr rot="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endParaRPr lang="es-ES"/>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pPr>
      <a:endParaRPr lang="es-ES"/>
    </a:p>
  </c:txPr>
  <c:externalData r:id="rId1">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5.6131085571980585E-2"/>
          <c:y val="9.7013888888888886E-2"/>
          <c:w val="0.8877378288560388"/>
          <c:h val="0.6313368055555556"/>
        </c:manualLayout>
      </c:layout>
      <c:barChart>
        <c:barDir val="col"/>
        <c:grouping val="clustered"/>
        <c:varyColors val="0"/>
        <c:ser>
          <c:idx val="0"/>
          <c:order val="0"/>
          <c:tx>
            <c:strRef>
              <c:f>'interno 2020'!$D$16</c:f>
              <c:strCache>
                <c:ptCount val="1"/>
                <c:pt idx="0">
                  <c:v>Pronóstico</c:v>
                </c:pt>
              </c:strCache>
            </c:strRef>
          </c:tx>
          <c:spPr>
            <a:solidFill>
              <a:schemeClr val="accent6">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accent6">
                        <a:lumMod val="50000"/>
                      </a:schemeClr>
                    </a:solidFill>
                    <a:latin typeface="Times New Roman" panose="02020603050405020304" pitchFamily="18" charset="0"/>
                    <a:ea typeface="+mn-ea"/>
                    <a:cs typeface="Times New Roman" panose="02020603050405020304" pitchFamily="18" charset="0"/>
                  </a:defRPr>
                </a:pPr>
                <a:endParaRPr lang="es-ES"/>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'interno 2020'!$C$22:$C$24</c:f>
              <c:strCache>
                <c:ptCount val="3"/>
                <c:pt idx="0">
                  <c:v>Dic-19</c:v>
                </c:pt>
                <c:pt idx="1">
                  <c:v>May-20</c:v>
                </c:pt>
                <c:pt idx="2">
                  <c:v>Jun-20</c:v>
                </c:pt>
              </c:strCache>
            </c:strRef>
          </c:cat>
          <c:val>
            <c:numRef>
              <c:f>'interno 2020'!$G$17:$G$19</c:f>
              <c:numCache>
                <c:formatCode>0.0</c:formatCode>
                <c:ptCount val="3"/>
                <c:pt idx="0">
                  <c:v>2</c:v>
                </c:pt>
                <c:pt idx="1">
                  <c:v>-8.5</c:v>
                </c:pt>
                <c:pt idx="2">
                  <c:v>-10.5</c:v>
                </c:pt>
              </c:numCache>
            </c:numRef>
          </c:val>
          <c:extLst xmlns:c16r2="http://schemas.microsoft.com/office/drawing/2015/06/chart">
            <c:ext xmlns:c16="http://schemas.microsoft.com/office/drawing/2014/chart" uri="{C3380CC4-5D6E-409C-BE32-E72D297353CC}">
              <c16:uniqueId val="{00000000-AC12-45A1-8A63-3F48DD8A989B}"/>
            </c:ext>
          </c:extLst>
        </c:ser>
        <c:dLbls>
          <c:showLegendKey val="0"/>
          <c:showVal val="0"/>
          <c:showCatName val="0"/>
          <c:showSerName val="0"/>
          <c:showPercent val="0"/>
          <c:showBubbleSize val="0"/>
        </c:dLbls>
        <c:gapWidth val="80"/>
        <c:overlap val="-27"/>
        <c:axId val="146518784"/>
        <c:axId val="146520320"/>
      </c:barChart>
      <c:lineChart>
        <c:grouping val="stacked"/>
        <c:varyColors val="0"/>
        <c:ser>
          <c:idx val="1"/>
          <c:order val="1"/>
          <c:tx>
            <c:strRef>
              <c:f>'interno 2020'!$C$16</c:f>
              <c:strCache>
                <c:ptCount val="1"/>
                <c:pt idx="0">
                  <c:v>Desviación</c:v>
                </c:pt>
              </c:strCache>
            </c:strRef>
          </c:tx>
          <c:spPr>
            <a:ln w="28575" cap="rnd">
              <a:solidFill>
                <a:srgbClr val="C00000"/>
              </a:solidFill>
              <a:round/>
            </a:ln>
            <a:effectLst/>
          </c:spPr>
          <c:marker>
            <c:symbol val="diamond"/>
            <c:size val="5"/>
            <c:spPr>
              <a:solidFill>
                <a:srgbClr val="C00000"/>
              </a:solidFill>
              <a:ln w="9525">
                <a:solidFill>
                  <a:srgbClr val="C00000"/>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rgbClr val="C00000"/>
                    </a:solidFill>
                    <a:latin typeface="+mn-lt"/>
                    <a:ea typeface="+mn-ea"/>
                    <a:cs typeface="+mn-cs"/>
                  </a:defRPr>
                </a:pPr>
                <a:endParaRPr lang="es-ES"/>
              </a:p>
            </c:txPr>
            <c:dLblPos val="b"/>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'interno 2020'!$G$22:$G$24</c:f>
              <c:numCache>
                <c:formatCode>0.0</c:formatCode>
                <c:ptCount val="3"/>
                <c:pt idx="0">
                  <c:v>0</c:v>
                </c:pt>
                <c:pt idx="1">
                  <c:v>-10.5</c:v>
                </c:pt>
                <c:pt idx="2">
                  <c:v>-12.5</c:v>
                </c:pt>
              </c:numCache>
            </c:numRef>
          </c:val>
          <c:smooth val="0"/>
          <c:extLst xmlns:c16r2="http://schemas.microsoft.com/office/drawing/2015/06/chart">
            <c:ext xmlns:c16="http://schemas.microsoft.com/office/drawing/2014/chart" uri="{C3380CC4-5D6E-409C-BE32-E72D297353CC}">
              <c16:uniqueId val="{00000001-AC12-45A1-8A63-3F48DD8A989B}"/>
            </c:ext>
          </c:extLst>
        </c:ser>
        <c:dLbls>
          <c:showLegendKey val="0"/>
          <c:showVal val="0"/>
          <c:showCatName val="0"/>
          <c:showSerName val="0"/>
          <c:showPercent val="0"/>
          <c:showBubbleSize val="0"/>
        </c:dLbls>
        <c:marker val="1"/>
        <c:smooth val="0"/>
        <c:axId val="146518784"/>
        <c:axId val="146520320"/>
      </c:lineChart>
      <c:catAx>
        <c:axId val="146518784"/>
        <c:scaling>
          <c:orientation val="minMax"/>
        </c:scaling>
        <c:delete val="0"/>
        <c:axPos val="b"/>
        <c:numFmt formatCode="General" sourceLinked="1"/>
        <c:majorTickMark val="none"/>
        <c:minorTickMark val="none"/>
        <c:tickLblPos val="low"/>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s-ES"/>
          </a:p>
        </c:txPr>
        <c:crossAx val="146520320"/>
        <c:crosses val="autoZero"/>
        <c:auto val="1"/>
        <c:lblAlgn val="ctr"/>
        <c:lblOffset val="100"/>
        <c:noMultiLvlLbl val="0"/>
      </c:catAx>
      <c:valAx>
        <c:axId val="146520320"/>
        <c:scaling>
          <c:orientation val="minMax"/>
        </c:scaling>
        <c:delete val="1"/>
        <c:axPos val="l"/>
        <c:majorGridlines>
          <c:spPr>
            <a:ln w="9525" cap="flat" cmpd="sng" algn="ctr">
              <a:solidFill>
                <a:schemeClr val="tx1">
                  <a:alpha val="7000"/>
                </a:schemeClr>
              </a:solidFill>
              <a:round/>
            </a:ln>
            <a:effectLst/>
          </c:spPr>
        </c:majorGridlines>
        <c:numFmt formatCode="0.0" sourceLinked="1"/>
        <c:majorTickMark val="none"/>
        <c:minorTickMark val="none"/>
        <c:tickLblPos val="nextTo"/>
        <c:crossAx val="146518784"/>
        <c:crosses val="autoZero"/>
        <c:crossBetween val="between"/>
      </c:valAx>
      <c:spPr>
        <a:noFill/>
        <a:ln>
          <a:noFill/>
        </a:ln>
        <a:effectLst/>
      </c:spPr>
    </c:plotArea>
    <c:legend>
      <c:legendPos val="b"/>
      <c:layout>
        <c:manualLayout>
          <c:xMode val="edge"/>
          <c:yMode val="edge"/>
          <c:x val="2.5772887279378105E-2"/>
          <c:y val="0.83719791666666665"/>
          <c:w val="0.95865987736342184"/>
          <c:h val="0.12752430555555555"/>
        </c:manualLayout>
      </c:layout>
      <c:overlay val="0"/>
      <c:spPr>
        <a:noFill/>
        <a:ln>
          <a:noFill/>
        </a:ln>
        <a:effectLst/>
      </c:spPr>
      <c:txPr>
        <a:bodyPr rot="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endParaRPr lang="es-ES"/>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pPr>
      <a:endParaRPr lang="es-ES"/>
    </a:p>
  </c:txPr>
  <c:externalData r:id="rId1">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7.8582597890088812E-2"/>
          <c:y val="5.7553879801791344E-2"/>
          <c:w val="0.78848627003308747"/>
          <c:h val="0.74428773979462781"/>
        </c:manualLayout>
      </c:layout>
      <c:lineChart>
        <c:grouping val="standard"/>
        <c:varyColors val="0"/>
        <c:ser>
          <c:idx val="0"/>
          <c:order val="0"/>
          <c:spPr>
            <a:ln w="28575" cap="rnd">
              <a:solidFill>
                <a:schemeClr val="accent1"/>
              </a:solidFill>
              <a:round/>
            </a:ln>
            <a:effectLst/>
          </c:spPr>
          <c:marker>
            <c:symbol val="none"/>
          </c:marker>
          <c:cat>
            <c:numRef>
              <c:f>inflación!$W$185:$W$251</c:f>
              <c:numCache>
                <c:formatCode>mmm\-yy</c:formatCode>
                <c:ptCount val="67"/>
                <c:pt idx="0">
                  <c:v>41974</c:v>
                </c:pt>
                <c:pt idx="1">
                  <c:v>42005</c:v>
                </c:pt>
                <c:pt idx="2">
                  <c:v>42036</c:v>
                </c:pt>
                <c:pt idx="3">
                  <c:v>42064</c:v>
                </c:pt>
                <c:pt idx="4">
                  <c:v>42095</c:v>
                </c:pt>
                <c:pt idx="5">
                  <c:v>42125</c:v>
                </c:pt>
                <c:pt idx="6">
                  <c:v>42156</c:v>
                </c:pt>
                <c:pt idx="7">
                  <c:v>42186</c:v>
                </c:pt>
                <c:pt idx="8">
                  <c:v>42217</c:v>
                </c:pt>
                <c:pt idx="9">
                  <c:v>42248</c:v>
                </c:pt>
                <c:pt idx="10">
                  <c:v>42278</c:v>
                </c:pt>
                <c:pt idx="11">
                  <c:v>42309</c:v>
                </c:pt>
                <c:pt idx="12">
                  <c:v>42339</c:v>
                </c:pt>
                <c:pt idx="13">
                  <c:v>42370</c:v>
                </c:pt>
                <c:pt idx="14">
                  <c:v>42401</c:v>
                </c:pt>
                <c:pt idx="15">
                  <c:v>42430</c:v>
                </c:pt>
                <c:pt idx="16">
                  <c:v>42461</c:v>
                </c:pt>
                <c:pt idx="17">
                  <c:v>42491</c:v>
                </c:pt>
                <c:pt idx="18">
                  <c:v>42522</c:v>
                </c:pt>
                <c:pt idx="19">
                  <c:v>42552</c:v>
                </c:pt>
                <c:pt idx="20">
                  <c:v>42583</c:v>
                </c:pt>
                <c:pt idx="21">
                  <c:v>42614</c:v>
                </c:pt>
                <c:pt idx="22">
                  <c:v>42644</c:v>
                </c:pt>
                <c:pt idx="23">
                  <c:v>42675</c:v>
                </c:pt>
                <c:pt idx="24">
                  <c:v>42705</c:v>
                </c:pt>
                <c:pt idx="25">
                  <c:v>42736</c:v>
                </c:pt>
                <c:pt idx="26">
                  <c:v>42767</c:v>
                </c:pt>
                <c:pt idx="27">
                  <c:v>42795</c:v>
                </c:pt>
                <c:pt idx="28">
                  <c:v>42826</c:v>
                </c:pt>
                <c:pt idx="29">
                  <c:v>42856</c:v>
                </c:pt>
                <c:pt idx="30">
                  <c:v>42887</c:v>
                </c:pt>
                <c:pt idx="31">
                  <c:v>42917</c:v>
                </c:pt>
                <c:pt idx="32">
                  <c:v>42948</c:v>
                </c:pt>
                <c:pt idx="33">
                  <c:v>42979</c:v>
                </c:pt>
                <c:pt idx="34">
                  <c:v>43009</c:v>
                </c:pt>
                <c:pt idx="35">
                  <c:v>43040</c:v>
                </c:pt>
                <c:pt idx="36">
                  <c:v>43070</c:v>
                </c:pt>
                <c:pt idx="37">
                  <c:v>43101</c:v>
                </c:pt>
                <c:pt idx="38">
                  <c:v>43132</c:v>
                </c:pt>
                <c:pt idx="39">
                  <c:v>43160</c:v>
                </c:pt>
                <c:pt idx="40">
                  <c:v>43191</c:v>
                </c:pt>
                <c:pt idx="41">
                  <c:v>43221</c:v>
                </c:pt>
                <c:pt idx="42">
                  <c:v>43252</c:v>
                </c:pt>
                <c:pt idx="43">
                  <c:v>43282</c:v>
                </c:pt>
                <c:pt idx="44">
                  <c:v>43313</c:v>
                </c:pt>
                <c:pt idx="45">
                  <c:v>43344</c:v>
                </c:pt>
                <c:pt idx="46">
                  <c:v>43374</c:v>
                </c:pt>
                <c:pt idx="47">
                  <c:v>43405</c:v>
                </c:pt>
                <c:pt idx="48">
                  <c:v>43435</c:v>
                </c:pt>
                <c:pt idx="49">
                  <c:v>43466</c:v>
                </c:pt>
                <c:pt idx="50">
                  <c:v>43497</c:v>
                </c:pt>
                <c:pt idx="51">
                  <c:v>43525</c:v>
                </c:pt>
                <c:pt idx="52">
                  <c:v>43556</c:v>
                </c:pt>
                <c:pt idx="53">
                  <c:v>43586</c:v>
                </c:pt>
                <c:pt idx="54">
                  <c:v>43617</c:v>
                </c:pt>
                <c:pt idx="55">
                  <c:v>43647</c:v>
                </c:pt>
                <c:pt idx="56">
                  <c:v>43678</c:v>
                </c:pt>
                <c:pt idx="57">
                  <c:v>43709</c:v>
                </c:pt>
                <c:pt idx="58">
                  <c:v>43739</c:v>
                </c:pt>
                <c:pt idx="59">
                  <c:v>43770</c:v>
                </c:pt>
                <c:pt idx="60">
                  <c:v>43800</c:v>
                </c:pt>
                <c:pt idx="61">
                  <c:v>43831</c:v>
                </c:pt>
                <c:pt idx="62">
                  <c:v>43862</c:v>
                </c:pt>
                <c:pt idx="63">
                  <c:v>43891</c:v>
                </c:pt>
                <c:pt idx="64">
                  <c:v>43922</c:v>
                </c:pt>
                <c:pt idx="65">
                  <c:v>43952</c:v>
                </c:pt>
                <c:pt idx="66">
                  <c:v>43983</c:v>
                </c:pt>
              </c:numCache>
            </c:numRef>
          </c:cat>
          <c:val>
            <c:numRef>
              <c:f>[1]inflación!$X$102:$X$249</c:f>
              <c:numCache>
                <c:formatCode>General</c:formatCode>
                <c:ptCount val="148"/>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pt idx="16">
                  <c:v>0</c:v>
                </c:pt>
                <c:pt idx="17">
                  <c:v>0</c:v>
                </c:pt>
                <c:pt idx="18">
                  <c:v>0</c:v>
                </c:pt>
                <c:pt idx="19">
                  <c:v>0</c:v>
                </c:pt>
                <c:pt idx="20">
                  <c:v>0</c:v>
                </c:pt>
                <c:pt idx="21">
                  <c:v>0</c:v>
                </c:pt>
                <c:pt idx="22">
                  <c:v>0</c:v>
                </c:pt>
                <c:pt idx="23">
                  <c:v>0</c:v>
                </c:pt>
                <c:pt idx="24">
                  <c:v>0</c:v>
                </c:pt>
                <c:pt idx="25">
                  <c:v>0</c:v>
                </c:pt>
                <c:pt idx="26">
                  <c:v>0</c:v>
                </c:pt>
                <c:pt idx="27">
                  <c:v>0</c:v>
                </c:pt>
                <c:pt idx="28">
                  <c:v>0</c:v>
                </c:pt>
                <c:pt idx="29">
                  <c:v>0</c:v>
                </c:pt>
                <c:pt idx="30">
                  <c:v>0</c:v>
                </c:pt>
                <c:pt idx="31">
                  <c:v>0</c:v>
                </c:pt>
                <c:pt idx="32">
                  <c:v>0</c:v>
                </c:pt>
                <c:pt idx="33">
                  <c:v>0</c:v>
                </c:pt>
                <c:pt idx="34">
                  <c:v>0</c:v>
                </c:pt>
                <c:pt idx="35">
                  <c:v>0</c:v>
                </c:pt>
                <c:pt idx="36">
                  <c:v>0</c:v>
                </c:pt>
                <c:pt idx="37">
                  <c:v>0</c:v>
                </c:pt>
                <c:pt idx="38">
                  <c:v>0</c:v>
                </c:pt>
                <c:pt idx="39">
                  <c:v>0</c:v>
                </c:pt>
                <c:pt idx="40">
                  <c:v>0</c:v>
                </c:pt>
                <c:pt idx="41">
                  <c:v>0</c:v>
                </c:pt>
                <c:pt idx="42">
                  <c:v>0</c:v>
                </c:pt>
                <c:pt idx="43">
                  <c:v>0</c:v>
                </c:pt>
                <c:pt idx="44">
                  <c:v>0</c:v>
                </c:pt>
                <c:pt idx="45">
                  <c:v>0</c:v>
                </c:pt>
                <c:pt idx="46">
                  <c:v>0</c:v>
                </c:pt>
                <c:pt idx="47">
                  <c:v>0</c:v>
                </c:pt>
                <c:pt idx="48">
                  <c:v>0</c:v>
                </c:pt>
                <c:pt idx="49">
                  <c:v>0</c:v>
                </c:pt>
                <c:pt idx="50">
                  <c:v>0</c:v>
                </c:pt>
                <c:pt idx="51">
                  <c:v>0</c:v>
                </c:pt>
                <c:pt idx="52">
                  <c:v>0</c:v>
                </c:pt>
                <c:pt idx="53">
                  <c:v>0</c:v>
                </c:pt>
                <c:pt idx="54">
                  <c:v>0</c:v>
                </c:pt>
                <c:pt idx="55">
                  <c:v>0</c:v>
                </c:pt>
                <c:pt idx="56">
                  <c:v>0</c:v>
                </c:pt>
                <c:pt idx="57">
                  <c:v>0</c:v>
                </c:pt>
                <c:pt idx="58">
                  <c:v>0</c:v>
                </c:pt>
                <c:pt idx="59">
                  <c:v>0</c:v>
                </c:pt>
                <c:pt idx="60">
                  <c:v>0</c:v>
                </c:pt>
                <c:pt idx="61">
                  <c:v>0</c:v>
                </c:pt>
                <c:pt idx="62">
                  <c:v>0</c:v>
                </c:pt>
                <c:pt idx="63">
                  <c:v>0</c:v>
                </c:pt>
                <c:pt idx="64">
                  <c:v>0</c:v>
                </c:pt>
                <c:pt idx="65">
                  <c:v>0</c:v>
                </c:pt>
                <c:pt idx="66">
                  <c:v>0</c:v>
                </c:pt>
                <c:pt idx="67">
                  <c:v>0</c:v>
                </c:pt>
                <c:pt idx="68">
                  <c:v>0</c:v>
                </c:pt>
                <c:pt idx="69">
                  <c:v>0</c:v>
                </c:pt>
                <c:pt idx="70">
                  <c:v>0</c:v>
                </c:pt>
                <c:pt idx="71">
                  <c:v>0</c:v>
                </c:pt>
                <c:pt idx="72">
                  <c:v>0</c:v>
                </c:pt>
                <c:pt idx="73">
                  <c:v>0</c:v>
                </c:pt>
                <c:pt idx="74">
                  <c:v>0</c:v>
                </c:pt>
                <c:pt idx="75">
                  <c:v>0</c:v>
                </c:pt>
                <c:pt idx="76">
                  <c:v>0</c:v>
                </c:pt>
                <c:pt idx="77">
                  <c:v>0</c:v>
                </c:pt>
                <c:pt idx="78">
                  <c:v>0</c:v>
                </c:pt>
                <c:pt idx="79">
                  <c:v>0</c:v>
                </c:pt>
                <c:pt idx="80">
                  <c:v>0</c:v>
                </c:pt>
                <c:pt idx="81">
                  <c:v>0</c:v>
                </c:pt>
                <c:pt idx="82">
                  <c:v>0</c:v>
                </c:pt>
                <c:pt idx="83">
                  <c:v>0</c:v>
                </c:pt>
                <c:pt idx="84">
                  <c:v>0</c:v>
                </c:pt>
                <c:pt idx="85">
                  <c:v>0</c:v>
                </c:pt>
                <c:pt idx="86">
                  <c:v>0</c:v>
                </c:pt>
                <c:pt idx="87">
                  <c:v>0</c:v>
                </c:pt>
                <c:pt idx="88">
                  <c:v>0</c:v>
                </c:pt>
                <c:pt idx="89">
                  <c:v>0</c:v>
                </c:pt>
                <c:pt idx="90">
                  <c:v>0</c:v>
                </c:pt>
                <c:pt idx="91">
                  <c:v>0</c:v>
                </c:pt>
                <c:pt idx="92">
                  <c:v>0</c:v>
                </c:pt>
                <c:pt idx="93">
                  <c:v>0</c:v>
                </c:pt>
                <c:pt idx="94">
                  <c:v>0</c:v>
                </c:pt>
                <c:pt idx="95">
                  <c:v>0</c:v>
                </c:pt>
                <c:pt idx="96">
                  <c:v>0</c:v>
                </c:pt>
                <c:pt idx="97">
                  <c:v>0</c:v>
                </c:pt>
                <c:pt idx="98">
                  <c:v>0</c:v>
                </c:pt>
                <c:pt idx="99">
                  <c:v>0</c:v>
                </c:pt>
                <c:pt idx="100">
                  <c:v>0</c:v>
                </c:pt>
                <c:pt idx="101">
                  <c:v>0</c:v>
                </c:pt>
                <c:pt idx="102">
                  <c:v>0</c:v>
                </c:pt>
                <c:pt idx="103">
                  <c:v>0</c:v>
                </c:pt>
                <c:pt idx="104">
                  <c:v>0</c:v>
                </c:pt>
                <c:pt idx="105">
                  <c:v>0</c:v>
                </c:pt>
                <c:pt idx="106">
                  <c:v>0</c:v>
                </c:pt>
                <c:pt idx="107">
                  <c:v>0</c:v>
                </c:pt>
                <c:pt idx="108">
                  <c:v>0</c:v>
                </c:pt>
                <c:pt idx="109">
                  <c:v>0</c:v>
                </c:pt>
                <c:pt idx="110">
                  <c:v>0</c:v>
                </c:pt>
                <c:pt idx="111">
                  <c:v>0</c:v>
                </c:pt>
                <c:pt idx="112">
                  <c:v>0</c:v>
                </c:pt>
                <c:pt idx="113">
                  <c:v>0</c:v>
                </c:pt>
                <c:pt idx="114">
                  <c:v>0</c:v>
                </c:pt>
                <c:pt idx="115">
                  <c:v>0</c:v>
                </c:pt>
                <c:pt idx="116">
                  <c:v>0</c:v>
                </c:pt>
                <c:pt idx="117">
                  <c:v>0</c:v>
                </c:pt>
                <c:pt idx="118">
                  <c:v>0</c:v>
                </c:pt>
                <c:pt idx="119">
                  <c:v>0</c:v>
                </c:pt>
                <c:pt idx="120">
                  <c:v>0</c:v>
                </c:pt>
                <c:pt idx="121">
                  <c:v>0</c:v>
                </c:pt>
                <c:pt idx="122">
                  <c:v>0</c:v>
                </c:pt>
                <c:pt idx="123">
                  <c:v>0</c:v>
                </c:pt>
                <c:pt idx="124">
                  <c:v>0</c:v>
                </c:pt>
                <c:pt idx="125">
                  <c:v>0</c:v>
                </c:pt>
                <c:pt idx="126">
                  <c:v>0</c:v>
                </c:pt>
                <c:pt idx="127">
                  <c:v>0</c:v>
                </c:pt>
                <c:pt idx="128">
                  <c:v>0</c:v>
                </c:pt>
                <c:pt idx="129">
                  <c:v>0</c:v>
                </c:pt>
                <c:pt idx="130">
                  <c:v>0</c:v>
                </c:pt>
                <c:pt idx="131">
                  <c:v>0</c:v>
                </c:pt>
                <c:pt idx="132">
                  <c:v>0</c:v>
                </c:pt>
                <c:pt idx="133">
                  <c:v>0</c:v>
                </c:pt>
                <c:pt idx="134">
                  <c:v>0</c:v>
                </c:pt>
                <c:pt idx="135">
                  <c:v>0</c:v>
                </c:pt>
                <c:pt idx="136">
                  <c:v>0</c:v>
                </c:pt>
                <c:pt idx="137">
                  <c:v>0</c:v>
                </c:pt>
                <c:pt idx="138">
                  <c:v>0</c:v>
                </c:pt>
                <c:pt idx="139">
                  <c:v>0</c:v>
                </c:pt>
                <c:pt idx="140">
                  <c:v>0</c:v>
                </c:pt>
                <c:pt idx="141">
                  <c:v>0</c:v>
                </c:pt>
                <c:pt idx="142">
                  <c:v>0</c:v>
                </c:pt>
                <c:pt idx="143">
                  <c:v>0</c:v>
                </c:pt>
                <c:pt idx="144">
                  <c:v>0</c:v>
                </c:pt>
                <c:pt idx="145">
                  <c:v>0</c:v>
                </c:pt>
                <c:pt idx="146">
                  <c:v>0</c:v>
                </c:pt>
                <c:pt idx="147">
                  <c:v>0</c:v>
                </c:pt>
              </c:numCache>
            </c:numRef>
          </c:val>
          <c:smooth val="0"/>
          <c:extLst xmlns:c16r2="http://schemas.microsoft.com/office/drawing/2015/06/chart">
            <c:ext xmlns:c16="http://schemas.microsoft.com/office/drawing/2014/chart" uri="{C3380CC4-5D6E-409C-BE32-E72D297353CC}">
              <c16:uniqueId val="{00000000-FA16-4397-BF00-056DD5CFCBE0}"/>
            </c:ext>
          </c:extLst>
        </c:ser>
        <c:ser>
          <c:idx val="1"/>
          <c:order val="1"/>
          <c:spPr>
            <a:ln w="28575" cap="rnd">
              <a:solidFill>
                <a:schemeClr val="accent2"/>
              </a:solidFill>
              <a:round/>
            </a:ln>
            <a:effectLst/>
          </c:spPr>
          <c:marker>
            <c:symbol val="none"/>
          </c:marker>
          <c:cat>
            <c:numRef>
              <c:f>inflación!$W$185:$W$251</c:f>
              <c:numCache>
                <c:formatCode>mmm\-yy</c:formatCode>
                <c:ptCount val="67"/>
                <c:pt idx="0">
                  <c:v>41974</c:v>
                </c:pt>
                <c:pt idx="1">
                  <c:v>42005</c:v>
                </c:pt>
                <c:pt idx="2">
                  <c:v>42036</c:v>
                </c:pt>
                <c:pt idx="3">
                  <c:v>42064</c:v>
                </c:pt>
                <c:pt idx="4">
                  <c:v>42095</c:v>
                </c:pt>
                <c:pt idx="5">
                  <c:v>42125</c:v>
                </c:pt>
                <c:pt idx="6">
                  <c:v>42156</c:v>
                </c:pt>
                <c:pt idx="7">
                  <c:v>42186</c:v>
                </c:pt>
                <c:pt idx="8">
                  <c:v>42217</c:v>
                </c:pt>
                <c:pt idx="9">
                  <c:v>42248</c:v>
                </c:pt>
                <c:pt idx="10">
                  <c:v>42278</c:v>
                </c:pt>
                <c:pt idx="11">
                  <c:v>42309</c:v>
                </c:pt>
                <c:pt idx="12">
                  <c:v>42339</c:v>
                </c:pt>
                <c:pt idx="13">
                  <c:v>42370</c:v>
                </c:pt>
                <c:pt idx="14">
                  <c:v>42401</c:v>
                </c:pt>
                <c:pt idx="15">
                  <c:v>42430</c:v>
                </c:pt>
                <c:pt idx="16">
                  <c:v>42461</c:v>
                </c:pt>
                <c:pt idx="17">
                  <c:v>42491</c:v>
                </c:pt>
                <c:pt idx="18">
                  <c:v>42522</c:v>
                </c:pt>
                <c:pt idx="19">
                  <c:v>42552</c:v>
                </c:pt>
                <c:pt idx="20">
                  <c:v>42583</c:v>
                </c:pt>
                <c:pt idx="21">
                  <c:v>42614</c:v>
                </c:pt>
                <c:pt idx="22">
                  <c:v>42644</c:v>
                </c:pt>
                <c:pt idx="23">
                  <c:v>42675</c:v>
                </c:pt>
                <c:pt idx="24">
                  <c:v>42705</c:v>
                </c:pt>
                <c:pt idx="25">
                  <c:v>42736</c:v>
                </c:pt>
                <c:pt idx="26">
                  <c:v>42767</c:v>
                </c:pt>
                <c:pt idx="27">
                  <c:v>42795</c:v>
                </c:pt>
                <c:pt idx="28">
                  <c:v>42826</c:v>
                </c:pt>
                <c:pt idx="29">
                  <c:v>42856</c:v>
                </c:pt>
                <c:pt idx="30">
                  <c:v>42887</c:v>
                </c:pt>
                <c:pt idx="31">
                  <c:v>42917</c:v>
                </c:pt>
                <c:pt idx="32">
                  <c:v>42948</c:v>
                </c:pt>
                <c:pt idx="33">
                  <c:v>42979</c:v>
                </c:pt>
                <c:pt idx="34">
                  <c:v>43009</c:v>
                </c:pt>
                <c:pt idx="35">
                  <c:v>43040</c:v>
                </c:pt>
                <c:pt idx="36">
                  <c:v>43070</c:v>
                </c:pt>
                <c:pt idx="37">
                  <c:v>43101</c:v>
                </c:pt>
                <c:pt idx="38">
                  <c:v>43132</c:v>
                </c:pt>
                <c:pt idx="39">
                  <c:v>43160</c:v>
                </c:pt>
                <c:pt idx="40">
                  <c:v>43191</c:v>
                </c:pt>
                <c:pt idx="41">
                  <c:v>43221</c:v>
                </c:pt>
                <c:pt idx="42">
                  <c:v>43252</c:v>
                </c:pt>
                <c:pt idx="43">
                  <c:v>43282</c:v>
                </c:pt>
                <c:pt idx="44">
                  <c:v>43313</c:v>
                </c:pt>
                <c:pt idx="45">
                  <c:v>43344</c:v>
                </c:pt>
                <c:pt idx="46">
                  <c:v>43374</c:v>
                </c:pt>
                <c:pt idx="47">
                  <c:v>43405</c:v>
                </c:pt>
                <c:pt idx="48">
                  <c:v>43435</c:v>
                </c:pt>
                <c:pt idx="49">
                  <c:v>43466</c:v>
                </c:pt>
                <c:pt idx="50">
                  <c:v>43497</c:v>
                </c:pt>
                <c:pt idx="51">
                  <c:v>43525</c:v>
                </c:pt>
                <c:pt idx="52">
                  <c:v>43556</c:v>
                </c:pt>
                <c:pt idx="53">
                  <c:v>43586</c:v>
                </c:pt>
                <c:pt idx="54">
                  <c:v>43617</c:v>
                </c:pt>
                <c:pt idx="55">
                  <c:v>43647</c:v>
                </c:pt>
                <c:pt idx="56">
                  <c:v>43678</c:v>
                </c:pt>
                <c:pt idx="57">
                  <c:v>43709</c:v>
                </c:pt>
                <c:pt idx="58">
                  <c:v>43739</c:v>
                </c:pt>
                <c:pt idx="59">
                  <c:v>43770</c:v>
                </c:pt>
                <c:pt idx="60">
                  <c:v>43800</c:v>
                </c:pt>
                <c:pt idx="61">
                  <c:v>43831</c:v>
                </c:pt>
                <c:pt idx="62">
                  <c:v>43862</c:v>
                </c:pt>
                <c:pt idx="63">
                  <c:v>43891</c:v>
                </c:pt>
                <c:pt idx="64">
                  <c:v>43922</c:v>
                </c:pt>
                <c:pt idx="65">
                  <c:v>43952</c:v>
                </c:pt>
                <c:pt idx="66">
                  <c:v>43983</c:v>
                </c:pt>
              </c:numCache>
            </c:numRef>
          </c:cat>
          <c:val>
            <c:numRef>
              <c:f>[1]inflación!$Y$102:$Y$249</c:f>
              <c:numCache>
                <c:formatCode>General</c:formatCode>
                <c:ptCount val="148"/>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pt idx="16">
                  <c:v>0</c:v>
                </c:pt>
                <c:pt idx="17">
                  <c:v>0</c:v>
                </c:pt>
                <c:pt idx="18">
                  <c:v>0</c:v>
                </c:pt>
                <c:pt idx="19">
                  <c:v>0</c:v>
                </c:pt>
                <c:pt idx="20">
                  <c:v>0</c:v>
                </c:pt>
                <c:pt idx="21">
                  <c:v>0</c:v>
                </c:pt>
                <c:pt idx="22">
                  <c:v>0</c:v>
                </c:pt>
                <c:pt idx="23">
                  <c:v>0</c:v>
                </c:pt>
                <c:pt idx="24">
                  <c:v>0</c:v>
                </c:pt>
                <c:pt idx="25">
                  <c:v>0</c:v>
                </c:pt>
                <c:pt idx="26">
                  <c:v>0</c:v>
                </c:pt>
                <c:pt idx="27">
                  <c:v>0</c:v>
                </c:pt>
                <c:pt idx="28">
                  <c:v>0</c:v>
                </c:pt>
                <c:pt idx="29">
                  <c:v>0</c:v>
                </c:pt>
                <c:pt idx="30">
                  <c:v>0</c:v>
                </c:pt>
                <c:pt idx="31">
                  <c:v>0</c:v>
                </c:pt>
                <c:pt idx="32">
                  <c:v>0</c:v>
                </c:pt>
                <c:pt idx="33">
                  <c:v>0</c:v>
                </c:pt>
                <c:pt idx="34">
                  <c:v>0</c:v>
                </c:pt>
                <c:pt idx="35">
                  <c:v>0</c:v>
                </c:pt>
                <c:pt idx="36">
                  <c:v>0</c:v>
                </c:pt>
                <c:pt idx="37">
                  <c:v>0</c:v>
                </c:pt>
                <c:pt idx="38">
                  <c:v>0</c:v>
                </c:pt>
                <c:pt idx="39">
                  <c:v>0</c:v>
                </c:pt>
                <c:pt idx="40">
                  <c:v>0</c:v>
                </c:pt>
                <c:pt idx="41">
                  <c:v>0</c:v>
                </c:pt>
                <c:pt idx="42">
                  <c:v>0</c:v>
                </c:pt>
                <c:pt idx="43">
                  <c:v>0</c:v>
                </c:pt>
                <c:pt idx="44">
                  <c:v>0</c:v>
                </c:pt>
                <c:pt idx="45">
                  <c:v>0</c:v>
                </c:pt>
                <c:pt idx="46">
                  <c:v>0</c:v>
                </c:pt>
                <c:pt idx="47">
                  <c:v>0</c:v>
                </c:pt>
                <c:pt idx="48">
                  <c:v>0</c:v>
                </c:pt>
                <c:pt idx="49">
                  <c:v>0</c:v>
                </c:pt>
                <c:pt idx="50">
                  <c:v>0</c:v>
                </c:pt>
                <c:pt idx="51">
                  <c:v>0</c:v>
                </c:pt>
                <c:pt idx="52">
                  <c:v>0</c:v>
                </c:pt>
                <c:pt idx="53">
                  <c:v>0</c:v>
                </c:pt>
                <c:pt idx="54">
                  <c:v>0</c:v>
                </c:pt>
                <c:pt idx="55">
                  <c:v>0</c:v>
                </c:pt>
                <c:pt idx="56">
                  <c:v>0</c:v>
                </c:pt>
                <c:pt idx="57">
                  <c:v>0</c:v>
                </c:pt>
                <c:pt idx="58">
                  <c:v>0</c:v>
                </c:pt>
                <c:pt idx="59">
                  <c:v>0</c:v>
                </c:pt>
                <c:pt idx="60">
                  <c:v>0</c:v>
                </c:pt>
                <c:pt idx="61">
                  <c:v>0</c:v>
                </c:pt>
                <c:pt idx="62">
                  <c:v>0</c:v>
                </c:pt>
                <c:pt idx="63">
                  <c:v>0</c:v>
                </c:pt>
                <c:pt idx="64">
                  <c:v>0</c:v>
                </c:pt>
                <c:pt idx="65">
                  <c:v>0</c:v>
                </c:pt>
                <c:pt idx="66">
                  <c:v>0</c:v>
                </c:pt>
                <c:pt idx="67">
                  <c:v>0</c:v>
                </c:pt>
                <c:pt idx="68">
                  <c:v>0</c:v>
                </c:pt>
                <c:pt idx="69">
                  <c:v>0</c:v>
                </c:pt>
                <c:pt idx="70">
                  <c:v>0</c:v>
                </c:pt>
                <c:pt idx="71">
                  <c:v>0</c:v>
                </c:pt>
                <c:pt idx="72">
                  <c:v>0</c:v>
                </c:pt>
                <c:pt idx="73">
                  <c:v>0</c:v>
                </c:pt>
                <c:pt idx="74">
                  <c:v>0</c:v>
                </c:pt>
                <c:pt idx="75">
                  <c:v>0</c:v>
                </c:pt>
                <c:pt idx="76">
                  <c:v>0</c:v>
                </c:pt>
                <c:pt idx="77">
                  <c:v>0</c:v>
                </c:pt>
                <c:pt idx="78">
                  <c:v>0</c:v>
                </c:pt>
                <c:pt idx="79">
                  <c:v>0</c:v>
                </c:pt>
                <c:pt idx="80">
                  <c:v>0</c:v>
                </c:pt>
                <c:pt idx="81">
                  <c:v>0</c:v>
                </c:pt>
                <c:pt idx="82">
                  <c:v>0</c:v>
                </c:pt>
                <c:pt idx="83">
                  <c:v>0</c:v>
                </c:pt>
                <c:pt idx="84">
                  <c:v>0</c:v>
                </c:pt>
                <c:pt idx="85">
                  <c:v>0</c:v>
                </c:pt>
                <c:pt idx="86">
                  <c:v>0</c:v>
                </c:pt>
                <c:pt idx="87">
                  <c:v>0</c:v>
                </c:pt>
                <c:pt idx="88">
                  <c:v>0</c:v>
                </c:pt>
                <c:pt idx="89">
                  <c:v>0</c:v>
                </c:pt>
                <c:pt idx="90">
                  <c:v>0</c:v>
                </c:pt>
                <c:pt idx="91">
                  <c:v>0</c:v>
                </c:pt>
                <c:pt idx="92">
                  <c:v>0</c:v>
                </c:pt>
                <c:pt idx="93">
                  <c:v>0</c:v>
                </c:pt>
                <c:pt idx="94">
                  <c:v>0</c:v>
                </c:pt>
                <c:pt idx="95">
                  <c:v>0</c:v>
                </c:pt>
                <c:pt idx="96">
                  <c:v>0</c:v>
                </c:pt>
                <c:pt idx="97">
                  <c:v>0</c:v>
                </c:pt>
                <c:pt idx="98">
                  <c:v>0</c:v>
                </c:pt>
                <c:pt idx="99">
                  <c:v>0</c:v>
                </c:pt>
                <c:pt idx="100">
                  <c:v>0</c:v>
                </c:pt>
                <c:pt idx="101">
                  <c:v>0</c:v>
                </c:pt>
                <c:pt idx="102">
                  <c:v>0</c:v>
                </c:pt>
                <c:pt idx="103">
                  <c:v>0</c:v>
                </c:pt>
                <c:pt idx="104">
                  <c:v>0</c:v>
                </c:pt>
                <c:pt idx="105">
                  <c:v>0</c:v>
                </c:pt>
                <c:pt idx="106">
                  <c:v>0</c:v>
                </c:pt>
                <c:pt idx="107">
                  <c:v>0</c:v>
                </c:pt>
                <c:pt idx="108">
                  <c:v>0</c:v>
                </c:pt>
                <c:pt idx="109">
                  <c:v>0</c:v>
                </c:pt>
                <c:pt idx="110">
                  <c:v>0</c:v>
                </c:pt>
                <c:pt idx="111">
                  <c:v>0</c:v>
                </c:pt>
                <c:pt idx="112">
                  <c:v>0</c:v>
                </c:pt>
                <c:pt idx="113">
                  <c:v>0</c:v>
                </c:pt>
                <c:pt idx="114">
                  <c:v>0</c:v>
                </c:pt>
                <c:pt idx="115">
                  <c:v>0</c:v>
                </c:pt>
                <c:pt idx="116">
                  <c:v>0</c:v>
                </c:pt>
                <c:pt idx="117">
                  <c:v>0</c:v>
                </c:pt>
                <c:pt idx="118">
                  <c:v>0</c:v>
                </c:pt>
                <c:pt idx="119">
                  <c:v>0</c:v>
                </c:pt>
                <c:pt idx="120">
                  <c:v>0</c:v>
                </c:pt>
                <c:pt idx="121">
                  <c:v>0</c:v>
                </c:pt>
                <c:pt idx="122">
                  <c:v>0</c:v>
                </c:pt>
                <c:pt idx="123">
                  <c:v>0</c:v>
                </c:pt>
                <c:pt idx="124">
                  <c:v>0</c:v>
                </c:pt>
                <c:pt idx="125">
                  <c:v>0</c:v>
                </c:pt>
                <c:pt idx="126">
                  <c:v>0</c:v>
                </c:pt>
                <c:pt idx="127">
                  <c:v>0</c:v>
                </c:pt>
                <c:pt idx="128">
                  <c:v>0</c:v>
                </c:pt>
                <c:pt idx="129">
                  <c:v>0</c:v>
                </c:pt>
                <c:pt idx="130">
                  <c:v>0</c:v>
                </c:pt>
                <c:pt idx="131">
                  <c:v>0</c:v>
                </c:pt>
                <c:pt idx="132">
                  <c:v>0</c:v>
                </c:pt>
                <c:pt idx="133">
                  <c:v>0</c:v>
                </c:pt>
                <c:pt idx="134">
                  <c:v>0</c:v>
                </c:pt>
                <c:pt idx="135">
                  <c:v>0</c:v>
                </c:pt>
                <c:pt idx="136">
                  <c:v>0</c:v>
                </c:pt>
                <c:pt idx="137">
                  <c:v>0</c:v>
                </c:pt>
                <c:pt idx="138">
                  <c:v>0</c:v>
                </c:pt>
                <c:pt idx="139">
                  <c:v>0</c:v>
                </c:pt>
                <c:pt idx="140">
                  <c:v>0</c:v>
                </c:pt>
                <c:pt idx="141">
                  <c:v>0</c:v>
                </c:pt>
                <c:pt idx="142">
                  <c:v>0</c:v>
                </c:pt>
                <c:pt idx="143">
                  <c:v>0</c:v>
                </c:pt>
                <c:pt idx="144">
                  <c:v>0</c:v>
                </c:pt>
                <c:pt idx="145">
                  <c:v>0</c:v>
                </c:pt>
                <c:pt idx="146">
                  <c:v>0</c:v>
                </c:pt>
                <c:pt idx="147">
                  <c:v>0</c:v>
                </c:pt>
              </c:numCache>
            </c:numRef>
          </c:val>
          <c:smooth val="0"/>
          <c:extLst xmlns:c16r2="http://schemas.microsoft.com/office/drawing/2015/06/chart">
            <c:ext xmlns:c16="http://schemas.microsoft.com/office/drawing/2014/chart" uri="{C3380CC4-5D6E-409C-BE32-E72D297353CC}">
              <c16:uniqueId val="{00000001-FA16-4397-BF00-056DD5CFCBE0}"/>
            </c:ext>
          </c:extLst>
        </c:ser>
        <c:ser>
          <c:idx val="2"/>
          <c:order val="2"/>
          <c:tx>
            <c:strRef>
              <c:f>inflación!$U$5</c:f>
              <c:strCache>
                <c:ptCount val="1"/>
                <c:pt idx="0">
                  <c:v>Inflación</c:v>
                </c:pt>
              </c:strCache>
            </c:strRef>
          </c:tx>
          <c:spPr>
            <a:ln w="31750" cap="rnd">
              <a:solidFill>
                <a:schemeClr val="accent1">
                  <a:lumMod val="75000"/>
                </a:schemeClr>
              </a:solidFill>
              <a:round/>
            </a:ln>
            <a:effectLst/>
          </c:spPr>
          <c:marker>
            <c:symbol val="none"/>
          </c:marker>
          <c:cat>
            <c:numRef>
              <c:f>inflación!$W$185:$W$251</c:f>
              <c:numCache>
                <c:formatCode>mmm\-yy</c:formatCode>
                <c:ptCount val="67"/>
                <c:pt idx="0">
                  <c:v>41974</c:v>
                </c:pt>
                <c:pt idx="1">
                  <c:v>42005</c:v>
                </c:pt>
                <c:pt idx="2">
                  <c:v>42036</c:v>
                </c:pt>
                <c:pt idx="3">
                  <c:v>42064</c:v>
                </c:pt>
                <c:pt idx="4">
                  <c:v>42095</c:v>
                </c:pt>
                <c:pt idx="5">
                  <c:v>42125</c:v>
                </c:pt>
                <c:pt idx="6">
                  <c:v>42156</c:v>
                </c:pt>
                <c:pt idx="7">
                  <c:v>42186</c:v>
                </c:pt>
                <c:pt idx="8">
                  <c:v>42217</c:v>
                </c:pt>
                <c:pt idx="9">
                  <c:v>42248</c:v>
                </c:pt>
                <c:pt idx="10">
                  <c:v>42278</c:v>
                </c:pt>
                <c:pt idx="11">
                  <c:v>42309</c:v>
                </c:pt>
                <c:pt idx="12">
                  <c:v>42339</c:v>
                </c:pt>
                <c:pt idx="13">
                  <c:v>42370</c:v>
                </c:pt>
                <c:pt idx="14">
                  <c:v>42401</c:v>
                </c:pt>
                <c:pt idx="15">
                  <c:v>42430</c:v>
                </c:pt>
                <c:pt idx="16">
                  <c:v>42461</c:v>
                </c:pt>
                <c:pt idx="17">
                  <c:v>42491</c:v>
                </c:pt>
                <c:pt idx="18">
                  <c:v>42522</c:v>
                </c:pt>
                <c:pt idx="19">
                  <c:v>42552</c:v>
                </c:pt>
                <c:pt idx="20">
                  <c:v>42583</c:v>
                </c:pt>
                <c:pt idx="21">
                  <c:v>42614</c:v>
                </c:pt>
                <c:pt idx="22">
                  <c:v>42644</c:v>
                </c:pt>
                <c:pt idx="23">
                  <c:v>42675</c:v>
                </c:pt>
                <c:pt idx="24">
                  <c:v>42705</c:v>
                </c:pt>
                <c:pt idx="25">
                  <c:v>42736</c:v>
                </c:pt>
                <c:pt idx="26">
                  <c:v>42767</c:v>
                </c:pt>
                <c:pt idx="27">
                  <c:v>42795</c:v>
                </c:pt>
                <c:pt idx="28">
                  <c:v>42826</c:v>
                </c:pt>
                <c:pt idx="29">
                  <c:v>42856</c:v>
                </c:pt>
                <c:pt idx="30">
                  <c:v>42887</c:v>
                </c:pt>
                <c:pt idx="31">
                  <c:v>42917</c:v>
                </c:pt>
                <c:pt idx="32">
                  <c:v>42948</c:v>
                </c:pt>
                <c:pt idx="33">
                  <c:v>42979</c:v>
                </c:pt>
                <c:pt idx="34">
                  <c:v>43009</c:v>
                </c:pt>
                <c:pt idx="35">
                  <c:v>43040</c:v>
                </c:pt>
                <c:pt idx="36">
                  <c:v>43070</c:v>
                </c:pt>
                <c:pt idx="37">
                  <c:v>43101</c:v>
                </c:pt>
                <c:pt idx="38">
                  <c:v>43132</c:v>
                </c:pt>
                <c:pt idx="39">
                  <c:v>43160</c:v>
                </c:pt>
                <c:pt idx="40">
                  <c:v>43191</c:v>
                </c:pt>
                <c:pt idx="41">
                  <c:v>43221</c:v>
                </c:pt>
                <c:pt idx="42">
                  <c:v>43252</c:v>
                </c:pt>
                <c:pt idx="43">
                  <c:v>43282</c:v>
                </c:pt>
                <c:pt idx="44">
                  <c:v>43313</c:v>
                </c:pt>
                <c:pt idx="45">
                  <c:v>43344</c:v>
                </c:pt>
                <c:pt idx="46">
                  <c:v>43374</c:v>
                </c:pt>
                <c:pt idx="47">
                  <c:v>43405</c:v>
                </c:pt>
                <c:pt idx="48">
                  <c:v>43435</c:v>
                </c:pt>
                <c:pt idx="49">
                  <c:v>43466</c:v>
                </c:pt>
                <c:pt idx="50">
                  <c:v>43497</c:v>
                </c:pt>
                <c:pt idx="51">
                  <c:v>43525</c:v>
                </c:pt>
                <c:pt idx="52">
                  <c:v>43556</c:v>
                </c:pt>
                <c:pt idx="53">
                  <c:v>43586</c:v>
                </c:pt>
                <c:pt idx="54">
                  <c:v>43617</c:v>
                </c:pt>
                <c:pt idx="55">
                  <c:v>43647</c:v>
                </c:pt>
                <c:pt idx="56">
                  <c:v>43678</c:v>
                </c:pt>
                <c:pt idx="57">
                  <c:v>43709</c:v>
                </c:pt>
                <c:pt idx="58">
                  <c:v>43739</c:v>
                </c:pt>
                <c:pt idx="59">
                  <c:v>43770</c:v>
                </c:pt>
                <c:pt idx="60">
                  <c:v>43800</c:v>
                </c:pt>
                <c:pt idx="61">
                  <c:v>43831</c:v>
                </c:pt>
                <c:pt idx="62">
                  <c:v>43862</c:v>
                </c:pt>
                <c:pt idx="63">
                  <c:v>43891</c:v>
                </c:pt>
                <c:pt idx="64">
                  <c:v>43922</c:v>
                </c:pt>
                <c:pt idx="65">
                  <c:v>43952</c:v>
                </c:pt>
                <c:pt idx="66">
                  <c:v>43983</c:v>
                </c:pt>
              </c:numCache>
            </c:numRef>
          </c:cat>
          <c:val>
            <c:numRef>
              <c:f>inflación!$Z$185:$Z$251</c:f>
              <c:numCache>
                <c:formatCode>0.0</c:formatCode>
                <c:ptCount val="67"/>
                <c:pt idx="0">
                  <c:v>2.95</c:v>
                </c:pt>
                <c:pt idx="1">
                  <c:v>2.3199999999999998</c:v>
                </c:pt>
                <c:pt idx="2">
                  <c:v>2.44</c:v>
                </c:pt>
                <c:pt idx="3">
                  <c:v>2.4300000000000002</c:v>
                </c:pt>
                <c:pt idx="4">
                  <c:v>2.58</c:v>
                </c:pt>
                <c:pt idx="5">
                  <c:v>2.5499999999999998</c:v>
                </c:pt>
                <c:pt idx="6">
                  <c:v>2.39</c:v>
                </c:pt>
                <c:pt idx="7">
                  <c:v>2.3199999999999998</c:v>
                </c:pt>
                <c:pt idx="8">
                  <c:v>1.96</c:v>
                </c:pt>
                <c:pt idx="9">
                  <c:v>1.88</c:v>
                </c:pt>
                <c:pt idx="10">
                  <c:v>2.23</c:v>
                </c:pt>
                <c:pt idx="11">
                  <c:v>2.5099999999999998</c:v>
                </c:pt>
                <c:pt idx="12">
                  <c:v>3.07</c:v>
                </c:pt>
                <c:pt idx="13">
                  <c:v>4.38</c:v>
                </c:pt>
                <c:pt idx="14">
                  <c:v>4.2699999999999996</c:v>
                </c:pt>
                <c:pt idx="15">
                  <c:v>4.26</c:v>
                </c:pt>
                <c:pt idx="16">
                  <c:v>4.09</c:v>
                </c:pt>
                <c:pt idx="17">
                  <c:v>4.3600000000000003</c:v>
                </c:pt>
                <c:pt idx="18">
                  <c:v>4.43</c:v>
                </c:pt>
                <c:pt idx="19">
                  <c:v>4.62</c:v>
                </c:pt>
                <c:pt idx="20">
                  <c:v>4.74</c:v>
                </c:pt>
                <c:pt idx="21">
                  <c:v>4.5599999999999996</c:v>
                </c:pt>
                <c:pt idx="22">
                  <c:v>4.76</c:v>
                </c:pt>
                <c:pt idx="23">
                  <c:v>4.67</c:v>
                </c:pt>
                <c:pt idx="24">
                  <c:v>4.2300000000000004</c:v>
                </c:pt>
                <c:pt idx="25">
                  <c:v>3.83</c:v>
                </c:pt>
                <c:pt idx="26">
                  <c:v>3.96</c:v>
                </c:pt>
                <c:pt idx="27">
                  <c:v>4</c:v>
                </c:pt>
                <c:pt idx="28">
                  <c:v>4.09</c:v>
                </c:pt>
                <c:pt idx="29">
                  <c:v>3.93</c:v>
                </c:pt>
                <c:pt idx="30">
                  <c:v>4.3600000000000003</c:v>
                </c:pt>
                <c:pt idx="31">
                  <c:v>5.22</c:v>
                </c:pt>
                <c:pt idx="32">
                  <c:v>4.72</c:v>
                </c:pt>
                <c:pt idx="33">
                  <c:v>4.3600000000000003</c:v>
                </c:pt>
                <c:pt idx="34">
                  <c:v>4.2</c:v>
                </c:pt>
                <c:pt idx="35">
                  <c:v>4.6900000000000004</c:v>
                </c:pt>
                <c:pt idx="36">
                  <c:v>5.68</c:v>
                </c:pt>
                <c:pt idx="37">
                  <c:v>4.71</c:v>
                </c:pt>
                <c:pt idx="38">
                  <c:v>4.1500000000000004</c:v>
                </c:pt>
                <c:pt idx="39">
                  <c:v>4.1399999999999997</c:v>
                </c:pt>
                <c:pt idx="40">
                  <c:v>3.92</c:v>
                </c:pt>
                <c:pt idx="41">
                  <c:v>4.09</c:v>
                </c:pt>
                <c:pt idx="42">
                  <c:v>3.79</c:v>
                </c:pt>
                <c:pt idx="43">
                  <c:v>2.61</c:v>
                </c:pt>
                <c:pt idx="44">
                  <c:v>3.36</c:v>
                </c:pt>
                <c:pt idx="45">
                  <c:v>4.55</c:v>
                </c:pt>
                <c:pt idx="46">
                  <c:v>4.34</c:v>
                </c:pt>
                <c:pt idx="47">
                  <c:v>3.15</c:v>
                </c:pt>
                <c:pt idx="48">
                  <c:v>2.31</c:v>
                </c:pt>
                <c:pt idx="49">
                  <c:v>4.0999999999999996</c:v>
                </c:pt>
                <c:pt idx="50">
                  <c:v>4.46</c:v>
                </c:pt>
                <c:pt idx="51">
                  <c:v>4.17</c:v>
                </c:pt>
                <c:pt idx="52">
                  <c:v>4.75</c:v>
                </c:pt>
                <c:pt idx="53">
                  <c:v>4.54</c:v>
                </c:pt>
                <c:pt idx="54">
                  <c:v>4.8</c:v>
                </c:pt>
                <c:pt idx="55">
                  <c:v>4.37</c:v>
                </c:pt>
                <c:pt idx="56">
                  <c:v>3.01</c:v>
                </c:pt>
                <c:pt idx="57">
                  <c:v>1.8</c:v>
                </c:pt>
                <c:pt idx="58">
                  <c:v>2.17</c:v>
                </c:pt>
                <c:pt idx="59">
                  <c:v>2.92</c:v>
                </c:pt>
                <c:pt idx="60">
                  <c:v>3.41</c:v>
                </c:pt>
                <c:pt idx="61">
                  <c:v>1.78</c:v>
                </c:pt>
                <c:pt idx="62">
                  <c:v>1.24</c:v>
                </c:pt>
                <c:pt idx="63">
                  <c:v>1.77</c:v>
                </c:pt>
                <c:pt idx="64">
                  <c:v>1.88</c:v>
                </c:pt>
                <c:pt idx="65">
                  <c:v>1.8</c:v>
                </c:pt>
                <c:pt idx="66">
                  <c:v>2.39</c:v>
                </c:pt>
              </c:numCache>
            </c:numRef>
          </c:val>
          <c:smooth val="0"/>
          <c:extLst xmlns:c16r2="http://schemas.microsoft.com/office/drawing/2015/06/chart">
            <c:ext xmlns:c16="http://schemas.microsoft.com/office/drawing/2014/chart" uri="{C3380CC4-5D6E-409C-BE32-E72D297353CC}">
              <c16:uniqueId val="{00000002-FA16-4397-BF00-056DD5CFCBE0}"/>
            </c:ext>
          </c:extLst>
        </c:ser>
        <c:ser>
          <c:idx val="3"/>
          <c:order val="3"/>
          <c:tx>
            <c:strRef>
              <c:f>inflación!$V$5</c:f>
              <c:strCache>
                <c:ptCount val="1"/>
                <c:pt idx="0">
                  <c:v>Meta </c:v>
                </c:pt>
              </c:strCache>
            </c:strRef>
          </c:tx>
          <c:spPr>
            <a:ln w="31750" cap="rnd">
              <a:solidFill>
                <a:schemeClr val="accent6">
                  <a:lumMod val="75000"/>
                </a:schemeClr>
              </a:solidFill>
              <a:prstDash val="sysDash"/>
              <a:round/>
            </a:ln>
            <a:effectLst/>
          </c:spPr>
          <c:marker>
            <c:symbol val="none"/>
          </c:marker>
          <c:cat>
            <c:numRef>
              <c:f>inflación!$W$185:$W$251</c:f>
              <c:numCache>
                <c:formatCode>mmm\-yy</c:formatCode>
                <c:ptCount val="67"/>
                <c:pt idx="0">
                  <c:v>41974</c:v>
                </c:pt>
                <c:pt idx="1">
                  <c:v>42005</c:v>
                </c:pt>
                <c:pt idx="2">
                  <c:v>42036</c:v>
                </c:pt>
                <c:pt idx="3">
                  <c:v>42064</c:v>
                </c:pt>
                <c:pt idx="4">
                  <c:v>42095</c:v>
                </c:pt>
                <c:pt idx="5">
                  <c:v>42125</c:v>
                </c:pt>
                <c:pt idx="6">
                  <c:v>42156</c:v>
                </c:pt>
                <c:pt idx="7">
                  <c:v>42186</c:v>
                </c:pt>
                <c:pt idx="8">
                  <c:v>42217</c:v>
                </c:pt>
                <c:pt idx="9">
                  <c:v>42248</c:v>
                </c:pt>
                <c:pt idx="10">
                  <c:v>42278</c:v>
                </c:pt>
                <c:pt idx="11">
                  <c:v>42309</c:v>
                </c:pt>
                <c:pt idx="12">
                  <c:v>42339</c:v>
                </c:pt>
                <c:pt idx="13">
                  <c:v>42370</c:v>
                </c:pt>
                <c:pt idx="14">
                  <c:v>42401</c:v>
                </c:pt>
                <c:pt idx="15">
                  <c:v>42430</c:v>
                </c:pt>
                <c:pt idx="16">
                  <c:v>42461</c:v>
                </c:pt>
                <c:pt idx="17">
                  <c:v>42491</c:v>
                </c:pt>
                <c:pt idx="18">
                  <c:v>42522</c:v>
                </c:pt>
                <c:pt idx="19">
                  <c:v>42552</c:v>
                </c:pt>
                <c:pt idx="20">
                  <c:v>42583</c:v>
                </c:pt>
                <c:pt idx="21">
                  <c:v>42614</c:v>
                </c:pt>
                <c:pt idx="22">
                  <c:v>42644</c:v>
                </c:pt>
                <c:pt idx="23">
                  <c:v>42675</c:v>
                </c:pt>
                <c:pt idx="24">
                  <c:v>42705</c:v>
                </c:pt>
                <c:pt idx="25">
                  <c:v>42736</c:v>
                </c:pt>
                <c:pt idx="26">
                  <c:v>42767</c:v>
                </c:pt>
                <c:pt idx="27">
                  <c:v>42795</c:v>
                </c:pt>
                <c:pt idx="28">
                  <c:v>42826</c:v>
                </c:pt>
                <c:pt idx="29">
                  <c:v>42856</c:v>
                </c:pt>
                <c:pt idx="30">
                  <c:v>42887</c:v>
                </c:pt>
                <c:pt idx="31">
                  <c:v>42917</c:v>
                </c:pt>
                <c:pt idx="32">
                  <c:v>42948</c:v>
                </c:pt>
                <c:pt idx="33">
                  <c:v>42979</c:v>
                </c:pt>
                <c:pt idx="34">
                  <c:v>43009</c:v>
                </c:pt>
                <c:pt idx="35">
                  <c:v>43040</c:v>
                </c:pt>
                <c:pt idx="36">
                  <c:v>43070</c:v>
                </c:pt>
                <c:pt idx="37">
                  <c:v>43101</c:v>
                </c:pt>
                <c:pt idx="38">
                  <c:v>43132</c:v>
                </c:pt>
                <c:pt idx="39">
                  <c:v>43160</c:v>
                </c:pt>
                <c:pt idx="40">
                  <c:v>43191</c:v>
                </c:pt>
                <c:pt idx="41">
                  <c:v>43221</c:v>
                </c:pt>
                <c:pt idx="42">
                  <c:v>43252</c:v>
                </c:pt>
                <c:pt idx="43">
                  <c:v>43282</c:v>
                </c:pt>
                <c:pt idx="44">
                  <c:v>43313</c:v>
                </c:pt>
                <c:pt idx="45">
                  <c:v>43344</c:v>
                </c:pt>
                <c:pt idx="46">
                  <c:v>43374</c:v>
                </c:pt>
                <c:pt idx="47">
                  <c:v>43405</c:v>
                </c:pt>
                <c:pt idx="48">
                  <c:v>43435</c:v>
                </c:pt>
                <c:pt idx="49">
                  <c:v>43466</c:v>
                </c:pt>
                <c:pt idx="50">
                  <c:v>43497</c:v>
                </c:pt>
                <c:pt idx="51">
                  <c:v>43525</c:v>
                </c:pt>
                <c:pt idx="52">
                  <c:v>43556</c:v>
                </c:pt>
                <c:pt idx="53">
                  <c:v>43586</c:v>
                </c:pt>
                <c:pt idx="54">
                  <c:v>43617</c:v>
                </c:pt>
                <c:pt idx="55">
                  <c:v>43647</c:v>
                </c:pt>
                <c:pt idx="56">
                  <c:v>43678</c:v>
                </c:pt>
                <c:pt idx="57">
                  <c:v>43709</c:v>
                </c:pt>
                <c:pt idx="58">
                  <c:v>43739</c:v>
                </c:pt>
                <c:pt idx="59">
                  <c:v>43770</c:v>
                </c:pt>
                <c:pt idx="60">
                  <c:v>43800</c:v>
                </c:pt>
                <c:pt idx="61">
                  <c:v>43831</c:v>
                </c:pt>
                <c:pt idx="62">
                  <c:v>43862</c:v>
                </c:pt>
                <c:pt idx="63">
                  <c:v>43891</c:v>
                </c:pt>
                <c:pt idx="64">
                  <c:v>43922</c:v>
                </c:pt>
                <c:pt idx="65">
                  <c:v>43952</c:v>
                </c:pt>
                <c:pt idx="66">
                  <c:v>43983</c:v>
                </c:pt>
              </c:numCache>
            </c:numRef>
          </c:cat>
          <c:val>
            <c:numRef>
              <c:f>inflación!$V$102:$V$251</c:f>
              <c:numCache>
                <c:formatCode>General</c:formatCode>
                <c:ptCount val="150"/>
                <c:pt idx="0">
                  <c:v>3</c:v>
                </c:pt>
                <c:pt idx="1">
                  <c:v>3</c:v>
                </c:pt>
                <c:pt idx="2">
                  <c:v>3</c:v>
                </c:pt>
                <c:pt idx="3">
                  <c:v>3</c:v>
                </c:pt>
                <c:pt idx="4">
                  <c:v>3</c:v>
                </c:pt>
                <c:pt idx="5">
                  <c:v>3</c:v>
                </c:pt>
                <c:pt idx="6">
                  <c:v>3</c:v>
                </c:pt>
                <c:pt idx="7">
                  <c:v>3</c:v>
                </c:pt>
                <c:pt idx="8">
                  <c:v>3</c:v>
                </c:pt>
                <c:pt idx="9">
                  <c:v>3</c:v>
                </c:pt>
                <c:pt idx="10">
                  <c:v>3</c:v>
                </c:pt>
                <c:pt idx="11">
                  <c:v>3</c:v>
                </c:pt>
                <c:pt idx="12">
                  <c:v>3</c:v>
                </c:pt>
                <c:pt idx="13">
                  <c:v>3</c:v>
                </c:pt>
                <c:pt idx="14">
                  <c:v>3</c:v>
                </c:pt>
                <c:pt idx="15">
                  <c:v>3</c:v>
                </c:pt>
                <c:pt idx="16">
                  <c:v>3</c:v>
                </c:pt>
                <c:pt idx="17">
                  <c:v>3</c:v>
                </c:pt>
                <c:pt idx="18">
                  <c:v>3</c:v>
                </c:pt>
                <c:pt idx="19">
                  <c:v>3</c:v>
                </c:pt>
                <c:pt idx="20">
                  <c:v>3</c:v>
                </c:pt>
                <c:pt idx="21">
                  <c:v>3</c:v>
                </c:pt>
                <c:pt idx="22">
                  <c:v>3</c:v>
                </c:pt>
                <c:pt idx="23">
                  <c:v>3</c:v>
                </c:pt>
                <c:pt idx="24">
                  <c:v>3</c:v>
                </c:pt>
                <c:pt idx="25">
                  <c:v>3</c:v>
                </c:pt>
                <c:pt idx="26">
                  <c:v>3</c:v>
                </c:pt>
                <c:pt idx="27">
                  <c:v>3</c:v>
                </c:pt>
                <c:pt idx="28">
                  <c:v>3</c:v>
                </c:pt>
                <c:pt idx="29">
                  <c:v>3</c:v>
                </c:pt>
                <c:pt idx="30">
                  <c:v>3</c:v>
                </c:pt>
                <c:pt idx="31">
                  <c:v>3</c:v>
                </c:pt>
                <c:pt idx="32">
                  <c:v>3</c:v>
                </c:pt>
                <c:pt idx="33">
                  <c:v>3</c:v>
                </c:pt>
                <c:pt idx="34">
                  <c:v>3</c:v>
                </c:pt>
                <c:pt idx="35">
                  <c:v>3</c:v>
                </c:pt>
                <c:pt idx="36">
                  <c:v>3</c:v>
                </c:pt>
                <c:pt idx="37">
                  <c:v>3</c:v>
                </c:pt>
                <c:pt idx="38">
                  <c:v>3</c:v>
                </c:pt>
                <c:pt idx="39">
                  <c:v>3</c:v>
                </c:pt>
                <c:pt idx="40">
                  <c:v>3</c:v>
                </c:pt>
                <c:pt idx="41">
                  <c:v>3</c:v>
                </c:pt>
                <c:pt idx="42">
                  <c:v>3</c:v>
                </c:pt>
                <c:pt idx="43">
                  <c:v>3</c:v>
                </c:pt>
                <c:pt idx="44">
                  <c:v>3</c:v>
                </c:pt>
                <c:pt idx="45">
                  <c:v>3</c:v>
                </c:pt>
                <c:pt idx="46">
                  <c:v>3</c:v>
                </c:pt>
                <c:pt idx="47">
                  <c:v>3</c:v>
                </c:pt>
                <c:pt idx="48">
                  <c:v>3</c:v>
                </c:pt>
                <c:pt idx="49">
                  <c:v>3</c:v>
                </c:pt>
                <c:pt idx="50">
                  <c:v>3</c:v>
                </c:pt>
                <c:pt idx="51">
                  <c:v>3</c:v>
                </c:pt>
                <c:pt idx="52">
                  <c:v>3</c:v>
                </c:pt>
                <c:pt idx="53">
                  <c:v>3</c:v>
                </c:pt>
                <c:pt idx="54">
                  <c:v>3</c:v>
                </c:pt>
                <c:pt idx="55">
                  <c:v>3</c:v>
                </c:pt>
                <c:pt idx="56">
                  <c:v>3</c:v>
                </c:pt>
                <c:pt idx="57">
                  <c:v>3</c:v>
                </c:pt>
                <c:pt idx="58">
                  <c:v>3</c:v>
                </c:pt>
                <c:pt idx="59">
                  <c:v>3</c:v>
                </c:pt>
                <c:pt idx="60">
                  <c:v>3</c:v>
                </c:pt>
                <c:pt idx="61">
                  <c:v>3</c:v>
                </c:pt>
                <c:pt idx="62">
                  <c:v>3</c:v>
                </c:pt>
                <c:pt idx="63">
                  <c:v>3</c:v>
                </c:pt>
                <c:pt idx="64">
                  <c:v>3</c:v>
                </c:pt>
                <c:pt idx="65">
                  <c:v>3</c:v>
                </c:pt>
                <c:pt idx="66">
                  <c:v>3</c:v>
                </c:pt>
                <c:pt idx="67">
                  <c:v>3</c:v>
                </c:pt>
                <c:pt idx="68">
                  <c:v>3</c:v>
                </c:pt>
                <c:pt idx="69">
                  <c:v>3</c:v>
                </c:pt>
                <c:pt idx="70">
                  <c:v>3</c:v>
                </c:pt>
                <c:pt idx="71">
                  <c:v>3</c:v>
                </c:pt>
                <c:pt idx="72">
                  <c:v>3</c:v>
                </c:pt>
                <c:pt idx="73">
                  <c:v>3</c:v>
                </c:pt>
                <c:pt idx="74">
                  <c:v>3</c:v>
                </c:pt>
                <c:pt idx="75">
                  <c:v>3</c:v>
                </c:pt>
                <c:pt idx="76">
                  <c:v>3</c:v>
                </c:pt>
                <c:pt idx="77">
                  <c:v>3</c:v>
                </c:pt>
                <c:pt idx="78">
                  <c:v>3</c:v>
                </c:pt>
                <c:pt idx="79">
                  <c:v>3</c:v>
                </c:pt>
                <c:pt idx="80">
                  <c:v>3</c:v>
                </c:pt>
                <c:pt idx="81">
                  <c:v>3</c:v>
                </c:pt>
                <c:pt idx="82">
                  <c:v>3</c:v>
                </c:pt>
                <c:pt idx="83">
                  <c:v>3</c:v>
                </c:pt>
                <c:pt idx="84">
                  <c:v>3</c:v>
                </c:pt>
                <c:pt idx="85">
                  <c:v>3</c:v>
                </c:pt>
                <c:pt idx="86">
                  <c:v>3</c:v>
                </c:pt>
                <c:pt idx="87">
                  <c:v>3</c:v>
                </c:pt>
                <c:pt idx="88">
                  <c:v>3</c:v>
                </c:pt>
                <c:pt idx="89">
                  <c:v>3</c:v>
                </c:pt>
                <c:pt idx="90">
                  <c:v>3</c:v>
                </c:pt>
                <c:pt idx="91">
                  <c:v>3</c:v>
                </c:pt>
                <c:pt idx="92">
                  <c:v>3</c:v>
                </c:pt>
                <c:pt idx="93">
                  <c:v>3</c:v>
                </c:pt>
                <c:pt idx="94">
                  <c:v>3</c:v>
                </c:pt>
                <c:pt idx="95">
                  <c:v>3</c:v>
                </c:pt>
                <c:pt idx="96">
                  <c:v>3</c:v>
                </c:pt>
                <c:pt idx="97">
                  <c:v>3</c:v>
                </c:pt>
                <c:pt idx="98">
                  <c:v>3</c:v>
                </c:pt>
                <c:pt idx="99">
                  <c:v>3</c:v>
                </c:pt>
                <c:pt idx="100">
                  <c:v>3</c:v>
                </c:pt>
                <c:pt idx="101">
                  <c:v>3</c:v>
                </c:pt>
                <c:pt idx="102">
                  <c:v>3</c:v>
                </c:pt>
                <c:pt idx="103">
                  <c:v>3</c:v>
                </c:pt>
                <c:pt idx="104">
                  <c:v>3</c:v>
                </c:pt>
                <c:pt idx="105">
                  <c:v>3</c:v>
                </c:pt>
                <c:pt idx="106">
                  <c:v>3</c:v>
                </c:pt>
                <c:pt idx="107">
                  <c:v>3</c:v>
                </c:pt>
                <c:pt idx="108">
                  <c:v>3</c:v>
                </c:pt>
                <c:pt idx="109">
                  <c:v>3</c:v>
                </c:pt>
                <c:pt idx="110">
                  <c:v>3</c:v>
                </c:pt>
                <c:pt idx="111">
                  <c:v>3</c:v>
                </c:pt>
                <c:pt idx="112">
                  <c:v>3</c:v>
                </c:pt>
                <c:pt idx="113">
                  <c:v>3</c:v>
                </c:pt>
                <c:pt idx="114">
                  <c:v>3</c:v>
                </c:pt>
                <c:pt idx="115">
                  <c:v>3</c:v>
                </c:pt>
                <c:pt idx="116">
                  <c:v>3</c:v>
                </c:pt>
                <c:pt idx="117">
                  <c:v>3</c:v>
                </c:pt>
                <c:pt idx="118">
                  <c:v>3</c:v>
                </c:pt>
                <c:pt idx="119">
                  <c:v>3</c:v>
                </c:pt>
                <c:pt idx="120">
                  <c:v>3</c:v>
                </c:pt>
                <c:pt idx="121">
                  <c:v>3</c:v>
                </c:pt>
                <c:pt idx="122">
                  <c:v>3</c:v>
                </c:pt>
                <c:pt idx="123">
                  <c:v>3</c:v>
                </c:pt>
                <c:pt idx="124">
                  <c:v>3</c:v>
                </c:pt>
                <c:pt idx="125">
                  <c:v>3</c:v>
                </c:pt>
                <c:pt idx="126">
                  <c:v>3</c:v>
                </c:pt>
                <c:pt idx="127">
                  <c:v>3</c:v>
                </c:pt>
                <c:pt idx="128">
                  <c:v>3</c:v>
                </c:pt>
                <c:pt idx="129">
                  <c:v>3</c:v>
                </c:pt>
                <c:pt idx="130">
                  <c:v>3</c:v>
                </c:pt>
                <c:pt idx="131">
                  <c:v>3</c:v>
                </c:pt>
                <c:pt idx="132">
                  <c:v>3</c:v>
                </c:pt>
                <c:pt idx="133">
                  <c:v>3</c:v>
                </c:pt>
                <c:pt idx="134">
                  <c:v>3</c:v>
                </c:pt>
                <c:pt idx="135">
                  <c:v>3</c:v>
                </c:pt>
                <c:pt idx="136">
                  <c:v>3</c:v>
                </c:pt>
                <c:pt idx="137">
                  <c:v>3</c:v>
                </c:pt>
                <c:pt idx="138">
                  <c:v>3</c:v>
                </c:pt>
                <c:pt idx="139">
                  <c:v>3</c:v>
                </c:pt>
                <c:pt idx="140">
                  <c:v>3</c:v>
                </c:pt>
                <c:pt idx="141">
                  <c:v>3</c:v>
                </c:pt>
                <c:pt idx="142">
                  <c:v>3</c:v>
                </c:pt>
                <c:pt idx="143">
                  <c:v>3</c:v>
                </c:pt>
                <c:pt idx="144">
                  <c:v>3</c:v>
                </c:pt>
                <c:pt idx="145">
                  <c:v>3</c:v>
                </c:pt>
                <c:pt idx="146">
                  <c:v>3</c:v>
                </c:pt>
                <c:pt idx="147">
                  <c:v>3</c:v>
                </c:pt>
                <c:pt idx="148">
                  <c:v>3</c:v>
                </c:pt>
                <c:pt idx="149">
                  <c:v>3</c:v>
                </c:pt>
              </c:numCache>
            </c:numRef>
          </c:val>
          <c:smooth val="0"/>
          <c:extLst xmlns:c16r2="http://schemas.microsoft.com/office/drawing/2015/06/chart">
            <c:ext xmlns:c16="http://schemas.microsoft.com/office/drawing/2014/chart" uri="{C3380CC4-5D6E-409C-BE32-E72D297353CC}">
              <c16:uniqueId val="{00000003-FA16-4397-BF00-056DD5CFCBE0}"/>
            </c:ext>
          </c:extLst>
        </c:ser>
        <c:ser>
          <c:idx val="4"/>
          <c:order val="4"/>
          <c:tx>
            <c:strRef>
              <c:f>inflación!$U$5</c:f>
              <c:strCache>
                <c:ptCount val="1"/>
                <c:pt idx="0">
                  <c:v>Inflación</c:v>
                </c:pt>
              </c:strCache>
            </c:strRef>
          </c:tx>
          <c:spPr>
            <a:ln w="31750" cap="rnd">
              <a:solidFill>
                <a:schemeClr val="accent6">
                  <a:lumMod val="75000"/>
                </a:schemeClr>
              </a:solidFill>
              <a:prstDash val="sysDash"/>
              <a:round/>
            </a:ln>
            <a:effectLst/>
          </c:spPr>
          <c:marker>
            <c:symbol val="none"/>
          </c:marker>
          <c:cat>
            <c:numRef>
              <c:f>inflación!$W$185:$W$251</c:f>
              <c:numCache>
                <c:formatCode>mmm\-yy</c:formatCode>
                <c:ptCount val="67"/>
                <c:pt idx="0">
                  <c:v>41974</c:v>
                </c:pt>
                <c:pt idx="1">
                  <c:v>42005</c:v>
                </c:pt>
                <c:pt idx="2">
                  <c:v>42036</c:v>
                </c:pt>
                <c:pt idx="3">
                  <c:v>42064</c:v>
                </c:pt>
                <c:pt idx="4">
                  <c:v>42095</c:v>
                </c:pt>
                <c:pt idx="5">
                  <c:v>42125</c:v>
                </c:pt>
                <c:pt idx="6">
                  <c:v>42156</c:v>
                </c:pt>
                <c:pt idx="7">
                  <c:v>42186</c:v>
                </c:pt>
                <c:pt idx="8">
                  <c:v>42217</c:v>
                </c:pt>
                <c:pt idx="9">
                  <c:v>42248</c:v>
                </c:pt>
                <c:pt idx="10">
                  <c:v>42278</c:v>
                </c:pt>
                <c:pt idx="11">
                  <c:v>42309</c:v>
                </c:pt>
                <c:pt idx="12">
                  <c:v>42339</c:v>
                </c:pt>
                <c:pt idx="13">
                  <c:v>42370</c:v>
                </c:pt>
                <c:pt idx="14">
                  <c:v>42401</c:v>
                </c:pt>
                <c:pt idx="15">
                  <c:v>42430</c:v>
                </c:pt>
                <c:pt idx="16">
                  <c:v>42461</c:v>
                </c:pt>
                <c:pt idx="17">
                  <c:v>42491</c:v>
                </c:pt>
                <c:pt idx="18">
                  <c:v>42522</c:v>
                </c:pt>
                <c:pt idx="19">
                  <c:v>42552</c:v>
                </c:pt>
                <c:pt idx="20">
                  <c:v>42583</c:v>
                </c:pt>
                <c:pt idx="21">
                  <c:v>42614</c:v>
                </c:pt>
                <c:pt idx="22">
                  <c:v>42644</c:v>
                </c:pt>
                <c:pt idx="23">
                  <c:v>42675</c:v>
                </c:pt>
                <c:pt idx="24">
                  <c:v>42705</c:v>
                </c:pt>
                <c:pt idx="25">
                  <c:v>42736</c:v>
                </c:pt>
                <c:pt idx="26">
                  <c:v>42767</c:v>
                </c:pt>
                <c:pt idx="27">
                  <c:v>42795</c:v>
                </c:pt>
                <c:pt idx="28">
                  <c:v>42826</c:v>
                </c:pt>
                <c:pt idx="29">
                  <c:v>42856</c:v>
                </c:pt>
                <c:pt idx="30">
                  <c:v>42887</c:v>
                </c:pt>
                <c:pt idx="31">
                  <c:v>42917</c:v>
                </c:pt>
                <c:pt idx="32">
                  <c:v>42948</c:v>
                </c:pt>
                <c:pt idx="33">
                  <c:v>42979</c:v>
                </c:pt>
                <c:pt idx="34">
                  <c:v>43009</c:v>
                </c:pt>
                <c:pt idx="35">
                  <c:v>43040</c:v>
                </c:pt>
                <c:pt idx="36">
                  <c:v>43070</c:v>
                </c:pt>
                <c:pt idx="37">
                  <c:v>43101</c:v>
                </c:pt>
                <c:pt idx="38">
                  <c:v>43132</c:v>
                </c:pt>
                <c:pt idx="39">
                  <c:v>43160</c:v>
                </c:pt>
                <c:pt idx="40">
                  <c:v>43191</c:v>
                </c:pt>
                <c:pt idx="41">
                  <c:v>43221</c:v>
                </c:pt>
                <c:pt idx="42">
                  <c:v>43252</c:v>
                </c:pt>
                <c:pt idx="43">
                  <c:v>43282</c:v>
                </c:pt>
                <c:pt idx="44">
                  <c:v>43313</c:v>
                </c:pt>
                <c:pt idx="45">
                  <c:v>43344</c:v>
                </c:pt>
                <c:pt idx="46">
                  <c:v>43374</c:v>
                </c:pt>
                <c:pt idx="47">
                  <c:v>43405</c:v>
                </c:pt>
                <c:pt idx="48">
                  <c:v>43435</c:v>
                </c:pt>
                <c:pt idx="49">
                  <c:v>43466</c:v>
                </c:pt>
                <c:pt idx="50">
                  <c:v>43497</c:v>
                </c:pt>
                <c:pt idx="51">
                  <c:v>43525</c:v>
                </c:pt>
                <c:pt idx="52">
                  <c:v>43556</c:v>
                </c:pt>
                <c:pt idx="53">
                  <c:v>43586</c:v>
                </c:pt>
                <c:pt idx="54">
                  <c:v>43617</c:v>
                </c:pt>
                <c:pt idx="55">
                  <c:v>43647</c:v>
                </c:pt>
                <c:pt idx="56">
                  <c:v>43678</c:v>
                </c:pt>
                <c:pt idx="57">
                  <c:v>43709</c:v>
                </c:pt>
                <c:pt idx="58">
                  <c:v>43739</c:v>
                </c:pt>
                <c:pt idx="59">
                  <c:v>43770</c:v>
                </c:pt>
                <c:pt idx="60">
                  <c:v>43800</c:v>
                </c:pt>
                <c:pt idx="61">
                  <c:v>43831</c:v>
                </c:pt>
                <c:pt idx="62">
                  <c:v>43862</c:v>
                </c:pt>
                <c:pt idx="63">
                  <c:v>43891</c:v>
                </c:pt>
                <c:pt idx="64">
                  <c:v>43922</c:v>
                </c:pt>
                <c:pt idx="65">
                  <c:v>43952</c:v>
                </c:pt>
                <c:pt idx="66">
                  <c:v>43983</c:v>
                </c:pt>
              </c:numCache>
            </c:numRef>
          </c:cat>
          <c:val>
            <c:numRef>
              <c:f>inflación!$U$102:$U$251</c:f>
              <c:numCache>
                <c:formatCode>General</c:formatCode>
                <c:ptCount val="150"/>
                <c:pt idx="0">
                  <c:v>5</c:v>
                </c:pt>
                <c:pt idx="1">
                  <c:v>5</c:v>
                </c:pt>
                <c:pt idx="2">
                  <c:v>5</c:v>
                </c:pt>
                <c:pt idx="3">
                  <c:v>5</c:v>
                </c:pt>
                <c:pt idx="4">
                  <c:v>5</c:v>
                </c:pt>
                <c:pt idx="5">
                  <c:v>5</c:v>
                </c:pt>
                <c:pt idx="6">
                  <c:v>5</c:v>
                </c:pt>
                <c:pt idx="7">
                  <c:v>5</c:v>
                </c:pt>
                <c:pt idx="8">
                  <c:v>5</c:v>
                </c:pt>
                <c:pt idx="9">
                  <c:v>5</c:v>
                </c:pt>
                <c:pt idx="10">
                  <c:v>5</c:v>
                </c:pt>
                <c:pt idx="11">
                  <c:v>5</c:v>
                </c:pt>
                <c:pt idx="12">
                  <c:v>5</c:v>
                </c:pt>
                <c:pt idx="13">
                  <c:v>5</c:v>
                </c:pt>
                <c:pt idx="14">
                  <c:v>5</c:v>
                </c:pt>
                <c:pt idx="15">
                  <c:v>5</c:v>
                </c:pt>
                <c:pt idx="16">
                  <c:v>5</c:v>
                </c:pt>
                <c:pt idx="17">
                  <c:v>5</c:v>
                </c:pt>
                <c:pt idx="18">
                  <c:v>5</c:v>
                </c:pt>
                <c:pt idx="19">
                  <c:v>5</c:v>
                </c:pt>
                <c:pt idx="20">
                  <c:v>5</c:v>
                </c:pt>
                <c:pt idx="21">
                  <c:v>5</c:v>
                </c:pt>
                <c:pt idx="22">
                  <c:v>5</c:v>
                </c:pt>
                <c:pt idx="23">
                  <c:v>5</c:v>
                </c:pt>
                <c:pt idx="24">
                  <c:v>5</c:v>
                </c:pt>
                <c:pt idx="25">
                  <c:v>5</c:v>
                </c:pt>
                <c:pt idx="26">
                  <c:v>5</c:v>
                </c:pt>
                <c:pt idx="27">
                  <c:v>5</c:v>
                </c:pt>
                <c:pt idx="28">
                  <c:v>5</c:v>
                </c:pt>
                <c:pt idx="29">
                  <c:v>5</c:v>
                </c:pt>
                <c:pt idx="30">
                  <c:v>5</c:v>
                </c:pt>
                <c:pt idx="31">
                  <c:v>5</c:v>
                </c:pt>
                <c:pt idx="32">
                  <c:v>5</c:v>
                </c:pt>
                <c:pt idx="33">
                  <c:v>5</c:v>
                </c:pt>
                <c:pt idx="34">
                  <c:v>5</c:v>
                </c:pt>
                <c:pt idx="35">
                  <c:v>5</c:v>
                </c:pt>
                <c:pt idx="36">
                  <c:v>5</c:v>
                </c:pt>
                <c:pt idx="37">
                  <c:v>5</c:v>
                </c:pt>
                <c:pt idx="38">
                  <c:v>5</c:v>
                </c:pt>
                <c:pt idx="39">
                  <c:v>5</c:v>
                </c:pt>
                <c:pt idx="40">
                  <c:v>5</c:v>
                </c:pt>
                <c:pt idx="41">
                  <c:v>5</c:v>
                </c:pt>
                <c:pt idx="42">
                  <c:v>5</c:v>
                </c:pt>
                <c:pt idx="43">
                  <c:v>5</c:v>
                </c:pt>
                <c:pt idx="44">
                  <c:v>5</c:v>
                </c:pt>
                <c:pt idx="45">
                  <c:v>5</c:v>
                </c:pt>
                <c:pt idx="46">
                  <c:v>5</c:v>
                </c:pt>
                <c:pt idx="47">
                  <c:v>5</c:v>
                </c:pt>
                <c:pt idx="48">
                  <c:v>5</c:v>
                </c:pt>
                <c:pt idx="49">
                  <c:v>5</c:v>
                </c:pt>
                <c:pt idx="50">
                  <c:v>5</c:v>
                </c:pt>
                <c:pt idx="51">
                  <c:v>5</c:v>
                </c:pt>
                <c:pt idx="52">
                  <c:v>5</c:v>
                </c:pt>
                <c:pt idx="53">
                  <c:v>5</c:v>
                </c:pt>
                <c:pt idx="54">
                  <c:v>5</c:v>
                </c:pt>
                <c:pt idx="55">
                  <c:v>5</c:v>
                </c:pt>
                <c:pt idx="56">
                  <c:v>5</c:v>
                </c:pt>
                <c:pt idx="57">
                  <c:v>5</c:v>
                </c:pt>
                <c:pt idx="58">
                  <c:v>5</c:v>
                </c:pt>
                <c:pt idx="59">
                  <c:v>5</c:v>
                </c:pt>
                <c:pt idx="60">
                  <c:v>5</c:v>
                </c:pt>
                <c:pt idx="61">
                  <c:v>5</c:v>
                </c:pt>
                <c:pt idx="62">
                  <c:v>5</c:v>
                </c:pt>
                <c:pt idx="63">
                  <c:v>5</c:v>
                </c:pt>
                <c:pt idx="64">
                  <c:v>5</c:v>
                </c:pt>
                <c:pt idx="65">
                  <c:v>5</c:v>
                </c:pt>
                <c:pt idx="66">
                  <c:v>5</c:v>
                </c:pt>
                <c:pt idx="67">
                  <c:v>5</c:v>
                </c:pt>
                <c:pt idx="68">
                  <c:v>5</c:v>
                </c:pt>
                <c:pt idx="69">
                  <c:v>5</c:v>
                </c:pt>
                <c:pt idx="70">
                  <c:v>5</c:v>
                </c:pt>
                <c:pt idx="71">
                  <c:v>5</c:v>
                </c:pt>
                <c:pt idx="72">
                  <c:v>5</c:v>
                </c:pt>
                <c:pt idx="73">
                  <c:v>5</c:v>
                </c:pt>
                <c:pt idx="74">
                  <c:v>5</c:v>
                </c:pt>
                <c:pt idx="75">
                  <c:v>5</c:v>
                </c:pt>
                <c:pt idx="76">
                  <c:v>5</c:v>
                </c:pt>
                <c:pt idx="77">
                  <c:v>5</c:v>
                </c:pt>
                <c:pt idx="78">
                  <c:v>5</c:v>
                </c:pt>
                <c:pt idx="79">
                  <c:v>5</c:v>
                </c:pt>
                <c:pt idx="80">
                  <c:v>5</c:v>
                </c:pt>
                <c:pt idx="81">
                  <c:v>5</c:v>
                </c:pt>
                <c:pt idx="82">
                  <c:v>5</c:v>
                </c:pt>
                <c:pt idx="83">
                  <c:v>5</c:v>
                </c:pt>
                <c:pt idx="84">
                  <c:v>5</c:v>
                </c:pt>
                <c:pt idx="85">
                  <c:v>5</c:v>
                </c:pt>
                <c:pt idx="86">
                  <c:v>5</c:v>
                </c:pt>
                <c:pt idx="87">
                  <c:v>5</c:v>
                </c:pt>
                <c:pt idx="88">
                  <c:v>5</c:v>
                </c:pt>
                <c:pt idx="89">
                  <c:v>5</c:v>
                </c:pt>
                <c:pt idx="90">
                  <c:v>5</c:v>
                </c:pt>
                <c:pt idx="91">
                  <c:v>5</c:v>
                </c:pt>
                <c:pt idx="92">
                  <c:v>5</c:v>
                </c:pt>
                <c:pt idx="93">
                  <c:v>5</c:v>
                </c:pt>
                <c:pt idx="94">
                  <c:v>5</c:v>
                </c:pt>
                <c:pt idx="95">
                  <c:v>5</c:v>
                </c:pt>
                <c:pt idx="96">
                  <c:v>5</c:v>
                </c:pt>
                <c:pt idx="97">
                  <c:v>5</c:v>
                </c:pt>
                <c:pt idx="98">
                  <c:v>5</c:v>
                </c:pt>
                <c:pt idx="99">
                  <c:v>5</c:v>
                </c:pt>
                <c:pt idx="100">
                  <c:v>5</c:v>
                </c:pt>
                <c:pt idx="101">
                  <c:v>5</c:v>
                </c:pt>
                <c:pt idx="102">
                  <c:v>5</c:v>
                </c:pt>
                <c:pt idx="103">
                  <c:v>5</c:v>
                </c:pt>
                <c:pt idx="104">
                  <c:v>5</c:v>
                </c:pt>
                <c:pt idx="105">
                  <c:v>5</c:v>
                </c:pt>
                <c:pt idx="106">
                  <c:v>5</c:v>
                </c:pt>
                <c:pt idx="107">
                  <c:v>5</c:v>
                </c:pt>
                <c:pt idx="108">
                  <c:v>5</c:v>
                </c:pt>
                <c:pt idx="109">
                  <c:v>5</c:v>
                </c:pt>
                <c:pt idx="110">
                  <c:v>5</c:v>
                </c:pt>
                <c:pt idx="111">
                  <c:v>5</c:v>
                </c:pt>
                <c:pt idx="112">
                  <c:v>5</c:v>
                </c:pt>
                <c:pt idx="113">
                  <c:v>5</c:v>
                </c:pt>
                <c:pt idx="114">
                  <c:v>5</c:v>
                </c:pt>
                <c:pt idx="115">
                  <c:v>5</c:v>
                </c:pt>
                <c:pt idx="116">
                  <c:v>5</c:v>
                </c:pt>
                <c:pt idx="117">
                  <c:v>5</c:v>
                </c:pt>
                <c:pt idx="118">
                  <c:v>5</c:v>
                </c:pt>
                <c:pt idx="119">
                  <c:v>5</c:v>
                </c:pt>
                <c:pt idx="120">
                  <c:v>5</c:v>
                </c:pt>
                <c:pt idx="121">
                  <c:v>5</c:v>
                </c:pt>
                <c:pt idx="122">
                  <c:v>5</c:v>
                </c:pt>
                <c:pt idx="123">
                  <c:v>5</c:v>
                </c:pt>
                <c:pt idx="124">
                  <c:v>5</c:v>
                </c:pt>
                <c:pt idx="125">
                  <c:v>5</c:v>
                </c:pt>
                <c:pt idx="126">
                  <c:v>5</c:v>
                </c:pt>
                <c:pt idx="127">
                  <c:v>5</c:v>
                </c:pt>
                <c:pt idx="128">
                  <c:v>5</c:v>
                </c:pt>
                <c:pt idx="129">
                  <c:v>5</c:v>
                </c:pt>
                <c:pt idx="130">
                  <c:v>5</c:v>
                </c:pt>
                <c:pt idx="131">
                  <c:v>5</c:v>
                </c:pt>
                <c:pt idx="132">
                  <c:v>5</c:v>
                </c:pt>
                <c:pt idx="133">
                  <c:v>5</c:v>
                </c:pt>
                <c:pt idx="134">
                  <c:v>5</c:v>
                </c:pt>
                <c:pt idx="135">
                  <c:v>5</c:v>
                </c:pt>
                <c:pt idx="136">
                  <c:v>5</c:v>
                </c:pt>
                <c:pt idx="137">
                  <c:v>5</c:v>
                </c:pt>
                <c:pt idx="138">
                  <c:v>5</c:v>
                </c:pt>
                <c:pt idx="139">
                  <c:v>5</c:v>
                </c:pt>
                <c:pt idx="140">
                  <c:v>5</c:v>
                </c:pt>
                <c:pt idx="141">
                  <c:v>5</c:v>
                </c:pt>
                <c:pt idx="142">
                  <c:v>5</c:v>
                </c:pt>
                <c:pt idx="143">
                  <c:v>5</c:v>
                </c:pt>
                <c:pt idx="144">
                  <c:v>5</c:v>
                </c:pt>
                <c:pt idx="145">
                  <c:v>5</c:v>
                </c:pt>
                <c:pt idx="146">
                  <c:v>5</c:v>
                </c:pt>
                <c:pt idx="147">
                  <c:v>5</c:v>
                </c:pt>
                <c:pt idx="148">
                  <c:v>5</c:v>
                </c:pt>
                <c:pt idx="149">
                  <c:v>5</c:v>
                </c:pt>
              </c:numCache>
            </c:numRef>
          </c:val>
          <c:smooth val="0"/>
          <c:extLst xmlns:c16r2="http://schemas.microsoft.com/office/drawing/2015/06/chart">
            <c:ext xmlns:c16="http://schemas.microsoft.com/office/drawing/2014/chart" uri="{C3380CC4-5D6E-409C-BE32-E72D297353CC}">
              <c16:uniqueId val="{00000004-FA16-4397-BF00-056DD5CFCBE0}"/>
            </c:ext>
          </c:extLst>
        </c:ser>
        <c:ser>
          <c:idx val="6"/>
          <c:order val="5"/>
          <c:tx>
            <c:strRef>
              <c:f>inflación!$V$5</c:f>
              <c:strCache>
                <c:ptCount val="1"/>
                <c:pt idx="0">
                  <c:v>Meta </c:v>
                </c:pt>
              </c:strCache>
            </c:strRef>
          </c:tx>
          <c:spPr>
            <a:ln w="31750" cap="rnd">
              <a:solidFill>
                <a:schemeClr val="accent6">
                  <a:lumMod val="75000"/>
                </a:schemeClr>
              </a:solidFill>
              <a:prstDash val="lgDash"/>
              <a:round/>
            </a:ln>
            <a:effectLst/>
          </c:spPr>
          <c:marker>
            <c:symbol val="none"/>
          </c:marker>
          <c:cat>
            <c:numRef>
              <c:f>inflación!$W$185:$W$251</c:f>
              <c:numCache>
                <c:formatCode>mmm\-yy</c:formatCode>
                <c:ptCount val="67"/>
                <c:pt idx="0">
                  <c:v>41974</c:v>
                </c:pt>
                <c:pt idx="1">
                  <c:v>42005</c:v>
                </c:pt>
                <c:pt idx="2">
                  <c:v>42036</c:v>
                </c:pt>
                <c:pt idx="3">
                  <c:v>42064</c:v>
                </c:pt>
                <c:pt idx="4">
                  <c:v>42095</c:v>
                </c:pt>
                <c:pt idx="5">
                  <c:v>42125</c:v>
                </c:pt>
                <c:pt idx="6">
                  <c:v>42156</c:v>
                </c:pt>
                <c:pt idx="7">
                  <c:v>42186</c:v>
                </c:pt>
                <c:pt idx="8">
                  <c:v>42217</c:v>
                </c:pt>
                <c:pt idx="9">
                  <c:v>42248</c:v>
                </c:pt>
                <c:pt idx="10">
                  <c:v>42278</c:v>
                </c:pt>
                <c:pt idx="11">
                  <c:v>42309</c:v>
                </c:pt>
                <c:pt idx="12">
                  <c:v>42339</c:v>
                </c:pt>
                <c:pt idx="13">
                  <c:v>42370</c:v>
                </c:pt>
                <c:pt idx="14">
                  <c:v>42401</c:v>
                </c:pt>
                <c:pt idx="15">
                  <c:v>42430</c:v>
                </c:pt>
                <c:pt idx="16">
                  <c:v>42461</c:v>
                </c:pt>
                <c:pt idx="17">
                  <c:v>42491</c:v>
                </c:pt>
                <c:pt idx="18">
                  <c:v>42522</c:v>
                </c:pt>
                <c:pt idx="19">
                  <c:v>42552</c:v>
                </c:pt>
                <c:pt idx="20">
                  <c:v>42583</c:v>
                </c:pt>
                <c:pt idx="21">
                  <c:v>42614</c:v>
                </c:pt>
                <c:pt idx="22">
                  <c:v>42644</c:v>
                </c:pt>
                <c:pt idx="23">
                  <c:v>42675</c:v>
                </c:pt>
                <c:pt idx="24">
                  <c:v>42705</c:v>
                </c:pt>
                <c:pt idx="25">
                  <c:v>42736</c:v>
                </c:pt>
                <c:pt idx="26">
                  <c:v>42767</c:v>
                </c:pt>
                <c:pt idx="27">
                  <c:v>42795</c:v>
                </c:pt>
                <c:pt idx="28">
                  <c:v>42826</c:v>
                </c:pt>
                <c:pt idx="29">
                  <c:v>42856</c:v>
                </c:pt>
                <c:pt idx="30">
                  <c:v>42887</c:v>
                </c:pt>
                <c:pt idx="31">
                  <c:v>42917</c:v>
                </c:pt>
                <c:pt idx="32">
                  <c:v>42948</c:v>
                </c:pt>
                <c:pt idx="33">
                  <c:v>42979</c:v>
                </c:pt>
                <c:pt idx="34">
                  <c:v>43009</c:v>
                </c:pt>
                <c:pt idx="35">
                  <c:v>43040</c:v>
                </c:pt>
                <c:pt idx="36">
                  <c:v>43070</c:v>
                </c:pt>
                <c:pt idx="37">
                  <c:v>43101</c:v>
                </c:pt>
                <c:pt idx="38">
                  <c:v>43132</c:v>
                </c:pt>
                <c:pt idx="39">
                  <c:v>43160</c:v>
                </c:pt>
                <c:pt idx="40">
                  <c:v>43191</c:v>
                </c:pt>
                <c:pt idx="41">
                  <c:v>43221</c:v>
                </c:pt>
                <c:pt idx="42">
                  <c:v>43252</c:v>
                </c:pt>
                <c:pt idx="43">
                  <c:v>43282</c:v>
                </c:pt>
                <c:pt idx="44">
                  <c:v>43313</c:v>
                </c:pt>
                <c:pt idx="45">
                  <c:v>43344</c:v>
                </c:pt>
                <c:pt idx="46">
                  <c:v>43374</c:v>
                </c:pt>
                <c:pt idx="47">
                  <c:v>43405</c:v>
                </c:pt>
                <c:pt idx="48">
                  <c:v>43435</c:v>
                </c:pt>
                <c:pt idx="49">
                  <c:v>43466</c:v>
                </c:pt>
                <c:pt idx="50">
                  <c:v>43497</c:v>
                </c:pt>
                <c:pt idx="51">
                  <c:v>43525</c:v>
                </c:pt>
                <c:pt idx="52">
                  <c:v>43556</c:v>
                </c:pt>
                <c:pt idx="53">
                  <c:v>43586</c:v>
                </c:pt>
                <c:pt idx="54">
                  <c:v>43617</c:v>
                </c:pt>
                <c:pt idx="55">
                  <c:v>43647</c:v>
                </c:pt>
                <c:pt idx="56">
                  <c:v>43678</c:v>
                </c:pt>
                <c:pt idx="57">
                  <c:v>43709</c:v>
                </c:pt>
                <c:pt idx="58">
                  <c:v>43739</c:v>
                </c:pt>
                <c:pt idx="59">
                  <c:v>43770</c:v>
                </c:pt>
                <c:pt idx="60">
                  <c:v>43800</c:v>
                </c:pt>
                <c:pt idx="61">
                  <c:v>43831</c:v>
                </c:pt>
                <c:pt idx="62">
                  <c:v>43862</c:v>
                </c:pt>
                <c:pt idx="63">
                  <c:v>43891</c:v>
                </c:pt>
                <c:pt idx="64">
                  <c:v>43922</c:v>
                </c:pt>
                <c:pt idx="65">
                  <c:v>43952</c:v>
                </c:pt>
                <c:pt idx="66">
                  <c:v>43983</c:v>
                </c:pt>
              </c:numCache>
            </c:numRef>
          </c:cat>
          <c:val>
            <c:numRef>
              <c:f>inflación!$S$186:$S$251</c:f>
              <c:numCache>
                <c:formatCode>General</c:formatCode>
                <c:ptCount val="66"/>
                <c:pt idx="0">
                  <c:v>4</c:v>
                </c:pt>
                <c:pt idx="1">
                  <c:v>4</c:v>
                </c:pt>
                <c:pt idx="2">
                  <c:v>4</c:v>
                </c:pt>
                <c:pt idx="3">
                  <c:v>4</c:v>
                </c:pt>
                <c:pt idx="4">
                  <c:v>4</c:v>
                </c:pt>
                <c:pt idx="5">
                  <c:v>4</c:v>
                </c:pt>
                <c:pt idx="6">
                  <c:v>4</c:v>
                </c:pt>
                <c:pt idx="7">
                  <c:v>4</c:v>
                </c:pt>
                <c:pt idx="8">
                  <c:v>4</c:v>
                </c:pt>
                <c:pt idx="9">
                  <c:v>4</c:v>
                </c:pt>
                <c:pt idx="10">
                  <c:v>4</c:v>
                </c:pt>
                <c:pt idx="11">
                  <c:v>4</c:v>
                </c:pt>
                <c:pt idx="12">
                  <c:v>4</c:v>
                </c:pt>
                <c:pt idx="13">
                  <c:v>4</c:v>
                </c:pt>
                <c:pt idx="14">
                  <c:v>4</c:v>
                </c:pt>
                <c:pt idx="15">
                  <c:v>4</c:v>
                </c:pt>
                <c:pt idx="16">
                  <c:v>4</c:v>
                </c:pt>
                <c:pt idx="17">
                  <c:v>4</c:v>
                </c:pt>
                <c:pt idx="18">
                  <c:v>4</c:v>
                </c:pt>
                <c:pt idx="19">
                  <c:v>4</c:v>
                </c:pt>
                <c:pt idx="20">
                  <c:v>4</c:v>
                </c:pt>
                <c:pt idx="21">
                  <c:v>4</c:v>
                </c:pt>
                <c:pt idx="22">
                  <c:v>4</c:v>
                </c:pt>
                <c:pt idx="23">
                  <c:v>4</c:v>
                </c:pt>
                <c:pt idx="24">
                  <c:v>4</c:v>
                </c:pt>
                <c:pt idx="25">
                  <c:v>4</c:v>
                </c:pt>
                <c:pt idx="26">
                  <c:v>4</c:v>
                </c:pt>
                <c:pt idx="27">
                  <c:v>4</c:v>
                </c:pt>
                <c:pt idx="28">
                  <c:v>4</c:v>
                </c:pt>
                <c:pt idx="29">
                  <c:v>4</c:v>
                </c:pt>
                <c:pt idx="30">
                  <c:v>4</c:v>
                </c:pt>
                <c:pt idx="31">
                  <c:v>4</c:v>
                </c:pt>
                <c:pt idx="32">
                  <c:v>4</c:v>
                </c:pt>
                <c:pt idx="33">
                  <c:v>4</c:v>
                </c:pt>
                <c:pt idx="34">
                  <c:v>4</c:v>
                </c:pt>
                <c:pt idx="35">
                  <c:v>4</c:v>
                </c:pt>
                <c:pt idx="36">
                  <c:v>4</c:v>
                </c:pt>
                <c:pt idx="37">
                  <c:v>4</c:v>
                </c:pt>
                <c:pt idx="38">
                  <c:v>4</c:v>
                </c:pt>
                <c:pt idx="39">
                  <c:v>4</c:v>
                </c:pt>
                <c:pt idx="40">
                  <c:v>4</c:v>
                </c:pt>
                <c:pt idx="41">
                  <c:v>4</c:v>
                </c:pt>
                <c:pt idx="42">
                  <c:v>4</c:v>
                </c:pt>
                <c:pt idx="43">
                  <c:v>4</c:v>
                </c:pt>
                <c:pt idx="44">
                  <c:v>4</c:v>
                </c:pt>
                <c:pt idx="45">
                  <c:v>4</c:v>
                </c:pt>
                <c:pt idx="46">
                  <c:v>4</c:v>
                </c:pt>
                <c:pt idx="47">
                  <c:v>4</c:v>
                </c:pt>
                <c:pt idx="48">
                  <c:v>4</c:v>
                </c:pt>
                <c:pt idx="49">
                  <c:v>4</c:v>
                </c:pt>
                <c:pt idx="50">
                  <c:v>4</c:v>
                </c:pt>
                <c:pt idx="51">
                  <c:v>4</c:v>
                </c:pt>
                <c:pt idx="52">
                  <c:v>4</c:v>
                </c:pt>
                <c:pt idx="53">
                  <c:v>4</c:v>
                </c:pt>
                <c:pt idx="54">
                  <c:v>4</c:v>
                </c:pt>
                <c:pt idx="55">
                  <c:v>4</c:v>
                </c:pt>
                <c:pt idx="56">
                  <c:v>4</c:v>
                </c:pt>
                <c:pt idx="57">
                  <c:v>4</c:v>
                </c:pt>
                <c:pt idx="58">
                  <c:v>4</c:v>
                </c:pt>
                <c:pt idx="59">
                  <c:v>4</c:v>
                </c:pt>
                <c:pt idx="60">
                  <c:v>4</c:v>
                </c:pt>
                <c:pt idx="61">
                  <c:v>4</c:v>
                </c:pt>
                <c:pt idx="62">
                  <c:v>4</c:v>
                </c:pt>
                <c:pt idx="63">
                  <c:v>4</c:v>
                </c:pt>
                <c:pt idx="64">
                  <c:v>4</c:v>
                </c:pt>
                <c:pt idx="65">
                  <c:v>4</c:v>
                </c:pt>
              </c:numCache>
            </c:numRef>
          </c:val>
          <c:smooth val="0"/>
          <c:extLst xmlns:c16r2="http://schemas.microsoft.com/office/drawing/2015/06/chart">
            <c:ext xmlns:c16="http://schemas.microsoft.com/office/drawing/2014/chart" uri="{C3380CC4-5D6E-409C-BE32-E72D297353CC}">
              <c16:uniqueId val="{00000005-FA16-4397-BF00-056DD5CFCBE0}"/>
            </c:ext>
          </c:extLst>
        </c:ser>
        <c:dLbls>
          <c:showLegendKey val="0"/>
          <c:showVal val="0"/>
          <c:showCatName val="0"/>
          <c:showSerName val="0"/>
          <c:showPercent val="0"/>
          <c:showBubbleSize val="0"/>
        </c:dLbls>
        <c:marker val="1"/>
        <c:smooth val="0"/>
        <c:axId val="146711296"/>
        <c:axId val="146712832"/>
      </c:lineChart>
      <c:dateAx>
        <c:axId val="146711296"/>
        <c:scaling>
          <c:orientation val="minMax"/>
          <c:min val="42916"/>
        </c:scaling>
        <c:delete val="0"/>
        <c:axPos val="b"/>
        <c:numFmt formatCode="mmm\-yy"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ES"/>
          </a:p>
        </c:txPr>
        <c:crossAx val="146712832"/>
        <c:crosses val="autoZero"/>
        <c:auto val="1"/>
        <c:lblOffset val="100"/>
        <c:baseTimeUnit val="months"/>
        <c:majorUnit val="12"/>
        <c:majorTimeUnit val="months"/>
      </c:dateAx>
      <c:valAx>
        <c:axId val="146712832"/>
        <c:scaling>
          <c:orientation val="minMax"/>
          <c:max val="6"/>
          <c:min val="1"/>
        </c:scaling>
        <c:delete val="0"/>
        <c:axPos val="l"/>
        <c:majorGridlines>
          <c:spPr>
            <a:ln w="9525" cap="flat" cmpd="sng" algn="ctr">
              <a:solidFill>
                <a:schemeClr val="tx1">
                  <a:alpha val="5000"/>
                </a:schemeClr>
              </a:solidFill>
              <a:round/>
            </a:ln>
            <a:effectLst/>
          </c:spPr>
        </c:majorGridlines>
        <c:title>
          <c:tx>
            <c:rich>
              <a:bodyPr rot="5400000" spcFirstLastPara="1" vertOverflow="ellipsis" wrap="square" anchor="b"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s-GT" sz="900"/>
                  <a:t>En porcentaje </a:t>
                </a:r>
              </a:p>
            </c:rich>
          </c:tx>
          <c:layout>
            <c:manualLayout>
              <c:xMode val="edge"/>
              <c:yMode val="edge"/>
              <c:x val="0.93391045669444273"/>
              <c:y val="0.28940146436919711"/>
            </c:manualLayout>
          </c:layout>
          <c:overlay val="0"/>
          <c:spPr>
            <a:noFill/>
            <a:ln>
              <a:noFill/>
            </a:ln>
            <a:effectLst/>
          </c:spPr>
        </c:title>
        <c:numFmt formatCode="General" sourceLinked="1"/>
        <c:majorTickMark val="none"/>
        <c:minorTickMark val="none"/>
        <c:tickLblPos val="high"/>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ES"/>
          </a:p>
        </c:txPr>
        <c:crossAx val="146711296"/>
        <c:crosses val="autoZero"/>
        <c:crossBetween val="between"/>
        <c:majorUnit val="1"/>
      </c:valAx>
      <c:spPr>
        <a:noFill/>
        <a:ln>
          <a:noFill/>
        </a:ln>
        <a:effectLst/>
      </c:spPr>
    </c:plotArea>
    <c:legend>
      <c:legendPos val="b"/>
      <c:legendEntry>
        <c:idx val="0"/>
        <c:delete val="1"/>
      </c:legendEntry>
      <c:legendEntry>
        <c:idx val="1"/>
        <c:delete val="1"/>
      </c:legendEntry>
      <c:legendEntry>
        <c:idx val="3"/>
        <c:delete val="1"/>
      </c:legendEntry>
      <c:legendEntry>
        <c:idx val="4"/>
        <c:delete val="1"/>
      </c:legendEntry>
      <c:layout>
        <c:manualLayout>
          <c:xMode val="edge"/>
          <c:yMode val="edge"/>
          <c:x val="4.4986158246989091E-3"/>
          <c:y val="0.90948530850829667"/>
          <c:w val="0.98613464575843479"/>
          <c:h val="9.0514691491703256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ES"/>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latin typeface="Times New Roman" panose="02020603050405020304" pitchFamily="18" charset="0"/>
          <a:cs typeface="Times New Roman" panose="02020603050405020304" pitchFamily="18" charset="0"/>
        </a:defRPr>
      </a:pPr>
      <a:endParaRPr lang="es-ES"/>
    </a:p>
  </c:txPr>
  <c:externalData r:id="rId1">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TC!$O$3</c:f>
              <c:strCache>
                <c:ptCount val="1"/>
                <c:pt idx="0">
                  <c:v>Anual</c:v>
                </c:pt>
              </c:strCache>
            </c:strRef>
          </c:tx>
          <c:spPr>
            <a:solidFill>
              <a:schemeClr val="accent6">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accent6">
                        <a:lumMod val="75000"/>
                      </a:schemeClr>
                    </a:solidFill>
                    <a:latin typeface="Times New Roman" panose="02020603050405020304" pitchFamily="18" charset="0"/>
                    <a:ea typeface="+mn-ea"/>
                    <a:cs typeface="Times New Roman" panose="02020603050405020304" pitchFamily="18" charset="0"/>
                  </a:defRPr>
                </a:pPr>
                <a:endParaRPr lang="es-E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TC!$P$2:$S$2</c:f>
              <c:numCache>
                <c:formatCode>General</c:formatCode>
                <c:ptCount val="4"/>
                <c:pt idx="0">
                  <c:v>2017</c:v>
                </c:pt>
                <c:pt idx="1">
                  <c:v>2018</c:v>
                </c:pt>
                <c:pt idx="2">
                  <c:v>2019</c:v>
                </c:pt>
                <c:pt idx="3">
                  <c:v>2020</c:v>
                </c:pt>
              </c:numCache>
            </c:numRef>
          </c:cat>
          <c:val>
            <c:numRef>
              <c:f>TC!$P$3:$S$3</c:f>
              <c:numCache>
                <c:formatCode>0.00</c:formatCode>
                <c:ptCount val="4"/>
                <c:pt idx="0">
                  <c:v>6.2896012997915557E-2</c:v>
                </c:pt>
                <c:pt idx="1">
                  <c:v>0.1403977360391524</c:v>
                </c:pt>
                <c:pt idx="2">
                  <c:v>3.4466652101596863E-2</c:v>
                </c:pt>
                <c:pt idx="3">
                  <c:v>3.1932168417907032E-2</c:v>
                </c:pt>
              </c:numCache>
            </c:numRef>
          </c:val>
          <c:extLst xmlns:c16r2="http://schemas.microsoft.com/office/drawing/2015/06/chart">
            <c:ext xmlns:c16="http://schemas.microsoft.com/office/drawing/2014/chart" uri="{C3380CC4-5D6E-409C-BE32-E72D297353CC}">
              <c16:uniqueId val="{00000000-52B8-40E5-B4FE-BBC054008DCB}"/>
            </c:ext>
          </c:extLst>
        </c:ser>
        <c:ser>
          <c:idx val="1"/>
          <c:order val="1"/>
          <c:tx>
            <c:strRef>
              <c:f>TC!$O$4</c:f>
              <c:strCache>
                <c:ptCount val="1"/>
                <c:pt idx="0">
                  <c:v>Del mes de Marzo</c:v>
                </c:pt>
              </c:strCache>
            </c:strRef>
          </c:tx>
          <c:spPr>
            <a:solidFill>
              <a:schemeClr val="accent5">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E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TC!$P$2:$S$2</c:f>
              <c:numCache>
                <c:formatCode>General</c:formatCode>
                <c:ptCount val="4"/>
                <c:pt idx="0">
                  <c:v>2017</c:v>
                </c:pt>
                <c:pt idx="1">
                  <c:v>2018</c:v>
                </c:pt>
                <c:pt idx="2">
                  <c:v>2019</c:v>
                </c:pt>
                <c:pt idx="3">
                  <c:v>2020</c:v>
                </c:pt>
              </c:numCache>
            </c:numRef>
          </c:cat>
          <c:val>
            <c:numRef>
              <c:f>TC!$P$4:$S$4</c:f>
              <c:numCache>
                <c:formatCode>0.00</c:formatCode>
                <c:ptCount val="4"/>
                <c:pt idx="0">
                  <c:v>1.659191966997987E-2</c:v>
                </c:pt>
                <c:pt idx="1">
                  <c:v>8.90841495575578E-3</c:v>
                </c:pt>
                <c:pt idx="2">
                  <c:v>9.0039772920615744E-3</c:v>
                </c:pt>
                <c:pt idx="3">
                  <c:v>5.8797888196767595E-2</c:v>
                </c:pt>
              </c:numCache>
            </c:numRef>
          </c:val>
          <c:extLst xmlns:c16r2="http://schemas.microsoft.com/office/drawing/2015/06/chart">
            <c:ext xmlns:c16="http://schemas.microsoft.com/office/drawing/2014/chart" uri="{C3380CC4-5D6E-409C-BE32-E72D297353CC}">
              <c16:uniqueId val="{00000001-52B8-40E5-B4FE-BBC054008DCB}"/>
            </c:ext>
          </c:extLst>
        </c:ser>
        <c:dLbls>
          <c:showLegendKey val="0"/>
          <c:showVal val="0"/>
          <c:showCatName val="0"/>
          <c:showSerName val="0"/>
          <c:showPercent val="0"/>
          <c:showBubbleSize val="0"/>
        </c:dLbls>
        <c:gapWidth val="120"/>
        <c:overlap val="-27"/>
        <c:axId val="146889728"/>
        <c:axId val="146899712"/>
      </c:barChart>
      <c:catAx>
        <c:axId val="1468897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ES"/>
          </a:p>
        </c:txPr>
        <c:crossAx val="146899712"/>
        <c:crosses val="autoZero"/>
        <c:auto val="1"/>
        <c:lblAlgn val="ctr"/>
        <c:lblOffset val="100"/>
        <c:noMultiLvlLbl val="0"/>
      </c:catAx>
      <c:valAx>
        <c:axId val="146899712"/>
        <c:scaling>
          <c:orientation val="minMax"/>
        </c:scaling>
        <c:delete val="1"/>
        <c:axPos val="l"/>
        <c:majorGridlines>
          <c:spPr>
            <a:ln w="9525" cap="flat" cmpd="sng" algn="ctr">
              <a:solidFill>
                <a:schemeClr val="tx1">
                  <a:lumMod val="95000"/>
                  <a:lumOff val="5000"/>
                  <a:alpha val="7000"/>
                </a:schemeClr>
              </a:solidFill>
              <a:round/>
            </a:ln>
            <a:effectLst/>
          </c:spPr>
        </c:majorGridlines>
        <c:numFmt formatCode="0.00" sourceLinked="1"/>
        <c:majorTickMark val="none"/>
        <c:minorTickMark val="none"/>
        <c:tickLblPos val="nextTo"/>
        <c:crossAx val="14688972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ES"/>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pPr>
      <a:endParaRPr lang="es-ES"/>
    </a:p>
  </c:txPr>
  <c:externalData r:id="rId1">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569499429247366"/>
          <c:y val="5.5893302606020233E-2"/>
          <c:w val="0.71313623047718622"/>
          <c:h val="0.74831689942206248"/>
        </c:manualLayout>
      </c:layout>
      <c:barChart>
        <c:barDir val="col"/>
        <c:grouping val="clustered"/>
        <c:varyColors val="0"/>
        <c:ser>
          <c:idx val="0"/>
          <c:order val="0"/>
          <c:tx>
            <c:strRef>
              <c:f>'Tasa de interés'!$C$14</c:f>
              <c:strCache>
                <c:ptCount val="1"/>
                <c:pt idx="0">
                  <c:v>Tasa activa promedio</c:v>
                </c:pt>
              </c:strCache>
            </c:strRef>
          </c:tx>
          <c:spPr>
            <a:solidFill>
              <a:schemeClr val="accent6">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accent6">
                        <a:lumMod val="75000"/>
                      </a:schemeClr>
                    </a:solidFill>
                    <a:latin typeface="Times New Roman" panose="02020603050405020304" pitchFamily="18" charset="0"/>
                    <a:ea typeface="+mn-ea"/>
                    <a:cs typeface="Times New Roman" panose="02020603050405020304" pitchFamily="18" charset="0"/>
                  </a:defRPr>
                </a:pPr>
                <a:endParaRPr lang="es-E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'Tasa de interés'!$B$15:$B$18</c:f>
              <c:numCache>
                <c:formatCode>General</c:formatCode>
                <c:ptCount val="4"/>
                <c:pt idx="0">
                  <c:v>2017</c:v>
                </c:pt>
                <c:pt idx="1">
                  <c:v>2018</c:v>
                </c:pt>
                <c:pt idx="2">
                  <c:v>2019</c:v>
                </c:pt>
                <c:pt idx="3">
                  <c:v>2020</c:v>
                </c:pt>
              </c:numCache>
            </c:numRef>
          </c:cat>
          <c:val>
            <c:numRef>
              <c:f>'Tasa de interés'!$C$15:$C$18</c:f>
              <c:numCache>
                <c:formatCode>0.0</c:formatCode>
                <c:ptCount val="4"/>
                <c:pt idx="0">
                  <c:v>13.054166666666669</c:v>
                </c:pt>
                <c:pt idx="1">
                  <c:v>12.933333333333334</c:v>
                </c:pt>
                <c:pt idx="2">
                  <c:v>12.740833333333331</c:v>
                </c:pt>
                <c:pt idx="3">
                  <c:v>12.650000000000002</c:v>
                </c:pt>
              </c:numCache>
            </c:numRef>
          </c:val>
          <c:extLst xmlns:c16r2="http://schemas.microsoft.com/office/drawing/2015/06/chart">
            <c:ext xmlns:c16="http://schemas.microsoft.com/office/drawing/2014/chart" uri="{C3380CC4-5D6E-409C-BE32-E72D297353CC}">
              <c16:uniqueId val="{00000000-49C5-4E03-A11C-50AC16C25D1D}"/>
            </c:ext>
          </c:extLst>
        </c:ser>
        <c:ser>
          <c:idx val="1"/>
          <c:order val="1"/>
          <c:tx>
            <c:strRef>
              <c:f>'Tasa de interés'!$D$14</c:f>
              <c:strCache>
                <c:ptCount val="1"/>
                <c:pt idx="0">
                  <c:v>Tasa pasiva promedio</c:v>
                </c:pt>
              </c:strCache>
            </c:strRef>
          </c:tx>
          <c:spPr>
            <a:solidFill>
              <a:schemeClr val="accent5">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accent1">
                        <a:lumMod val="75000"/>
                      </a:schemeClr>
                    </a:solidFill>
                    <a:latin typeface="+mn-lt"/>
                    <a:ea typeface="+mn-ea"/>
                    <a:cs typeface="+mn-cs"/>
                  </a:defRPr>
                </a:pPr>
                <a:endParaRPr lang="es-ES"/>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'Tasa de interés'!$B$15:$B$18</c:f>
              <c:numCache>
                <c:formatCode>General</c:formatCode>
                <c:ptCount val="4"/>
                <c:pt idx="0">
                  <c:v>2017</c:v>
                </c:pt>
                <c:pt idx="1">
                  <c:v>2018</c:v>
                </c:pt>
                <c:pt idx="2">
                  <c:v>2019</c:v>
                </c:pt>
                <c:pt idx="3">
                  <c:v>2020</c:v>
                </c:pt>
              </c:numCache>
            </c:numRef>
          </c:cat>
          <c:val>
            <c:numRef>
              <c:f>'Tasa de interés'!$D$15:$D$18</c:f>
              <c:numCache>
                <c:formatCode>0.0</c:formatCode>
                <c:ptCount val="4"/>
                <c:pt idx="0">
                  <c:v>5.3808333333333325</c:v>
                </c:pt>
                <c:pt idx="1">
                  <c:v>5.1808333333333323</c:v>
                </c:pt>
                <c:pt idx="2">
                  <c:v>5.0108333333333341</c:v>
                </c:pt>
                <c:pt idx="3">
                  <c:v>4.78</c:v>
                </c:pt>
              </c:numCache>
            </c:numRef>
          </c:val>
          <c:extLst xmlns:c16r2="http://schemas.microsoft.com/office/drawing/2015/06/chart">
            <c:ext xmlns:c16="http://schemas.microsoft.com/office/drawing/2014/chart" uri="{C3380CC4-5D6E-409C-BE32-E72D297353CC}">
              <c16:uniqueId val="{00000001-49C5-4E03-A11C-50AC16C25D1D}"/>
            </c:ext>
          </c:extLst>
        </c:ser>
        <c:dLbls>
          <c:showLegendKey val="0"/>
          <c:showVal val="0"/>
          <c:showCatName val="0"/>
          <c:showSerName val="0"/>
          <c:showPercent val="0"/>
          <c:showBubbleSize val="0"/>
        </c:dLbls>
        <c:gapWidth val="80"/>
        <c:overlap val="-27"/>
        <c:axId val="146929152"/>
        <c:axId val="146931072"/>
      </c:barChart>
      <c:lineChart>
        <c:grouping val="stacked"/>
        <c:varyColors val="0"/>
        <c:ser>
          <c:idx val="2"/>
          <c:order val="2"/>
          <c:tx>
            <c:strRef>
              <c:f>'Tasa de interés'!$E$14</c:f>
              <c:strCache>
                <c:ptCount val="1"/>
                <c:pt idx="0">
                  <c:v>Spread</c:v>
                </c:pt>
              </c:strCache>
            </c:strRef>
          </c:tx>
          <c:spPr>
            <a:ln w="28575" cap="rnd">
              <a:solidFill>
                <a:srgbClr val="C00000"/>
              </a:solidFill>
              <a:round/>
            </a:ln>
            <a:effectLst/>
          </c:spPr>
          <c:marker>
            <c:symbol val="diamond"/>
            <c:size val="7"/>
            <c:spPr>
              <a:solidFill>
                <a:srgbClr val="C00000"/>
              </a:solidFill>
              <a:ln w="9525">
                <a:noFill/>
              </a:ln>
              <a:effectLst/>
            </c:spPr>
          </c:marker>
          <c:val>
            <c:numRef>
              <c:f>'Tasa de interés'!$E$15:$E$18</c:f>
              <c:numCache>
                <c:formatCode>0.0</c:formatCode>
                <c:ptCount val="4"/>
                <c:pt idx="0">
                  <c:v>7.6733333333333364</c:v>
                </c:pt>
                <c:pt idx="1">
                  <c:v>7.7525000000000013</c:v>
                </c:pt>
                <c:pt idx="2">
                  <c:v>7.7299999999999969</c:v>
                </c:pt>
                <c:pt idx="3">
                  <c:v>7.8700000000000019</c:v>
                </c:pt>
              </c:numCache>
            </c:numRef>
          </c:val>
          <c:smooth val="0"/>
          <c:extLst xmlns:c16r2="http://schemas.microsoft.com/office/drawing/2015/06/chart">
            <c:ext xmlns:c16="http://schemas.microsoft.com/office/drawing/2014/chart" uri="{C3380CC4-5D6E-409C-BE32-E72D297353CC}">
              <c16:uniqueId val="{00000002-49C5-4E03-A11C-50AC16C25D1D}"/>
            </c:ext>
          </c:extLst>
        </c:ser>
        <c:dLbls>
          <c:showLegendKey val="0"/>
          <c:showVal val="0"/>
          <c:showCatName val="0"/>
          <c:showSerName val="0"/>
          <c:showPercent val="0"/>
          <c:showBubbleSize val="0"/>
        </c:dLbls>
        <c:marker val="1"/>
        <c:smooth val="0"/>
        <c:axId val="145825152"/>
        <c:axId val="145823232"/>
      </c:lineChart>
      <c:catAx>
        <c:axId val="14692915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ES"/>
          </a:p>
        </c:txPr>
        <c:crossAx val="146931072"/>
        <c:crosses val="autoZero"/>
        <c:auto val="1"/>
        <c:lblAlgn val="ctr"/>
        <c:lblOffset val="100"/>
        <c:noMultiLvlLbl val="0"/>
      </c:catAx>
      <c:valAx>
        <c:axId val="146931072"/>
        <c:scaling>
          <c:orientation val="minMax"/>
          <c:min val="2"/>
        </c:scaling>
        <c:delete val="0"/>
        <c:axPos val="l"/>
        <c:majorGridlines>
          <c:spPr>
            <a:ln w="9525" cap="flat" cmpd="sng" algn="ctr">
              <a:solidFill>
                <a:schemeClr val="tx1">
                  <a:alpha val="7000"/>
                </a:schemeClr>
              </a:solidFill>
              <a:round/>
            </a:ln>
            <a:effectLst/>
          </c:spPr>
        </c:majorGridlines>
        <c:title>
          <c:tx>
            <c:rich>
              <a:bodyPr rot="-5400000" spcFirstLastPara="1" vertOverflow="ellipsis" vert="horz" wrap="square" anchor="ctr" anchorCtr="1"/>
              <a:lstStyle/>
              <a:p>
                <a:pPr>
                  <a:defRPr sz="7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s-GT" sz="700">
                    <a:latin typeface="Times New Roman" panose="02020603050405020304" pitchFamily="18" charset="0"/>
                    <a:cs typeface="Times New Roman" panose="02020603050405020304" pitchFamily="18" charset="0"/>
                  </a:rPr>
                  <a:t>Tasas</a:t>
                </a:r>
                <a:r>
                  <a:rPr lang="es-GT" sz="700" baseline="0">
                    <a:latin typeface="Times New Roman" panose="02020603050405020304" pitchFamily="18" charset="0"/>
                    <a:cs typeface="Times New Roman" panose="02020603050405020304" pitchFamily="18" charset="0"/>
                  </a:rPr>
                  <a:t> en porecntaje</a:t>
                </a:r>
                <a:endParaRPr lang="es-GT" sz="700">
                  <a:latin typeface="Times New Roman" panose="02020603050405020304" pitchFamily="18" charset="0"/>
                  <a:cs typeface="Times New Roman" panose="02020603050405020304" pitchFamily="18" charset="0"/>
                </a:endParaRPr>
              </a:p>
            </c:rich>
          </c:tx>
          <c:overlay val="0"/>
          <c:spPr>
            <a:noFill/>
            <a:ln>
              <a:noFill/>
            </a:ln>
            <a:effectLst/>
          </c:spPr>
        </c:title>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ES"/>
          </a:p>
        </c:txPr>
        <c:crossAx val="146929152"/>
        <c:crosses val="autoZero"/>
        <c:crossBetween val="between"/>
      </c:valAx>
      <c:valAx>
        <c:axId val="145823232"/>
        <c:scaling>
          <c:orientation val="minMax"/>
        </c:scaling>
        <c:delete val="0"/>
        <c:axPos val="r"/>
        <c:title>
          <c:tx>
            <c:rich>
              <a:bodyPr rot="-5400000" spcFirstLastPara="1" vertOverflow="ellipsis" vert="horz" wrap="square" anchor="ctr" anchorCtr="1"/>
              <a:lstStyle/>
              <a:p>
                <a:pPr>
                  <a:defRPr sz="7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s-GT" sz="700">
                    <a:latin typeface="Times New Roman" panose="02020603050405020304" pitchFamily="18" charset="0"/>
                    <a:cs typeface="Times New Roman" panose="02020603050405020304" pitchFamily="18" charset="0"/>
                  </a:rPr>
                  <a:t>Spread en porcentaje</a:t>
                </a:r>
              </a:p>
            </c:rich>
          </c:tx>
          <c:overlay val="0"/>
          <c:spPr>
            <a:noFill/>
            <a:ln>
              <a:noFill/>
            </a:ln>
            <a:effectLst/>
          </c:spPr>
        </c:title>
        <c:numFmt formatCode="0.0" sourceLinked="1"/>
        <c:majorTickMark val="out"/>
        <c:minorTickMark val="none"/>
        <c:tickLblPos val="nextTo"/>
        <c:spPr>
          <a:noFill/>
          <a:ln>
            <a:noFill/>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endParaRPr lang="es-ES"/>
          </a:p>
        </c:txPr>
        <c:crossAx val="145825152"/>
        <c:crosses val="max"/>
        <c:crossBetween val="between"/>
        <c:majorUnit val="0.2"/>
      </c:valAx>
      <c:catAx>
        <c:axId val="145825152"/>
        <c:scaling>
          <c:orientation val="minMax"/>
        </c:scaling>
        <c:delete val="1"/>
        <c:axPos val="b"/>
        <c:majorTickMark val="out"/>
        <c:minorTickMark val="none"/>
        <c:tickLblPos val="nextTo"/>
        <c:crossAx val="145823232"/>
        <c:crosses val="autoZero"/>
        <c:auto val="1"/>
        <c:lblAlgn val="ctr"/>
        <c:lblOffset val="100"/>
        <c:noMultiLvlLbl val="0"/>
      </c:catAx>
      <c:spPr>
        <a:noFill/>
        <a:ln>
          <a:noFill/>
        </a:ln>
        <a:effectLst/>
      </c:spPr>
    </c:plotArea>
    <c:legend>
      <c:legendPos val="b"/>
      <c:layout>
        <c:manualLayout>
          <c:xMode val="edge"/>
          <c:yMode val="edge"/>
          <c:x val="2.9008939581383782E-2"/>
          <c:y val="0.89074399707130292"/>
          <c:w val="0.91646801153478841"/>
          <c:h val="8.8931165617416943E-2"/>
        </c:manualLayout>
      </c:layout>
      <c:overlay val="0"/>
      <c:spPr>
        <a:noFill/>
        <a:ln>
          <a:noFill/>
        </a:ln>
        <a:effectLst/>
      </c:spPr>
      <c:txPr>
        <a:bodyPr rot="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endParaRPr lang="es-ES"/>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pPr>
      <a:endParaRPr lang="es-ES"/>
    </a:p>
  </c:txPr>
  <c:externalData r:id="rId1">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fiscal!$A$18</c:f>
              <c:strCache>
                <c:ptCount val="1"/>
                <c:pt idx="0">
                  <c:v>Ingresos totales</c:v>
                </c:pt>
              </c:strCache>
            </c:strRef>
          </c:tx>
          <c:spPr>
            <a:solidFill>
              <a:schemeClr val="accent4">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accent4">
                        <a:lumMod val="50000"/>
                      </a:schemeClr>
                    </a:solidFill>
                    <a:latin typeface="Times New Roman" panose="02020603050405020304" pitchFamily="18" charset="0"/>
                    <a:ea typeface="+mn-ea"/>
                    <a:cs typeface="Times New Roman" panose="02020603050405020304" pitchFamily="18" charset="0"/>
                  </a:defRPr>
                </a:pPr>
                <a:endParaRPr lang="es-E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fiscal!$B$17:$D$17</c:f>
              <c:numCache>
                <c:formatCode>General</c:formatCode>
                <c:ptCount val="3"/>
                <c:pt idx="0">
                  <c:v>2017</c:v>
                </c:pt>
                <c:pt idx="1">
                  <c:v>2018</c:v>
                </c:pt>
                <c:pt idx="2">
                  <c:v>2019</c:v>
                </c:pt>
              </c:numCache>
            </c:numRef>
          </c:cat>
          <c:val>
            <c:numRef>
              <c:f>fiscal!$B$40:$D$40</c:f>
              <c:numCache>
                <c:formatCode>0.0%</c:formatCode>
                <c:ptCount val="3"/>
                <c:pt idx="0">
                  <c:v>-5.0103585913085502E-3</c:v>
                </c:pt>
                <c:pt idx="1">
                  <c:v>-1.6397344806196035E-4</c:v>
                </c:pt>
                <c:pt idx="2">
                  <c:v>-3.5693377229570195E-3</c:v>
                </c:pt>
              </c:numCache>
            </c:numRef>
          </c:val>
          <c:extLst xmlns:c16r2="http://schemas.microsoft.com/office/drawing/2015/06/chart">
            <c:ext xmlns:c16="http://schemas.microsoft.com/office/drawing/2014/chart" uri="{C3380CC4-5D6E-409C-BE32-E72D297353CC}">
              <c16:uniqueId val="{00000000-40AD-4E78-A2A7-20A5AEFE441F}"/>
            </c:ext>
          </c:extLst>
        </c:ser>
        <c:ser>
          <c:idx val="1"/>
          <c:order val="1"/>
          <c:tx>
            <c:strRef>
              <c:f>fiscal!$A$19</c:f>
              <c:strCache>
                <c:ptCount val="1"/>
                <c:pt idx="0">
                  <c:v>Ingresos tributarios</c:v>
                </c:pt>
              </c:strCache>
            </c:strRef>
          </c:tx>
          <c:spPr>
            <a:solidFill>
              <a:schemeClr val="accent6">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accent6">
                        <a:lumMod val="75000"/>
                      </a:schemeClr>
                    </a:solidFill>
                    <a:latin typeface="Times New Roman" panose="02020603050405020304" pitchFamily="18" charset="0"/>
                    <a:ea typeface="+mn-ea"/>
                    <a:cs typeface="Times New Roman" panose="02020603050405020304" pitchFamily="18" charset="0"/>
                  </a:defRPr>
                </a:pPr>
                <a:endParaRPr lang="es-E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fiscal!$B$17:$D$17</c:f>
              <c:numCache>
                <c:formatCode>General</c:formatCode>
                <c:ptCount val="3"/>
                <c:pt idx="0">
                  <c:v>2017</c:v>
                </c:pt>
                <c:pt idx="1">
                  <c:v>2018</c:v>
                </c:pt>
                <c:pt idx="2">
                  <c:v>2019</c:v>
                </c:pt>
              </c:numCache>
            </c:numRef>
          </c:cat>
          <c:val>
            <c:numRef>
              <c:f>fiscal!$B$41:$D$41</c:f>
              <c:numCache>
                <c:formatCode>0.0%</c:formatCode>
                <c:ptCount val="3"/>
                <c:pt idx="0">
                  <c:v>-2.9065663474410058E-3</c:v>
                </c:pt>
                <c:pt idx="1">
                  <c:v>1.5292965856054386E-3</c:v>
                </c:pt>
                <c:pt idx="2">
                  <c:v>-2.4290342474280191E-3</c:v>
                </c:pt>
              </c:numCache>
            </c:numRef>
          </c:val>
          <c:extLst xmlns:c16r2="http://schemas.microsoft.com/office/drawing/2015/06/chart">
            <c:ext xmlns:c16="http://schemas.microsoft.com/office/drawing/2014/chart" uri="{C3380CC4-5D6E-409C-BE32-E72D297353CC}">
              <c16:uniqueId val="{00000001-40AD-4E78-A2A7-20A5AEFE441F}"/>
            </c:ext>
          </c:extLst>
        </c:ser>
        <c:ser>
          <c:idx val="2"/>
          <c:order val="2"/>
          <c:tx>
            <c:strRef>
              <c:f>fiscal!$A$20</c:f>
              <c:strCache>
                <c:ptCount val="1"/>
                <c:pt idx="0">
                  <c:v>Gasto</c:v>
                </c:pt>
              </c:strCache>
            </c:strRef>
          </c:tx>
          <c:spPr>
            <a:solidFill>
              <a:schemeClr val="accent5">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rgbClr val="002060"/>
                    </a:solidFill>
                    <a:latin typeface="Times New Roman" panose="02020603050405020304" pitchFamily="18" charset="0"/>
                    <a:ea typeface="+mn-ea"/>
                    <a:cs typeface="Times New Roman" panose="02020603050405020304" pitchFamily="18" charset="0"/>
                  </a:defRPr>
                </a:pPr>
                <a:endParaRPr lang="es-E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fiscal!$B$17:$D$17</c:f>
              <c:numCache>
                <c:formatCode>General</c:formatCode>
                <c:ptCount val="3"/>
                <c:pt idx="0">
                  <c:v>2017</c:v>
                </c:pt>
                <c:pt idx="1">
                  <c:v>2018</c:v>
                </c:pt>
                <c:pt idx="2">
                  <c:v>2019</c:v>
                </c:pt>
              </c:numCache>
            </c:numRef>
          </c:cat>
          <c:val>
            <c:numRef>
              <c:f>fiscal!$B$42:$D$42</c:f>
              <c:numCache>
                <c:formatCode>0.0%</c:formatCode>
                <c:ptCount val="3"/>
                <c:pt idx="0">
                  <c:v>-1.1853048656956522E-2</c:v>
                </c:pt>
                <c:pt idx="1">
                  <c:v>-5.6574903563905987E-3</c:v>
                </c:pt>
                <c:pt idx="2">
                  <c:v>-8.6702112797980568E-3</c:v>
                </c:pt>
              </c:numCache>
            </c:numRef>
          </c:val>
          <c:extLst xmlns:c16r2="http://schemas.microsoft.com/office/drawing/2015/06/chart">
            <c:ext xmlns:c16="http://schemas.microsoft.com/office/drawing/2014/chart" uri="{C3380CC4-5D6E-409C-BE32-E72D297353CC}">
              <c16:uniqueId val="{00000002-40AD-4E78-A2A7-20A5AEFE441F}"/>
            </c:ext>
          </c:extLst>
        </c:ser>
        <c:dLbls>
          <c:showLegendKey val="0"/>
          <c:showVal val="0"/>
          <c:showCatName val="0"/>
          <c:showSerName val="0"/>
          <c:showPercent val="0"/>
          <c:showBubbleSize val="0"/>
        </c:dLbls>
        <c:gapWidth val="100"/>
        <c:overlap val="-27"/>
        <c:axId val="146604032"/>
        <c:axId val="146605568"/>
      </c:barChart>
      <c:catAx>
        <c:axId val="146604032"/>
        <c:scaling>
          <c:orientation val="minMax"/>
        </c:scaling>
        <c:delete val="0"/>
        <c:axPos val="b"/>
        <c:numFmt formatCode="General" sourceLinked="1"/>
        <c:majorTickMark val="none"/>
        <c:minorTickMark val="none"/>
        <c:tickLblPos val="low"/>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s-ES"/>
          </a:p>
        </c:txPr>
        <c:crossAx val="146605568"/>
        <c:crosses val="autoZero"/>
        <c:auto val="1"/>
        <c:lblAlgn val="ctr"/>
        <c:lblOffset val="100"/>
        <c:noMultiLvlLbl val="0"/>
      </c:catAx>
      <c:valAx>
        <c:axId val="146605568"/>
        <c:scaling>
          <c:orientation val="minMax"/>
        </c:scaling>
        <c:delete val="1"/>
        <c:axPos val="l"/>
        <c:majorGridlines>
          <c:spPr>
            <a:ln w="9525" cap="flat" cmpd="sng" algn="ctr">
              <a:solidFill>
                <a:schemeClr val="tx1">
                  <a:lumMod val="95000"/>
                  <a:lumOff val="5000"/>
                  <a:alpha val="5000"/>
                </a:schemeClr>
              </a:solidFill>
              <a:round/>
            </a:ln>
            <a:effectLst/>
          </c:spPr>
        </c:majorGridlines>
        <c:numFmt formatCode="0.0%" sourceLinked="1"/>
        <c:majorTickMark val="none"/>
        <c:minorTickMark val="none"/>
        <c:tickLblPos val="nextTo"/>
        <c:crossAx val="14660403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ES"/>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pPr>
      <a:endParaRPr lang="es-ES"/>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3708148519988611"/>
          <c:y val="4.0315436880873759E-2"/>
          <c:w val="0.83772003968253972"/>
          <c:h val="0.70691349206349219"/>
        </c:manualLayout>
      </c:layout>
      <c:lineChart>
        <c:grouping val="standard"/>
        <c:varyColors val="0"/>
        <c:ser>
          <c:idx val="0"/>
          <c:order val="0"/>
          <c:tx>
            <c:strRef>
              <c:f>'2020'!$L$7</c:f>
              <c:strCache>
                <c:ptCount val="1"/>
                <c:pt idx="0">
                  <c:v>Mundo</c:v>
                </c:pt>
              </c:strCache>
            </c:strRef>
          </c:tx>
          <c:spPr>
            <a:ln w="31750" cap="rnd">
              <a:solidFill>
                <a:srgbClr val="C00000"/>
              </a:solidFill>
              <a:round/>
              <a:headEnd type="none"/>
              <a:tailEnd type="none" w="lg" len="lg"/>
            </a:ln>
            <a:effectLst/>
          </c:spPr>
          <c:marker>
            <c:symbol val="diamond"/>
            <c:size val="5"/>
            <c:spPr>
              <a:solidFill>
                <a:srgbClr val="C00000"/>
              </a:solidFill>
              <a:ln w="9525">
                <a:solidFill>
                  <a:srgbClr val="C00000"/>
                </a:solidFill>
              </a:ln>
              <a:effectLst/>
            </c:spPr>
          </c:marker>
          <c:dPt>
            <c:idx val="1"/>
            <c:bubble3D val="0"/>
            <c:extLst xmlns:c16r2="http://schemas.microsoft.com/office/drawing/2015/06/chart">
              <c:ext xmlns:c16="http://schemas.microsoft.com/office/drawing/2014/chart" uri="{C3380CC4-5D6E-409C-BE32-E72D297353CC}">
                <c16:uniqueId val="{00000001-B61B-4E19-9B85-21B09019E85A}"/>
              </c:ext>
            </c:extLst>
          </c:dPt>
          <c:dPt>
            <c:idx val="2"/>
            <c:bubble3D val="0"/>
            <c:extLst xmlns:c16r2="http://schemas.microsoft.com/office/drawing/2015/06/chart">
              <c:ext xmlns:c16="http://schemas.microsoft.com/office/drawing/2014/chart" uri="{C3380CC4-5D6E-409C-BE32-E72D297353CC}">
                <c16:uniqueId val="{00000003-B61B-4E19-9B85-21B09019E85A}"/>
              </c:ext>
            </c:extLst>
          </c:dPt>
          <c:dLbls>
            <c:dLbl>
              <c:idx val="0"/>
              <c:dLblPos val="l"/>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4-B61B-4E19-9B85-21B09019E85A}"/>
                </c:ext>
              </c:extLst>
            </c:dLbl>
            <c:dLbl>
              <c:idx val="1"/>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B61B-4E19-9B85-21B09019E85A}"/>
                </c:ext>
              </c:extLst>
            </c:dLbl>
            <c:dLbl>
              <c:idx val="2"/>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B61B-4E19-9B85-21B09019E85A}"/>
                </c:ext>
              </c:extLst>
            </c:dLbl>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rgbClr val="C00000"/>
                    </a:solidFill>
                    <a:latin typeface="Times New Roman" panose="02020603050405020304" pitchFamily="18" charset="0"/>
                    <a:ea typeface="+mn-ea"/>
                    <a:cs typeface="Times New Roman" panose="02020603050405020304" pitchFamily="18" charset="0"/>
                  </a:defRPr>
                </a:pPr>
                <a:endParaRPr lang="es-E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'2020'!$M$6:$P$6</c:f>
              <c:strCache>
                <c:ptCount val="4"/>
                <c:pt idx="0">
                  <c:v>WEO 10/2019</c:v>
                </c:pt>
                <c:pt idx="1">
                  <c:v> WEO 01/2020
</c:v>
                </c:pt>
                <c:pt idx="2">
                  <c:v> WEO 04/2020
</c:v>
                </c:pt>
                <c:pt idx="3">
                  <c:v> WEO 06/2020
</c:v>
                </c:pt>
              </c:strCache>
            </c:strRef>
          </c:cat>
          <c:val>
            <c:numRef>
              <c:f>'2020'!$M$7:$P$7</c:f>
              <c:numCache>
                <c:formatCode>0.0</c:formatCode>
                <c:ptCount val="4"/>
                <c:pt idx="0">
                  <c:v>3.4000000000000004</c:v>
                </c:pt>
                <c:pt idx="1">
                  <c:v>3.3000000000000003</c:v>
                </c:pt>
                <c:pt idx="2">
                  <c:v>-3</c:v>
                </c:pt>
                <c:pt idx="3">
                  <c:v>-4.9000000000000004</c:v>
                </c:pt>
              </c:numCache>
            </c:numRef>
          </c:val>
          <c:smooth val="1"/>
          <c:extLst xmlns:c16r2="http://schemas.microsoft.com/office/drawing/2015/06/chart">
            <c:ext xmlns:c16="http://schemas.microsoft.com/office/drawing/2014/chart" uri="{C3380CC4-5D6E-409C-BE32-E72D297353CC}">
              <c16:uniqueId val="{00000005-B61B-4E19-9B85-21B09019E85A}"/>
            </c:ext>
          </c:extLst>
        </c:ser>
        <c:ser>
          <c:idx val="1"/>
          <c:order val="1"/>
          <c:tx>
            <c:strRef>
              <c:f>'2020'!$L$8</c:f>
              <c:strCache>
                <c:ptCount val="1"/>
                <c:pt idx="0">
                  <c:v>Economias Avanzadas</c:v>
                </c:pt>
              </c:strCache>
            </c:strRef>
          </c:tx>
          <c:spPr>
            <a:ln w="31750" cap="rnd">
              <a:solidFill>
                <a:schemeClr val="accent2"/>
              </a:solidFill>
              <a:round/>
            </a:ln>
            <a:effectLst/>
          </c:spPr>
          <c:marker>
            <c:symbol val="diamond"/>
            <c:size val="5"/>
            <c:spPr>
              <a:solidFill>
                <a:schemeClr val="accent2"/>
              </a:solidFill>
              <a:ln w="9525">
                <a:solidFill>
                  <a:schemeClr val="accent2"/>
                </a:solidFill>
              </a:ln>
              <a:effectLst/>
            </c:spPr>
          </c:marker>
          <c:dLbls>
            <c:dLbl>
              <c:idx val="0"/>
              <c:layout>
                <c:manualLayout>
                  <c:x val="-6.6873280628254608E-2"/>
                  <c:y val="4.4504064008128015E-2"/>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6-B61B-4E19-9B85-21B09019E85A}"/>
                </c:ext>
              </c:extLst>
            </c:dLbl>
            <c:dLbl>
              <c:idx val="3"/>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7-B61B-4E19-9B85-21B09019E85A}"/>
                </c:ext>
              </c:extLst>
            </c:dLbl>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accent2"/>
                    </a:solidFill>
                    <a:latin typeface="Times New Roman" panose="02020603050405020304" pitchFamily="18" charset="0"/>
                    <a:ea typeface="+mn-ea"/>
                    <a:cs typeface="Times New Roman" panose="02020603050405020304" pitchFamily="18" charset="0"/>
                  </a:defRPr>
                </a:pPr>
                <a:endParaRPr lang="es-ES"/>
              </a:p>
            </c:txPr>
            <c:showLegendKey val="0"/>
            <c:showVal val="0"/>
            <c:showCatName val="0"/>
            <c:showSerName val="0"/>
            <c:showPercent val="0"/>
            <c:showBubbleSize val="0"/>
            <c:extLst xmlns:c16r2="http://schemas.microsoft.com/office/drawing/2015/06/chart">
              <c:ext xmlns:c15="http://schemas.microsoft.com/office/drawing/2012/chart" uri="{CE6537A1-D6FC-4f65-9D91-7224C49458BB}">
                <c15:showLeaderLines val="0"/>
              </c:ext>
            </c:extLst>
          </c:dLbls>
          <c:val>
            <c:numRef>
              <c:f>'2020'!$M$8:$P$8</c:f>
              <c:numCache>
                <c:formatCode>0.0</c:formatCode>
                <c:ptCount val="4"/>
                <c:pt idx="0">
                  <c:v>1.7</c:v>
                </c:pt>
                <c:pt idx="1">
                  <c:v>1.6</c:v>
                </c:pt>
                <c:pt idx="2">
                  <c:v>-6.1</c:v>
                </c:pt>
                <c:pt idx="3">
                  <c:v>-8</c:v>
                </c:pt>
              </c:numCache>
            </c:numRef>
          </c:val>
          <c:smooth val="1"/>
          <c:extLst xmlns:c16r2="http://schemas.microsoft.com/office/drawing/2015/06/chart">
            <c:ext xmlns:c16="http://schemas.microsoft.com/office/drawing/2014/chart" uri="{C3380CC4-5D6E-409C-BE32-E72D297353CC}">
              <c16:uniqueId val="{00000008-B61B-4E19-9B85-21B09019E85A}"/>
            </c:ext>
          </c:extLst>
        </c:ser>
        <c:ser>
          <c:idx val="3"/>
          <c:order val="2"/>
          <c:tx>
            <c:strRef>
              <c:f>'2020'!$L$11</c:f>
              <c:strCache>
                <c:ptCount val="1"/>
                <c:pt idx="0">
                  <c:v>Economias Emergentes y en Desarrollo</c:v>
                </c:pt>
              </c:strCache>
            </c:strRef>
          </c:tx>
          <c:spPr>
            <a:ln w="31750" cap="rnd">
              <a:solidFill>
                <a:srgbClr val="002060"/>
              </a:solidFill>
              <a:round/>
            </a:ln>
            <a:effectLst/>
          </c:spPr>
          <c:marker>
            <c:symbol val="diamond"/>
            <c:size val="5"/>
            <c:spPr>
              <a:solidFill>
                <a:srgbClr val="002060"/>
              </a:solidFill>
              <a:ln w="9525">
                <a:noFill/>
              </a:ln>
              <a:effectLst/>
            </c:spPr>
          </c:marker>
          <c:dLbls>
            <c:dLbl>
              <c:idx val="0"/>
              <c:dLblPos val="l"/>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9-B61B-4E19-9B85-21B09019E85A}"/>
                </c:ext>
              </c:extLst>
            </c:dLbl>
            <c:dLbl>
              <c:idx val="3"/>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A-B61B-4E19-9B85-21B09019E85A}"/>
                </c:ext>
              </c:extLst>
            </c:dLbl>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rgbClr val="002060"/>
                    </a:solidFill>
                    <a:latin typeface="Times New Roman" panose="02020603050405020304" pitchFamily="18" charset="0"/>
                    <a:ea typeface="+mn-ea"/>
                    <a:cs typeface="Times New Roman" panose="02020603050405020304" pitchFamily="18" charset="0"/>
                  </a:defRPr>
                </a:pPr>
                <a:endParaRPr lang="es-ES"/>
              </a:p>
            </c:txPr>
            <c:showLegendKey val="0"/>
            <c:showVal val="0"/>
            <c:showCatName val="0"/>
            <c:showSerName val="0"/>
            <c:showPercent val="0"/>
            <c:showBubbleSize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'2020'!$M$11:$P$11</c:f>
              <c:numCache>
                <c:formatCode>General</c:formatCode>
                <c:ptCount val="4"/>
                <c:pt idx="0">
                  <c:v>4.5999999999999996</c:v>
                </c:pt>
                <c:pt idx="1">
                  <c:v>4.4000000000000004</c:v>
                </c:pt>
                <c:pt idx="2" formatCode="0.0">
                  <c:v>-1</c:v>
                </c:pt>
                <c:pt idx="3" formatCode="0.0">
                  <c:v>-3</c:v>
                </c:pt>
              </c:numCache>
            </c:numRef>
          </c:val>
          <c:smooth val="1"/>
          <c:extLst xmlns:c16r2="http://schemas.microsoft.com/office/drawing/2015/06/chart">
            <c:ext xmlns:c16="http://schemas.microsoft.com/office/drawing/2014/chart" uri="{C3380CC4-5D6E-409C-BE32-E72D297353CC}">
              <c16:uniqueId val="{0000000B-B61B-4E19-9B85-21B09019E85A}"/>
            </c:ext>
          </c:extLst>
        </c:ser>
        <c:ser>
          <c:idx val="2"/>
          <c:order val="3"/>
          <c:tx>
            <c:strRef>
              <c:f>'2020'!$L$12</c:f>
              <c:strCache>
                <c:ptCount val="1"/>
                <c:pt idx="0">
                  <c:v>Latinoamérica y el Cáribe</c:v>
                </c:pt>
              </c:strCache>
            </c:strRef>
          </c:tx>
          <c:spPr>
            <a:ln w="31750" cap="rnd">
              <a:solidFill>
                <a:schemeClr val="accent6">
                  <a:lumMod val="75000"/>
                </a:schemeClr>
              </a:solidFill>
              <a:round/>
            </a:ln>
            <a:effectLst/>
          </c:spPr>
          <c:marker>
            <c:symbol val="diamond"/>
            <c:size val="5"/>
            <c:spPr>
              <a:solidFill>
                <a:schemeClr val="accent6">
                  <a:lumMod val="75000"/>
                </a:schemeClr>
              </a:solidFill>
              <a:ln w="9525">
                <a:noFill/>
              </a:ln>
              <a:effectLst/>
            </c:spPr>
          </c:marker>
          <c:dLbls>
            <c:dLbl>
              <c:idx val="0"/>
              <c:dLblPos val="l"/>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C-B61B-4E19-9B85-21B09019E85A}"/>
                </c:ext>
              </c:extLst>
            </c:dLbl>
            <c:dLbl>
              <c:idx val="3"/>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D-B61B-4E19-9B85-21B09019E85A}"/>
                </c:ext>
              </c:extLst>
            </c:dLbl>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accent6">
                        <a:lumMod val="75000"/>
                      </a:schemeClr>
                    </a:solidFill>
                    <a:latin typeface="Times New Roman" panose="02020603050405020304" pitchFamily="18" charset="0"/>
                    <a:ea typeface="+mn-ea"/>
                    <a:cs typeface="Times New Roman" panose="02020603050405020304" pitchFamily="18" charset="0"/>
                  </a:defRPr>
                </a:pPr>
                <a:endParaRPr lang="es-ES"/>
              </a:p>
            </c:txPr>
            <c:dLblPos val="l"/>
            <c:showLegendKey val="0"/>
            <c:showVal val="0"/>
            <c:showCatName val="0"/>
            <c:showSerName val="0"/>
            <c:showPercent val="0"/>
            <c:showBubbleSize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'2020'!$M$12:$P$12</c:f>
              <c:numCache>
                <c:formatCode>0.0</c:formatCode>
                <c:ptCount val="4"/>
                <c:pt idx="0">
                  <c:v>1.8</c:v>
                </c:pt>
                <c:pt idx="1">
                  <c:v>1.6</c:v>
                </c:pt>
                <c:pt idx="2">
                  <c:v>-5.2</c:v>
                </c:pt>
                <c:pt idx="3">
                  <c:v>-9.4</c:v>
                </c:pt>
              </c:numCache>
            </c:numRef>
          </c:val>
          <c:smooth val="1"/>
          <c:extLst xmlns:c16r2="http://schemas.microsoft.com/office/drawing/2015/06/chart">
            <c:ext xmlns:c16="http://schemas.microsoft.com/office/drawing/2014/chart" uri="{C3380CC4-5D6E-409C-BE32-E72D297353CC}">
              <c16:uniqueId val="{0000000E-B61B-4E19-9B85-21B09019E85A}"/>
            </c:ext>
          </c:extLst>
        </c:ser>
        <c:dLbls>
          <c:showLegendKey val="0"/>
          <c:showVal val="0"/>
          <c:showCatName val="0"/>
          <c:showSerName val="0"/>
          <c:showPercent val="0"/>
          <c:showBubbleSize val="0"/>
        </c:dLbls>
        <c:marker val="1"/>
        <c:smooth val="0"/>
        <c:axId val="145499648"/>
        <c:axId val="145501184"/>
      </c:lineChart>
      <c:catAx>
        <c:axId val="145499648"/>
        <c:scaling>
          <c:orientation val="minMax"/>
        </c:scaling>
        <c:delete val="0"/>
        <c:axPos val="b"/>
        <c:numFmt formatCode="General" sourceLinked="1"/>
        <c:majorTickMark val="none"/>
        <c:minorTickMark val="none"/>
        <c:tickLblPos val="low"/>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ES"/>
          </a:p>
        </c:txPr>
        <c:crossAx val="145501184"/>
        <c:crosses val="autoZero"/>
        <c:auto val="1"/>
        <c:lblAlgn val="ctr"/>
        <c:lblOffset val="100"/>
        <c:noMultiLvlLbl val="0"/>
      </c:catAx>
      <c:valAx>
        <c:axId val="145501184"/>
        <c:scaling>
          <c:orientation val="minMax"/>
        </c:scaling>
        <c:delete val="0"/>
        <c:axPos val="l"/>
        <c:majorGridlines>
          <c:spPr>
            <a:ln w="9525" cap="flat" cmpd="sng" algn="ctr">
              <a:no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s-GT"/>
                  <a:t>En porcentaje</a:t>
                </a:r>
              </a:p>
            </c:rich>
          </c:tx>
          <c:layout>
            <c:manualLayout>
              <c:xMode val="edge"/>
              <c:yMode val="edge"/>
              <c:x val="2.3518518518518518E-2"/>
              <c:y val="0.29256055555555555"/>
            </c:manualLayout>
          </c:layout>
          <c:overlay val="0"/>
          <c:spPr>
            <a:noFill/>
            <a:ln>
              <a:noFill/>
            </a:ln>
            <a:effectLst/>
          </c:spPr>
        </c:title>
        <c:numFmt formatCode="0.0"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ES"/>
          </a:p>
        </c:txPr>
        <c:crossAx val="145499648"/>
        <c:crosses val="autoZero"/>
        <c:crossBetween val="between"/>
        <c:majorUnit val="4"/>
      </c:valAx>
      <c:spPr>
        <a:noFill/>
        <a:ln>
          <a:noFill/>
        </a:ln>
        <a:effectLst/>
      </c:spPr>
    </c:plotArea>
    <c:legend>
      <c:legendPos val="b"/>
      <c:layout>
        <c:manualLayout>
          <c:xMode val="edge"/>
          <c:yMode val="edge"/>
          <c:x val="4.0628016496048108E-2"/>
          <c:y val="0.84503706819913638"/>
          <c:w val="0.95937192210054889"/>
          <c:h val="0.10095317460317461"/>
        </c:manualLayout>
      </c:layout>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ES"/>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latin typeface="Times New Roman" panose="02020603050405020304" pitchFamily="18" charset="0"/>
          <a:cs typeface="Times New Roman" panose="02020603050405020304" pitchFamily="18" charset="0"/>
        </a:defRPr>
      </a:pPr>
      <a:endParaRPr lang="es-ES"/>
    </a:p>
  </c:txPr>
  <c:externalData r:id="rId1">
    <c:autoUpdate val="0"/>
  </c:externalData>
  <c:userShapes r:id="rId2"/>
</c:chartSpace>
</file>

<file path=word/charts/chart20.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2"/>
          <c:order val="0"/>
          <c:tx>
            <c:strRef>
              <c:f>fiscal!$A$21</c:f>
              <c:strCache>
                <c:ptCount val="1"/>
                <c:pt idx="0">
                  <c:v>Déficit fiscal</c:v>
                </c:pt>
              </c:strCache>
            </c:strRef>
          </c:tx>
          <c:spPr>
            <a:solidFill>
              <a:srgbClr val="F2A29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rgbClr val="C00000"/>
                    </a:solidFill>
                    <a:latin typeface="Times New Roman" panose="02020603050405020304" pitchFamily="18" charset="0"/>
                    <a:ea typeface="+mn-ea"/>
                    <a:cs typeface="Times New Roman" panose="02020603050405020304" pitchFamily="18" charset="0"/>
                  </a:defRPr>
                </a:pPr>
                <a:endParaRPr lang="es-E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fiscal!$B$17:$D$17</c:f>
              <c:numCache>
                <c:formatCode>General</c:formatCode>
                <c:ptCount val="3"/>
                <c:pt idx="0">
                  <c:v>2017</c:v>
                </c:pt>
                <c:pt idx="1">
                  <c:v>2018</c:v>
                </c:pt>
                <c:pt idx="2">
                  <c:v>2019</c:v>
                </c:pt>
              </c:numCache>
            </c:numRef>
          </c:cat>
          <c:val>
            <c:numRef>
              <c:f>fiscal!$B$43:$D$43</c:f>
              <c:numCache>
                <c:formatCode>0.0%</c:formatCode>
                <c:ptCount val="3"/>
                <c:pt idx="0">
                  <c:v>6.8426900656479647E-3</c:v>
                </c:pt>
                <c:pt idx="1">
                  <c:v>5.4935169083286661E-3</c:v>
                </c:pt>
                <c:pt idx="2">
                  <c:v>5.1008735568410478E-3</c:v>
                </c:pt>
              </c:numCache>
            </c:numRef>
          </c:val>
          <c:extLst xmlns:c16r2="http://schemas.microsoft.com/office/drawing/2015/06/chart">
            <c:ext xmlns:c16="http://schemas.microsoft.com/office/drawing/2014/chart" uri="{C3380CC4-5D6E-409C-BE32-E72D297353CC}">
              <c16:uniqueId val="{00000000-1CE1-4EEC-A53C-8B25932BEBD9}"/>
            </c:ext>
          </c:extLst>
        </c:ser>
        <c:dLbls>
          <c:showLegendKey val="0"/>
          <c:showVal val="0"/>
          <c:showCatName val="0"/>
          <c:showSerName val="0"/>
          <c:showPercent val="0"/>
          <c:showBubbleSize val="0"/>
        </c:dLbls>
        <c:gapWidth val="150"/>
        <c:overlap val="-27"/>
        <c:axId val="145848960"/>
        <c:axId val="146653568"/>
      </c:barChart>
      <c:catAx>
        <c:axId val="145848960"/>
        <c:scaling>
          <c:orientation val="minMax"/>
        </c:scaling>
        <c:delete val="0"/>
        <c:axPos val="b"/>
        <c:numFmt formatCode="General" sourceLinked="1"/>
        <c:majorTickMark val="none"/>
        <c:minorTickMark val="none"/>
        <c:tickLblPos val="low"/>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ES"/>
          </a:p>
        </c:txPr>
        <c:crossAx val="146653568"/>
        <c:crosses val="autoZero"/>
        <c:auto val="1"/>
        <c:lblAlgn val="ctr"/>
        <c:lblOffset val="100"/>
        <c:noMultiLvlLbl val="0"/>
      </c:catAx>
      <c:valAx>
        <c:axId val="146653568"/>
        <c:scaling>
          <c:orientation val="minMax"/>
        </c:scaling>
        <c:delete val="1"/>
        <c:axPos val="l"/>
        <c:majorGridlines>
          <c:spPr>
            <a:ln w="9525" cap="flat" cmpd="sng" algn="ctr">
              <a:solidFill>
                <a:schemeClr val="tx1">
                  <a:lumMod val="95000"/>
                  <a:lumOff val="5000"/>
                  <a:alpha val="5000"/>
                </a:schemeClr>
              </a:solidFill>
              <a:round/>
            </a:ln>
            <a:effectLst/>
          </c:spPr>
        </c:majorGridlines>
        <c:numFmt formatCode="0.0%" sourceLinked="1"/>
        <c:majorTickMark val="none"/>
        <c:minorTickMark val="none"/>
        <c:tickLblPos val="nextTo"/>
        <c:crossAx val="145848960"/>
        <c:crosses val="autoZero"/>
        <c:crossBetween val="between"/>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pPr>
      <a:endParaRPr lang="es-ES"/>
    </a:p>
  </c:txPr>
  <c:externalData r:id="rId1">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8.3059126984126999E-2"/>
          <c:y val="5.8004875986046395E-2"/>
          <c:w val="0.85723840769903759"/>
          <c:h val="0.78472202338344066"/>
        </c:manualLayout>
      </c:layout>
      <c:scatterChart>
        <c:scatterStyle val="lineMarker"/>
        <c:varyColors val="0"/>
        <c:ser>
          <c:idx val="0"/>
          <c:order val="0"/>
          <c:tx>
            <c:strRef>
              <c:f>Data!$BL$276</c:f>
              <c:strCache>
                <c:ptCount val="1"/>
                <c:pt idx="0">
                  <c:v>PER</c:v>
                </c:pt>
              </c:strCache>
            </c:strRef>
          </c:tx>
          <c:spPr>
            <a:ln w="25400" cap="rnd">
              <a:noFill/>
              <a:round/>
            </a:ln>
            <a:effectLst/>
          </c:spPr>
          <c:marker>
            <c:symbol val="plus"/>
            <c:size val="9"/>
            <c:spPr>
              <a:noFill/>
              <a:ln w="19050">
                <a:solidFill>
                  <a:srgbClr val="002060"/>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ES"/>
              </a:p>
            </c:txPr>
            <c:dLblPos val="t"/>
            <c:showLegendKey val="0"/>
            <c:showVal val="0"/>
            <c:showCatName val="0"/>
            <c:showSerName val="1"/>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xVal>
            <c:numRef>
              <c:f>Data!$BM$276</c:f>
              <c:numCache>
                <c:formatCode>_(* #,##0_);_(* \(#,##0\);_(* "-"??_);_(@_)</c:formatCode>
                <c:ptCount val="1"/>
                <c:pt idx="0">
                  <c:v>6740</c:v>
                </c:pt>
              </c:numCache>
            </c:numRef>
          </c:xVal>
          <c:yVal>
            <c:numRef>
              <c:f>Data!$BN$276</c:f>
              <c:numCache>
                <c:formatCode>General</c:formatCode>
                <c:ptCount val="1"/>
                <c:pt idx="0">
                  <c:v>0</c:v>
                </c:pt>
              </c:numCache>
            </c:numRef>
          </c:yVal>
          <c:smooth val="0"/>
          <c:extLst xmlns:c16r2="http://schemas.microsoft.com/office/drawing/2015/06/chart">
            <c:ext xmlns:c16="http://schemas.microsoft.com/office/drawing/2014/chart" uri="{C3380CC4-5D6E-409C-BE32-E72D297353CC}">
              <c16:uniqueId val="{00000000-B2A2-4B2C-9E9A-70B739EC2D24}"/>
            </c:ext>
          </c:extLst>
        </c:ser>
        <c:ser>
          <c:idx val="2"/>
          <c:order val="1"/>
          <c:tx>
            <c:strRef>
              <c:f>Data!$BL$278</c:f>
              <c:strCache>
                <c:ptCount val="1"/>
                <c:pt idx="0">
                  <c:v>CRI</c:v>
                </c:pt>
              </c:strCache>
            </c:strRef>
          </c:tx>
          <c:spPr>
            <a:ln w="25400" cap="rnd">
              <a:noFill/>
              <a:round/>
            </a:ln>
            <a:effectLst/>
          </c:spPr>
          <c:marker>
            <c:symbol val="plus"/>
            <c:size val="9"/>
            <c:spPr>
              <a:noFill/>
              <a:ln w="19050">
                <a:solidFill>
                  <a:srgbClr val="002060"/>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ES"/>
              </a:p>
            </c:txPr>
            <c:dLblPos val="b"/>
            <c:showLegendKey val="0"/>
            <c:showVal val="0"/>
            <c:showCatName val="0"/>
            <c:showSerName val="1"/>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xVal>
            <c:numRef>
              <c:f>Data!$BM$278</c:f>
              <c:numCache>
                <c:formatCode>_(* #,##0_);_(* \(#,##0\);_(* "-"??_);_(@_)</c:formatCode>
                <c:ptCount val="1"/>
                <c:pt idx="0">
                  <c:v>11700</c:v>
                </c:pt>
              </c:numCache>
            </c:numRef>
          </c:xVal>
          <c:yVal>
            <c:numRef>
              <c:f>Data!$BN$278</c:f>
              <c:numCache>
                <c:formatCode>General</c:formatCode>
                <c:ptCount val="1"/>
                <c:pt idx="0">
                  <c:v>0</c:v>
                </c:pt>
              </c:numCache>
            </c:numRef>
          </c:yVal>
          <c:smooth val="0"/>
          <c:extLst xmlns:c16r2="http://schemas.microsoft.com/office/drawing/2015/06/chart">
            <c:ext xmlns:c16="http://schemas.microsoft.com/office/drawing/2014/chart" uri="{C3380CC4-5D6E-409C-BE32-E72D297353CC}">
              <c16:uniqueId val="{00000001-B2A2-4B2C-9E9A-70B739EC2D24}"/>
            </c:ext>
          </c:extLst>
        </c:ser>
        <c:ser>
          <c:idx val="3"/>
          <c:order val="2"/>
          <c:tx>
            <c:strRef>
              <c:f>Data!$BL$279</c:f>
              <c:strCache>
                <c:ptCount val="1"/>
                <c:pt idx="0">
                  <c:v>DOM</c:v>
                </c:pt>
              </c:strCache>
            </c:strRef>
          </c:tx>
          <c:spPr>
            <a:ln w="25400" cap="rnd">
              <a:noFill/>
              <a:round/>
            </a:ln>
            <a:effectLst/>
          </c:spPr>
          <c:marker>
            <c:symbol val="plus"/>
            <c:size val="9"/>
            <c:spPr>
              <a:noFill/>
              <a:ln w="19050">
                <a:solidFill>
                  <a:srgbClr val="002060"/>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ES"/>
              </a:p>
            </c:txPr>
            <c:dLblPos val="b"/>
            <c:showLegendKey val="0"/>
            <c:showVal val="0"/>
            <c:showCatName val="0"/>
            <c:showSerName val="1"/>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xVal>
            <c:numRef>
              <c:f>Data!$BM$279</c:f>
              <c:numCache>
                <c:formatCode>_(* #,##0_);_(* \(#,##0\);_(* "-"??_);_(@_)</c:formatCode>
                <c:ptCount val="1"/>
                <c:pt idx="0">
                  <c:v>8090</c:v>
                </c:pt>
              </c:numCache>
            </c:numRef>
          </c:xVal>
          <c:yVal>
            <c:numRef>
              <c:f>Data!$BN$279</c:f>
              <c:numCache>
                <c:formatCode>General</c:formatCode>
                <c:ptCount val="1"/>
                <c:pt idx="0">
                  <c:v>0</c:v>
                </c:pt>
              </c:numCache>
            </c:numRef>
          </c:yVal>
          <c:smooth val="0"/>
          <c:extLst xmlns:c16r2="http://schemas.microsoft.com/office/drawing/2015/06/chart">
            <c:ext xmlns:c16="http://schemas.microsoft.com/office/drawing/2014/chart" uri="{C3380CC4-5D6E-409C-BE32-E72D297353CC}">
              <c16:uniqueId val="{00000002-B2A2-4B2C-9E9A-70B739EC2D24}"/>
            </c:ext>
          </c:extLst>
        </c:ser>
        <c:ser>
          <c:idx val="4"/>
          <c:order val="3"/>
          <c:tx>
            <c:strRef>
              <c:f>Data!$BL$280</c:f>
              <c:strCache>
                <c:ptCount val="1"/>
                <c:pt idx="0">
                  <c:v>GUA</c:v>
                </c:pt>
              </c:strCache>
            </c:strRef>
          </c:tx>
          <c:spPr>
            <a:ln w="25400" cap="rnd">
              <a:solidFill>
                <a:srgbClr val="002060"/>
              </a:solidFill>
              <a:round/>
            </a:ln>
            <a:effectLst/>
          </c:spPr>
          <c:marker>
            <c:symbol val="plus"/>
            <c:size val="9"/>
            <c:spPr>
              <a:noFill/>
              <a:ln w="22225">
                <a:solidFill>
                  <a:srgbClr val="C00000"/>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ES"/>
              </a:p>
            </c:txPr>
            <c:dLblPos val="t"/>
            <c:showLegendKey val="0"/>
            <c:showVal val="0"/>
            <c:showCatName val="0"/>
            <c:showSerName val="1"/>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xVal>
            <c:numRef>
              <c:f>Data!$BM$280</c:f>
              <c:numCache>
                <c:formatCode>_(* #,##0_);_(* \(#,##0\);_(* "-"??_);_(@_)</c:formatCode>
                <c:ptCount val="1"/>
                <c:pt idx="0">
                  <c:v>4610</c:v>
                </c:pt>
              </c:numCache>
            </c:numRef>
          </c:xVal>
          <c:yVal>
            <c:numRef>
              <c:f>Data!$BN$280</c:f>
              <c:numCache>
                <c:formatCode>General</c:formatCode>
                <c:ptCount val="1"/>
                <c:pt idx="0">
                  <c:v>0</c:v>
                </c:pt>
              </c:numCache>
            </c:numRef>
          </c:yVal>
          <c:smooth val="0"/>
          <c:extLst xmlns:c16r2="http://schemas.microsoft.com/office/drawing/2015/06/chart">
            <c:ext xmlns:c16="http://schemas.microsoft.com/office/drawing/2014/chart" uri="{C3380CC4-5D6E-409C-BE32-E72D297353CC}">
              <c16:uniqueId val="{00000003-B2A2-4B2C-9E9A-70B739EC2D24}"/>
            </c:ext>
          </c:extLst>
        </c:ser>
        <c:ser>
          <c:idx val="5"/>
          <c:order val="4"/>
          <c:tx>
            <c:strRef>
              <c:f>Data!$BL$281</c:f>
              <c:strCache>
                <c:ptCount val="1"/>
                <c:pt idx="0">
                  <c:v>MEX</c:v>
                </c:pt>
              </c:strCache>
            </c:strRef>
          </c:tx>
          <c:spPr>
            <a:ln w="25400" cap="rnd">
              <a:noFill/>
              <a:round/>
            </a:ln>
            <a:effectLst/>
          </c:spPr>
          <c:marker>
            <c:symbol val="plus"/>
            <c:size val="9"/>
            <c:spPr>
              <a:noFill/>
              <a:ln w="19050">
                <a:solidFill>
                  <a:srgbClr val="002060"/>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ES"/>
              </a:p>
            </c:txPr>
            <c:dLblPos val="b"/>
            <c:showLegendKey val="0"/>
            <c:showVal val="0"/>
            <c:showCatName val="0"/>
            <c:showSerName val="1"/>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xVal>
            <c:numRef>
              <c:f>Data!$BM$281</c:f>
              <c:numCache>
                <c:formatCode>_(* #,##0_);_(* \(#,##0\);_(* "-"??_);_(@_)</c:formatCode>
                <c:ptCount val="1"/>
                <c:pt idx="0">
                  <c:v>9430</c:v>
                </c:pt>
              </c:numCache>
            </c:numRef>
          </c:xVal>
          <c:yVal>
            <c:numRef>
              <c:f>Data!$BN$281</c:f>
              <c:numCache>
                <c:formatCode>General</c:formatCode>
                <c:ptCount val="1"/>
                <c:pt idx="0">
                  <c:v>0</c:v>
                </c:pt>
              </c:numCache>
            </c:numRef>
          </c:yVal>
          <c:smooth val="0"/>
          <c:extLst xmlns:c16r2="http://schemas.microsoft.com/office/drawing/2015/06/chart">
            <c:ext xmlns:c16="http://schemas.microsoft.com/office/drawing/2014/chart" uri="{C3380CC4-5D6E-409C-BE32-E72D297353CC}">
              <c16:uniqueId val="{00000004-B2A2-4B2C-9E9A-70B739EC2D24}"/>
            </c:ext>
          </c:extLst>
        </c:ser>
        <c:ser>
          <c:idx val="6"/>
          <c:order val="5"/>
          <c:tx>
            <c:strRef>
              <c:f>Data!$BL$282</c:f>
              <c:strCache>
                <c:ptCount val="1"/>
                <c:pt idx="0">
                  <c:v>NIC</c:v>
                </c:pt>
              </c:strCache>
            </c:strRef>
          </c:tx>
          <c:spPr>
            <a:ln w="19050" cap="rnd">
              <a:solidFill>
                <a:srgbClr val="002060"/>
              </a:solidFill>
              <a:round/>
            </a:ln>
            <a:effectLst/>
          </c:spPr>
          <c:marker>
            <c:symbol val="plus"/>
            <c:size val="9"/>
            <c:spPr>
              <a:noFill/>
              <a:ln w="15875">
                <a:solidFill>
                  <a:srgbClr val="002060"/>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ES"/>
              </a:p>
            </c:txPr>
            <c:dLblPos val="t"/>
            <c:showLegendKey val="0"/>
            <c:showVal val="0"/>
            <c:showCatName val="0"/>
            <c:showSerName val="1"/>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xVal>
            <c:numRef>
              <c:f>Data!$BM$282</c:f>
              <c:numCache>
                <c:formatCode>_(* #,##0_);_(* \(#,##0\);_(* "-"??_);_(@_)</c:formatCode>
                <c:ptCount val="1"/>
                <c:pt idx="0">
                  <c:v>1910</c:v>
                </c:pt>
              </c:numCache>
            </c:numRef>
          </c:xVal>
          <c:yVal>
            <c:numRef>
              <c:f>Data!$BN$282</c:f>
              <c:numCache>
                <c:formatCode>General</c:formatCode>
                <c:ptCount val="1"/>
                <c:pt idx="0">
                  <c:v>0</c:v>
                </c:pt>
              </c:numCache>
            </c:numRef>
          </c:yVal>
          <c:smooth val="0"/>
          <c:extLst xmlns:c16r2="http://schemas.microsoft.com/office/drawing/2015/06/chart">
            <c:ext xmlns:c16="http://schemas.microsoft.com/office/drawing/2014/chart" uri="{C3380CC4-5D6E-409C-BE32-E72D297353CC}">
              <c16:uniqueId val="{00000005-B2A2-4B2C-9E9A-70B739EC2D24}"/>
            </c:ext>
          </c:extLst>
        </c:ser>
        <c:ser>
          <c:idx val="7"/>
          <c:order val="6"/>
          <c:tx>
            <c:strRef>
              <c:f>Data!$BL$283</c:f>
              <c:strCache>
                <c:ptCount val="1"/>
                <c:pt idx="0">
                  <c:v>PAN</c:v>
                </c:pt>
              </c:strCache>
            </c:strRef>
          </c:tx>
          <c:spPr>
            <a:ln w="25400" cap="rnd">
              <a:noFill/>
              <a:round/>
            </a:ln>
            <a:effectLst/>
          </c:spPr>
          <c:marker>
            <c:symbol val="plus"/>
            <c:size val="9"/>
            <c:spPr>
              <a:noFill/>
              <a:ln w="19050">
                <a:solidFill>
                  <a:srgbClr val="002060"/>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ES"/>
              </a:p>
            </c:txPr>
            <c:dLblPos val="t"/>
            <c:showLegendKey val="0"/>
            <c:showVal val="0"/>
            <c:showCatName val="0"/>
            <c:showSerName val="1"/>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xVal>
            <c:numRef>
              <c:f>Data!$BM$283</c:f>
              <c:numCache>
                <c:formatCode>_(* #,##0_);_(* \(#,##0\);_(* "-"??_);_(@_)</c:formatCode>
                <c:ptCount val="1"/>
                <c:pt idx="0">
                  <c:v>14950</c:v>
                </c:pt>
              </c:numCache>
            </c:numRef>
          </c:xVal>
          <c:yVal>
            <c:numRef>
              <c:f>Data!$BN$283</c:f>
              <c:numCache>
                <c:formatCode>General</c:formatCode>
                <c:ptCount val="1"/>
                <c:pt idx="0">
                  <c:v>0</c:v>
                </c:pt>
              </c:numCache>
            </c:numRef>
          </c:yVal>
          <c:smooth val="0"/>
          <c:extLst xmlns:c16r2="http://schemas.microsoft.com/office/drawing/2015/06/chart">
            <c:ext xmlns:c16="http://schemas.microsoft.com/office/drawing/2014/chart" uri="{C3380CC4-5D6E-409C-BE32-E72D297353CC}">
              <c16:uniqueId val="{00000006-B2A2-4B2C-9E9A-70B739EC2D24}"/>
            </c:ext>
          </c:extLst>
        </c:ser>
        <c:ser>
          <c:idx val="8"/>
          <c:order val="7"/>
          <c:tx>
            <c:strRef>
              <c:f>Data!$BL$284</c:f>
              <c:strCache>
                <c:ptCount val="1"/>
                <c:pt idx="0">
                  <c:v>SLV</c:v>
                </c:pt>
              </c:strCache>
            </c:strRef>
          </c:tx>
          <c:spPr>
            <a:ln w="25400" cap="rnd">
              <a:noFill/>
              <a:round/>
            </a:ln>
            <a:effectLst/>
          </c:spPr>
          <c:marker>
            <c:symbol val="plus"/>
            <c:size val="9"/>
            <c:spPr>
              <a:noFill/>
              <a:ln w="19050">
                <a:solidFill>
                  <a:srgbClr val="002060"/>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ES"/>
              </a:p>
            </c:txPr>
            <c:dLblPos val="b"/>
            <c:showLegendKey val="0"/>
            <c:showVal val="0"/>
            <c:showCatName val="0"/>
            <c:showSerName val="1"/>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xVal>
            <c:numRef>
              <c:f>Data!$BM$284</c:f>
              <c:numCache>
                <c:formatCode>_(* #,##0_);_(* \(#,##0\);_(* "-"??_);_(@_)</c:formatCode>
                <c:ptCount val="1"/>
                <c:pt idx="0">
                  <c:v>4000</c:v>
                </c:pt>
              </c:numCache>
            </c:numRef>
          </c:xVal>
          <c:yVal>
            <c:numRef>
              <c:f>Data!$BN$284</c:f>
              <c:numCache>
                <c:formatCode>General</c:formatCode>
                <c:ptCount val="1"/>
                <c:pt idx="0">
                  <c:v>0</c:v>
                </c:pt>
              </c:numCache>
            </c:numRef>
          </c:yVal>
          <c:smooth val="0"/>
          <c:extLst xmlns:c16r2="http://schemas.microsoft.com/office/drawing/2015/06/chart">
            <c:ext xmlns:c16="http://schemas.microsoft.com/office/drawing/2014/chart" uri="{C3380CC4-5D6E-409C-BE32-E72D297353CC}">
              <c16:uniqueId val="{00000007-B2A2-4B2C-9E9A-70B739EC2D24}"/>
            </c:ext>
          </c:extLst>
        </c:ser>
        <c:ser>
          <c:idx val="9"/>
          <c:order val="8"/>
          <c:tx>
            <c:strRef>
              <c:f>Data!$BL$285</c:f>
              <c:strCache>
                <c:ptCount val="1"/>
                <c:pt idx="0">
                  <c:v>BOL</c:v>
                </c:pt>
              </c:strCache>
            </c:strRef>
          </c:tx>
          <c:spPr>
            <a:ln w="19050" cap="rnd">
              <a:solidFill>
                <a:srgbClr val="002060"/>
              </a:solidFill>
              <a:round/>
            </a:ln>
            <a:effectLst/>
          </c:spPr>
          <c:marker>
            <c:symbol val="plus"/>
            <c:size val="9"/>
            <c:spPr>
              <a:noFill/>
              <a:ln w="15875">
                <a:solidFill>
                  <a:srgbClr val="002060"/>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ES"/>
              </a:p>
            </c:txPr>
            <c:dLblPos val="t"/>
            <c:showLegendKey val="0"/>
            <c:showVal val="0"/>
            <c:showCatName val="0"/>
            <c:showSerName val="1"/>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xVal>
            <c:numRef>
              <c:f>Data!$BM$285</c:f>
              <c:numCache>
                <c:formatCode>_(* #,##0_);_(* \(#,##0\);_(* "-"??_);_(@_)</c:formatCode>
                <c:ptCount val="1"/>
                <c:pt idx="0">
                  <c:v>3530</c:v>
                </c:pt>
              </c:numCache>
            </c:numRef>
          </c:xVal>
          <c:yVal>
            <c:numRef>
              <c:f>Data!$BN$285</c:f>
              <c:numCache>
                <c:formatCode>General</c:formatCode>
                <c:ptCount val="1"/>
                <c:pt idx="0">
                  <c:v>0</c:v>
                </c:pt>
              </c:numCache>
            </c:numRef>
          </c:yVal>
          <c:smooth val="0"/>
          <c:extLst xmlns:c16r2="http://schemas.microsoft.com/office/drawing/2015/06/chart">
            <c:ext xmlns:c16="http://schemas.microsoft.com/office/drawing/2014/chart" uri="{C3380CC4-5D6E-409C-BE32-E72D297353CC}">
              <c16:uniqueId val="{00000008-B2A2-4B2C-9E9A-70B739EC2D24}"/>
            </c:ext>
          </c:extLst>
        </c:ser>
        <c:ser>
          <c:idx val="10"/>
          <c:order val="9"/>
          <c:tx>
            <c:strRef>
              <c:f>Data!$BL$286</c:f>
              <c:strCache>
                <c:ptCount val="1"/>
                <c:pt idx="0">
                  <c:v>BRA</c:v>
                </c:pt>
              </c:strCache>
            </c:strRef>
          </c:tx>
          <c:spPr>
            <a:ln w="25400" cap="rnd">
              <a:noFill/>
              <a:round/>
            </a:ln>
            <a:effectLst/>
          </c:spPr>
          <c:marker>
            <c:symbol val="plus"/>
            <c:size val="9"/>
            <c:spPr>
              <a:noFill/>
              <a:ln w="19050">
                <a:solidFill>
                  <a:srgbClr val="002060"/>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ES"/>
              </a:p>
            </c:txPr>
            <c:dLblPos val="t"/>
            <c:showLegendKey val="0"/>
            <c:showVal val="0"/>
            <c:showCatName val="0"/>
            <c:showSerName val="1"/>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xVal>
            <c:numRef>
              <c:f>Data!$BM$286</c:f>
              <c:numCache>
                <c:formatCode>_(* #,##0_);_(* \(#,##0\);_(* "-"??_);_(@_)</c:formatCode>
                <c:ptCount val="1"/>
                <c:pt idx="0">
                  <c:v>9130</c:v>
                </c:pt>
              </c:numCache>
            </c:numRef>
          </c:xVal>
          <c:yVal>
            <c:numRef>
              <c:f>Data!$BN$286</c:f>
              <c:numCache>
                <c:formatCode>General</c:formatCode>
                <c:ptCount val="1"/>
                <c:pt idx="0">
                  <c:v>0</c:v>
                </c:pt>
              </c:numCache>
            </c:numRef>
          </c:yVal>
          <c:smooth val="0"/>
          <c:extLst xmlns:c16r2="http://schemas.microsoft.com/office/drawing/2015/06/chart">
            <c:ext xmlns:c16="http://schemas.microsoft.com/office/drawing/2014/chart" uri="{C3380CC4-5D6E-409C-BE32-E72D297353CC}">
              <c16:uniqueId val="{00000009-B2A2-4B2C-9E9A-70B739EC2D24}"/>
            </c:ext>
          </c:extLst>
        </c:ser>
        <c:ser>
          <c:idx val="11"/>
          <c:order val="10"/>
          <c:tx>
            <c:strRef>
              <c:f>Data!$BL$277</c:f>
              <c:strCache>
                <c:ptCount val="1"/>
                <c:pt idx="0">
                  <c:v>URY</c:v>
                </c:pt>
              </c:strCache>
            </c:strRef>
          </c:tx>
          <c:spPr>
            <a:ln w="25400" cap="rnd">
              <a:noFill/>
              <a:round/>
            </a:ln>
            <a:effectLst/>
          </c:spPr>
          <c:marker>
            <c:symbol val="plus"/>
            <c:size val="9"/>
            <c:spPr>
              <a:noFill/>
              <a:ln w="19050">
                <a:solidFill>
                  <a:srgbClr val="002060"/>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ES"/>
              </a:p>
            </c:txPr>
            <c:dLblPos val="t"/>
            <c:showLegendKey val="0"/>
            <c:showVal val="0"/>
            <c:showCatName val="0"/>
            <c:showSerName val="1"/>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xVal>
            <c:numRef>
              <c:f>Data!$BM$277</c:f>
              <c:numCache>
                <c:formatCode>_(* #,##0_);_(* \(#,##0\);_(* "-"??_);_(@_)</c:formatCode>
                <c:ptCount val="1"/>
                <c:pt idx="0">
                  <c:v>16230</c:v>
                </c:pt>
              </c:numCache>
            </c:numRef>
          </c:xVal>
          <c:yVal>
            <c:numRef>
              <c:f>Data!$BN$277</c:f>
              <c:numCache>
                <c:formatCode>General</c:formatCode>
                <c:ptCount val="1"/>
                <c:pt idx="0">
                  <c:v>0</c:v>
                </c:pt>
              </c:numCache>
            </c:numRef>
          </c:yVal>
          <c:smooth val="0"/>
          <c:extLst xmlns:c16r2="http://schemas.microsoft.com/office/drawing/2015/06/chart">
            <c:ext xmlns:c16="http://schemas.microsoft.com/office/drawing/2014/chart" uri="{C3380CC4-5D6E-409C-BE32-E72D297353CC}">
              <c16:uniqueId val="{0000000A-B2A2-4B2C-9E9A-70B739EC2D24}"/>
            </c:ext>
          </c:extLst>
        </c:ser>
        <c:ser>
          <c:idx val="12"/>
          <c:order val="11"/>
          <c:tx>
            <c:strRef>
              <c:f>Data!$BL$288</c:f>
              <c:strCache>
                <c:ptCount val="1"/>
                <c:pt idx="0">
                  <c:v>CHL</c:v>
                </c:pt>
              </c:strCache>
            </c:strRef>
          </c:tx>
          <c:spPr>
            <a:ln w="25400" cap="rnd">
              <a:noFill/>
              <a:round/>
            </a:ln>
            <a:effectLst/>
          </c:spPr>
          <c:marker>
            <c:symbol val="plus"/>
            <c:size val="9"/>
            <c:spPr>
              <a:noFill/>
              <a:ln w="19050">
                <a:solidFill>
                  <a:srgbClr val="002060"/>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ES"/>
              </a:p>
            </c:txPr>
            <c:dLblPos val="b"/>
            <c:showLegendKey val="0"/>
            <c:showVal val="0"/>
            <c:showCatName val="0"/>
            <c:showSerName val="1"/>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xVal>
            <c:numRef>
              <c:f>Data!$BM$288</c:f>
              <c:numCache>
                <c:formatCode>General</c:formatCode>
                <c:ptCount val="1"/>
                <c:pt idx="0">
                  <c:v>15010</c:v>
                </c:pt>
              </c:numCache>
            </c:numRef>
          </c:xVal>
          <c:yVal>
            <c:numRef>
              <c:f>Data!$BN$288</c:f>
              <c:numCache>
                <c:formatCode>General</c:formatCode>
                <c:ptCount val="1"/>
                <c:pt idx="0">
                  <c:v>0</c:v>
                </c:pt>
              </c:numCache>
            </c:numRef>
          </c:yVal>
          <c:smooth val="0"/>
          <c:extLst xmlns:c16r2="http://schemas.microsoft.com/office/drawing/2015/06/chart">
            <c:ext xmlns:c16="http://schemas.microsoft.com/office/drawing/2014/chart" uri="{C3380CC4-5D6E-409C-BE32-E72D297353CC}">
              <c16:uniqueId val="{0000000B-B2A2-4B2C-9E9A-70B739EC2D24}"/>
            </c:ext>
          </c:extLst>
        </c:ser>
        <c:ser>
          <c:idx val="13"/>
          <c:order val="12"/>
          <c:tx>
            <c:strRef>
              <c:f>Data!$BL$290</c:f>
              <c:strCache>
                <c:ptCount val="1"/>
                <c:pt idx="0">
                  <c:v>COL</c:v>
                </c:pt>
              </c:strCache>
            </c:strRef>
          </c:tx>
          <c:spPr>
            <a:ln w="25400" cap="rnd">
              <a:noFill/>
              <a:round/>
            </a:ln>
            <a:effectLst/>
          </c:spPr>
          <c:marker>
            <c:symbol val="plus"/>
            <c:size val="9"/>
            <c:spPr>
              <a:noFill/>
              <a:ln w="19050">
                <a:solidFill>
                  <a:srgbClr val="002060"/>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ES"/>
              </a:p>
            </c:txPr>
            <c:dLblPos val="b"/>
            <c:showLegendKey val="0"/>
            <c:showVal val="0"/>
            <c:showCatName val="0"/>
            <c:showSerName val="1"/>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xVal>
            <c:numRef>
              <c:f>Data!$BM$290</c:f>
              <c:numCache>
                <c:formatCode>General</c:formatCode>
                <c:ptCount val="1"/>
                <c:pt idx="0">
                  <c:v>6510</c:v>
                </c:pt>
              </c:numCache>
            </c:numRef>
          </c:xVal>
          <c:yVal>
            <c:numRef>
              <c:f>Data!$BN$290</c:f>
              <c:numCache>
                <c:formatCode>General</c:formatCode>
                <c:ptCount val="1"/>
                <c:pt idx="0">
                  <c:v>0</c:v>
                </c:pt>
              </c:numCache>
            </c:numRef>
          </c:yVal>
          <c:smooth val="0"/>
          <c:extLst xmlns:c16r2="http://schemas.microsoft.com/office/drawing/2015/06/chart">
            <c:ext xmlns:c16="http://schemas.microsoft.com/office/drawing/2014/chart" uri="{C3380CC4-5D6E-409C-BE32-E72D297353CC}">
              <c16:uniqueId val="{0000000C-B2A2-4B2C-9E9A-70B739EC2D24}"/>
            </c:ext>
          </c:extLst>
        </c:ser>
        <c:ser>
          <c:idx val="1"/>
          <c:order val="13"/>
          <c:tx>
            <c:strRef>
              <c:f>Data!$BL$289</c:f>
              <c:strCache>
                <c:ptCount val="1"/>
                <c:pt idx="0">
                  <c:v>ARG</c:v>
                </c:pt>
              </c:strCache>
            </c:strRef>
          </c:tx>
          <c:spPr>
            <a:ln w="25400" cap="rnd">
              <a:noFill/>
              <a:round/>
            </a:ln>
            <a:effectLst/>
          </c:spPr>
          <c:marker>
            <c:symbol val="plus"/>
            <c:size val="9"/>
            <c:spPr>
              <a:noFill/>
              <a:ln w="19050">
                <a:solidFill>
                  <a:srgbClr val="002060"/>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ES"/>
              </a:p>
            </c:txPr>
            <c:dLblPos val="t"/>
            <c:showLegendKey val="0"/>
            <c:showVal val="0"/>
            <c:showCatName val="0"/>
            <c:showSerName val="1"/>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xVal>
            <c:numRef>
              <c:f>Data!$BM$289</c:f>
              <c:numCache>
                <c:formatCode>General</c:formatCode>
                <c:ptCount val="1"/>
                <c:pt idx="0">
                  <c:v>11200</c:v>
                </c:pt>
              </c:numCache>
            </c:numRef>
          </c:xVal>
          <c:yVal>
            <c:numRef>
              <c:f>Data!$BN$289</c:f>
              <c:numCache>
                <c:formatCode>General</c:formatCode>
                <c:ptCount val="1"/>
                <c:pt idx="0">
                  <c:v>0</c:v>
                </c:pt>
              </c:numCache>
            </c:numRef>
          </c:yVal>
          <c:smooth val="0"/>
          <c:extLst xmlns:c16r2="http://schemas.microsoft.com/office/drawing/2015/06/chart">
            <c:ext xmlns:c16="http://schemas.microsoft.com/office/drawing/2014/chart" uri="{C3380CC4-5D6E-409C-BE32-E72D297353CC}">
              <c16:uniqueId val="{0000000D-B2A2-4B2C-9E9A-70B739EC2D24}"/>
            </c:ext>
          </c:extLst>
        </c:ser>
        <c:ser>
          <c:idx val="14"/>
          <c:order val="14"/>
          <c:tx>
            <c:strRef>
              <c:f>Data!$BL$287</c:f>
              <c:strCache>
                <c:ptCount val="1"/>
                <c:pt idx="0">
                  <c:v>HND</c:v>
                </c:pt>
              </c:strCache>
            </c:strRef>
          </c:tx>
          <c:spPr>
            <a:ln w="25400" cap="rnd">
              <a:noFill/>
              <a:round/>
            </a:ln>
            <a:effectLst/>
          </c:spPr>
          <c:marker>
            <c:symbol val="plus"/>
            <c:size val="9"/>
            <c:spPr>
              <a:noFill/>
              <a:ln w="19050">
                <a:solidFill>
                  <a:srgbClr val="002060"/>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ES"/>
              </a:p>
            </c:txPr>
            <c:dLblPos val="b"/>
            <c:showLegendKey val="0"/>
            <c:showVal val="0"/>
            <c:showCatName val="0"/>
            <c:showSerName val="1"/>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xVal>
            <c:numRef>
              <c:f>Data!$BM$287</c:f>
              <c:numCache>
                <c:formatCode>_(* #,##0_);_(* \(#,##0\);_(* "-"??_);_(@_)</c:formatCode>
                <c:ptCount val="1"/>
                <c:pt idx="0">
                  <c:v>2390</c:v>
                </c:pt>
              </c:numCache>
            </c:numRef>
          </c:xVal>
          <c:yVal>
            <c:numRef>
              <c:f>Data!$BN$287</c:f>
              <c:numCache>
                <c:formatCode>General</c:formatCode>
                <c:ptCount val="1"/>
                <c:pt idx="0">
                  <c:v>0</c:v>
                </c:pt>
              </c:numCache>
            </c:numRef>
          </c:yVal>
          <c:smooth val="0"/>
          <c:extLst xmlns:c16r2="http://schemas.microsoft.com/office/drawing/2015/06/chart">
            <c:ext xmlns:c16="http://schemas.microsoft.com/office/drawing/2014/chart" uri="{C3380CC4-5D6E-409C-BE32-E72D297353CC}">
              <c16:uniqueId val="{0000000E-B2A2-4B2C-9E9A-70B739EC2D24}"/>
            </c:ext>
          </c:extLst>
        </c:ser>
        <c:dLbls>
          <c:dLblPos val="t"/>
          <c:showLegendKey val="0"/>
          <c:showVal val="1"/>
          <c:showCatName val="0"/>
          <c:showSerName val="0"/>
          <c:showPercent val="0"/>
          <c:showBubbleSize val="0"/>
        </c:dLbls>
        <c:axId val="146983936"/>
        <c:axId val="147207296"/>
      </c:scatterChart>
      <c:valAx>
        <c:axId val="146983936"/>
        <c:scaling>
          <c:orientation val="minMax"/>
          <c:max val="18000"/>
          <c:min val="0"/>
        </c:scaling>
        <c:delete val="0"/>
        <c:axPos val="b"/>
        <c:majorGridlines>
          <c:spPr>
            <a:ln w="9525" cap="flat" cmpd="sng" algn="ctr">
              <a:solidFill>
                <a:schemeClr val="bg1">
                  <a:lumMod val="75000"/>
                  <a:alpha val="20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s-GT" b="0">
                    <a:latin typeface="Times New Roman" panose="02020603050405020304" pitchFamily="18" charset="0"/>
                    <a:cs typeface="Times New Roman" panose="02020603050405020304" pitchFamily="18" charset="0"/>
                  </a:rPr>
                  <a:t>INB</a:t>
                </a:r>
                <a:r>
                  <a:rPr lang="es-GT" b="0" baseline="0">
                    <a:latin typeface="Times New Roman" panose="02020603050405020304" pitchFamily="18" charset="0"/>
                    <a:cs typeface="Times New Roman" panose="02020603050405020304" pitchFamily="18" charset="0"/>
                  </a:rPr>
                  <a:t> per cápita en USD </a:t>
                </a:r>
                <a:endParaRPr lang="es-GT" b="0">
                  <a:latin typeface="Times New Roman" panose="02020603050405020304" pitchFamily="18" charset="0"/>
                  <a:cs typeface="Times New Roman" panose="02020603050405020304" pitchFamily="18" charset="0"/>
                </a:endParaRPr>
              </a:p>
            </c:rich>
          </c:tx>
          <c:overlay val="0"/>
          <c:spPr>
            <a:noFill/>
            <a:ln>
              <a:noFill/>
            </a:ln>
            <a:effectLst/>
          </c:spPr>
        </c:title>
        <c:numFmt formatCode="_(* #,##0_);_(* \(#,##0\);_(* &quot;-&quot;??_);_(@_)" sourceLinked="1"/>
        <c:majorTickMark val="none"/>
        <c:minorTickMark val="none"/>
        <c:tickLblPos val="low"/>
        <c:spPr>
          <a:noFill/>
          <a:ln w="15875" cap="flat" cmpd="sng" algn="ctr">
            <a:solidFill>
              <a:schemeClr val="bg1">
                <a:lumMod val="65000"/>
                <a:alpha val="60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ES"/>
          </a:p>
        </c:txPr>
        <c:crossAx val="147207296"/>
        <c:crosses val="autoZero"/>
        <c:crossBetween val="midCat"/>
        <c:majorUnit val="4000"/>
      </c:valAx>
      <c:valAx>
        <c:axId val="147207296"/>
        <c:scaling>
          <c:orientation val="minMax"/>
          <c:max val="6.0000000000000012E-2"/>
          <c:min val="-5.000000000000001E-2"/>
        </c:scaling>
        <c:delete val="1"/>
        <c:axPos val="l"/>
        <c:numFmt formatCode="General" sourceLinked="1"/>
        <c:majorTickMark val="none"/>
        <c:minorTickMark val="none"/>
        <c:tickLblPos val="nextTo"/>
        <c:crossAx val="146983936"/>
        <c:crosses val="autoZero"/>
        <c:crossBetween val="midCat"/>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12700" cap="flat" cmpd="sng" algn="ctr">
      <a:solidFill>
        <a:schemeClr val="accent1">
          <a:lumMod val="50000"/>
        </a:schemeClr>
      </a:solidFill>
      <a:round/>
    </a:ln>
    <a:effectLst/>
  </c:spPr>
  <c:txPr>
    <a:bodyPr/>
    <a:lstStyle/>
    <a:p>
      <a:pPr>
        <a:defRPr/>
      </a:pPr>
      <a:endParaRPr lang="es-ES"/>
    </a:p>
  </c:txPr>
  <c:externalData r:id="rId1">
    <c:autoUpdate val="0"/>
  </c:externalData>
  <c:userShapes r:id="rId2"/>
</c:chartSpace>
</file>

<file path=word/charts/chart22.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3.3864756944444449E-2"/>
          <c:y val="0.10689814814814814"/>
          <c:w val="0.94188177083333335"/>
          <c:h val="0.65495188101487312"/>
        </c:manualLayout>
      </c:layout>
      <c:barChart>
        <c:barDir val="col"/>
        <c:grouping val="clustered"/>
        <c:varyColors val="0"/>
        <c:ser>
          <c:idx val="0"/>
          <c:order val="0"/>
          <c:spPr>
            <a:solidFill>
              <a:schemeClr val="accent1"/>
            </a:solidFill>
            <a:ln>
              <a:noFill/>
            </a:ln>
            <a:effectLst/>
          </c:spPr>
          <c:invertIfNegative val="0"/>
          <c:cat>
            <c:strRef>
              <c:f>Sheet1!$A$3:$A$10</c:f>
              <c:strCache>
                <c:ptCount val="8"/>
                <c:pt idx="0">
                  <c:v>Economias avanzadas</c:v>
                </c:pt>
                <c:pt idx="1">
                  <c:v>Economias emergentes de ingreso medio de Latinoamerica</c:v>
                </c:pt>
                <c:pt idx="2">
                  <c:v>Estados Unidos</c:v>
                </c:pt>
                <c:pt idx="3">
                  <c:v>Peru</c:v>
                </c:pt>
                <c:pt idx="4">
                  <c:v>Brasil</c:v>
                </c:pt>
                <c:pt idx="5">
                  <c:v>México</c:v>
                </c:pt>
                <c:pt idx="6">
                  <c:v>Guatemala</c:v>
                </c:pt>
                <c:pt idx="7">
                  <c:v>Chile</c:v>
                </c:pt>
              </c:strCache>
            </c:strRef>
          </c:cat>
          <c:val>
            <c:numRef>
              <c:f>Sheet1!$B$5:$B$10</c:f>
            </c:numRef>
          </c:val>
          <c:extLst xmlns:c16r2="http://schemas.microsoft.com/office/drawing/2015/06/chart">
            <c:ext xmlns:c16="http://schemas.microsoft.com/office/drawing/2014/chart" uri="{C3380CC4-5D6E-409C-BE32-E72D297353CC}">
              <c16:uniqueId val="{00000000-EBEB-4705-8E2E-78C7C656D66D}"/>
            </c:ext>
          </c:extLst>
        </c:ser>
        <c:ser>
          <c:idx val="1"/>
          <c:order val="1"/>
          <c:tx>
            <c:strRef>
              <c:f>Sheet1!$C$2</c:f>
              <c:strCache>
                <c:ptCount val="1"/>
                <c:pt idx="0">
                  <c:v>2019</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accent2">
                        <a:lumMod val="75000"/>
                      </a:schemeClr>
                    </a:solidFill>
                    <a:latin typeface="Times New Roman" panose="02020603050405020304" pitchFamily="18" charset="0"/>
                    <a:ea typeface="+mn-ea"/>
                    <a:cs typeface="Times New Roman" panose="02020603050405020304" pitchFamily="18" charset="0"/>
                  </a:defRPr>
                </a:pPr>
                <a:endParaRPr lang="es-E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Sheet1!$A$3:$A$10</c:f>
              <c:strCache>
                <c:ptCount val="8"/>
                <c:pt idx="0">
                  <c:v>Economias avanzadas</c:v>
                </c:pt>
                <c:pt idx="1">
                  <c:v>Economias emergentes de ingreso medio de Latinoamerica</c:v>
                </c:pt>
                <c:pt idx="2">
                  <c:v>Estados Unidos</c:v>
                </c:pt>
                <c:pt idx="3">
                  <c:v>Peru</c:v>
                </c:pt>
                <c:pt idx="4">
                  <c:v>Brasil</c:v>
                </c:pt>
                <c:pt idx="5">
                  <c:v>México</c:v>
                </c:pt>
                <c:pt idx="6">
                  <c:v>Guatemala</c:v>
                </c:pt>
                <c:pt idx="7">
                  <c:v>Chile</c:v>
                </c:pt>
              </c:strCache>
            </c:strRef>
          </c:cat>
          <c:val>
            <c:numRef>
              <c:f>Sheet1!$C$3:$C$10</c:f>
              <c:numCache>
                <c:formatCode>0.0</c:formatCode>
                <c:ptCount val="8"/>
                <c:pt idx="0">
                  <c:v>105.22156948536001</c:v>
                </c:pt>
                <c:pt idx="1">
                  <c:v>70.545998797487997</c:v>
                </c:pt>
                <c:pt idx="2">
                  <c:v>108.98362323242</c:v>
                </c:pt>
                <c:pt idx="3">
                  <c:v>26.716600097455</c:v>
                </c:pt>
                <c:pt idx="4">
                  <c:v>89.512446621110001</c:v>
                </c:pt>
                <c:pt idx="5">
                  <c:v>53.364517017578002</c:v>
                </c:pt>
                <c:pt idx="6">
                  <c:v>26.65</c:v>
                </c:pt>
                <c:pt idx="7">
                  <c:v>27.904892797906001</c:v>
                </c:pt>
              </c:numCache>
            </c:numRef>
          </c:val>
          <c:extLst xmlns:c16r2="http://schemas.microsoft.com/office/drawing/2015/06/chart">
            <c:ext xmlns:c16="http://schemas.microsoft.com/office/drawing/2014/chart" uri="{C3380CC4-5D6E-409C-BE32-E72D297353CC}">
              <c16:uniqueId val="{00000001-EBEB-4705-8E2E-78C7C656D66D}"/>
            </c:ext>
          </c:extLst>
        </c:ser>
        <c:ser>
          <c:idx val="2"/>
          <c:order val="2"/>
          <c:tx>
            <c:strRef>
              <c:f>Sheet1!$D$2</c:f>
              <c:strCache>
                <c:ptCount val="1"/>
                <c:pt idx="0">
                  <c:v>2020</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accent3">
                        <a:lumMod val="50000"/>
                      </a:schemeClr>
                    </a:solidFill>
                    <a:latin typeface="Times New Roman" panose="02020603050405020304" pitchFamily="18" charset="0"/>
                    <a:ea typeface="+mn-ea"/>
                    <a:cs typeface="Times New Roman" panose="02020603050405020304" pitchFamily="18" charset="0"/>
                  </a:defRPr>
                </a:pPr>
                <a:endParaRPr lang="es-E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Sheet1!$A$3:$A$10</c:f>
              <c:strCache>
                <c:ptCount val="8"/>
                <c:pt idx="0">
                  <c:v>Economias avanzadas</c:v>
                </c:pt>
                <c:pt idx="1">
                  <c:v>Economias emergentes de ingreso medio de Latinoamerica</c:v>
                </c:pt>
                <c:pt idx="2">
                  <c:v>Estados Unidos</c:v>
                </c:pt>
                <c:pt idx="3">
                  <c:v>Peru</c:v>
                </c:pt>
                <c:pt idx="4">
                  <c:v>Brasil</c:v>
                </c:pt>
                <c:pt idx="5">
                  <c:v>México</c:v>
                </c:pt>
                <c:pt idx="6">
                  <c:v>Guatemala</c:v>
                </c:pt>
                <c:pt idx="7">
                  <c:v>Chile</c:v>
                </c:pt>
              </c:strCache>
            </c:strRef>
          </c:cat>
          <c:val>
            <c:numRef>
              <c:f>Sheet1!$D$3:$D$10</c:f>
              <c:numCache>
                <c:formatCode>0.0</c:formatCode>
                <c:ptCount val="8"/>
                <c:pt idx="0">
                  <c:v>122.38032687802</c:v>
                </c:pt>
                <c:pt idx="1">
                  <c:v>77.978282134489007</c:v>
                </c:pt>
                <c:pt idx="2">
                  <c:v>131.06966575160001</c:v>
                </c:pt>
                <c:pt idx="3">
                  <c:v>36.527422521539002</c:v>
                </c:pt>
                <c:pt idx="4">
                  <c:v>98.244486397779994</c:v>
                </c:pt>
                <c:pt idx="5">
                  <c:v>61.376090898904003</c:v>
                </c:pt>
                <c:pt idx="6">
                  <c:v>32.4</c:v>
                </c:pt>
                <c:pt idx="7">
                  <c:v>32.344327914811998</c:v>
                </c:pt>
              </c:numCache>
            </c:numRef>
          </c:val>
          <c:extLst xmlns:c16r2="http://schemas.microsoft.com/office/drawing/2015/06/chart">
            <c:ext xmlns:c16="http://schemas.microsoft.com/office/drawing/2014/chart" uri="{C3380CC4-5D6E-409C-BE32-E72D297353CC}">
              <c16:uniqueId val="{00000002-EBEB-4705-8E2E-78C7C656D66D}"/>
            </c:ext>
          </c:extLst>
        </c:ser>
        <c:dLbls>
          <c:showLegendKey val="0"/>
          <c:showVal val="0"/>
          <c:showCatName val="0"/>
          <c:showSerName val="0"/>
          <c:showPercent val="0"/>
          <c:showBubbleSize val="0"/>
        </c:dLbls>
        <c:gapWidth val="83"/>
        <c:overlap val="-27"/>
        <c:axId val="147250176"/>
        <c:axId val="145953536"/>
      </c:barChart>
      <c:catAx>
        <c:axId val="14725017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ES"/>
          </a:p>
        </c:txPr>
        <c:crossAx val="145953536"/>
        <c:crosses val="autoZero"/>
        <c:auto val="1"/>
        <c:lblAlgn val="ctr"/>
        <c:lblOffset val="100"/>
        <c:noMultiLvlLbl val="0"/>
      </c:catAx>
      <c:valAx>
        <c:axId val="145953536"/>
        <c:scaling>
          <c:orientation val="minMax"/>
        </c:scaling>
        <c:delete val="1"/>
        <c:axPos val="l"/>
        <c:majorGridlines>
          <c:spPr>
            <a:ln w="9525" cap="flat" cmpd="sng" algn="ctr">
              <a:solidFill>
                <a:schemeClr val="tx1">
                  <a:alpha val="5000"/>
                </a:schemeClr>
              </a:solidFill>
              <a:round/>
            </a:ln>
            <a:effectLst/>
          </c:spPr>
        </c:majorGridlines>
        <c:numFmt formatCode="0.0" sourceLinked="1"/>
        <c:majorTickMark val="none"/>
        <c:minorTickMark val="none"/>
        <c:tickLblPos val="nextTo"/>
        <c:crossAx val="147250176"/>
        <c:crosses val="autoZero"/>
        <c:crossBetween val="between"/>
      </c:valAx>
      <c:spPr>
        <a:noFill/>
        <a:ln>
          <a:noFill/>
        </a:ln>
        <a:effectLst/>
      </c:spPr>
    </c:plotArea>
    <c:legend>
      <c:legendPos val="b"/>
      <c:layout>
        <c:manualLayout>
          <c:xMode val="edge"/>
          <c:yMode val="edge"/>
          <c:x val="0.24698819444444439"/>
          <c:y val="0.89409667541557303"/>
          <c:w val="0.5721694444444444"/>
          <c:h val="7.8125546806649168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ES"/>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pPr>
      <a:endParaRPr lang="es-ES"/>
    </a:p>
  </c:txPr>
  <c:externalData r:id="rId1">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3884791666666665"/>
          <c:y val="4.8888888888888891E-2"/>
          <c:w val="0.80823541666666665"/>
          <c:h val="0.83314761904761891"/>
        </c:manualLayout>
      </c:layout>
      <c:scatterChart>
        <c:scatterStyle val="lineMarker"/>
        <c:varyColors val="0"/>
        <c:ser>
          <c:idx val="0"/>
          <c:order val="0"/>
          <c:tx>
            <c:strRef>
              <c:f>Hoja1!$O$5</c:f>
              <c:strCache>
                <c:ptCount val="1"/>
                <c:pt idx="0">
                  <c:v>ARG-278</c:v>
                </c:pt>
              </c:strCache>
            </c:strRef>
          </c:tx>
          <c:spPr>
            <a:ln w="25400" cap="rnd">
              <a:noFill/>
              <a:round/>
            </a:ln>
            <a:effectLst/>
          </c:spPr>
          <c:marker>
            <c:symbol val="diamond"/>
            <c:size val="7"/>
            <c:spPr>
              <a:solidFill>
                <a:srgbClr val="002060"/>
              </a:solidFill>
              <a:ln w="9525">
                <a:noFill/>
              </a:ln>
              <a:effectLst/>
            </c:spPr>
          </c:marker>
          <c:dLbls>
            <c:spPr>
              <a:noFill/>
              <a:ln>
                <a:noFill/>
              </a:ln>
              <a:effectLst/>
            </c:spPr>
            <c:txPr>
              <a:bodyPr wrap="square" lIns="38100" tIns="19050" rIns="38100" bIns="19050" anchor="ctr">
                <a:spAutoFit/>
              </a:bodyPr>
              <a:lstStyle/>
              <a:p>
                <a:pPr>
                  <a:defRPr sz="700">
                    <a:latin typeface="Times New Roman" panose="02020603050405020304" pitchFamily="18" charset="0"/>
                    <a:cs typeface="Times New Roman" panose="02020603050405020304" pitchFamily="18" charset="0"/>
                  </a:defRPr>
                </a:pPr>
                <a:endParaRPr lang="es-ES"/>
              </a:p>
            </c:txPr>
            <c:dLblPos val="t"/>
            <c:showLegendKey val="0"/>
            <c:showVal val="0"/>
            <c:showCatName val="0"/>
            <c:showSerName val="1"/>
            <c:showPercent val="0"/>
            <c:showBubbleSize val="0"/>
            <c:showLeaderLines val="0"/>
            <c:extLst xmlns:c16r2="http://schemas.microsoft.com/office/drawing/2015/06/chart">
              <c:ext xmlns:c15="http://schemas.microsoft.com/office/drawing/2012/chart" uri="{CE6537A1-D6FC-4f65-9D91-7224C49458BB}">
                <c15:showLeaderLines val="1"/>
              </c:ext>
            </c:extLst>
          </c:dLbls>
          <c:xVal>
            <c:numRef>
              <c:f>Hoja1!$P$5</c:f>
              <c:numCache>
                <c:formatCode>0</c:formatCode>
                <c:ptCount val="1"/>
                <c:pt idx="0">
                  <c:v>93.300687154705884</c:v>
                </c:pt>
              </c:numCache>
            </c:numRef>
          </c:xVal>
          <c:yVal>
            <c:numRef>
              <c:f>Hoja1!$Q$5</c:f>
              <c:numCache>
                <c:formatCode>0</c:formatCode>
                <c:ptCount val="1"/>
                <c:pt idx="0">
                  <c:v>33.59929928708052</c:v>
                </c:pt>
              </c:numCache>
            </c:numRef>
          </c:yVal>
          <c:smooth val="0"/>
          <c:extLst xmlns:c16r2="http://schemas.microsoft.com/office/drawing/2015/06/chart">
            <c:ext xmlns:c16="http://schemas.microsoft.com/office/drawing/2014/chart" uri="{C3380CC4-5D6E-409C-BE32-E72D297353CC}">
              <c16:uniqueId val="{00000000-2054-4F0C-8BFF-9E4EEE80DA7B}"/>
            </c:ext>
          </c:extLst>
        </c:ser>
        <c:ser>
          <c:idx val="1"/>
          <c:order val="1"/>
          <c:tx>
            <c:strRef>
              <c:f>Hoja1!$O$6</c:f>
              <c:strCache>
                <c:ptCount val="1"/>
                <c:pt idx="0">
                  <c:v>BLZ-307</c:v>
                </c:pt>
              </c:strCache>
            </c:strRef>
          </c:tx>
          <c:spPr>
            <a:ln w="25400" cap="rnd">
              <a:noFill/>
              <a:round/>
            </a:ln>
            <a:effectLst/>
          </c:spPr>
          <c:marker>
            <c:symbol val="diamond"/>
            <c:size val="7"/>
            <c:spPr>
              <a:solidFill>
                <a:srgbClr val="002060"/>
              </a:solidFill>
              <a:ln w="9525">
                <a:noFill/>
              </a:ln>
              <a:effectLst/>
            </c:spPr>
          </c:marker>
          <c:dLbls>
            <c:spPr>
              <a:noFill/>
              <a:ln>
                <a:noFill/>
              </a:ln>
              <a:effectLst/>
            </c:spPr>
            <c:txPr>
              <a:bodyPr wrap="square" lIns="38100" tIns="19050" rIns="38100" bIns="19050" anchor="ctr">
                <a:spAutoFit/>
              </a:bodyPr>
              <a:lstStyle/>
              <a:p>
                <a:pPr>
                  <a:defRPr sz="700">
                    <a:latin typeface="Times New Roman" panose="02020603050405020304" pitchFamily="18" charset="0"/>
                    <a:cs typeface="Times New Roman" panose="02020603050405020304" pitchFamily="18" charset="0"/>
                  </a:defRPr>
                </a:pPr>
                <a:endParaRPr lang="es-ES"/>
              </a:p>
            </c:txPr>
            <c:dLblPos val="b"/>
            <c:showLegendKey val="0"/>
            <c:showVal val="0"/>
            <c:showCatName val="0"/>
            <c:showSerName val="1"/>
            <c:showPercent val="0"/>
            <c:showBubbleSize val="0"/>
            <c:showLeaderLines val="0"/>
            <c:extLst xmlns:c16r2="http://schemas.microsoft.com/office/drawing/2015/06/chart">
              <c:ext xmlns:c15="http://schemas.microsoft.com/office/drawing/2012/chart" uri="{CE6537A1-D6FC-4f65-9D91-7224C49458BB}">
                <c15:showLeaderLines val="1"/>
              </c:ext>
            </c:extLst>
          </c:dLbls>
          <c:xVal>
            <c:numRef>
              <c:f>Hoja1!$P$6</c:f>
              <c:numCache>
                <c:formatCode>0</c:formatCode>
                <c:ptCount val="1"/>
                <c:pt idx="0">
                  <c:v>92.978510744627698</c:v>
                </c:pt>
              </c:numCache>
            </c:numRef>
          </c:xVal>
          <c:yVal>
            <c:numRef>
              <c:f>Hoja1!$Q$6</c:f>
              <c:numCache>
                <c:formatCode>0</c:formatCode>
                <c:ptCount val="1"/>
                <c:pt idx="0">
                  <c:v>30.259870064967519</c:v>
                </c:pt>
              </c:numCache>
            </c:numRef>
          </c:yVal>
          <c:smooth val="0"/>
          <c:extLst xmlns:c16r2="http://schemas.microsoft.com/office/drawing/2015/06/chart">
            <c:ext xmlns:c16="http://schemas.microsoft.com/office/drawing/2014/chart" uri="{C3380CC4-5D6E-409C-BE32-E72D297353CC}">
              <c16:uniqueId val="{00000001-2054-4F0C-8BFF-9E4EEE80DA7B}"/>
            </c:ext>
          </c:extLst>
        </c:ser>
        <c:ser>
          <c:idx val="2"/>
          <c:order val="2"/>
          <c:tx>
            <c:strRef>
              <c:f>Hoja1!$O$7</c:f>
              <c:strCache>
                <c:ptCount val="1"/>
                <c:pt idx="0">
                  <c:v>BOL-201</c:v>
                </c:pt>
              </c:strCache>
            </c:strRef>
          </c:tx>
          <c:spPr>
            <a:ln w="25400" cap="rnd">
              <a:noFill/>
              <a:round/>
            </a:ln>
            <a:effectLst/>
          </c:spPr>
          <c:marker>
            <c:symbol val="diamond"/>
            <c:size val="7"/>
            <c:spPr>
              <a:solidFill>
                <a:srgbClr val="002060"/>
              </a:solidFill>
              <a:ln w="9525">
                <a:noFill/>
              </a:ln>
              <a:effectLst/>
            </c:spPr>
          </c:marker>
          <c:dLbls>
            <c:dLbl>
              <c:idx val="0"/>
              <c:layout>
                <c:manualLayout>
                  <c:x val="-0.114465625"/>
                  <c:y val="-5.4100793650793649E-2"/>
                </c:manualLayout>
              </c:layout>
              <c:dLblPos val="r"/>
              <c:showLegendKey val="0"/>
              <c:showVal val="0"/>
              <c:showCatName val="0"/>
              <c:showSerName val="1"/>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2054-4F0C-8BFF-9E4EEE80DA7B}"/>
                </c:ext>
              </c:extLst>
            </c:dLbl>
            <c:spPr>
              <a:noFill/>
              <a:ln>
                <a:noFill/>
              </a:ln>
              <a:effectLst/>
            </c:spPr>
            <c:txPr>
              <a:bodyPr wrap="square" lIns="38100" tIns="19050" rIns="38100" bIns="19050" anchor="ctr">
                <a:spAutoFit/>
              </a:bodyPr>
              <a:lstStyle/>
              <a:p>
                <a:pPr>
                  <a:defRPr sz="650">
                    <a:latin typeface="Times New Roman" panose="02020603050405020304" pitchFamily="18" charset="0"/>
                    <a:cs typeface="Times New Roman" panose="02020603050405020304" pitchFamily="18" charset="0"/>
                  </a:defRPr>
                </a:pPr>
                <a:endParaRPr lang="es-ES"/>
              </a:p>
            </c:txPr>
            <c:dLblPos val="t"/>
            <c:showLegendKey val="0"/>
            <c:showVal val="0"/>
            <c:showCatName val="0"/>
            <c:showSerName val="1"/>
            <c:showPercent val="0"/>
            <c:showBubbleSize val="0"/>
            <c:showLeaderLines val="0"/>
            <c:extLst xmlns:c16r2="http://schemas.microsoft.com/office/drawing/2015/06/chart">
              <c:ext xmlns:c15="http://schemas.microsoft.com/office/drawing/2012/chart" uri="{CE6537A1-D6FC-4f65-9D91-7224C49458BB}">
                <c15:showLeaderLines val="0"/>
              </c:ext>
            </c:extLst>
          </c:dLbls>
          <c:xVal>
            <c:numRef>
              <c:f>Hoja1!$P$7</c:f>
              <c:numCache>
                <c:formatCode>0</c:formatCode>
                <c:ptCount val="1"/>
                <c:pt idx="0">
                  <c:v>57.681782239488435</c:v>
                </c:pt>
              </c:numCache>
            </c:numRef>
          </c:xVal>
          <c:yVal>
            <c:numRef>
              <c:f>Hoja1!$Q$7</c:f>
              <c:numCache>
                <c:formatCode>0</c:formatCode>
                <c:ptCount val="1"/>
                <c:pt idx="0">
                  <c:v>28.705951112180699</c:v>
                </c:pt>
              </c:numCache>
            </c:numRef>
          </c:yVal>
          <c:smooth val="0"/>
          <c:extLst xmlns:c16r2="http://schemas.microsoft.com/office/drawing/2015/06/chart">
            <c:ext xmlns:c16="http://schemas.microsoft.com/office/drawing/2014/chart" uri="{C3380CC4-5D6E-409C-BE32-E72D297353CC}">
              <c16:uniqueId val="{00000003-2054-4F0C-8BFF-9E4EEE80DA7B}"/>
            </c:ext>
          </c:extLst>
        </c:ser>
        <c:ser>
          <c:idx val="3"/>
          <c:order val="3"/>
          <c:tx>
            <c:strRef>
              <c:f>Hoja1!$O$8</c:f>
              <c:strCache>
                <c:ptCount val="1"/>
                <c:pt idx="0">
                  <c:v>BRA-298</c:v>
                </c:pt>
              </c:strCache>
            </c:strRef>
          </c:tx>
          <c:spPr>
            <a:ln w="25400" cap="rnd">
              <a:noFill/>
              <a:round/>
            </a:ln>
            <a:effectLst/>
          </c:spPr>
          <c:marker>
            <c:symbol val="diamond"/>
            <c:size val="7"/>
            <c:spPr>
              <a:solidFill>
                <a:srgbClr val="002060"/>
              </a:solidFill>
              <a:ln w="9525">
                <a:noFill/>
              </a:ln>
              <a:effectLst/>
            </c:spPr>
          </c:marker>
          <c:dLbls>
            <c:dLbl>
              <c:idx val="0"/>
              <c:spPr>
                <a:noFill/>
                <a:ln>
                  <a:noFill/>
                </a:ln>
                <a:effectLst/>
              </c:spPr>
              <c:txPr>
                <a:bodyPr wrap="square" lIns="38100" tIns="19050" rIns="38100" bIns="19050" anchor="ctr">
                  <a:spAutoFit/>
                </a:bodyPr>
                <a:lstStyle/>
                <a:p>
                  <a:pPr>
                    <a:defRPr sz="700">
                      <a:latin typeface="Times New Roman" panose="02020603050405020304" pitchFamily="18" charset="0"/>
                      <a:cs typeface="Times New Roman" panose="02020603050405020304" pitchFamily="18" charset="0"/>
                    </a:defRPr>
                  </a:pPr>
                  <a:endParaRPr lang="es-ES"/>
                </a:p>
              </c:txPr>
              <c:dLblPos val="l"/>
              <c:showLegendKey val="0"/>
              <c:showVal val="0"/>
              <c:showCatName val="0"/>
              <c:showSerName val="1"/>
              <c:showPercent val="0"/>
              <c:showBubbleSize val="0"/>
            </c:dLbl>
            <c:spPr>
              <a:noFill/>
              <a:ln>
                <a:noFill/>
              </a:ln>
              <a:effectLst/>
            </c:spPr>
            <c:dLblPos val="l"/>
            <c:showLegendKey val="0"/>
            <c:showVal val="0"/>
            <c:showCatName val="0"/>
            <c:showSerName val="1"/>
            <c:showPercent val="0"/>
            <c:showBubbleSize val="0"/>
            <c:showLeaderLines val="0"/>
            <c:extLst xmlns:c16r2="http://schemas.microsoft.com/office/drawing/2015/06/chart">
              <c:ext xmlns:c15="http://schemas.microsoft.com/office/drawing/2012/chart" uri="{CE6537A1-D6FC-4f65-9D91-7224C49458BB}">
                <c15:showLeaderLines val="1"/>
              </c:ext>
            </c:extLst>
          </c:dLbls>
          <c:xVal>
            <c:numRef>
              <c:f>Hoja1!$P$8</c:f>
              <c:numCache>
                <c:formatCode>0</c:formatCode>
                <c:ptCount val="1"/>
                <c:pt idx="0">
                  <c:v>91.567961379538787</c:v>
                </c:pt>
              </c:numCache>
            </c:numRef>
          </c:xVal>
          <c:yVal>
            <c:numRef>
              <c:f>Hoja1!$Q$8</c:f>
              <c:numCache>
                <c:formatCode>0</c:formatCode>
                <c:ptCount val="1"/>
                <c:pt idx="0">
                  <c:v>30.772901094815154</c:v>
                </c:pt>
              </c:numCache>
            </c:numRef>
          </c:yVal>
          <c:smooth val="0"/>
          <c:extLst xmlns:c16r2="http://schemas.microsoft.com/office/drawing/2015/06/chart">
            <c:ext xmlns:c16="http://schemas.microsoft.com/office/drawing/2014/chart" uri="{C3380CC4-5D6E-409C-BE32-E72D297353CC}">
              <c16:uniqueId val="{00000005-2054-4F0C-8BFF-9E4EEE80DA7B}"/>
            </c:ext>
          </c:extLst>
        </c:ser>
        <c:ser>
          <c:idx val="4"/>
          <c:order val="4"/>
          <c:tx>
            <c:strRef>
              <c:f>Hoja1!$O$9</c:f>
              <c:strCache>
                <c:ptCount val="1"/>
                <c:pt idx="0">
                  <c:v>CHL-119</c:v>
                </c:pt>
              </c:strCache>
            </c:strRef>
          </c:tx>
          <c:spPr>
            <a:ln w="25400" cap="rnd">
              <a:noFill/>
              <a:round/>
            </a:ln>
            <a:effectLst/>
          </c:spPr>
          <c:marker>
            <c:symbol val="diamond"/>
            <c:size val="7"/>
            <c:spPr>
              <a:solidFill>
                <a:srgbClr val="002060"/>
              </a:solidFill>
              <a:ln w="9525">
                <a:noFill/>
              </a:ln>
              <a:effectLst/>
            </c:spPr>
          </c:marker>
          <c:dLbls>
            <c:spPr>
              <a:noFill/>
              <a:ln>
                <a:noFill/>
              </a:ln>
              <a:effectLst/>
            </c:spPr>
            <c:txPr>
              <a:bodyPr wrap="square" lIns="38100" tIns="19050" rIns="38100" bIns="19050" anchor="ctr">
                <a:spAutoFit/>
              </a:bodyPr>
              <a:lstStyle/>
              <a:p>
                <a:pPr>
                  <a:defRPr sz="700">
                    <a:latin typeface="Times New Roman" panose="02020603050405020304" pitchFamily="18" charset="0"/>
                    <a:cs typeface="Times New Roman" panose="02020603050405020304" pitchFamily="18" charset="0"/>
                  </a:defRPr>
                </a:pPr>
                <a:endParaRPr lang="es-ES"/>
              </a:p>
            </c:txPr>
            <c:dLblPos val="t"/>
            <c:showLegendKey val="0"/>
            <c:showVal val="0"/>
            <c:showCatName val="0"/>
            <c:showSerName val="1"/>
            <c:showPercent val="0"/>
            <c:showBubbleSize val="0"/>
            <c:showLeaderLines val="0"/>
            <c:extLst xmlns:c16r2="http://schemas.microsoft.com/office/drawing/2015/06/chart">
              <c:ext xmlns:c15="http://schemas.microsoft.com/office/drawing/2012/chart" uri="{CE6537A1-D6FC-4f65-9D91-7224C49458BB}">
                <c15:showLeaderLines val="1"/>
              </c:ext>
            </c:extLst>
          </c:dLbls>
          <c:xVal>
            <c:numRef>
              <c:f>Hoja1!$P$9</c:f>
              <c:numCache>
                <c:formatCode>0</c:formatCode>
                <c:ptCount val="1"/>
                <c:pt idx="0">
                  <c:v>27.51681561774199</c:v>
                </c:pt>
              </c:numCache>
            </c:numRef>
          </c:xVal>
          <c:yVal>
            <c:numRef>
              <c:f>Hoja1!$Q$9</c:f>
              <c:numCache>
                <c:formatCode>0</c:formatCode>
                <c:ptCount val="1"/>
                <c:pt idx="0">
                  <c:v>23.204853108048241</c:v>
                </c:pt>
              </c:numCache>
            </c:numRef>
          </c:yVal>
          <c:smooth val="0"/>
          <c:extLst xmlns:c16r2="http://schemas.microsoft.com/office/drawing/2015/06/chart">
            <c:ext xmlns:c16="http://schemas.microsoft.com/office/drawing/2014/chart" uri="{C3380CC4-5D6E-409C-BE32-E72D297353CC}">
              <c16:uniqueId val="{00000006-2054-4F0C-8BFF-9E4EEE80DA7B}"/>
            </c:ext>
          </c:extLst>
        </c:ser>
        <c:ser>
          <c:idx val="5"/>
          <c:order val="5"/>
          <c:tx>
            <c:strRef>
              <c:f>Hoja1!$O$10</c:f>
              <c:strCache>
                <c:ptCount val="1"/>
                <c:pt idx="0">
                  <c:v>COL-191</c:v>
                </c:pt>
              </c:strCache>
            </c:strRef>
          </c:tx>
          <c:spPr>
            <a:ln w="25400" cap="rnd">
              <a:noFill/>
              <a:round/>
            </a:ln>
            <a:effectLst/>
          </c:spPr>
          <c:marker>
            <c:symbol val="diamond"/>
            <c:size val="7"/>
            <c:spPr>
              <a:solidFill>
                <a:srgbClr val="002060"/>
              </a:solidFill>
              <a:ln w="9525">
                <a:noFill/>
              </a:ln>
              <a:effectLst/>
            </c:spPr>
          </c:marker>
          <c:dLbls>
            <c:spPr>
              <a:noFill/>
              <a:ln>
                <a:noFill/>
              </a:ln>
              <a:effectLst/>
            </c:spPr>
            <c:txPr>
              <a:bodyPr wrap="square" lIns="38100" tIns="19050" rIns="38100" bIns="19050" anchor="ctr">
                <a:spAutoFit/>
              </a:bodyPr>
              <a:lstStyle/>
              <a:p>
                <a:pPr>
                  <a:defRPr sz="700">
                    <a:latin typeface="Times New Roman" panose="02020603050405020304" pitchFamily="18" charset="0"/>
                    <a:cs typeface="Times New Roman" panose="02020603050405020304" pitchFamily="18" charset="0"/>
                  </a:defRPr>
                </a:pPr>
                <a:endParaRPr lang="es-ES"/>
              </a:p>
            </c:txPr>
            <c:showLegendKey val="0"/>
            <c:showVal val="0"/>
            <c:showCatName val="0"/>
            <c:showSerName val="1"/>
            <c:showPercent val="0"/>
            <c:showBubbleSize val="0"/>
            <c:showLeaderLines val="0"/>
            <c:extLst xmlns:c16r2="http://schemas.microsoft.com/office/drawing/2015/06/chart">
              <c:ext xmlns:c15="http://schemas.microsoft.com/office/drawing/2012/chart" uri="{CE6537A1-D6FC-4f65-9D91-7224C49458BB}">
                <c15:showLeaderLines val="1"/>
              </c:ext>
            </c:extLst>
          </c:dLbls>
          <c:xVal>
            <c:numRef>
              <c:f>Hoja1!$P$10</c:f>
              <c:numCache>
                <c:formatCode>0</c:formatCode>
                <c:ptCount val="1"/>
                <c:pt idx="0">
                  <c:v>51.027701293663497</c:v>
                </c:pt>
              </c:numCache>
            </c:numRef>
          </c:xVal>
          <c:yVal>
            <c:numRef>
              <c:f>Hoja1!$Q$10</c:f>
              <c:numCache>
                <c:formatCode>0</c:formatCode>
                <c:ptCount val="1"/>
                <c:pt idx="0">
                  <c:v>26.757218667572065</c:v>
                </c:pt>
              </c:numCache>
            </c:numRef>
          </c:yVal>
          <c:smooth val="0"/>
          <c:extLst xmlns:c16r2="http://schemas.microsoft.com/office/drawing/2015/06/chart">
            <c:ext xmlns:c16="http://schemas.microsoft.com/office/drawing/2014/chart" uri="{C3380CC4-5D6E-409C-BE32-E72D297353CC}">
              <c16:uniqueId val="{00000007-2054-4F0C-8BFF-9E4EEE80DA7B}"/>
            </c:ext>
          </c:extLst>
        </c:ser>
        <c:ser>
          <c:idx val="6"/>
          <c:order val="6"/>
          <c:tx>
            <c:strRef>
              <c:f>Hoja1!$O$11</c:f>
              <c:strCache>
                <c:ptCount val="1"/>
                <c:pt idx="0">
                  <c:v>CRI-401</c:v>
                </c:pt>
              </c:strCache>
            </c:strRef>
          </c:tx>
          <c:spPr>
            <a:ln w="25400" cap="rnd">
              <a:noFill/>
              <a:round/>
            </a:ln>
            <a:effectLst/>
          </c:spPr>
          <c:marker>
            <c:symbol val="diamond"/>
            <c:size val="7"/>
            <c:spPr>
              <a:solidFill>
                <a:srgbClr val="002060"/>
              </a:solidFill>
              <a:ln w="9525">
                <a:noFill/>
              </a:ln>
              <a:effectLst/>
            </c:spPr>
          </c:marker>
          <c:dLbls>
            <c:spPr>
              <a:noFill/>
              <a:ln>
                <a:noFill/>
              </a:ln>
              <a:effectLst/>
            </c:spPr>
            <c:txPr>
              <a:bodyPr wrap="square" lIns="38100" tIns="19050" rIns="38100" bIns="19050" anchor="ctr">
                <a:spAutoFit/>
              </a:bodyPr>
              <a:lstStyle/>
              <a:p>
                <a:pPr>
                  <a:defRPr sz="700">
                    <a:latin typeface="Times New Roman" panose="02020603050405020304" pitchFamily="18" charset="0"/>
                    <a:cs typeface="Times New Roman" panose="02020603050405020304" pitchFamily="18" charset="0"/>
                  </a:defRPr>
                </a:pPr>
                <a:endParaRPr lang="es-ES"/>
              </a:p>
            </c:txPr>
            <c:showLegendKey val="0"/>
            <c:showVal val="0"/>
            <c:showCatName val="0"/>
            <c:showSerName val="1"/>
            <c:showPercent val="0"/>
            <c:showBubbleSize val="0"/>
            <c:showLeaderLines val="0"/>
            <c:extLst xmlns:c16r2="http://schemas.microsoft.com/office/drawing/2015/06/chart">
              <c:ext xmlns:c15="http://schemas.microsoft.com/office/drawing/2012/chart" uri="{CE6537A1-D6FC-4f65-9D91-7224C49458BB}">
                <c15:showLeaderLines val="1"/>
              </c:ext>
            </c:extLst>
          </c:dLbls>
          <c:xVal>
            <c:numRef>
              <c:f>Hoja1!$P$11</c:f>
              <c:numCache>
                <c:formatCode>0</c:formatCode>
                <c:ptCount val="1"/>
                <c:pt idx="0">
                  <c:v>57.139307931907588</c:v>
                </c:pt>
              </c:numCache>
            </c:numRef>
          </c:xVal>
          <c:yVal>
            <c:numRef>
              <c:f>Hoja1!$Q$11</c:f>
              <c:numCache>
                <c:formatCode>0</c:formatCode>
                <c:ptCount val="1"/>
                <c:pt idx="0">
                  <c:v>14.245006457589968</c:v>
                </c:pt>
              </c:numCache>
            </c:numRef>
          </c:yVal>
          <c:smooth val="0"/>
          <c:extLst xmlns:c16r2="http://schemas.microsoft.com/office/drawing/2015/06/chart">
            <c:ext xmlns:c16="http://schemas.microsoft.com/office/drawing/2014/chart" uri="{C3380CC4-5D6E-409C-BE32-E72D297353CC}">
              <c16:uniqueId val="{00000008-2054-4F0C-8BFF-9E4EEE80DA7B}"/>
            </c:ext>
          </c:extLst>
        </c:ser>
        <c:ser>
          <c:idx val="7"/>
          <c:order val="7"/>
          <c:tx>
            <c:strRef>
              <c:f>Hoja1!$O$12</c:f>
              <c:strCache>
                <c:ptCount val="1"/>
                <c:pt idx="0">
                  <c:v>DOM-367</c:v>
                </c:pt>
              </c:strCache>
            </c:strRef>
          </c:tx>
          <c:spPr>
            <a:ln w="25400" cap="rnd">
              <a:noFill/>
              <a:round/>
            </a:ln>
            <a:effectLst/>
          </c:spPr>
          <c:marker>
            <c:symbol val="diamond"/>
            <c:size val="7"/>
            <c:spPr>
              <a:solidFill>
                <a:srgbClr val="002060"/>
              </a:solidFill>
              <a:ln w="9525">
                <a:noFill/>
              </a:ln>
              <a:effectLst/>
            </c:spPr>
          </c:marker>
          <c:dLbls>
            <c:spPr>
              <a:noFill/>
              <a:ln>
                <a:noFill/>
              </a:ln>
              <a:effectLst/>
            </c:spPr>
            <c:txPr>
              <a:bodyPr wrap="square" lIns="38100" tIns="19050" rIns="38100" bIns="19050" anchor="ctr">
                <a:spAutoFit/>
              </a:bodyPr>
              <a:lstStyle/>
              <a:p>
                <a:pPr>
                  <a:defRPr sz="700">
                    <a:latin typeface="Times New Roman" panose="02020603050405020304" pitchFamily="18" charset="0"/>
                    <a:cs typeface="Times New Roman" panose="02020603050405020304" pitchFamily="18" charset="0"/>
                  </a:defRPr>
                </a:pPr>
                <a:endParaRPr lang="es-ES"/>
              </a:p>
            </c:txPr>
            <c:dLblPos val="l"/>
            <c:showLegendKey val="0"/>
            <c:showVal val="0"/>
            <c:showCatName val="0"/>
            <c:showSerName val="1"/>
            <c:showPercent val="0"/>
            <c:showBubbleSize val="0"/>
            <c:showLeaderLines val="0"/>
            <c:extLst xmlns:c16r2="http://schemas.microsoft.com/office/drawing/2015/06/chart">
              <c:ext xmlns:c15="http://schemas.microsoft.com/office/drawing/2012/chart" uri="{CE6537A1-D6FC-4f65-9D91-7224C49458BB}">
                <c15:showLeaderLines val="1"/>
              </c:ext>
            </c:extLst>
          </c:dLbls>
          <c:xVal>
            <c:numRef>
              <c:f>Hoja1!$P$12</c:f>
              <c:numCache>
                <c:formatCode>0</c:formatCode>
                <c:ptCount val="1"/>
                <c:pt idx="0">
                  <c:v>52.392832567761403</c:v>
                </c:pt>
              </c:numCache>
            </c:numRef>
          </c:xVal>
          <c:yVal>
            <c:numRef>
              <c:f>Hoja1!$Q$12</c:f>
              <c:numCache>
                <c:formatCode>0</c:formatCode>
                <c:ptCount val="1"/>
                <c:pt idx="0">
                  <c:v>14.280910721808942</c:v>
                </c:pt>
              </c:numCache>
            </c:numRef>
          </c:yVal>
          <c:smooth val="0"/>
          <c:extLst xmlns:c16r2="http://schemas.microsoft.com/office/drawing/2015/06/chart">
            <c:ext xmlns:c16="http://schemas.microsoft.com/office/drawing/2014/chart" uri="{C3380CC4-5D6E-409C-BE32-E72D297353CC}">
              <c16:uniqueId val="{00000009-2054-4F0C-8BFF-9E4EEE80DA7B}"/>
            </c:ext>
          </c:extLst>
        </c:ser>
        <c:ser>
          <c:idx val="8"/>
          <c:order val="8"/>
          <c:tx>
            <c:strRef>
              <c:f>Hoja1!$O$13</c:f>
              <c:strCache>
                <c:ptCount val="1"/>
                <c:pt idx="0">
                  <c:v>ECU-141</c:v>
                </c:pt>
              </c:strCache>
            </c:strRef>
          </c:tx>
          <c:spPr>
            <a:ln w="25400" cap="rnd">
              <a:noFill/>
              <a:round/>
            </a:ln>
            <a:effectLst/>
          </c:spPr>
          <c:marker>
            <c:symbol val="diamond"/>
            <c:size val="6"/>
            <c:spPr>
              <a:solidFill>
                <a:srgbClr val="002060"/>
              </a:solidFill>
              <a:ln w="9525">
                <a:noFill/>
              </a:ln>
              <a:effectLst/>
            </c:spPr>
          </c:marker>
          <c:dLbls>
            <c:spPr>
              <a:noFill/>
              <a:ln>
                <a:noFill/>
              </a:ln>
              <a:effectLst/>
            </c:spPr>
            <c:txPr>
              <a:bodyPr wrap="square" lIns="38100" tIns="19050" rIns="38100" bIns="19050" anchor="ctr">
                <a:spAutoFit/>
              </a:bodyPr>
              <a:lstStyle/>
              <a:p>
                <a:pPr>
                  <a:defRPr sz="700">
                    <a:latin typeface="Times New Roman" panose="02020603050405020304" pitchFamily="18" charset="0"/>
                    <a:cs typeface="Times New Roman" panose="02020603050405020304" pitchFamily="18" charset="0"/>
                  </a:defRPr>
                </a:pPr>
                <a:endParaRPr lang="es-ES"/>
              </a:p>
            </c:txPr>
            <c:dLblPos val="t"/>
            <c:showLegendKey val="0"/>
            <c:showVal val="0"/>
            <c:showCatName val="0"/>
            <c:showSerName val="1"/>
            <c:showPercent val="0"/>
            <c:showBubbleSize val="0"/>
            <c:showLeaderLines val="0"/>
            <c:extLst xmlns:c16r2="http://schemas.microsoft.com/office/drawing/2015/06/chart">
              <c:ext xmlns:c15="http://schemas.microsoft.com/office/drawing/2012/chart" uri="{CE6537A1-D6FC-4f65-9D91-7224C49458BB}">
                <c15:showLeaderLines val="1"/>
              </c:ext>
            </c:extLst>
          </c:dLbls>
          <c:xVal>
            <c:numRef>
              <c:f>Hoja1!$P$13</c:f>
              <c:numCache>
                <c:formatCode>0</c:formatCode>
                <c:ptCount val="1"/>
                <c:pt idx="0">
                  <c:v>49.092796115425244</c:v>
                </c:pt>
              </c:numCache>
            </c:numRef>
          </c:xVal>
          <c:yVal>
            <c:numRef>
              <c:f>Hoja1!$Q$13</c:f>
              <c:numCache>
                <c:formatCode>0</c:formatCode>
                <c:ptCount val="1"/>
                <c:pt idx="0">
                  <c:v>34.874993050021317</c:v>
                </c:pt>
              </c:numCache>
            </c:numRef>
          </c:yVal>
          <c:smooth val="0"/>
          <c:extLst xmlns:c16r2="http://schemas.microsoft.com/office/drawing/2015/06/chart">
            <c:ext xmlns:c16="http://schemas.microsoft.com/office/drawing/2014/chart" uri="{C3380CC4-5D6E-409C-BE32-E72D297353CC}">
              <c16:uniqueId val="{0000000A-2054-4F0C-8BFF-9E4EEE80DA7B}"/>
            </c:ext>
          </c:extLst>
        </c:ser>
        <c:ser>
          <c:idx val="9"/>
          <c:order val="9"/>
          <c:tx>
            <c:strRef>
              <c:f>Hoja1!$O$14</c:f>
              <c:strCache>
                <c:ptCount val="1"/>
                <c:pt idx="0">
                  <c:v>SLV-320</c:v>
                </c:pt>
              </c:strCache>
            </c:strRef>
          </c:tx>
          <c:spPr>
            <a:ln w="25400" cap="rnd">
              <a:noFill/>
              <a:round/>
            </a:ln>
            <a:effectLst/>
          </c:spPr>
          <c:marker>
            <c:symbol val="diamond"/>
            <c:size val="7"/>
            <c:spPr>
              <a:solidFill>
                <a:srgbClr val="002060"/>
              </a:solidFill>
              <a:ln w="9525">
                <a:noFill/>
              </a:ln>
              <a:effectLst/>
            </c:spPr>
          </c:marker>
          <c:dLbls>
            <c:spPr>
              <a:noFill/>
              <a:ln>
                <a:noFill/>
              </a:ln>
              <a:effectLst/>
            </c:spPr>
            <c:txPr>
              <a:bodyPr wrap="square" lIns="38100" tIns="19050" rIns="38100" bIns="19050" anchor="ctr">
                <a:spAutoFit/>
              </a:bodyPr>
              <a:lstStyle/>
              <a:p>
                <a:pPr>
                  <a:defRPr sz="700">
                    <a:latin typeface="Times New Roman" panose="02020603050405020304" pitchFamily="18" charset="0"/>
                    <a:cs typeface="Times New Roman" panose="02020603050405020304" pitchFamily="18" charset="0"/>
                  </a:defRPr>
                </a:pPr>
                <a:endParaRPr lang="es-ES"/>
              </a:p>
            </c:txPr>
            <c:showLegendKey val="0"/>
            <c:showVal val="0"/>
            <c:showCatName val="0"/>
            <c:showSerName val="1"/>
            <c:showPercent val="0"/>
            <c:showBubbleSize val="0"/>
            <c:showLeaderLines val="0"/>
            <c:extLst xmlns:c16r2="http://schemas.microsoft.com/office/drawing/2015/06/chart">
              <c:ext xmlns:c15="http://schemas.microsoft.com/office/drawing/2012/chart" uri="{CE6537A1-D6FC-4f65-9D91-7224C49458BB}">
                <c15:showLeaderLines val="1"/>
              </c:ext>
            </c:extLst>
          </c:dLbls>
          <c:xVal>
            <c:numRef>
              <c:f>Hoja1!$P$14</c:f>
              <c:numCache>
                <c:formatCode>0</c:formatCode>
                <c:ptCount val="1"/>
                <c:pt idx="0">
                  <c:v>68.311562651185298</c:v>
                </c:pt>
              </c:numCache>
            </c:numRef>
          </c:xVal>
          <c:yVal>
            <c:numRef>
              <c:f>Hoja1!$Q$14</c:f>
              <c:numCache>
                <c:formatCode>0</c:formatCode>
                <c:ptCount val="1"/>
                <c:pt idx="0">
                  <c:v>21.376204830486397</c:v>
                </c:pt>
              </c:numCache>
            </c:numRef>
          </c:yVal>
          <c:smooth val="0"/>
          <c:extLst xmlns:c16r2="http://schemas.microsoft.com/office/drawing/2015/06/chart">
            <c:ext xmlns:c16="http://schemas.microsoft.com/office/drawing/2014/chart" uri="{C3380CC4-5D6E-409C-BE32-E72D297353CC}">
              <c16:uniqueId val="{0000000B-2054-4F0C-8BFF-9E4EEE80DA7B}"/>
            </c:ext>
          </c:extLst>
        </c:ser>
        <c:ser>
          <c:idx val="10"/>
          <c:order val="10"/>
          <c:tx>
            <c:strRef>
              <c:f>Hoja1!$O$15</c:f>
              <c:strCache>
                <c:ptCount val="1"/>
                <c:pt idx="0">
                  <c:v>GTM-236</c:v>
                </c:pt>
              </c:strCache>
            </c:strRef>
          </c:tx>
          <c:spPr>
            <a:ln w="25400" cap="rnd">
              <a:noFill/>
              <a:round/>
            </a:ln>
            <a:effectLst/>
          </c:spPr>
          <c:marker>
            <c:symbol val="diamond"/>
            <c:size val="7"/>
            <c:spPr>
              <a:solidFill>
                <a:srgbClr val="C00000"/>
              </a:solidFill>
              <a:ln w="9525">
                <a:noFill/>
              </a:ln>
              <a:effectLst/>
            </c:spPr>
          </c:marker>
          <c:dLbls>
            <c:spPr>
              <a:noFill/>
              <a:ln>
                <a:noFill/>
              </a:ln>
              <a:effectLst/>
            </c:spPr>
            <c:txPr>
              <a:bodyPr wrap="square" lIns="38100" tIns="19050" rIns="38100" bIns="19050" anchor="ctr">
                <a:spAutoFit/>
              </a:bodyPr>
              <a:lstStyle/>
              <a:p>
                <a:pPr>
                  <a:defRPr sz="700">
                    <a:latin typeface="Times New Roman" panose="02020603050405020304" pitchFamily="18" charset="0"/>
                    <a:cs typeface="Times New Roman" panose="02020603050405020304" pitchFamily="18" charset="0"/>
                  </a:defRPr>
                </a:pPr>
                <a:endParaRPr lang="es-ES"/>
              </a:p>
            </c:txPr>
            <c:showLegendKey val="0"/>
            <c:showVal val="0"/>
            <c:showCatName val="0"/>
            <c:showSerName val="1"/>
            <c:showPercent val="0"/>
            <c:showBubbleSize val="0"/>
            <c:showLeaderLines val="0"/>
            <c:extLst xmlns:c16r2="http://schemas.microsoft.com/office/drawing/2015/06/chart">
              <c:ext xmlns:c15="http://schemas.microsoft.com/office/drawing/2012/chart" uri="{CE6537A1-D6FC-4f65-9D91-7224C49458BB}">
                <c15:showLeaderLines val="1"/>
              </c:ext>
            </c:extLst>
          </c:dLbls>
          <c:xVal>
            <c:numRef>
              <c:f>Hoja1!$P$15</c:f>
              <c:numCache>
                <c:formatCode>0</c:formatCode>
                <c:ptCount val="1"/>
                <c:pt idx="0">
                  <c:v>26.64657408519761</c:v>
                </c:pt>
              </c:numCache>
            </c:numRef>
          </c:xVal>
          <c:yVal>
            <c:numRef>
              <c:f>Hoja1!$Q$15</c:f>
              <c:numCache>
                <c:formatCode>0</c:formatCode>
                <c:ptCount val="1"/>
                <c:pt idx="0">
                  <c:v>11.270359187927918</c:v>
                </c:pt>
              </c:numCache>
            </c:numRef>
          </c:yVal>
          <c:smooth val="0"/>
          <c:extLst xmlns:c16r2="http://schemas.microsoft.com/office/drawing/2015/06/chart">
            <c:ext xmlns:c16="http://schemas.microsoft.com/office/drawing/2014/chart" uri="{C3380CC4-5D6E-409C-BE32-E72D297353CC}">
              <c16:uniqueId val="{0000000C-2054-4F0C-8BFF-9E4EEE80DA7B}"/>
            </c:ext>
          </c:extLst>
        </c:ser>
        <c:ser>
          <c:idx val="11"/>
          <c:order val="11"/>
          <c:tx>
            <c:strRef>
              <c:f>Hoja1!$O$16</c:f>
              <c:strCache>
                <c:ptCount val="1"/>
                <c:pt idx="0">
                  <c:v>HND-155</c:v>
                </c:pt>
              </c:strCache>
            </c:strRef>
          </c:tx>
          <c:spPr>
            <a:ln w="25400" cap="rnd">
              <a:noFill/>
              <a:round/>
            </a:ln>
            <a:effectLst/>
          </c:spPr>
          <c:marker>
            <c:symbol val="diamond"/>
            <c:size val="7"/>
            <c:spPr>
              <a:solidFill>
                <a:srgbClr val="002060"/>
              </a:solidFill>
              <a:ln w="9525">
                <a:noFill/>
              </a:ln>
              <a:effectLst/>
            </c:spPr>
          </c:marker>
          <c:dLbls>
            <c:spPr>
              <a:noFill/>
              <a:ln>
                <a:noFill/>
              </a:ln>
              <a:effectLst/>
            </c:spPr>
            <c:txPr>
              <a:bodyPr wrap="square" lIns="38100" tIns="19050" rIns="38100" bIns="19050" anchor="ctr">
                <a:spAutoFit/>
              </a:bodyPr>
              <a:lstStyle/>
              <a:p>
                <a:pPr>
                  <a:defRPr sz="700">
                    <a:latin typeface="Times New Roman" panose="02020603050405020304" pitchFamily="18" charset="0"/>
                    <a:cs typeface="Times New Roman" panose="02020603050405020304" pitchFamily="18" charset="0"/>
                  </a:defRPr>
                </a:pPr>
                <a:endParaRPr lang="es-ES"/>
              </a:p>
            </c:txPr>
            <c:dLblPos val="t"/>
            <c:showLegendKey val="0"/>
            <c:showVal val="0"/>
            <c:showCatName val="0"/>
            <c:showSerName val="1"/>
            <c:showPercent val="0"/>
            <c:showBubbleSize val="0"/>
            <c:showLeaderLines val="0"/>
            <c:extLst xmlns:c16r2="http://schemas.microsoft.com/office/drawing/2015/06/chart">
              <c:ext xmlns:c15="http://schemas.microsoft.com/office/drawing/2012/chart" uri="{CE6537A1-D6FC-4f65-9D91-7224C49458BB}">
                <c15:showLeaderLines val="1"/>
              </c:ext>
            </c:extLst>
          </c:dLbls>
          <c:xVal>
            <c:numRef>
              <c:f>Hoja1!$P$16</c:f>
              <c:numCache>
                <c:formatCode>0</c:formatCode>
                <c:ptCount val="1"/>
                <c:pt idx="0">
                  <c:v>41.531314149890157</c:v>
                </c:pt>
              </c:numCache>
            </c:numRef>
          </c:xVal>
          <c:yVal>
            <c:numRef>
              <c:f>Hoja1!$Q$16</c:f>
              <c:numCache>
                <c:formatCode>0</c:formatCode>
                <c:ptCount val="1"/>
                <c:pt idx="0">
                  <c:v>26.828609500486188</c:v>
                </c:pt>
              </c:numCache>
            </c:numRef>
          </c:yVal>
          <c:smooth val="0"/>
          <c:extLst xmlns:c16r2="http://schemas.microsoft.com/office/drawing/2015/06/chart">
            <c:ext xmlns:c16="http://schemas.microsoft.com/office/drawing/2014/chart" uri="{C3380CC4-5D6E-409C-BE32-E72D297353CC}">
              <c16:uniqueId val="{0000000D-2054-4F0C-8BFF-9E4EEE80DA7B}"/>
            </c:ext>
          </c:extLst>
        </c:ser>
        <c:ser>
          <c:idx val="12"/>
          <c:order val="12"/>
          <c:tx>
            <c:strRef>
              <c:f>Hoja1!$O$17</c:f>
              <c:strCache>
                <c:ptCount val="1"/>
                <c:pt idx="0">
                  <c:v>MEX-236</c:v>
                </c:pt>
              </c:strCache>
            </c:strRef>
          </c:tx>
          <c:spPr>
            <a:ln w="25400" cap="rnd">
              <a:noFill/>
              <a:round/>
            </a:ln>
            <a:effectLst/>
          </c:spPr>
          <c:marker>
            <c:symbol val="diamond"/>
            <c:size val="7"/>
            <c:spPr>
              <a:solidFill>
                <a:srgbClr val="002060"/>
              </a:solidFill>
              <a:ln w="9525">
                <a:noFill/>
              </a:ln>
              <a:effectLst/>
            </c:spPr>
          </c:marker>
          <c:dLbls>
            <c:spPr>
              <a:noFill/>
              <a:ln>
                <a:noFill/>
              </a:ln>
              <a:effectLst/>
            </c:spPr>
            <c:txPr>
              <a:bodyPr wrap="square" lIns="38100" tIns="19050" rIns="38100" bIns="19050" anchor="ctr">
                <a:spAutoFit/>
              </a:bodyPr>
              <a:lstStyle/>
              <a:p>
                <a:pPr>
                  <a:defRPr sz="700">
                    <a:latin typeface="Times New Roman" panose="02020603050405020304" pitchFamily="18" charset="0"/>
                    <a:cs typeface="Times New Roman" panose="02020603050405020304" pitchFamily="18" charset="0"/>
                  </a:defRPr>
                </a:pPr>
                <a:endParaRPr lang="es-ES"/>
              </a:p>
            </c:txPr>
            <c:dLblPos val="b"/>
            <c:showLegendKey val="0"/>
            <c:showVal val="0"/>
            <c:showCatName val="0"/>
            <c:showSerName val="1"/>
            <c:showPercent val="0"/>
            <c:showBubbleSize val="0"/>
            <c:showLeaderLines val="0"/>
            <c:extLst xmlns:c16r2="http://schemas.microsoft.com/office/drawing/2015/06/chart">
              <c:ext xmlns:c15="http://schemas.microsoft.com/office/drawing/2012/chart" uri="{CE6537A1-D6FC-4f65-9D91-7224C49458BB}">
                <c15:showLeaderLines val="1"/>
              </c:ext>
            </c:extLst>
          </c:dLbls>
          <c:xVal>
            <c:numRef>
              <c:f>Hoja1!$P$17</c:f>
              <c:numCache>
                <c:formatCode>0</c:formatCode>
                <c:ptCount val="1"/>
                <c:pt idx="0">
                  <c:v>53.848307168464707</c:v>
                </c:pt>
              </c:numCache>
            </c:numRef>
          </c:xVal>
          <c:yVal>
            <c:numRef>
              <c:f>Hoja1!$Q$17</c:f>
              <c:numCache>
                <c:formatCode>0</c:formatCode>
                <c:ptCount val="1"/>
                <c:pt idx="0">
                  <c:v>22.861510009753044</c:v>
                </c:pt>
              </c:numCache>
            </c:numRef>
          </c:yVal>
          <c:smooth val="0"/>
          <c:extLst xmlns:c16r2="http://schemas.microsoft.com/office/drawing/2015/06/chart">
            <c:ext xmlns:c16="http://schemas.microsoft.com/office/drawing/2014/chart" uri="{C3380CC4-5D6E-409C-BE32-E72D297353CC}">
              <c16:uniqueId val="{0000000E-2054-4F0C-8BFF-9E4EEE80DA7B}"/>
            </c:ext>
          </c:extLst>
        </c:ser>
        <c:ser>
          <c:idx val="13"/>
          <c:order val="13"/>
          <c:tx>
            <c:strRef>
              <c:f>Hoja1!$O$18</c:f>
              <c:strCache>
                <c:ptCount val="1"/>
                <c:pt idx="0">
                  <c:v>NIC-160</c:v>
                </c:pt>
              </c:strCache>
            </c:strRef>
          </c:tx>
          <c:spPr>
            <a:ln w="25400" cap="rnd">
              <a:noFill/>
              <a:round/>
            </a:ln>
            <a:effectLst/>
          </c:spPr>
          <c:marker>
            <c:symbol val="diamond"/>
            <c:size val="7"/>
            <c:spPr>
              <a:solidFill>
                <a:srgbClr val="002060"/>
              </a:solidFill>
              <a:ln w="9525">
                <a:noFill/>
              </a:ln>
              <a:effectLst/>
            </c:spPr>
          </c:marker>
          <c:dLbls>
            <c:spPr>
              <a:noFill/>
              <a:ln>
                <a:noFill/>
              </a:ln>
              <a:effectLst/>
            </c:spPr>
            <c:txPr>
              <a:bodyPr wrap="square" lIns="38100" tIns="19050" rIns="38100" bIns="19050" anchor="ctr">
                <a:spAutoFit/>
              </a:bodyPr>
              <a:lstStyle/>
              <a:p>
                <a:pPr>
                  <a:defRPr sz="700">
                    <a:latin typeface="Times New Roman" panose="02020603050405020304" pitchFamily="18" charset="0"/>
                    <a:cs typeface="Times New Roman" panose="02020603050405020304" pitchFamily="18" charset="0"/>
                  </a:defRPr>
                </a:pPr>
                <a:endParaRPr lang="es-ES"/>
              </a:p>
            </c:txPr>
            <c:dLblPos val="b"/>
            <c:showLegendKey val="0"/>
            <c:showVal val="0"/>
            <c:showCatName val="0"/>
            <c:showSerName val="1"/>
            <c:showPercent val="0"/>
            <c:showBubbleSize val="0"/>
            <c:showLeaderLines val="0"/>
            <c:extLst xmlns:c16r2="http://schemas.microsoft.com/office/drawing/2015/06/chart">
              <c:ext xmlns:c15="http://schemas.microsoft.com/office/drawing/2012/chart" uri="{CE6537A1-D6FC-4f65-9D91-7224C49458BB}">
                <c15:showLeaderLines val="1"/>
              </c:ext>
            </c:extLst>
          </c:dLbls>
          <c:xVal>
            <c:numRef>
              <c:f>Hoja1!$P$18</c:f>
              <c:numCache>
                <c:formatCode>0</c:formatCode>
                <c:ptCount val="1"/>
                <c:pt idx="0">
                  <c:v>39.047290998740216</c:v>
                </c:pt>
              </c:numCache>
            </c:numRef>
          </c:xVal>
          <c:yVal>
            <c:numRef>
              <c:f>Hoja1!$Q$18</c:f>
              <c:numCache>
                <c:formatCode>0</c:formatCode>
                <c:ptCount val="1"/>
                <c:pt idx="0">
                  <c:v>24.334883765744195</c:v>
                </c:pt>
              </c:numCache>
            </c:numRef>
          </c:yVal>
          <c:smooth val="0"/>
          <c:extLst xmlns:c16r2="http://schemas.microsoft.com/office/drawing/2015/06/chart">
            <c:ext xmlns:c16="http://schemas.microsoft.com/office/drawing/2014/chart" uri="{C3380CC4-5D6E-409C-BE32-E72D297353CC}">
              <c16:uniqueId val="{0000000F-2054-4F0C-8BFF-9E4EEE80DA7B}"/>
            </c:ext>
          </c:extLst>
        </c:ser>
        <c:ser>
          <c:idx val="14"/>
          <c:order val="14"/>
          <c:tx>
            <c:strRef>
              <c:f>Hoja1!$O$19</c:f>
              <c:strCache>
                <c:ptCount val="1"/>
                <c:pt idx="0">
                  <c:v>PRY-133</c:v>
                </c:pt>
              </c:strCache>
            </c:strRef>
          </c:tx>
          <c:spPr>
            <a:ln w="25400" cap="rnd">
              <a:noFill/>
              <a:round/>
            </a:ln>
            <a:effectLst/>
          </c:spPr>
          <c:marker>
            <c:symbol val="diamond"/>
            <c:size val="7"/>
            <c:spPr>
              <a:solidFill>
                <a:srgbClr val="002060"/>
              </a:solidFill>
              <a:ln w="9525">
                <a:noFill/>
              </a:ln>
              <a:effectLst/>
            </c:spPr>
          </c:marker>
          <c:dLbls>
            <c:spPr>
              <a:noFill/>
              <a:ln>
                <a:noFill/>
              </a:ln>
              <a:effectLst/>
            </c:spPr>
            <c:txPr>
              <a:bodyPr wrap="square" lIns="38100" tIns="19050" rIns="38100" bIns="19050" anchor="ctr">
                <a:spAutoFit/>
              </a:bodyPr>
              <a:lstStyle/>
              <a:p>
                <a:pPr>
                  <a:defRPr sz="700">
                    <a:latin typeface="Times New Roman" panose="02020603050405020304" pitchFamily="18" charset="0"/>
                    <a:cs typeface="Times New Roman" panose="02020603050405020304" pitchFamily="18" charset="0"/>
                  </a:defRPr>
                </a:pPr>
                <a:endParaRPr lang="es-ES"/>
              </a:p>
            </c:txPr>
            <c:showLegendKey val="0"/>
            <c:showVal val="0"/>
            <c:showCatName val="0"/>
            <c:showSerName val="1"/>
            <c:showPercent val="0"/>
            <c:showBubbleSize val="0"/>
            <c:showLeaderLines val="0"/>
            <c:extLst xmlns:c16r2="http://schemas.microsoft.com/office/drawing/2015/06/chart">
              <c:ext xmlns:c15="http://schemas.microsoft.com/office/drawing/2012/chart" uri="{CE6537A1-D6FC-4f65-9D91-7224C49458BB}">
                <c15:showLeaderLines val="1"/>
              </c:ext>
            </c:extLst>
          </c:dLbls>
          <c:xVal>
            <c:numRef>
              <c:f>Hoja1!$P$19</c:f>
              <c:numCache>
                <c:formatCode>0</c:formatCode>
                <c:ptCount val="1"/>
                <c:pt idx="0">
                  <c:v>23.697511598218082</c:v>
                </c:pt>
              </c:numCache>
            </c:numRef>
          </c:xVal>
          <c:yVal>
            <c:numRef>
              <c:f>Hoja1!$Q$19</c:f>
              <c:numCache>
                <c:formatCode>0</c:formatCode>
                <c:ptCount val="1"/>
                <c:pt idx="0">
                  <c:v>17.762547753775781</c:v>
                </c:pt>
              </c:numCache>
            </c:numRef>
          </c:yVal>
          <c:smooth val="0"/>
          <c:extLst xmlns:c16r2="http://schemas.microsoft.com/office/drawing/2015/06/chart">
            <c:ext xmlns:c16="http://schemas.microsoft.com/office/drawing/2014/chart" uri="{C3380CC4-5D6E-409C-BE32-E72D297353CC}">
              <c16:uniqueId val="{00000010-2054-4F0C-8BFF-9E4EEE80DA7B}"/>
            </c:ext>
          </c:extLst>
        </c:ser>
        <c:ser>
          <c:idx val="15"/>
          <c:order val="15"/>
          <c:tx>
            <c:strRef>
              <c:f>Hoja1!$O$20</c:f>
              <c:strCache>
                <c:ptCount val="1"/>
                <c:pt idx="0">
                  <c:v>PER-134</c:v>
                </c:pt>
              </c:strCache>
            </c:strRef>
          </c:tx>
          <c:spPr>
            <a:ln w="25400" cap="rnd">
              <a:noFill/>
              <a:round/>
            </a:ln>
            <a:effectLst/>
          </c:spPr>
          <c:marker>
            <c:symbol val="diamond"/>
            <c:size val="7"/>
            <c:spPr>
              <a:solidFill>
                <a:srgbClr val="002060"/>
              </a:solidFill>
              <a:ln w="9525">
                <a:noFill/>
              </a:ln>
              <a:effectLst/>
            </c:spPr>
          </c:marker>
          <c:dLbls>
            <c:spPr>
              <a:noFill/>
              <a:ln>
                <a:noFill/>
              </a:ln>
              <a:effectLst/>
            </c:spPr>
            <c:txPr>
              <a:bodyPr wrap="square" lIns="38100" tIns="19050" rIns="38100" bIns="19050" anchor="ctr">
                <a:spAutoFit/>
              </a:bodyPr>
              <a:lstStyle/>
              <a:p>
                <a:pPr>
                  <a:defRPr sz="700">
                    <a:latin typeface="Times New Roman" panose="02020603050405020304" pitchFamily="18" charset="0"/>
                    <a:cs typeface="Times New Roman" panose="02020603050405020304" pitchFamily="18" charset="0"/>
                  </a:defRPr>
                </a:pPr>
                <a:endParaRPr lang="es-ES"/>
              </a:p>
            </c:txPr>
            <c:showLegendKey val="0"/>
            <c:showVal val="0"/>
            <c:showCatName val="0"/>
            <c:showSerName val="1"/>
            <c:showPercent val="0"/>
            <c:showBubbleSize val="0"/>
            <c:showLeaderLines val="0"/>
            <c:extLst xmlns:c16r2="http://schemas.microsoft.com/office/drawing/2015/06/chart">
              <c:ext xmlns:c15="http://schemas.microsoft.com/office/drawing/2012/chart" uri="{CE6537A1-D6FC-4f65-9D91-7224C49458BB}">
                <c15:showLeaderLines val="1"/>
              </c:ext>
            </c:extLst>
          </c:dLbls>
          <c:xVal>
            <c:numRef>
              <c:f>Hoja1!$P$20</c:f>
              <c:numCache>
                <c:formatCode>0</c:formatCode>
                <c:ptCount val="1"/>
                <c:pt idx="0">
                  <c:v>26.882171212600049</c:v>
                </c:pt>
              </c:numCache>
            </c:numRef>
          </c:xVal>
          <c:yVal>
            <c:numRef>
              <c:f>Hoja1!$Q$20</c:f>
              <c:numCache>
                <c:formatCode>0</c:formatCode>
                <c:ptCount val="1"/>
                <c:pt idx="0">
                  <c:v>19.989809541622861</c:v>
                </c:pt>
              </c:numCache>
            </c:numRef>
          </c:yVal>
          <c:smooth val="0"/>
          <c:extLst xmlns:c16r2="http://schemas.microsoft.com/office/drawing/2015/06/chart">
            <c:ext xmlns:c16="http://schemas.microsoft.com/office/drawing/2014/chart" uri="{C3380CC4-5D6E-409C-BE32-E72D297353CC}">
              <c16:uniqueId val="{00000011-2054-4F0C-8BFF-9E4EEE80DA7B}"/>
            </c:ext>
          </c:extLst>
        </c:ser>
        <c:ser>
          <c:idx val="16"/>
          <c:order val="16"/>
          <c:tx>
            <c:strRef>
              <c:f>Hoja1!$O$21</c:f>
              <c:strCache>
                <c:ptCount val="1"/>
                <c:pt idx="0">
                  <c:v>URY-208</c:v>
                </c:pt>
              </c:strCache>
            </c:strRef>
          </c:tx>
          <c:spPr>
            <a:ln w="25400" cap="rnd">
              <a:noFill/>
              <a:round/>
            </a:ln>
            <a:effectLst/>
          </c:spPr>
          <c:marker>
            <c:symbol val="diamond"/>
            <c:size val="7"/>
            <c:spPr>
              <a:solidFill>
                <a:srgbClr val="002060"/>
              </a:solidFill>
              <a:ln w="9525">
                <a:noFill/>
              </a:ln>
              <a:effectLst/>
            </c:spPr>
          </c:marker>
          <c:dLbls>
            <c:spPr>
              <a:noFill/>
              <a:ln>
                <a:noFill/>
              </a:ln>
              <a:effectLst/>
            </c:spPr>
            <c:txPr>
              <a:bodyPr wrap="square" lIns="38100" tIns="19050" rIns="38100" bIns="19050" anchor="ctr">
                <a:spAutoFit/>
              </a:bodyPr>
              <a:lstStyle/>
              <a:p>
                <a:pPr>
                  <a:defRPr sz="700">
                    <a:latin typeface="Times New Roman" panose="02020603050405020304" pitchFamily="18" charset="0"/>
                    <a:cs typeface="Times New Roman" panose="02020603050405020304" pitchFamily="18" charset="0"/>
                  </a:defRPr>
                </a:pPr>
                <a:endParaRPr lang="es-ES"/>
              </a:p>
            </c:txPr>
            <c:dLblPos val="t"/>
            <c:showLegendKey val="0"/>
            <c:showVal val="0"/>
            <c:showCatName val="0"/>
            <c:showSerName val="1"/>
            <c:showPercent val="0"/>
            <c:showBubbleSize val="0"/>
            <c:showLeaderLines val="0"/>
            <c:extLst xmlns:c16r2="http://schemas.microsoft.com/office/drawing/2015/06/chart">
              <c:ext xmlns:c15="http://schemas.microsoft.com/office/drawing/2012/chart" uri="{CE6537A1-D6FC-4f65-9D91-7224C49458BB}">
                <c15:showLeaderLines val="1"/>
              </c:ext>
            </c:extLst>
          </c:dLbls>
          <c:xVal>
            <c:numRef>
              <c:f>Hoja1!$P$21</c:f>
              <c:numCache>
                <c:formatCode>0</c:formatCode>
                <c:ptCount val="1"/>
                <c:pt idx="0">
                  <c:v>64.078396476607779</c:v>
                </c:pt>
              </c:numCache>
            </c:numRef>
          </c:xVal>
          <c:yVal>
            <c:numRef>
              <c:f>Hoja1!$Q$21</c:f>
              <c:numCache>
                <c:formatCode>0</c:formatCode>
                <c:ptCount val="1"/>
                <c:pt idx="0">
                  <c:v>30.79678755414691</c:v>
                </c:pt>
              </c:numCache>
            </c:numRef>
          </c:yVal>
          <c:smooth val="0"/>
          <c:extLst xmlns:c16r2="http://schemas.microsoft.com/office/drawing/2015/06/chart">
            <c:ext xmlns:c16="http://schemas.microsoft.com/office/drawing/2014/chart" uri="{C3380CC4-5D6E-409C-BE32-E72D297353CC}">
              <c16:uniqueId val="{00000012-2054-4F0C-8BFF-9E4EEE80DA7B}"/>
            </c:ext>
          </c:extLst>
        </c:ser>
        <c:dLbls>
          <c:showLegendKey val="0"/>
          <c:showVal val="0"/>
          <c:showCatName val="0"/>
          <c:showSerName val="0"/>
          <c:showPercent val="0"/>
          <c:showBubbleSize val="0"/>
        </c:dLbls>
        <c:axId val="147344768"/>
        <c:axId val="147371520"/>
      </c:scatterChart>
      <c:valAx>
        <c:axId val="147344768"/>
        <c:scaling>
          <c:orientation val="minMax"/>
          <c:min val="20"/>
        </c:scaling>
        <c:delete val="0"/>
        <c:axPos val="b"/>
        <c:majorGridlines>
          <c:spPr>
            <a:ln w="9525" cap="flat" cmpd="sng" algn="ctr">
              <a:solidFill>
                <a:schemeClr val="tx1">
                  <a:lumMod val="15000"/>
                  <a:lumOff val="85000"/>
                  <a:alpha val="50000"/>
                </a:schemeClr>
              </a:solidFill>
              <a:round/>
            </a:ln>
            <a:effectLst/>
          </c:spPr>
        </c:majorGridlines>
        <c:title>
          <c:tx>
            <c:rich>
              <a:bodyPr/>
              <a:lstStyle/>
              <a:p>
                <a:pPr>
                  <a:defRPr sz="800">
                    <a:latin typeface="Times New Roman" panose="02020603050405020304" pitchFamily="18" charset="0"/>
                    <a:cs typeface="Times New Roman" panose="02020603050405020304" pitchFamily="18" charset="0"/>
                  </a:defRPr>
                </a:pPr>
                <a:r>
                  <a:rPr lang="es-GT" sz="800">
                    <a:latin typeface="Times New Roman" panose="02020603050405020304" pitchFamily="18" charset="0"/>
                    <a:cs typeface="Times New Roman" panose="02020603050405020304" pitchFamily="18" charset="0"/>
                  </a:rPr>
                  <a:t>Deuda/PIB (%)</a:t>
                </a:r>
              </a:p>
            </c:rich>
          </c:tx>
          <c:layout>
            <c:manualLayout>
              <c:xMode val="edge"/>
              <c:yMode val="edge"/>
              <c:x val="0.44543524121226846"/>
              <c:y val="0.93659194818389635"/>
            </c:manualLayout>
          </c:layout>
          <c:overlay val="0"/>
        </c:title>
        <c:numFmt formatCode="0" sourceLinked="1"/>
        <c:majorTickMark val="none"/>
        <c:minorTickMark val="none"/>
        <c:tickLblPos val="nextTo"/>
        <c:spPr>
          <a:noFill/>
          <a:ln w="9525" cap="flat" cmpd="sng" algn="ctr">
            <a:solidFill>
              <a:schemeClr val="tx1">
                <a:lumMod val="25000"/>
                <a:lumOff val="75000"/>
              </a:schemeClr>
            </a:solidFill>
            <a:round/>
          </a:ln>
          <a:effectLst/>
        </c:spPr>
        <c:txPr>
          <a:bodyPr rot="0" vert="horz"/>
          <a:lstStyle/>
          <a:p>
            <a:pPr>
              <a:defRPr sz="800" b="0" i="0" u="none" strike="noStrike" baseline="0">
                <a:solidFill>
                  <a:srgbClr val="333333"/>
                </a:solidFill>
                <a:latin typeface="Times New Roman" panose="02020603050405020304" pitchFamily="18" charset="0"/>
                <a:ea typeface="Calibri"/>
                <a:cs typeface="Times New Roman" panose="02020603050405020304" pitchFamily="18" charset="0"/>
              </a:defRPr>
            </a:pPr>
            <a:endParaRPr lang="es-ES"/>
          </a:p>
        </c:txPr>
        <c:crossAx val="147371520"/>
        <c:crosses val="autoZero"/>
        <c:crossBetween val="midCat"/>
      </c:valAx>
      <c:valAx>
        <c:axId val="147371520"/>
        <c:scaling>
          <c:orientation val="minMax"/>
          <c:min val="10"/>
        </c:scaling>
        <c:delete val="0"/>
        <c:axPos val="l"/>
        <c:majorGridlines>
          <c:spPr>
            <a:ln w="9525" cap="flat" cmpd="sng" algn="ctr">
              <a:solidFill>
                <a:schemeClr val="tx1">
                  <a:lumMod val="15000"/>
                  <a:lumOff val="85000"/>
                  <a:alpha val="50000"/>
                </a:schemeClr>
              </a:solidFill>
              <a:round/>
            </a:ln>
            <a:effectLst/>
          </c:spPr>
        </c:majorGridlines>
        <c:title>
          <c:tx>
            <c:rich>
              <a:bodyPr/>
              <a:lstStyle/>
              <a:p>
                <a:pPr algn="ctr">
                  <a:defRPr sz="900">
                    <a:latin typeface="Times New Roman" panose="02020603050405020304" pitchFamily="18" charset="0"/>
                    <a:cs typeface="Times New Roman" panose="02020603050405020304" pitchFamily="18" charset="0"/>
                  </a:defRPr>
                </a:pPr>
                <a:r>
                  <a:rPr lang="es-GT" sz="900">
                    <a:latin typeface="Times New Roman" panose="02020603050405020304" pitchFamily="18" charset="0"/>
                    <a:cs typeface="Times New Roman" panose="02020603050405020304" pitchFamily="18" charset="0"/>
                  </a:rPr>
                  <a:t>Ingresos fiscales/PIB (%)</a:t>
                </a:r>
              </a:p>
            </c:rich>
          </c:tx>
          <c:layout>
            <c:manualLayout>
              <c:xMode val="edge"/>
              <c:yMode val="edge"/>
              <c:x val="1.2906249999999999E-2"/>
              <c:y val="0.21402579365079369"/>
            </c:manualLayout>
          </c:layout>
          <c:overlay val="0"/>
        </c:title>
        <c:numFmt formatCode="0" sourceLinked="1"/>
        <c:majorTickMark val="none"/>
        <c:minorTickMark val="none"/>
        <c:tickLblPos val="nextTo"/>
        <c:spPr>
          <a:noFill/>
          <a:ln w="9525" cap="flat" cmpd="sng" algn="ctr">
            <a:solidFill>
              <a:schemeClr val="tx1">
                <a:lumMod val="25000"/>
                <a:lumOff val="75000"/>
              </a:schemeClr>
            </a:solidFill>
            <a:round/>
          </a:ln>
          <a:effectLst/>
        </c:spPr>
        <c:txPr>
          <a:bodyPr rot="0" vert="horz"/>
          <a:lstStyle/>
          <a:p>
            <a:pPr>
              <a:defRPr sz="800" b="0" i="0" u="none" strike="noStrike" baseline="0">
                <a:solidFill>
                  <a:srgbClr val="333333"/>
                </a:solidFill>
                <a:latin typeface="Times New Roman" panose="02020603050405020304" pitchFamily="18" charset="0"/>
                <a:ea typeface="Calibri"/>
                <a:cs typeface="Times New Roman" panose="02020603050405020304" pitchFamily="18" charset="0"/>
              </a:defRPr>
            </a:pPr>
            <a:endParaRPr lang="es-ES"/>
          </a:p>
        </c:txPr>
        <c:crossAx val="147344768"/>
        <c:crosses val="autoZero"/>
        <c:crossBetween val="midCat"/>
      </c:valAx>
      <c:spPr>
        <a:noFill/>
        <a:ln w="25400">
          <a:noFill/>
        </a:ln>
      </c:spPr>
    </c:plotArea>
    <c:plotVisOnly val="1"/>
    <c:dispBlanksAs val="gap"/>
    <c:showDLblsOverMax val="0"/>
  </c:chart>
  <c:spPr>
    <a:solidFill>
      <a:schemeClr val="bg1"/>
    </a:solidFill>
    <a:ln w="9525" cap="flat" cmpd="sng" algn="ctr">
      <a:noFill/>
      <a:round/>
    </a:ln>
    <a:effectLst/>
  </c:spPr>
  <c:txPr>
    <a:bodyPr/>
    <a:lstStyle/>
    <a:p>
      <a:pPr>
        <a:defRPr sz="1000" b="0" i="0" u="none" strike="noStrike" baseline="0">
          <a:solidFill>
            <a:srgbClr val="000000"/>
          </a:solidFill>
          <a:latin typeface="Calibri"/>
          <a:ea typeface="Calibri"/>
          <a:cs typeface="Calibri"/>
        </a:defRPr>
      </a:pPr>
      <a:endParaRPr lang="es-ES"/>
    </a:p>
  </c:txPr>
  <c:externalData r:id="rId1">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3443819444444444"/>
          <c:y val="5.8968253968253982E-2"/>
          <c:w val="0.81595243055555555"/>
          <c:h val="0.80794920634920631"/>
        </c:manualLayout>
      </c:layout>
      <c:scatterChart>
        <c:scatterStyle val="lineMarker"/>
        <c:varyColors val="0"/>
        <c:ser>
          <c:idx val="0"/>
          <c:order val="0"/>
          <c:tx>
            <c:strRef>
              <c:f>Hoja1!$J$26</c:f>
              <c:strCache>
                <c:ptCount val="1"/>
                <c:pt idx="0">
                  <c:v>ARG</c:v>
                </c:pt>
              </c:strCache>
            </c:strRef>
          </c:tx>
          <c:spPr>
            <a:ln w="25400" cap="rnd">
              <a:noFill/>
              <a:round/>
            </a:ln>
            <a:effectLst/>
          </c:spPr>
          <c:marker>
            <c:symbol val="diamond"/>
            <c:size val="7"/>
            <c:spPr>
              <a:solidFill>
                <a:srgbClr val="002060"/>
              </a:solidFill>
              <a:ln w="9525">
                <a:noFill/>
              </a:ln>
              <a:effectLst/>
            </c:spPr>
          </c:marker>
          <c:dLbls>
            <c:spPr>
              <a:noFill/>
              <a:ln>
                <a:noFill/>
              </a:ln>
              <a:effectLst/>
            </c:spPr>
            <c:dLblPos val="b"/>
            <c:showLegendKey val="0"/>
            <c:showVal val="0"/>
            <c:showCatName val="0"/>
            <c:showSerName val="1"/>
            <c:showPercent val="0"/>
            <c:showBubbleSize val="0"/>
            <c:showLeaderLines val="0"/>
            <c:extLst xmlns:c16r2="http://schemas.microsoft.com/office/drawing/2015/06/chart">
              <c:ext xmlns:c15="http://schemas.microsoft.com/office/drawing/2012/chart" uri="{CE6537A1-D6FC-4f65-9D91-7224C49458BB}">
                <c15:showLeaderLines val="1"/>
              </c:ext>
            </c:extLst>
          </c:dLbls>
          <c:xVal>
            <c:numRef>
              <c:f>Hoja1!$P$5</c:f>
              <c:numCache>
                <c:formatCode>0</c:formatCode>
                <c:ptCount val="1"/>
                <c:pt idx="0">
                  <c:v>93.300687154705884</c:v>
                </c:pt>
              </c:numCache>
            </c:numRef>
          </c:xVal>
          <c:yVal>
            <c:numRef>
              <c:f>Hoja1!$K$26</c:f>
              <c:numCache>
                <c:formatCode>0</c:formatCode>
                <c:ptCount val="1"/>
                <c:pt idx="0">
                  <c:v>278</c:v>
                </c:pt>
              </c:numCache>
            </c:numRef>
          </c:yVal>
          <c:smooth val="0"/>
          <c:extLst xmlns:c16r2="http://schemas.microsoft.com/office/drawing/2015/06/chart">
            <c:ext xmlns:c16="http://schemas.microsoft.com/office/drawing/2014/chart" uri="{C3380CC4-5D6E-409C-BE32-E72D297353CC}">
              <c16:uniqueId val="{00000000-AEEF-4B3F-9145-299001B22DF4}"/>
            </c:ext>
          </c:extLst>
        </c:ser>
        <c:ser>
          <c:idx val="1"/>
          <c:order val="1"/>
          <c:tx>
            <c:strRef>
              <c:f>Hoja1!$J$27</c:f>
              <c:strCache>
                <c:ptCount val="1"/>
                <c:pt idx="0">
                  <c:v>BLZ</c:v>
                </c:pt>
              </c:strCache>
            </c:strRef>
          </c:tx>
          <c:spPr>
            <a:ln w="25400" cap="rnd">
              <a:noFill/>
              <a:round/>
            </a:ln>
            <a:effectLst/>
          </c:spPr>
          <c:marker>
            <c:symbol val="diamond"/>
            <c:size val="7"/>
            <c:spPr>
              <a:solidFill>
                <a:srgbClr val="002060"/>
              </a:solidFill>
              <a:ln w="9525">
                <a:noFill/>
              </a:ln>
              <a:effectLst/>
            </c:spPr>
          </c:marker>
          <c:dLbls>
            <c:spPr>
              <a:noFill/>
              <a:ln>
                <a:noFill/>
              </a:ln>
              <a:effectLst/>
            </c:spPr>
            <c:dLblPos val="t"/>
            <c:showLegendKey val="0"/>
            <c:showVal val="0"/>
            <c:showCatName val="0"/>
            <c:showSerName val="1"/>
            <c:showPercent val="0"/>
            <c:showBubbleSize val="0"/>
            <c:showLeaderLines val="0"/>
            <c:extLst xmlns:c16r2="http://schemas.microsoft.com/office/drawing/2015/06/chart">
              <c:ext xmlns:c15="http://schemas.microsoft.com/office/drawing/2012/chart" uri="{CE6537A1-D6FC-4f65-9D91-7224C49458BB}">
                <c15:showLeaderLines val="1"/>
              </c:ext>
            </c:extLst>
          </c:dLbls>
          <c:xVal>
            <c:numRef>
              <c:f>Hoja1!$P$6</c:f>
              <c:numCache>
                <c:formatCode>0</c:formatCode>
                <c:ptCount val="1"/>
                <c:pt idx="0">
                  <c:v>92.978510744627698</c:v>
                </c:pt>
              </c:numCache>
            </c:numRef>
          </c:xVal>
          <c:yVal>
            <c:numRef>
              <c:f>Hoja1!$K$27</c:f>
              <c:numCache>
                <c:formatCode>0</c:formatCode>
                <c:ptCount val="1"/>
                <c:pt idx="0">
                  <c:v>307</c:v>
                </c:pt>
              </c:numCache>
            </c:numRef>
          </c:yVal>
          <c:smooth val="0"/>
          <c:extLst xmlns:c16r2="http://schemas.microsoft.com/office/drawing/2015/06/chart">
            <c:ext xmlns:c16="http://schemas.microsoft.com/office/drawing/2014/chart" uri="{C3380CC4-5D6E-409C-BE32-E72D297353CC}">
              <c16:uniqueId val="{00000001-AEEF-4B3F-9145-299001B22DF4}"/>
            </c:ext>
          </c:extLst>
        </c:ser>
        <c:ser>
          <c:idx val="2"/>
          <c:order val="2"/>
          <c:tx>
            <c:strRef>
              <c:f>Hoja1!$J$28</c:f>
              <c:strCache>
                <c:ptCount val="1"/>
                <c:pt idx="0">
                  <c:v>BOL</c:v>
                </c:pt>
              </c:strCache>
            </c:strRef>
          </c:tx>
          <c:spPr>
            <a:ln w="25400" cap="rnd">
              <a:noFill/>
              <a:round/>
            </a:ln>
            <a:effectLst/>
          </c:spPr>
          <c:marker>
            <c:symbol val="diamond"/>
            <c:size val="7"/>
            <c:spPr>
              <a:solidFill>
                <a:srgbClr val="002060"/>
              </a:solidFill>
              <a:ln w="9525">
                <a:noFill/>
              </a:ln>
              <a:effectLst/>
            </c:spPr>
          </c:marker>
          <c:dLbls>
            <c:spPr>
              <a:noFill/>
              <a:ln>
                <a:noFill/>
              </a:ln>
              <a:effectLst/>
            </c:spPr>
            <c:dLblPos val="b"/>
            <c:showLegendKey val="0"/>
            <c:showVal val="0"/>
            <c:showCatName val="0"/>
            <c:showSerName val="1"/>
            <c:showPercent val="0"/>
            <c:showBubbleSize val="0"/>
            <c:showLeaderLines val="0"/>
            <c:extLst xmlns:c16r2="http://schemas.microsoft.com/office/drawing/2015/06/chart">
              <c:ext xmlns:c15="http://schemas.microsoft.com/office/drawing/2012/chart" uri="{CE6537A1-D6FC-4f65-9D91-7224C49458BB}">
                <c15:showLeaderLines val="1"/>
              </c:ext>
            </c:extLst>
          </c:dLbls>
          <c:xVal>
            <c:numRef>
              <c:f>Hoja1!$P$7</c:f>
              <c:numCache>
                <c:formatCode>0</c:formatCode>
                <c:ptCount val="1"/>
                <c:pt idx="0">
                  <c:v>57.681782239488435</c:v>
                </c:pt>
              </c:numCache>
            </c:numRef>
          </c:xVal>
          <c:yVal>
            <c:numRef>
              <c:f>Hoja1!$K$28</c:f>
              <c:numCache>
                <c:formatCode>0</c:formatCode>
                <c:ptCount val="1"/>
                <c:pt idx="0">
                  <c:v>201</c:v>
                </c:pt>
              </c:numCache>
            </c:numRef>
          </c:yVal>
          <c:smooth val="0"/>
          <c:extLst xmlns:c16r2="http://schemas.microsoft.com/office/drawing/2015/06/chart">
            <c:ext xmlns:c16="http://schemas.microsoft.com/office/drawing/2014/chart" uri="{C3380CC4-5D6E-409C-BE32-E72D297353CC}">
              <c16:uniqueId val="{00000002-AEEF-4B3F-9145-299001B22DF4}"/>
            </c:ext>
          </c:extLst>
        </c:ser>
        <c:ser>
          <c:idx val="3"/>
          <c:order val="3"/>
          <c:tx>
            <c:strRef>
              <c:f>Hoja1!$J$29</c:f>
              <c:strCache>
                <c:ptCount val="1"/>
                <c:pt idx="0">
                  <c:v>BRA</c:v>
                </c:pt>
              </c:strCache>
            </c:strRef>
          </c:tx>
          <c:spPr>
            <a:ln w="25400" cap="rnd">
              <a:noFill/>
              <a:round/>
            </a:ln>
            <a:effectLst/>
          </c:spPr>
          <c:marker>
            <c:symbol val="diamond"/>
            <c:size val="7"/>
            <c:spPr>
              <a:solidFill>
                <a:srgbClr val="002060"/>
              </a:solidFill>
              <a:ln w="9525">
                <a:noFill/>
              </a:ln>
              <a:effectLst/>
            </c:spPr>
          </c:marker>
          <c:dLbls>
            <c:dLbl>
              <c:idx val="0"/>
              <c:spPr>
                <a:noFill/>
                <a:ln>
                  <a:noFill/>
                </a:ln>
                <a:effectLst/>
              </c:spPr>
              <c:txPr>
                <a:bodyPr/>
                <a:lstStyle/>
                <a:p>
                  <a:pPr>
                    <a:defRPr/>
                  </a:pPr>
                  <a:endParaRPr lang="es-ES"/>
                </a:p>
              </c:txPr>
              <c:dLblPos val="l"/>
              <c:showLegendKey val="0"/>
              <c:showVal val="0"/>
              <c:showCatName val="0"/>
              <c:showSerName val="1"/>
              <c:showPercent val="0"/>
              <c:showBubbleSize val="0"/>
            </c:dLbl>
            <c:spPr>
              <a:noFill/>
              <a:ln>
                <a:noFill/>
              </a:ln>
              <a:effectLst/>
            </c:spPr>
            <c:dLblPos val="l"/>
            <c:showLegendKey val="0"/>
            <c:showVal val="0"/>
            <c:showCatName val="0"/>
            <c:showSerName val="1"/>
            <c:showPercent val="0"/>
            <c:showBubbleSize val="0"/>
            <c:showLeaderLines val="0"/>
            <c:extLst xmlns:c16r2="http://schemas.microsoft.com/office/drawing/2015/06/chart">
              <c:ext xmlns:c15="http://schemas.microsoft.com/office/drawing/2012/chart" uri="{CE6537A1-D6FC-4f65-9D91-7224C49458BB}">
                <c15:showLeaderLines val="1"/>
              </c:ext>
            </c:extLst>
          </c:dLbls>
          <c:xVal>
            <c:numRef>
              <c:f>Hoja1!$P$8</c:f>
              <c:numCache>
                <c:formatCode>0</c:formatCode>
                <c:ptCount val="1"/>
                <c:pt idx="0">
                  <c:v>91.567961379538787</c:v>
                </c:pt>
              </c:numCache>
            </c:numRef>
          </c:xVal>
          <c:yVal>
            <c:numRef>
              <c:f>Hoja1!$K$29</c:f>
              <c:numCache>
                <c:formatCode>0</c:formatCode>
                <c:ptCount val="1"/>
                <c:pt idx="0">
                  <c:v>298</c:v>
                </c:pt>
              </c:numCache>
            </c:numRef>
          </c:yVal>
          <c:smooth val="0"/>
          <c:extLst xmlns:c16r2="http://schemas.microsoft.com/office/drawing/2015/06/chart">
            <c:ext xmlns:c16="http://schemas.microsoft.com/office/drawing/2014/chart" uri="{C3380CC4-5D6E-409C-BE32-E72D297353CC}">
              <c16:uniqueId val="{00000004-AEEF-4B3F-9145-299001B22DF4}"/>
            </c:ext>
          </c:extLst>
        </c:ser>
        <c:ser>
          <c:idx val="4"/>
          <c:order val="4"/>
          <c:tx>
            <c:strRef>
              <c:f>Hoja1!$J$30</c:f>
              <c:strCache>
                <c:ptCount val="1"/>
                <c:pt idx="0">
                  <c:v>CHL</c:v>
                </c:pt>
              </c:strCache>
            </c:strRef>
          </c:tx>
          <c:spPr>
            <a:ln w="25400" cap="rnd">
              <a:noFill/>
              <a:round/>
            </a:ln>
            <a:effectLst/>
          </c:spPr>
          <c:marker>
            <c:symbol val="diamond"/>
            <c:size val="7"/>
            <c:spPr>
              <a:solidFill>
                <a:srgbClr val="002060"/>
              </a:solidFill>
              <a:ln w="9525">
                <a:noFill/>
              </a:ln>
              <a:effectLst/>
            </c:spPr>
          </c:marker>
          <c:dLbls>
            <c:spPr>
              <a:noFill/>
              <a:ln>
                <a:noFill/>
              </a:ln>
              <a:effectLst/>
            </c:spPr>
            <c:txPr>
              <a:bodyPr wrap="square" lIns="38100" tIns="19050" rIns="38100" bIns="19050" anchor="ctr">
                <a:spAutoFit/>
              </a:bodyPr>
              <a:lstStyle/>
              <a:p>
                <a:pPr>
                  <a:defRPr sz="650"/>
                </a:pPr>
                <a:endParaRPr lang="es-ES"/>
              </a:p>
            </c:txPr>
            <c:dLblPos val="b"/>
            <c:showLegendKey val="0"/>
            <c:showVal val="0"/>
            <c:showCatName val="0"/>
            <c:showSerName val="1"/>
            <c:showPercent val="0"/>
            <c:showBubbleSize val="0"/>
            <c:showLeaderLines val="0"/>
            <c:extLst xmlns:c16r2="http://schemas.microsoft.com/office/drawing/2015/06/chart">
              <c:ext xmlns:c15="http://schemas.microsoft.com/office/drawing/2012/chart" uri="{CE6537A1-D6FC-4f65-9D91-7224C49458BB}">
                <c15:showLeaderLines val="1"/>
              </c:ext>
            </c:extLst>
          </c:dLbls>
          <c:xVal>
            <c:numRef>
              <c:f>Hoja1!$P$9</c:f>
              <c:numCache>
                <c:formatCode>0</c:formatCode>
                <c:ptCount val="1"/>
                <c:pt idx="0">
                  <c:v>27.51681561774199</c:v>
                </c:pt>
              </c:numCache>
            </c:numRef>
          </c:xVal>
          <c:yVal>
            <c:numRef>
              <c:f>Hoja1!$K$30</c:f>
              <c:numCache>
                <c:formatCode>0</c:formatCode>
                <c:ptCount val="1"/>
                <c:pt idx="0">
                  <c:v>119</c:v>
                </c:pt>
              </c:numCache>
            </c:numRef>
          </c:yVal>
          <c:smooth val="0"/>
          <c:extLst xmlns:c16r2="http://schemas.microsoft.com/office/drawing/2015/06/chart">
            <c:ext xmlns:c16="http://schemas.microsoft.com/office/drawing/2014/chart" uri="{C3380CC4-5D6E-409C-BE32-E72D297353CC}">
              <c16:uniqueId val="{00000005-AEEF-4B3F-9145-299001B22DF4}"/>
            </c:ext>
          </c:extLst>
        </c:ser>
        <c:ser>
          <c:idx val="5"/>
          <c:order val="5"/>
          <c:tx>
            <c:strRef>
              <c:f>Hoja1!$J$31</c:f>
              <c:strCache>
                <c:ptCount val="1"/>
                <c:pt idx="0">
                  <c:v>COL</c:v>
                </c:pt>
              </c:strCache>
            </c:strRef>
          </c:tx>
          <c:spPr>
            <a:ln w="25400" cap="rnd">
              <a:noFill/>
              <a:round/>
            </a:ln>
            <a:effectLst/>
          </c:spPr>
          <c:marker>
            <c:symbol val="diamond"/>
            <c:size val="7"/>
            <c:spPr>
              <a:solidFill>
                <a:srgbClr val="002060"/>
              </a:solidFill>
              <a:ln w="9525">
                <a:noFill/>
              </a:ln>
              <a:effectLst/>
            </c:spPr>
          </c:marker>
          <c:dLbls>
            <c:spPr>
              <a:noFill/>
              <a:ln>
                <a:noFill/>
              </a:ln>
              <a:effectLst/>
            </c:spPr>
            <c:dLblPos val="t"/>
            <c:showLegendKey val="0"/>
            <c:showVal val="0"/>
            <c:showCatName val="0"/>
            <c:showSerName val="1"/>
            <c:showPercent val="0"/>
            <c:showBubbleSize val="0"/>
            <c:showLeaderLines val="0"/>
            <c:extLst xmlns:c16r2="http://schemas.microsoft.com/office/drawing/2015/06/chart">
              <c:ext xmlns:c15="http://schemas.microsoft.com/office/drawing/2012/chart" uri="{CE6537A1-D6FC-4f65-9D91-7224C49458BB}">
                <c15:showLeaderLines val="1"/>
              </c:ext>
            </c:extLst>
          </c:dLbls>
          <c:xVal>
            <c:numRef>
              <c:f>Hoja1!$P$10</c:f>
              <c:numCache>
                <c:formatCode>0</c:formatCode>
                <c:ptCount val="1"/>
                <c:pt idx="0">
                  <c:v>51.027701293663497</c:v>
                </c:pt>
              </c:numCache>
            </c:numRef>
          </c:xVal>
          <c:yVal>
            <c:numRef>
              <c:f>Hoja1!$K$31</c:f>
              <c:numCache>
                <c:formatCode>0</c:formatCode>
                <c:ptCount val="1"/>
                <c:pt idx="0">
                  <c:v>191</c:v>
                </c:pt>
              </c:numCache>
            </c:numRef>
          </c:yVal>
          <c:smooth val="0"/>
          <c:extLst xmlns:c16r2="http://schemas.microsoft.com/office/drawing/2015/06/chart">
            <c:ext xmlns:c16="http://schemas.microsoft.com/office/drawing/2014/chart" uri="{C3380CC4-5D6E-409C-BE32-E72D297353CC}">
              <c16:uniqueId val="{00000006-AEEF-4B3F-9145-299001B22DF4}"/>
            </c:ext>
          </c:extLst>
        </c:ser>
        <c:ser>
          <c:idx val="6"/>
          <c:order val="6"/>
          <c:tx>
            <c:strRef>
              <c:f>Hoja1!$J$32</c:f>
              <c:strCache>
                <c:ptCount val="1"/>
                <c:pt idx="0">
                  <c:v>CRI</c:v>
                </c:pt>
              </c:strCache>
            </c:strRef>
          </c:tx>
          <c:spPr>
            <a:ln w="25400" cap="rnd">
              <a:noFill/>
              <a:round/>
            </a:ln>
            <a:effectLst/>
          </c:spPr>
          <c:marker>
            <c:symbol val="diamond"/>
            <c:size val="7"/>
            <c:spPr>
              <a:solidFill>
                <a:srgbClr val="002060"/>
              </a:solidFill>
              <a:ln w="9525">
                <a:noFill/>
              </a:ln>
              <a:effectLst/>
            </c:spPr>
          </c:marker>
          <c:dLbls>
            <c:spPr>
              <a:noFill/>
              <a:ln>
                <a:noFill/>
              </a:ln>
              <a:effectLst/>
            </c:spPr>
            <c:showLegendKey val="0"/>
            <c:showVal val="0"/>
            <c:showCatName val="0"/>
            <c:showSerName val="1"/>
            <c:showPercent val="0"/>
            <c:showBubbleSize val="0"/>
            <c:showLeaderLines val="0"/>
            <c:extLst xmlns:c16r2="http://schemas.microsoft.com/office/drawing/2015/06/chart">
              <c:ext xmlns:c15="http://schemas.microsoft.com/office/drawing/2012/chart" uri="{CE6537A1-D6FC-4f65-9D91-7224C49458BB}">
                <c15:showLeaderLines val="1"/>
              </c:ext>
            </c:extLst>
          </c:dLbls>
          <c:xVal>
            <c:numRef>
              <c:f>Hoja1!$P$11</c:f>
              <c:numCache>
                <c:formatCode>0</c:formatCode>
                <c:ptCount val="1"/>
                <c:pt idx="0">
                  <c:v>57.139307931907588</c:v>
                </c:pt>
              </c:numCache>
            </c:numRef>
          </c:xVal>
          <c:yVal>
            <c:numRef>
              <c:f>Hoja1!$K$32</c:f>
              <c:numCache>
                <c:formatCode>0</c:formatCode>
                <c:ptCount val="1"/>
                <c:pt idx="0">
                  <c:v>401</c:v>
                </c:pt>
              </c:numCache>
            </c:numRef>
          </c:yVal>
          <c:smooth val="0"/>
          <c:extLst xmlns:c16r2="http://schemas.microsoft.com/office/drawing/2015/06/chart">
            <c:ext xmlns:c16="http://schemas.microsoft.com/office/drawing/2014/chart" uri="{C3380CC4-5D6E-409C-BE32-E72D297353CC}">
              <c16:uniqueId val="{00000007-AEEF-4B3F-9145-299001B22DF4}"/>
            </c:ext>
          </c:extLst>
        </c:ser>
        <c:ser>
          <c:idx val="7"/>
          <c:order val="7"/>
          <c:tx>
            <c:strRef>
              <c:f>Hoja1!$J$33</c:f>
              <c:strCache>
                <c:ptCount val="1"/>
                <c:pt idx="0">
                  <c:v>DOM</c:v>
                </c:pt>
              </c:strCache>
            </c:strRef>
          </c:tx>
          <c:spPr>
            <a:ln w="25400" cap="rnd">
              <a:noFill/>
              <a:round/>
            </a:ln>
            <a:effectLst/>
          </c:spPr>
          <c:marker>
            <c:symbol val="diamond"/>
            <c:size val="7"/>
            <c:spPr>
              <a:solidFill>
                <a:srgbClr val="002060"/>
              </a:solidFill>
              <a:ln w="9525">
                <a:noFill/>
              </a:ln>
              <a:effectLst/>
            </c:spPr>
          </c:marker>
          <c:dLbls>
            <c:spPr>
              <a:noFill/>
              <a:ln>
                <a:noFill/>
              </a:ln>
              <a:effectLst/>
            </c:spPr>
            <c:dLblPos val="l"/>
            <c:showLegendKey val="0"/>
            <c:showVal val="0"/>
            <c:showCatName val="0"/>
            <c:showSerName val="1"/>
            <c:showPercent val="0"/>
            <c:showBubbleSize val="0"/>
            <c:showLeaderLines val="0"/>
            <c:extLst xmlns:c16r2="http://schemas.microsoft.com/office/drawing/2015/06/chart">
              <c:ext xmlns:c15="http://schemas.microsoft.com/office/drawing/2012/chart" uri="{CE6537A1-D6FC-4f65-9D91-7224C49458BB}">
                <c15:showLeaderLines val="1"/>
              </c:ext>
            </c:extLst>
          </c:dLbls>
          <c:xVal>
            <c:numRef>
              <c:f>Hoja1!$P$12</c:f>
              <c:numCache>
                <c:formatCode>0</c:formatCode>
                <c:ptCount val="1"/>
                <c:pt idx="0">
                  <c:v>52.392832567761403</c:v>
                </c:pt>
              </c:numCache>
            </c:numRef>
          </c:xVal>
          <c:yVal>
            <c:numRef>
              <c:f>Hoja1!$K$33</c:f>
              <c:numCache>
                <c:formatCode>0</c:formatCode>
                <c:ptCount val="1"/>
                <c:pt idx="0">
                  <c:v>367</c:v>
                </c:pt>
              </c:numCache>
            </c:numRef>
          </c:yVal>
          <c:smooth val="0"/>
          <c:extLst xmlns:c16r2="http://schemas.microsoft.com/office/drawing/2015/06/chart">
            <c:ext xmlns:c16="http://schemas.microsoft.com/office/drawing/2014/chart" uri="{C3380CC4-5D6E-409C-BE32-E72D297353CC}">
              <c16:uniqueId val="{00000008-AEEF-4B3F-9145-299001B22DF4}"/>
            </c:ext>
          </c:extLst>
        </c:ser>
        <c:ser>
          <c:idx val="8"/>
          <c:order val="8"/>
          <c:tx>
            <c:strRef>
              <c:f>Hoja1!$J$34</c:f>
              <c:strCache>
                <c:ptCount val="1"/>
                <c:pt idx="0">
                  <c:v>ECU</c:v>
                </c:pt>
              </c:strCache>
            </c:strRef>
          </c:tx>
          <c:spPr>
            <a:ln w="25400" cap="rnd">
              <a:noFill/>
              <a:round/>
            </a:ln>
            <a:effectLst/>
          </c:spPr>
          <c:marker>
            <c:symbol val="diamond"/>
            <c:size val="6"/>
            <c:spPr>
              <a:solidFill>
                <a:srgbClr val="002060"/>
              </a:solidFill>
              <a:ln w="9525">
                <a:noFill/>
              </a:ln>
              <a:effectLst/>
            </c:spPr>
          </c:marker>
          <c:dLbls>
            <c:spPr>
              <a:noFill/>
              <a:ln>
                <a:noFill/>
              </a:ln>
              <a:effectLst/>
            </c:spPr>
            <c:dLblPos val="t"/>
            <c:showLegendKey val="0"/>
            <c:showVal val="0"/>
            <c:showCatName val="0"/>
            <c:showSerName val="1"/>
            <c:showPercent val="0"/>
            <c:showBubbleSize val="0"/>
            <c:showLeaderLines val="0"/>
            <c:extLst xmlns:c16r2="http://schemas.microsoft.com/office/drawing/2015/06/chart">
              <c:ext xmlns:c15="http://schemas.microsoft.com/office/drawing/2012/chart" uri="{CE6537A1-D6FC-4f65-9D91-7224C49458BB}">
                <c15:showLeaderLines val="1"/>
              </c:ext>
            </c:extLst>
          </c:dLbls>
          <c:xVal>
            <c:numRef>
              <c:f>Hoja1!$P$13</c:f>
              <c:numCache>
                <c:formatCode>0</c:formatCode>
                <c:ptCount val="1"/>
                <c:pt idx="0">
                  <c:v>49.092796115425244</c:v>
                </c:pt>
              </c:numCache>
            </c:numRef>
          </c:xVal>
          <c:yVal>
            <c:numRef>
              <c:f>Hoja1!$K$34</c:f>
              <c:numCache>
                <c:formatCode>0</c:formatCode>
                <c:ptCount val="1"/>
                <c:pt idx="0">
                  <c:v>141</c:v>
                </c:pt>
              </c:numCache>
            </c:numRef>
          </c:yVal>
          <c:smooth val="0"/>
          <c:extLst xmlns:c16r2="http://schemas.microsoft.com/office/drawing/2015/06/chart">
            <c:ext xmlns:c16="http://schemas.microsoft.com/office/drawing/2014/chart" uri="{C3380CC4-5D6E-409C-BE32-E72D297353CC}">
              <c16:uniqueId val="{00000009-AEEF-4B3F-9145-299001B22DF4}"/>
            </c:ext>
          </c:extLst>
        </c:ser>
        <c:ser>
          <c:idx val="9"/>
          <c:order val="9"/>
          <c:tx>
            <c:strRef>
              <c:f>Hoja1!$J$35</c:f>
              <c:strCache>
                <c:ptCount val="1"/>
                <c:pt idx="0">
                  <c:v>SLV</c:v>
                </c:pt>
              </c:strCache>
            </c:strRef>
          </c:tx>
          <c:spPr>
            <a:ln w="25400" cap="rnd">
              <a:noFill/>
              <a:round/>
            </a:ln>
            <a:effectLst/>
          </c:spPr>
          <c:marker>
            <c:symbol val="diamond"/>
            <c:size val="7"/>
            <c:spPr>
              <a:solidFill>
                <a:srgbClr val="002060"/>
              </a:solidFill>
              <a:ln w="9525">
                <a:noFill/>
              </a:ln>
              <a:effectLst/>
            </c:spPr>
          </c:marker>
          <c:dLbls>
            <c:spPr>
              <a:noFill/>
              <a:ln>
                <a:noFill/>
              </a:ln>
              <a:effectLst/>
            </c:spPr>
            <c:showLegendKey val="0"/>
            <c:showVal val="0"/>
            <c:showCatName val="0"/>
            <c:showSerName val="1"/>
            <c:showPercent val="0"/>
            <c:showBubbleSize val="0"/>
            <c:showLeaderLines val="0"/>
            <c:extLst xmlns:c16r2="http://schemas.microsoft.com/office/drawing/2015/06/chart">
              <c:ext xmlns:c15="http://schemas.microsoft.com/office/drawing/2012/chart" uri="{CE6537A1-D6FC-4f65-9D91-7224C49458BB}">
                <c15:showLeaderLines val="1"/>
              </c:ext>
            </c:extLst>
          </c:dLbls>
          <c:xVal>
            <c:numRef>
              <c:f>Hoja1!$P$14</c:f>
              <c:numCache>
                <c:formatCode>0</c:formatCode>
                <c:ptCount val="1"/>
                <c:pt idx="0">
                  <c:v>68.311562651185298</c:v>
                </c:pt>
              </c:numCache>
            </c:numRef>
          </c:xVal>
          <c:yVal>
            <c:numRef>
              <c:f>Hoja1!$K$35</c:f>
              <c:numCache>
                <c:formatCode>0</c:formatCode>
                <c:ptCount val="1"/>
                <c:pt idx="0">
                  <c:v>320</c:v>
                </c:pt>
              </c:numCache>
            </c:numRef>
          </c:yVal>
          <c:smooth val="0"/>
          <c:extLst xmlns:c16r2="http://schemas.microsoft.com/office/drawing/2015/06/chart">
            <c:ext xmlns:c16="http://schemas.microsoft.com/office/drawing/2014/chart" uri="{C3380CC4-5D6E-409C-BE32-E72D297353CC}">
              <c16:uniqueId val="{0000000A-AEEF-4B3F-9145-299001B22DF4}"/>
            </c:ext>
          </c:extLst>
        </c:ser>
        <c:ser>
          <c:idx val="10"/>
          <c:order val="10"/>
          <c:tx>
            <c:strRef>
              <c:f>Hoja1!$J$36</c:f>
              <c:strCache>
                <c:ptCount val="1"/>
                <c:pt idx="0">
                  <c:v>GTM</c:v>
                </c:pt>
              </c:strCache>
            </c:strRef>
          </c:tx>
          <c:spPr>
            <a:ln w="25400" cap="rnd">
              <a:noFill/>
              <a:round/>
            </a:ln>
            <a:effectLst/>
          </c:spPr>
          <c:marker>
            <c:symbol val="diamond"/>
            <c:size val="7"/>
            <c:spPr>
              <a:solidFill>
                <a:srgbClr val="C00000"/>
              </a:solidFill>
              <a:ln w="9525">
                <a:noFill/>
              </a:ln>
              <a:effectLst/>
            </c:spPr>
          </c:marker>
          <c:dLbls>
            <c:spPr>
              <a:noFill/>
              <a:ln>
                <a:noFill/>
              </a:ln>
              <a:effectLst/>
            </c:spPr>
            <c:showLegendKey val="0"/>
            <c:showVal val="0"/>
            <c:showCatName val="0"/>
            <c:showSerName val="1"/>
            <c:showPercent val="0"/>
            <c:showBubbleSize val="0"/>
            <c:showLeaderLines val="0"/>
            <c:extLst xmlns:c16r2="http://schemas.microsoft.com/office/drawing/2015/06/chart">
              <c:ext xmlns:c15="http://schemas.microsoft.com/office/drawing/2012/chart" uri="{CE6537A1-D6FC-4f65-9D91-7224C49458BB}">
                <c15:showLeaderLines val="1"/>
              </c:ext>
            </c:extLst>
          </c:dLbls>
          <c:xVal>
            <c:numRef>
              <c:f>Hoja1!$P$15</c:f>
              <c:numCache>
                <c:formatCode>0</c:formatCode>
                <c:ptCount val="1"/>
                <c:pt idx="0">
                  <c:v>26.64657408519761</c:v>
                </c:pt>
              </c:numCache>
            </c:numRef>
          </c:xVal>
          <c:yVal>
            <c:numRef>
              <c:f>Hoja1!$K$36</c:f>
              <c:numCache>
                <c:formatCode>0</c:formatCode>
                <c:ptCount val="1"/>
                <c:pt idx="0">
                  <c:v>246</c:v>
                </c:pt>
              </c:numCache>
            </c:numRef>
          </c:yVal>
          <c:smooth val="0"/>
          <c:extLst xmlns:c16r2="http://schemas.microsoft.com/office/drawing/2015/06/chart">
            <c:ext xmlns:c16="http://schemas.microsoft.com/office/drawing/2014/chart" uri="{C3380CC4-5D6E-409C-BE32-E72D297353CC}">
              <c16:uniqueId val="{0000000B-AEEF-4B3F-9145-299001B22DF4}"/>
            </c:ext>
          </c:extLst>
        </c:ser>
        <c:ser>
          <c:idx val="11"/>
          <c:order val="11"/>
          <c:tx>
            <c:strRef>
              <c:f>Hoja1!$J$37</c:f>
              <c:strCache>
                <c:ptCount val="1"/>
                <c:pt idx="0">
                  <c:v>HND</c:v>
                </c:pt>
              </c:strCache>
            </c:strRef>
          </c:tx>
          <c:spPr>
            <a:ln w="25400" cap="rnd">
              <a:noFill/>
              <a:round/>
            </a:ln>
            <a:effectLst/>
          </c:spPr>
          <c:marker>
            <c:symbol val="diamond"/>
            <c:size val="7"/>
            <c:spPr>
              <a:solidFill>
                <a:srgbClr val="002060"/>
              </a:solidFill>
              <a:ln w="9525">
                <a:noFill/>
              </a:ln>
              <a:effectLst/>
            </c:spPr>
          </c:marker>
          <c:dLbls>
            <c:spPr>
              <a:noFill/>
              <a:ln>
                <a:noFill/>
              </a:ln>
              <a:effectLst/>
            </c:spPr>
            <c:dLblPos val="t"/>
            <c:showLegendKey val="0"/>
            <c:showVal val="0"/>
            <c:showCatName val="0"/>
            <c:showSerName val="1"/>
            <c:showPercent val="0"/>
            <c:showBubbleSize val="0"/>
            <c:showLeaderLines val="0"/>
            <c:extLst xmlns:c16r2="http://schemas.microsoft.com/office/drawing/2015/06/chart">
              <c:ext xmlns:c15="http://schemas.microsoft.com/office/drawing/2012/chart" uri="{CE6537A1-D6FC-4f65-9D91-7224C49458BB}">
                <c15:showLeaderLines val="1"/>
              </c:ext>
            </c:extLst>
          </c:dLbls>
          <c:xVal>
            <c:numRef>
              <c:f>Hoja1!$P$16</c:f>
              <c:numCache>
                <c:formatCode>0</c:formatCode>
                <c:ptCount val="1"/>
                <c:pt idx="0">
                  <c:v>41.531314149890157</c:v>
                </c:pt>
              </c:numCache>
            </c:numRef>
          </c:xVal>
          <c:yVal>
            <c:numRef>
              <c:f>Hoja1!$K$37</c:f>
              <c:numCache>
                <c:formatCode>0</c:formatCode>
                <c:ptCount val="1"/>
                <c:pt idx="0">
                  <c:v>155</c:v>
                </c:pt>
              </c:numCache>
            </c:numRef>
          </c:yVal>
          <c:smooth val="0"/>
          <c:extLst xmlns:c16r2="http://schemas.microsoft.com/office/drawing/2015/06/chart">
            <c:ext xmlns:c16="http://schemas.microsoft.com/office/drawing/2014/chart" uri="{C3380CC4-5D6E-409C-BE32-E72D297353CC}">
              <c16:uniqueId val="{0000000C-AEEF-4B3F-9145-299001B22DF4}"/>
            </c:ext>
          </c:extLst>
        </c:ser>
        <c:ser>
          <c:idx val="12"/>
          <c:order val="12"/>
          <c:tx>
            <c:strRef>
              <c:f>Hoja1!$J$38</c:f>
              <c:strCache>
                <c:ptCount val="1"/>
                <c:pt idx="0">
                  <c:v>MEX</c:v>
                </c:pt>
              </c:strCache>
            </c:strRef>
          </c:tx>
          <c:spPr>
            <a:ln w="25400" cap="rnd">
              <a:noFill/>
              <a:round/>
            </a:ln>
            <a:effectLst/>
          </c:spPr>
          <c:marker>
            <c:symbol val="diamond"/>
            <c:size val="7"/>
            <c:spPr>
              <a:solidFill>
                <a:srgbClr val="002060"/>
              </a:solidFill>
              <a:ln w="9525">
                <a:noFill/>
              </a:ln>
              <a:effectLst/>
            </c:spPr>
          </c:marker>
          <c:dLbls>
            <c:spPr>
              <a:noFill/>
              <a:ln>
                <a:noFill/>
              </a:ln>
              <a:effectLst/>
            </c:spPr>
            <c:dLblPos val="t"/>
            <c:showLegendKey val="0"/>
            <c:showVal val="0"/>
            <c:showCatName val="0"/>
            <c:showSerName val="1"/>
            <c:showPercent val="0"/>
            <c:showBubbleSize val="0"/>
            <c:showLeaderLines val="0"/>
            <c:extLst xmlns:c16r2="http://schemas.microsoft.com/office/drawing/2015/06/chart">
              <c:ext xmlns:c15="http://schemas.microsoft.com/office/drawing/2012/chart" uri="{CE6537A1-D6FC-4f65-9D91-7224C49458BB}">
                <c15:showLeaderLines val="1"/>
              </c:ext>
            </c:extLst>
          </c:dLbls>
          <c:xVal>
            <c:numRef>
              <c:f>Hoja1!$P$17</c:f>
              <c:numCache>
                <c:formatCode>0</c:formatCode>
                <c:ptCount val="1"/>
                <c:pt idx="0">
                  <c:v>53.848307168464707</c:v>
                </c:pt>
              </c:numCache>
            </c:numRef>
          </c:xVal>
          <c:yVal>
            <c:numRef>
              <c:f>Hoja1!$K$38</c:f>
              <c:numCache>
                <c:formatCode>0</c:formatCode>
                <c:ptCount val="1"/>
                <c:pt idx="0">
                  <c:v>236</c:v>
                </c:pt>
              </c:numCache>
            </c:numRef>
          </c:yVal>
          <c:smooth val="0"/>
          <c:extLst xmlns:c16r2="http://schemas.microsoft.com/office/drawing/2015/06/chart">
            <c:ext xmlns:c16="http://schemas.microsoft.com/office/drawing/2014/chart" uri="{C3380CC4-5D6E-409C-BE32-E72D297353CC}">
              <c16:uniqueId val="{0000000D-AEEF-4B3F-9145-299001B22DF4}"/>
            </c:ext>
          </c:extLst>
        </c:ser>
        <c:ser>
          <c:idx val="13"/>
          <c:order val="13"/>
          <c:tx>
            <c:strRef>
              <c:f>Hoja1!$J$39</c:f>
              <c:strCache>
                <c:ptCount val="1"/>
                <c:pt idx="0">
                  <c:v>NIC</c:v>
                </c:pt>
              </c:strCache>
            </c:strRef>
          </c:tx>
          <c:spPr>
            <a:ln w="25400" cap="rnd">
              <a:noFill/>
              <a:round/>
            </a:ln>
            <a:effectLst/>
          </c:spPr>
          <c:marker>
            <c:symbol val="diamond"/>
            <c:size val="7"/>
            <c:spPr>
              <a:solidFill>
                <a:srgbClr val="002060"/>
              </a:solidFill>
              <a:ln w="9525">
                <a:noFill/>
              </a:ln>
              <a:effectLst/>
            </c:spPr>
          </c:marker>
          <c:dLbls>
            <c:spPr>
              <a:noFill/>
              <a:ln>
                <a:noFill/>
              </a:ln>
              <a:effectLst/>
            </c:spPr>
            <c:dLblPos val="b"/>
            <c:showLegendKey val="0"/>
            <c:showVal val="0"/>
            <c:showCatName val="0"/>
            <c:showSerName val="1"/>
            <c:showPercent val="0"/>
            <c:showBubbleSize val="0"/>
            <c:showLeaderLines val="0"/>
            <c:extLst xmlns:c16r2="http://schemas.microsoft.com/office/drawing/2015/06/chart">
              <c:ext xmlns:c15="http://schemas.microsoft.com/office/drawing/2012/chart" uri="{CE6537A1-D6FC-4f65-9D91-7224C49458BB}">
                <c15:showLeaderLines val="1"/>
              </c:ext>
            </c:extLst>
          </c:dLbls>
          <c:xVal>
            <c:numRef>
              <c:f>Hoja1!$P$18</c:f>
              <c:numCache>
                <c:formatCode>0</c:formatCode>
                <c:ptCount val="1"/>
                <c:pt idx="0">
                  <c:v>39.047290998740216</c:v>
                </c:pt>
              </c:numCache>
            </c:numRef>
          </c:xVal>
          <c:yVal>
            <c:numRef>
              <c:f>Hoja1!$K$39</c:f>
              <c:numCache>
                <c:formatCode>0</c:formatCode>
                <c:ptCount val="1"/>
                <c:pt idx="0">
                  <c:v>160</c:v>
                </c:pt>
              </c:numCache>
            </c:numRef>
          </c:yVal>
          <c:smooth val="0"/>
          <c:extLst xmlns:c16r2="http://schemas.microsoft.com/office/drawing/2015/06/chart">
            <c:ext xmlns:c16="http://schemas.microsoft.com/office/drawing/2014/chart" uri="{C3380CC4-5D6E-409C-BE32-E72D297353CC}">
              <c16:uniqueId val="{0000000E-AEEF-4B3F-9145-299001B22DF4}"/>
            </c:ext>
          </c:extLst>
        </c:ser>
        <c:ser>
          <c:idx val="14"/>
          <c:order val="14"/>
          <c:tx>
            <c:strRef>
              <c:f>Hoja1!$J$40</c:f>
              <c:strCache>
                <c:ptCount val="1"/>
                <c:pt idx="0">
                  <c:v>PRY</c:v>
                </c:pt>
              </c:strCache>
            </c:strRef>
          </c:tx>
          <c:spPr>
            <a:ln w="25400" cap="rnd">
              <a:noFill/>
              <a:round/>
            </a:ln>
            <a:effectLst/>
          </c:spPr>
          <c:marker>
            <c:symbol val="diamond"/>
            <c:size val="7"/>
            <c:spPr>
              <a:solidFill>
                <a:srgbClr val="002060"/>
              </a:solidFill>
              <a:ln w="9525">
                <a:noFill/>
              </a:ln>
              <a:effectLst/>
            </c:spPr>
          </c:marker>
          <c:dLbls>
            <c:spPr>
              <a:noFill/>
              <a:ln>
                <a:noFill/>
              </a:ln>
              <a:effectLst/>
            </c:spPr>
            <c:dLblPos val="t"/>
            <c:showLegendKey val="0"/>
            <c:showVal val="0"/>
            <c:showCatName val="0"/>
            <c:showSerName val="1"/>
            <c:showPercent val="0"/>
            <c:showBubbleSize val="0"/>
            <c:showLeaderLines val="0"/>
            <c:extLst xmlns:c16r2="http://schemas.microsoft.com/office/drawing/2015/06/chart">
              <c:ext xmlns:c15="http://schemas.microsoft.com/office/drawing/2012/chart" uri="{CE6537A1-D6FC-4f65-9D91-7224C49458BB}">
                <c15:showLeaderLines val="1"/>
              </c:ext>
            </c:extLst>
          </c:dLbls>
          <c:xVal>
            <c:numRef>
              <c:f>Hoja1!$P$19</c:f>
              <c:numCache>
                <c:formatCode>0</c:formatCode>
                <c:ptCount val="1"/>
                <c:pt idx="0">
                  <c:v>23.697511598218082</c:v>
                </c:pt>
              </c:numCache>
            </c:numRef>
          </c:xVal>
          <c:yVal>
            <c:numRef>
              <c:f>Hoja1!$K$40</c:f>
              <c:numCache>
                <c:formatCode>0</c:formatCode>
                <c:ptCount val="1"/>
                <c:pt idx="0">
                  <c:v>133</c:v>
                </c:pt>
              </c:numCache>
            </c:numRef>
          </c:yVal>
          <c:smooth val="0"/>
          <c:extLst xmlns:c16r2="http://schemas.microsoft.com/office/drawing/2015/06/chart">
            <c:ext xmlns:c16="http://schemas.microsoft.com/office/drawing/2014/chart" uri="{C3380CC4-5D6E-409C-BE32-E72D297353CC}">
              <c16:uniqueId val="{0000000F-AEEF-4B3F-9145-299001B22DF4}"/>
            </c:ext>
          </c:extLst>
        </c:ser>
        <c:ser>
          <c:idx val="15"/>
          <c:order val="15"/>
          <c:tx>
            <c:strRef>
              <c:f>Hoja1!$J$41</c:f>
              <c:strCache>
                <c:ptCount val="1"/>
                <c:pt idx="0">
                  <c:v>PER</c:v>
                </c:pt>
              </c:strCache>
            </c:strRef>
          </c:tx>
          <c:spPr>
            <a:ln w="25400" cap="rnd">
              <a:noFill/>
              <a:round/>
            </a:ln>
            <a:effectLst/>
          </c:spPr>
          <c:marker>
            <c:symbol val="diamond"/>
            <c:size val="7"/>
            <c:spPr>
              <a:solidFill>
                <a:srgbClr val="002060"/>
              </a:solidFill>
              <a:ln w="9525">
                <a:noFill/>
              </a:ln>
              <a:effectLst/>
            </c:spPr>
          </c:marker>
          <c:dLbls>
            <c:dLbl>
              <c:idx val="0"/>
              <c:layout>
                <c:manualLayout>
                  <c:x val="-2.2050716648291068E-2"/>
                  <c:y val="-1.5120967741935576E-2"/>
                </c:manualLayout>
              </c:layout>
              <c:dLblPos val="r"/>
              <c:showLegendKey val="0"/>
              <c:showVal val="0"/>
              <c:showCatName val="0"/>
              <c:showSerName val="1"/>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10-AEEF-4B3F-9145-299001B22DF4}"/>
                </c:ext>
              </c:extLst>
            </c:dLbl>
            <c:spPr>
              <a:noFill/>
              <a:ln>
                <a:noFill/>
              </a:ln>
              <a:effectLst/>
            </c:spPr>
            <c:dLblPos val="r"/>
            <c:showLegendKey val="0"/>
            <c:showVal val="0"/>
            <c:showCatName val="0"/>
            <c:showSerName val="1"/>
            <c:showPercent val="0"/>
            <c:showBubbleSize val="0"/>
            <c:showLeaderLines val="0"/>
            <c:extLst xmlns:c16r2="http://schemas.microsoft.com/office/drawing/2015/06/chart">
              <c:ext xmlns:c15="http://schemas.microsoft.com/office/drawing/2012/chart" uri="{CE6537A1-D6FC-4f65-9D91-7224C49458BB}">
                <c15:showLeaderLines val="1"/>
              </c:ext>
            </c:extLst>
          </c:dLbls>
          <c:xVal>
            <c:numRef>
              <c:f>Hoja1!$P$20</c:f>
              <c:numCache>
                <c:formatCode>0</c:formatCode>
                <c:ptCount val="1"/>
                <c:pt idx="0">
                  <c:v>26.882171212600049</c:v>
                </c:pt>
              </c:numCache>
            </c:numRef>
          </c:xVal>
          <c:yVal>
            <c:numRef>
              <c:f>Hoja1!$K$41</c:f>
              <c:numCache>
                <c:formatCode>0</c:formatCode>
                <c:ptCount val="1"/>
                <c:pt idx="0">
                  <c:v>134</c:v>
                </c:pt>
              </c:numCache>
            </c:numRef>
          </c:yVal>
          <c:smooth val="0"/>
          <c:extLst xmlns:c16r2="http://schemas.microsoft.com/office/drawing/2015/06/chart">
            <c:ext xmlns:c16="http://schemas.microsoft.com/office/drawing/2014/chart" uri="{C3380CC4-5D6E-409C-BE32-E72D297353CC}">
              <c16:uniqueId val="{00000011-AEEF-4B3F-9145-299001B22DF4}"/>
            </c:ext>
          </c:extLst>
        </c:ser>
        <c:ser>
          <c:idx val="16"/>
          <c:order val="16"/>
          <c:tx>
            <c:strRef>
              <c:f>Hoja1!$J$42</c:f>
              <c:strCache>
                <c:ptCount val="1"/>
                <c:pt idx="0">
                  <c:v>URY</c:v>
                </c:pt>
              </c:strCache>
            </c:strRef>
          </c:tx>
          <c:spPr>
            <a:ln w="25400" cap="rnd">
              <a:noFill/>
              <a:round/>
            </a:ln>
            <a:effectLst/>
          </c:spPr>
          <c:marker>
            <c:symbol val="diamond"/>
            <c:size val="7"/>
            <c:spPr>
              <a:solidFill>
                <a:srgbClr val="002060"/>
              </a:solidFill>
              <a:ln w="9525">
                <a:noFill/>
              </a:ln>
              <a:effectLst/>
            </c:spPr>
          </c:marker>
          <c:dLbls>
            <c:spPr>
              <a:noFill/>
              <a:ln>
                <a:noFill/>
              </a:ln>
              <a:effectLst/>
            </c:spPr>
            <c:dLblPos val="t"/>
            <c:showLegendKey val="0"/>
            <c:showVal val="0"/>
            <c:showCatName val="0"/>
            <c:showSerName val="1"/>
            <c:showPercent val="0"/>
            <c:showBubbleSize val="0"/>
            <c:showLeaderLines val="0"/>
            <c:extLst xmlns:c16r2="http://schemas.microsoft.com/office/drawing/2015/06/chart">
              <c:ext xmlns:c15="http://schemas.microsoft.com/office/drawing/2012/chart" uri="{CE6537A1-D6FC-4f65-9D91-7224C49458BB}">
                <c15:showLeaderLines val="1"/>
              </c:ext>
            </c:extLst>
          </c:dLbls>
          <c:xVal>
            <c:numRef>
              <c:f>Hoja1!$P$21</c:f>
              <c:numCache>
                <c:formatCode>0</c:formatCode>
                <c:ptCount val="1"/>
                <c:pt idx="0">
                  <c:v>64.078396476607779</c:v>
                </c:pt>
              </c:numCache>
            </c:numRef>
          </c:xVal>
          <c:yVal>
            <c:numRef>
              <c:f>Hoja1!$K$42</c:f>
              <c:numCache>
                <c:formatCode>0</c:formatCode>
                <c:ptCount val="1"/>
                <c:pt idx="0">
                  <c:v>208</c:v>
                </c:pt>
              </c:numCache>
            </c:numRef>
          </c:yVal>
          <c:smooth val="0"/>
          <c:extLst xmlns:c16r2="http://schemas.microsoft.com/office/drawing/2015/06/chart">
            <c:ext xmlns:c16="http://schemas.microsoft.com/office/drawing/2014/chart" uri="{C3380CC4-5D6E-409C-BE32-E72D297353CC}">
              <c16:uniqueId val="{00000012-AEEF-4B3F-9145-299001B22DF4}"/>
            </c:ext>
          </c:extLst>
        </c:ser>
        <c:dLbls>
          <c:showLegendKey val="0"/>
          <c:showVal val="0"/>
          <c:showCatName val="0"/>
          <c:showSerName val="0"/>
          <c:showPercent val="0"/>
          <c:showBubbleSize val="0"/>
        </c:dLbls>
        <c:axId val="147587456"/>
        <c:axId val="147589376"/>
      </c:scatterChart>
      <c:valAx>
        <c:axId val="147587456"/>
        <c:scaling>
          <c:orientation val="minMax"/>
          <c:min val="20"/>
        </c:scaling>
        <c:delete val="0"/>
        <c:axPos val="b"/>
        <c:majorGridlines>
          <c:spPr>
            <a:ln w="9525" cap="flat" cmpd="sng" algn="ctr">
              <a:solidFill>
                <a:schemeClr val="tx1">
                  <a:lumMod val="15000"/>
                  <a:lumOff val="85000"/>
                  <a:alpha val="50000"/>
                </a:schemeClr>
              </a:solidFill>
              <a:round/>
            </a:ln>
            <a:effectLst/>
          </c:spPr>
        </c:majorGridlines>
        <c:title>
          <c:tx>
            <c:rich>
              <a:bodyPr/>
              <a:lstStyle/>
              <a:p>
                <a:pPr>
                  <a:defRPr/>
                </a:pPr>
                <a:r>
                  <a:rPr lang="es-GT"/>
                  <a:t>Deuda/PIB (%)</a:t>
                </a:r>
              </a:p>
            </c:rich>
          </c:tx>
          <c:layout>
            <c:manualLayout>
              <c:xMode val="edge"/>
              <c:yMode val="edge"/>
              <c:x val="0.44543524121226846"/>
              <c:y val="0.93659194818389635"/>
            </c:manualLayout>
          </c:layout>
          <c:overlay val="0"/>
        </c:title>
        <c:numFmt formatCode="0" sourceLinked="1"/>
        <c:majorTickMark val="none"/>
        <c:minorTickMark val="none"/>
        <c:tickLblPos val="nextTo"/>
        <c:spPr>
          <a:noFill/>
          <a:ln w="9525" cap="flat" cmpd="sng" algn="ctr">
            <a:solidFill>
              <a:schemeClr val="tx1">
                <a:lumMod val="25000"/>
                <a:lumOff val="75000"/>
              </a:schemeClr>
            </a:solidFill>
            <a:round/>
          </a:ln>
          <a:effectLst/>
        </c:spPr>
        <c:txPr>
          <a:bodyPr rot="0" vert="horz"/>
          <a:lstStyle/>
          <a:p>
            <a:pPr>
              <a:defRPr/>
            </a:pPr>
            <a:endParaRPr lang="es-ES"/>
          </a:p>
        </c:txPr>
        <c:crossAx val="147589376"/>
        <c:crosses val="autoZero"/>
        <c:crossBetween val="midCat"/>
        <c:majorUnit val="20"/>
      </c:valAx>
      <c:valAx>
        <c:axId val="147589376"/>
        <c:scaling>
          <c:orientation val="minMax"/>
          <c:min val="10"/>
        </c:scaling>
        <c:delete val="0"/>
        <c:axPos val="l"/>
        <c:majorGridlines>
          <c:spPr>
            <a:ln w="9525" cap="flat" cmpd="sng" algn="ctr">
              <a:solidFill>
                <a:schemeClr val="tx1">
                  <a:lumMod val="15000"/>
                  <a:lumOff val="85000"/>
                  <a:alpha val="50000"/>
                </a:schemeClr>
              </a:solidFill>
              <a:round/>
            </a:ln>
            <a:effectLst/>
          </c:spPr>
        </c:majorGridlines>
        <c:title>
          <c:tx>
            <c:rich>
              <a:bodyPr/>
              <a:lstStyle/>
              <a:p>
                <a:pPr algn="ctr">
                  <a:defRPr/>
                </a:pPr>
                <a:r>
                  <a:rPr lang="es-GT"/>
                  <a:t>Deuda/Ingresos fiscales  (%)</a:t>
                </a:r>
              </a:p>
            </c:rich>
          </c:tx>
          <c:layout>
            <c:manualLayout>
              <c:xMode val="edge"/>
              <c:yMode val="edge"/>
              <c:x val="4.0868055555555553E-3"/>
              <c:y val="0.21402579365079369"/>
            </c:manualLayout>
          </c:layout>
          <c:overlay val="0"/>
        </c:title>
        <c:numFmt formatCode="0" sourceLinked="1"/>
        <c:majorTickMark val="none"/>
        <c:minorTickMark val="none"/>
        <c:tickLblPos val="nextTo"/>
        <c:spPr>
          <a:noFill/>
          <a:ln w="9525" cap="flat" cmpd="sng" algn="ctr">
            <a:solidFill>
              <a:schemeClr val="tx1">
                <a:lumMod val="25000"/>
                <a:lumOff val="75000"/>
              </a:schemeClr>
            </a:solidFill>
            <a:round/>
          </a:ln>
          <a:effectLst/>
        </c:spPr>
        <c:txPr>
          <a:bodyPr rot="0" vert="horz"/>
          <a:lstStyle/>
          <a:p>
            <a:pPr>
              <a:defRPr/>
            </a:pPr>
            <a:endParaRPr lang="es-ES"/>
          </a:p>
        </c:txPr>
        <c:crossAx val="147587456"/>
        <c:crosses val="autoZero"/>
        <c:crossBetween val="midCat"/>
        <c:majorUnit val="70"/>
      </c:valAx>
      <c:spPr>
        <a:noFill/>
        <a:ln w="25400">
          <a:noFill/>
        </a:ln>
      </c:spPr>
    </c:plotArea>
    <c:plotVisOnly val="1"/>
    <c:dispBlanksAs val="gap"/>
    <c:showDLblsOverMax val="0"/>
  </c:chart>
  <c:spPr>
    <a:solidFill>
      <a:schemeClr val="bg1"/>
    </a:solidFill>
    <a:ln w="9525" cap="flat" cmpd="sng" algn="ctr">
      <a:noFill/>
      <a:round/>
    </a:ln>
    <a:effectLst/>
  </c:spPr>
  <c:txPr>
    <a:bodyPr/>
    <a:lstStyle/>
    <a:p>
      <a:pPr>
        <a:defRPr sz="700" b="0" i="0" u="none" strike="noStrike" baseline="0">
          <a:solidFill>
            <a:srgbClr val="000000"/>
          </a:solidFill>
          <a:latin typeface="Times New Roman" panose="02020603050405020304" pitchFamily="18" charset="0"/>
          <a:ea typeface="Calibri"/>
          <a:cs typeface="Times New Roman" panose="02020603050405020304" pitchFamily="18" charset="0"/>
        </a:defRPr>
      </a:pPr>
      <a:endParaRPr lang="es-ES"/>
    </a:p>
  </c:txPr>
  <c:externalData r:id="rId1">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6.6892747819725484E-2"/>
          <c:y val="2.5798589408357775E-2"/>
          <c:w val="0.90621238665460213"/>
          <c:h val="0.86712885055643296"/>
        </c:manualLayout>
      </c:layout>
      <c:lineChart>
        <c:grouping val="standard"/>
        <c:varyColors val="0"/>
        <c:ser>
          <c:idx val="0"/>
          <c:order val="0"/>
          <c:tx>
            <c:strRef>
              <c:f>Sheet1!$B$1</c:f>
              <c:strCache>
                <c:ptCount val="1"/>
                <c:pt idx="0">
                  <c:v>Porcentajes</c:v>
                </c:pt>
              </c:strCache>
            </c:strRef>
          </c:tx>
          <c:spPr>
            <a:ln w="28575" cap="rnd" cmpd="thickThin">
              <a:solidFill>
                <a:schemeClr val="accent5">
                  <a:lumMod val="50000"/>
                </a:schemeClr>
              </a:solidFill>
              <a:round/>
            </a:ln>
            <a:effectLst/>
          </c:spPr>
          <c:marker>
            <c:symbol val="circle"/>
            <c:size val="5"/>
            <c:spPr>
              <a:solidFill>
                <a:schemeClr val="accent5">
                  <a:lumMod val="75000"/>
                </a:schemeClr>
              </a:solidFill>
              <a:ln w="9525">
                <a:solidFill>
                  <a:schemeClr val="accent5">
                    <a:lumMod val="50000"/>
                  </a:schemeClr>
                </a:solidFill>
              </a:ln>
              <a:effectLst/>
            </c:spPr>
          </c:marker>
          <c:dLbls>
            <c:dLbl>
              <c:idx val="0"/>
              <c:layout>
                <c:manualLayout>
                  <c:x val="-4.4637321760694355E-2"/>
                  <c:y val="-5.3101617185614375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6D49-496A-B0D0-1DF7FE3E4669}"/>
                </c:ext>
              </c:extLst>
            </c:dLbl>
            <c:dLbl>
              <c:idx val="1"/>
              <c:layout>
                <c:manualLayout>
                  <c:x val="-4.7117172969621847E-2"/>
                  <c:y val="-4.3446777697320783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6D49-496A-B0D0-1DF7FE3E4669}"/>
                </c:ext>
              </c:extLst>
            </c:dLbl>
            <c:dLbl>
              <c:idx val="2"/>
              <c:layout>
                <c:manualLayout>
                  <c:x val="-3.9677619342839428E-2"/>
                  <c:y val="-5.3101617185614292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6D49-496A-B0D0-1DF7FE3E4669}"/>
                </c:ext>
              </c:extLst>
            </c:dLbl>
            <c:dLbl>
              <c:idx val="3"/>
              <c:layout>
                <c:manualLayout>
                  <c:x val="-3.9677619342839476E-2"/>
                  <c:y val="-4.3446777697320783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6D49-496A-B0D0-1DF7FE3E4669}"/>
                </c:ext>
              </c:extLst>
            </c:dLbl>
            <c:dLbl>
              <c:idx val="4"/>
              <c:layout>
                <c:manualLayout>
                  <c:x val="-4.7117172969621826E-2"/>
                  <c:y val="-4.3446777697320783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4-6D49-496A-B0D0-1DF7FE3E4669}"/>
                </c:ext>
              </c:extLst>
            </c:dLbl>
            <c:dLbl>
              <c:idx val="5"/>
              <c:layout>
                <c:manualLayout>
                  <c:x val="-4.7117172969621916E-2"/>
                  <c:y val="-3.8619357953174026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5-6D49-496A-B0D0-1DF7FE3E4669}"/>
                </c:ext>
              </c:extLst>
            </c:dLbl>
            <c:dLbl>
              <c:idx val="6"/>
              <c:layout>
                <c:manualLayout>
                  <c:x val="-7.4395536267824025E-2"/>
                  <c:y val="-2.8964518464880611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6-6D49-496A-B0D0-1DF7FE3E4669}"/>
                </c:ext>
              </c:extLst>
            </c:dLbl>
            <c:dLbl>
              <c:idx val="7"/>
              <c:layout>
                <c:manualLayout>
                  <c:x val="-8.1835089894606319E-2"/>
                  <c:y val="-4.8274197441467532E-3"/>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7-6D49-496A-B0D0-1DF7FE3E4669}"/>
                </c:ext>
              </c:extLst>
            </c:dLbl>
            <c:dLbl>
              <c:idx val="8"/>
              <c:layout>
                <c:manualLayout>
                  <c:x val="-5.9516429014259326E-2"/>
                  <c:y val="-3.8619357953174026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8-6D49-496A-B0D0-1DF7FE3E4669}"/>
                </c:ext>
              </c:extLst>
            </c:dLbl>
            <c:dLbl>
              <c:idx val="9"/>
              <c:layout>
                <c:manualLayout>
                  <c:x val="-7.4395536267823931E-3"/>
                  <c:y val="-4.8274197441467758E-3"/>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9-6D49-496A-B0D0-1DF7FE3E4669}"/>
                </c:ext>
              </c:extLst>
            </c:dLbl>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accent5">
                        <a:lumMod val="75000"/>
                      </a:schemeClr>
                    </a:solidFill>
                    <a:latin typeface="Times New Roman" panose="02020603050405020304" pitchFamily="18" charset="0"/>
                    <a:ea typeface="+mn-ea"/>
                    <a:cs typeface="Times New Roman" panose="02020603050405020304" pitchFamily="18" charset="0"/>
                  </a:defRPr>
                </a:pPr>
                <a:endParaRPr lang="es-E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Sheet1!$A$2:$A$11</c:f>
              <c:numCache>
                <c:formatCode>General</c:formatCode>
                <c:ptCount val="10"/>
                <c:pt idx="0">
                  <c:v>2010</c:v>
                </c:pt>
                <c:pt idx="1">
                  <c:v>2011</c:v>
                </c:pt>
                <c:pt idx="2">
                  <c:v>2012</c:v>
                </c:pt>
                <c:pt idx="3">
                  <c:v>2013</c:v>
                </c:pt>
                <c:pt idx="4">
                  <c:v>2014</c:v>
                </c:pt>
                <c:pt idx="5">
                  <c:v>2015</c:v>
                </c:pt>
                <c:pt idx="6">
                  <c:v>2016</c:v>
                </c:pt>
                <c:pt idx="7">
                  <c:v>2017</c:v>
                </c:pt>
                <c:pt idx="8">
                  <c:v>2018</c:v>
                </c:pt>
                <c:pt idx="9">
                  <c:v>2019</c:v>
                </c:pt>
              </c:numCache>
            </c:numRef>
          </c:cat>
          <c:val>
            <c:numRef>
              <c:f>Sheet1!$B$2:$B$11</c:f>
              <c:numCache>
                <c:formatCode>#,##0.0</c:formatCode>
                <c:ptCount val="10"/>
                <c:pt idx="0">
                  <c:v>107.04423666240812</c:v>
                </c:pt>
                <c:pt idx="1">
                  <c:v>110.40124890822717</c:v>
                </c:pt>
                <c:pt idx="2">
                  <c:v>106.17159466325982</c:v>
                </c:pt>
                <c:pt idx="3">
                  <c:v>102.86231221963421</c:v>
                </c:pt>
                <c:pt idx="4">
                  <c:v>104.17873645101552</c:v>
                </c:pt>
                <c:pt idx="5">
                  <c:v>103.48804289259095</c:v>
                </c:pt>
                <c:pt idx="6">
                  <c:v>114.28337724741256</c:v>
                </c:pt>
                <c:pt idx="7">
                  <c:v>143.82436216371178</c:v>
                </c:pt>
                <c:pt idx="8">
                  <c:v>155.08977355653192</c:v>
                </c:pt>
                <c:pt idx="9">
                  <c:v>162.30606146936165</c:v>
                </c:pt>
              </c:numCache>
            </c:numRef>
          </c:val>
          <c:smooth val="0"/>
          <c:extLst xmlns:c16r2="http://schemas.microsoft.com/office/drawing/2015/06/chart">
            <c:ext xmlns:c16="http://schemas.microsoft.com/office/drawing/2014/chart" uri="{C3380CC4-5D6E-409C-BE32-E72D297353CC}">
              <c16:uniqueId val="{0000000A-6D49-496A-B0D0-1DF7FE3E4669}"/>
            </c:ext>
          </c:extLst>
        </c:ser>
        <c:dLbls>
          <c:showLegendKey val="0"/>
          <c:showVal val="0"/>
          <c:showCatName val="0"/>
          <c:showSerName val="0"/>
          <c:showPercent val="0"/>
          <c:showBubbleSize val="0"/>
        </c:dLbls>
        <c:marker val="1"/>
        <c:smooth val="0"/>
        <c:axId val="147630720"/>
        <c:axId val="147636608"/>
      </c:lineChart>
      <c:catAx>
        <c:axId val="14763072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ES"/>
          </a:p>
        </c:txPr>
        <c:crossAx val="147636608"/>
        <c:crosses val="autoZero"/>
        <c:auto val="1"/>
        <c:lblAlgn val="ctr"/>
        <c:lblOffset val="100"/>
        <c:noMultiLvlLbl val="0"/>
      </c:catAx>
      <c:valAx>
        <c:axId val="147636608"/>
        <c:scaling>
          <c:orientation val="minMax"/>
          <c:max val="180"/>
          <c:min val="50"/>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ES"/>
          </a:p>
        </c:txPr>
        <c:crossAx val="147630720"/>
        <c:crosses val="autoZero"/>
        <c:crossBetween val="between"/>
        <c:majorUnit val="20"/>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latin typeface="Times New Roman" panose="02020603050405020304" pitchFamily="18" charset="0"/>
          <a:cs typeface="Times New Roman" panose="02020603050405020304" pitchFamily="18" charset="0"/>
        </a:defRPr>
      </a:pPr>
      <a:endParaRPr lang="es-ES"/>
    </a:p>
  </c:txPr>
  <c:externalData r:id="rId1">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5.0792565319287081E-2"/>
          <c:y val="4.9195421252971135E-4"/>
          <c:w val="0.92145215164040284"/>
          <c:h val="0.71216556045677537"/>
        </c:manualLayout>
      </c:layout>
      <c:barChart>
        <c:barDir val="col"/>
        <c:grouping val="clustered"/>
        <c:varyColors val="0"/>
        <c:ser>
          <c:idx val="0"/>
          <c:order val="0"/>
          <c:spPr>
            <a:solidFill>
              <a:srgbClr val="00B0F0"/>
            </a:solidFill>
            <a:ln>
              <a:noFill/>
            </a:ln>
            <a:effectLst/>
          </c:spPr>
          <c:invertIfNegative val="0"/>
          <c:dPt>
            <c:idx val="9"/>
            <c:invertIfNegative val="0"/>
            <c:bubble3D val="0"/>
            <c:spPr>
              <a:solidFill>
                <a:srgbClr val="FF0000"/>
              </a:solidFill>
              <a:ln>
                <a:noFill/>
              </a:ln>
              <a:effectLst/>
            </c:spPr>
            <c:extLst xmlns:c16r2="http://schemas.microsoft.com/office/drawing/2015/06/chart">
              <c:ext xmlns:c16="http://schemas.microsoft.com/office/drawing/2014/chart" uri="{C3380CC4-5D6E-409C-BE32-E72D297353CC}">
                <c16:uniqueId val="{00000001-55AE-4FF4-99DE-3560D014A3F0}"/>
              </c:ext>
            </c:extLst>
          </c:dPt>
          <c:dLbls>
            <c:dLbl>
              <c:idx val="9"/>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rgbClr val="C00000"/>
                      </a:solidFill>
                      <a:latin typeface="Times New Roman" panose="02020603050405020304" pitchFamily="18" charset="0"/>
                      <a:ea typeface="+mn-ea"/>
                      <a:cs typeface="Times New Roman" panose="02020603050405020304" pitchFamily="18" charset="0"/>
                    </a:defRPr>
                  </a:pPr>
                  <a:endParaRPr lang="es-ES"/>
                </a:p>
              </c:txPr>
              <c:showLegendKey val="0"/>
              <c:showVal val="1"/>
              <c:showCatName val="0"/>
              <c:showSerName val="0"/>
              <c:showPercent val="0"/>
              <c:showBubbleSize val="0"/>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rgbClr val="0070C0"/>
                    </a:solidFill>
                    <a:latin typeface="Times New Roman" panose="02020603050405020304" pitchFamily="18" charset="0"/>
                    <a:ea typeface="+mn-ea"/>
                    <a:cs typeface="Times New Roman" panose="02020603050405020304" pitchFamily="18" charset="0"/>
                  </a:defRPr>
                </a:pPr>
                <a:endParaRPr lang="es-E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EMBI!$D$3202:$D$3217</c:f>
              <c:strCache>
                <c:ptCount val="16"/>
                <c:pt idx="0">
                  <c:v>Ecuador</c:v>
                </c:pt>
                <c:pt idx="1">
                  <c:v>Argentina</c:v>
                </c:pt>
                <c:pt idx="2">
                  <c:v>El Salvador</c:v>
                </c:pt>
                <c:pt idx="3">
                  <c:v>Costa Rica</c:v>
                </c:pt>
                <c:pt idx="4">
                  <c:v>Bolivia</c:v>
                </c:pt>
                <c:pt idx="5">
                  <c:v>Rep. Dom.</c:v>
                </c:pt>
                <c:pt idx="6">
                  <c:v>México</c:v>
                </c:pt>
                <c:pt idx="7">
                  <c:v>Honduras</c:v>
                </c:pt>
                <c:pt idx="8">
                  <c:v>Brasil</c:v>
                </c:pt>
                <c:pt idx="9">
                  <c:v>Guatemala</c:v>
                </c:pt>
                <c:pt idx="10">
                  <c:v>Paraguay</c:v>
                </c:pt>
                <c:pt idx="11">
                  <c:v>Colombia</c:v>
                </c:pt>
                <c:pt idx="12">
                  <c:v>Uruguay</c:v>
                </c:pt>
                <c:pt idx="13">
                  <c:v>Panamá</c:v>
                </c:pt>
                <c:pt idx="14">
                  <c:v>Chile</c:v>
                </c:pt>
                <c:pt idx="15">
                  <c:v>Perú</c:v>
                </c:pt>
              </c:strCache>
            </c:strRef>
          </c:cat>
          <c:val>
            <c:numRef>
              <c:f>EMBI!$F$3202:$F$3217</c:f>
              <c:numCache>
                <c:formatCode>0</c:formatCode>
                <c:ptCount val="16"/>
                <c:pt idx="0">
                  <c:v>3372.712</c:v>
                </c:pt>
                <c:pt idx="1">
                  <c:v>2495.395</c:v>
                </c:pt>
                <c:pt idx="2">
                  <c:v>832.39800000000002</c:v>
                </c:pt>
                <c:pt idx="3">
                  <c:v>740.322</c:v>
                </c:pt>
                <c:pt idx="4">
                  <c:v>629.88699999999994</c:v>
                </c:pt>
                <c:pt idx="5">
                  <c:v>566.66899999999998</c:v>
                </c:pt>
                <c:pt idx="6">
                  <c:v>526.07899999999995</c:v>
                </c:pt>
                <c:pt idx="7">
                  <c:v>423.23599999999999</c:v>
                </c:pt>
                <c:pt idx="8">
                  <c:v>373.31599999999997</c:v>
                </c:pt>
                <c:pt idx="9">
                  <c:v>354.60699999999997</c:v>
                </c:pt>
                <c:pt idx="10">
                  <c:v>311.84100000000001</c:v>
                </c:pt>
                <c:pt idx="11">
                  <c:v>292.90500000000003</c:v>
                </c:pt>
                <c:pt idx="12">
                  <c:v>215.15399999999997</c:v>
                </c:pt>
                <c:pt idx="13">
                  <c:v>212.48200000000003</c:v>
                </c:pt>
                <c:pt idx="14">
                  <c:v>211.00599999999997</c:v>
                </c:pt>
                <c:pt idx="15">
                  <c:v>182.13800000000001</c:v>
                </c:pt>
              </c:numCache>
            </c:numRef>
          </c:val>
          <c:extLst xmlns:c16r2="http://schemas.microsoft.com/office/drawing/2015/06/chart">
            <c:ext xmlns:c16="http://schemas.microsoft.com/office/drawing/2014/chart" uri="{C3380CC4-5D6E-409C-BE32-E72D297353CC}">
              <c16:uniqueId val="{00000002-55AE-4FF4-99DE-3560D014A3F0}"/>
            </c:ext>
          </c:extLst>
        </c:ser>
        <c:dLbls>
          <c:showLegendKey val="0"/>
          <c:showVal val="0"/>
          <c:showCatName val="0"/>
          <c:showSerName val="0"/>
          <c:showPercent val="0"/>
          <c:showBubbleSize val="0"/>
        </c:dLbls>
        <c:gapWidth val="70"/>
        <c:axId val="147002880"/>
        <c:axId val="147004416"/>
      </c:barChart>
      <c:catAx>
        <c:axId val="14700288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5400000" spcFirstLastPara="1" vertOverflow="ellipsis" wrap="square" anchor="ctr" anchorCtr="1"/>
          <a:lstStyle/>
          <a:p>
            <a:pPr>
              <a:defRPr sz="75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ES"/>
          </a:p>
        </c:txPr>
        <c:crossAx val="147004416"/>
        <c:crosses val="autoZero"/>
        <c:auto val="1"/>
        <c:lblAlgn val="ctr"/>
        <c:lblOffset val="100"/>
        <c:noMultiLvlLbl val="0"/>
      </c:catAx>
      <c:valAx>
        <c:axId val="147004416"/>
        <c:scaling>
          <c:orientation val="minMax"/>
          <c:max val="3900"/>
          <c:min val="0"/>
        </c:scaling>
        <c:delete val="1"/>
        <c:axPos val="l"/>
        <c:majorGridlines>
          <c:spPr>
            <a:ln w="9525" cap="flat" cmpd="sng" algn="ctr">
              <a:solidFill>
                <a:schemeClr val="tx1">
                  <a:alpha val="5000"/>
                </a:schemeClr>
              </a:solidFill>
              <a:round/>
            </a:ln>
            <a:effectLst/>
          </c:spPr>
        </c:majorGridlines>
        <c:numFmt formatCode="0" sourceLinked="1"/>
        <c:majorTickMark val="out"/>
        <c:minorTickMark val="none"/>
        <c:tickLblPos val="nextTo"/>
        <c:crossAx val="147002880"/>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es-ES"/>
    </a:p>
  </c:txPr>
  <c:externalData r:id="rId1">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0005116028912123"/>
          <c:y val="5.2115081440539938E-2"/>
          <c:w val="0.81701246007913886"/>
          <c:h val="0.66522980251480446"/>
        </c:manualLayout>
      </c:layout>
      <c:lineChart>
        <c:grouping val="standard"/>
        <c:varyColors val="0"/>
        <c:ser>
          <c:idx val="0"/>
          <c:order val="0"/>
          <c:tx>
            <c:strRef>
              <c:f>'[Análisis de sostenibilidad (Blanchard) 090720.xlsx]2020'!$A$27</c:f>
              <c:strCache>
                <c:ptCount val="1"/>
                <c:pt idx="0">
                  <c:v>Escenario base</c:v>
                </c:pt>
              </c:strCache>
            </c:strRef>
          </c:tx>
          <c:spPr>
            <a:ln w="28575" cap="rnd">
              <a:solidFill>
                <a:schemeClr val="tx2">
                  <a:lumMod val="75000"/>
                </a:schemeClr>
              </a:solidFill>
              <a:round/>
            </a:ln>
            <a:effectLst/>
          </c:spPr>
          <c:marker>
            <c:symbol val="none"/>
          </c:marker>
          <c:dLbls>
            <c:dLbl>
              <c:idx val="15"/>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1926-4DB9-8187-04285B13C76B}"/>
                </c:ext>
              </c:extLst>
            </c:dLbl>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rgbClr val="002060"/>
                    </a:solidFill>
                    <a:latin typeface="Times New Roman" panose="02020603050405020304" pitchFamily="18" charset="0"/>
                    <a:ea typeface="+mn-ea"/>
                    <a:cs typeface="Times New Roman" panose="02020603050405020304" pitchFamily="18" charset="0"/>
                  </a:defRPr>
                </a:pPr>
                <a:endParaRPr lang="es-ES"/>
              </a:p>
            </c:txPr>
            <c:dLblPos val="r"/>
            <c:showLegendKey val="0"/>
            <c:showVal val="0"/>
            <c:showCatName val="0"/>
            <c:showSerName val="0"/>
            <c:showPercent val="0"/>
            <c:showBubbleSize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'[Análisis de sostenibilidad (Blanchard) 090720.xlsx]2020'!$B$37:$AF$37</c:f>
              <c:numCache>
                <c:formatCode>General</c:formatCode>
                <c:ptCount val="31"/>
                <c:pt idx="0">
                  <c:v>2025</c:v>
                </c:pt>
                <c:pt idx="1">
                  <c:v>2026</c:v>
                </c:pt>
                <c:pt idx="2">
                  <c:v>2027</c:v>
                </c:pt>
                <c:pt idx="3">
                  <c:v>2028</c:v>
                </c:pt>
                <c:pt idx="4">
                  <c:v>2029</c:v>
                </c:pt>
                <c:pt idx="5">
                  <c:v>2030</c:v>
                </c:pt>
                <c:pt idx="6">
                  <c:v>2031</c:v>
                </c:pt>
                <c:pt idx="7">
                  <c:v>2032</c:v>
                </c:pt>
                <c:pt idx="8">
                  <c:v>2033</c:v>
                </c:pt>
                <c:pt idx="9">
                  <c:v>2034</c:v>
                </c:pt>
                <c:pt idx="10">
                  <c:v>2035</c:v>
                </c:pt>
                <c:pt idx="11">
                  <c:v>2036</c:v>
                </c:pt>
                <c:pt idx="12">
                  <c:v>2037</c:v>
                </c:pt>
                <c:pt idx="13">
                  <c:v>2038</c:v>
                </c:pt>
                <c:pt idx="14">
                  <c:v>2039</c:v>
                </c:pt>
                <c:pt idx="15">
                  <c:v>2040</c:v>
                </c:pt>
                <c:pt idx="16">
                  <c:v>2041</c:v>
                </c:pt>
                <c:pt idx="17">
                  <c:v>2042</c:v>
                </c:pt>
                <c:pt idx="18">
                  <c:v>2043</c:v>
                </c:pt>
                <c:pt idx="19">
                  <c:v>2044</c:v>
                </c:pt>
                <c:pt idx="20">
                  <c:v>2045</c:v>
                </c:pt>
                <c:pt idx="21">
                  <c:v>2046</c:v>
                </c:pt>
                <c:pt idx="22">
                  <c:v>2047</c:v>
                </c:pt>
                <c:pt idx="23">
                  <c:v>2048</c:v>
                </c:pt>
                <c:pt idx="24">
                  <c:v>2049</c:v>
                </c:pt>
                <c:pt idx="25">
                  <c:v>2050</c:v>
                </c:pt>
                <c:pt idx="26">
                  <c:v>2051</c:v>
                </c:pt>
                <c:pt idx="27">
                  <c:v>2052</c:v>
                </c:pt>
                <c:pt idx="28">
                  <c:v>2053</c:v>
                </c:pt>
                <c:pt idx="29">
                  <c:v>2054</c:v>
                </c:pt>
                <c:pt idx="30">
                  <c:v>2055</c:v>
                </c:pt>
              </c:numCache>
            </c:numRef>
          </c:cat>
          <c:val>
            <c:numRef>
              <c:f>'[Análisis de sostenibilidad (Blanchard) 090720.xlsx]2020'!$B$29:$Q$29</c:f>
              <c:numCache>
                <c:formatCode>0.0%</c:formatCode>
                <c:ptCount val="16"/>
                <c:pt idx="0">
                  <c:v>0.38500000000000001</c:v>
                </c:pt>
                <c:pt idx="1">
                  <c:v>0.38516434239176861</c:v>
                </c:pt>
                <c:pt idx="2">
                  <c:v>0.38532790120857147</c:v>
                </c:pt>
                <c:pt idx="3">
                  <c:v>0.3854906801864485</c:v>
                </c:pt>
                <c:pt idx="4">
                  <c:v>0.38565268304362627</c:v>
                </c:pt>
                <c:pt idx="5">
                  <c:v>0.38581391348060318</c:v>
                </c:pt>
                <c:pt idx="6">
                  <c:v>0.38597437518023381</c:v>
                </c:pt>
                <c:pt idx="7">
                  <c:v>0.38613407180781312</c:v>
                </c:pt>
                <c:pt idx="8">
                  <c:v>0.38629300701116015</c:v>
                </c:pt>
                <c:pt idx="9">
                  <c:v>0.38645118442070137</c:v>
                </c:pt>
                <c:pt idx="10">
                  <c:v>0.38660860764955357</c:v>
                </c:pt>
                <c:pt idx="11">
                  <c:v>0.38676528029360641</c:v>
                </c:pt>
                <c:pt idx="12">
                  <c:v>0.38692120593160456</c:v>
                </c:pt>
                <c:pt idx="13">
                  <c:v>0.38707638812522943</c:v>
                </c:pt>
                <c:pt idx="14">
                  <c:v>0.3872308304191806</c:v>
                </c:pt>
                <c:pt idx="15">
                  <c:v>0.38738453634125664</c:v>
                </c:pt>
              </c:numCache>
            </c:numRef>
          </c:val>
          <c:smooth val="0"/>
          <c:extLst xmlns:c16r2="http://schemas.microsoft.com/office/drawing/2015/06/chart">
            <c:ext xmlns:c16="http://schemas.microsoft.com/office/drawing/2014/chart" uri="{C3380CC4-5D6E-409C-BE32-E72D297353CC}">
              <c16:uniqueId val="{00000001-1926-4DB9-8187-04285B13C76B}"/>
            </c:ext>
          </c:extLst>
        </c:ser>
        <c:ser>
          <c:idx val="1"/>
          <c:order val="1"/>
          <c:tx>
            <c:strRef>
              <c:f>'[Análisis de sostenibilidad (Blanchard) 090720.xlsx]2020'!$A$36</c:f>
              <c:strCache>
                <c:ptCount val="1"/>
                <c:pt idx="0">
                  <c:v>Choque de crecimiento</c:v>
                </c:pt>
              </c:strCache>
            </c:strRef>
          </c:tx>
          <c:spPr>
            <a:ln w="28575" cap="rnd" cmpd="sng">
              <a:solidFill>
                <a:srgbClr val="C00000"/>
              </a:solidFill>
              <a:prstDash val="lgDashDot"/>
              <a:round/>
            </a:ln>
            <a:effectLst/>
          </c:spPr>
          <c:marker>
            <c:symbol val="none"/>
          </c:marker>
          <c:dLbls>
            <c:dLbl>
              <c:idx val="15"/>
              <c:layout>
                <c:manualLayout>
                  <c:x val="0"/>
                  <c:y val="1.7952483874570095E-2"/>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1926-4DB9-8187-04285B13C76B}"/>
                </c:ext>
              </c:extLst>
            </c:dLbl>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rgbClr val="C00000"/>
                    </a:solidFill>
                    <a:latin typeface="Times New Roman" panose="02020603050405020304" pitchFamily="18" charset="0"/>
                    <a:ea typeface="+mn-ea"/>
                    <a:cs typeface="Times New Roman" panose="02020603050405020304" pitchFamily="18" charset="0"/>
                  </a:defRPr>
                </a:pPr>
                <a:endParaRPr lang="es-ES"/>
              </a:p>
            </c:txPr>
            <c:dLblPos val="r"/>
            <c:showLegendKey val="0"/>
            <c:showVal val="0"/>
            <c:showCatName val="0"/>
            <c:showSerName val="0"/>
            <c:showPercent val="0"/>
            <c:showBubbleSize val="0"/>
            <c:extLst xmlns:c16r2="http://schemas.microsoft.com/office/drawing/2015/06/chart">
              <c:ext xmlns:c15="http://schemas.microsoft.com/office/drawing/2012/chart" uri="{CE6537A1-D6FC-4f65-9D91-7224C49458BB}">
                <c15:showLeaderLines val="0"/>
              </c:ext>
            </c:extLst>
          </c:dLbls>
          <c:val>
            <c:numRef>
              <c:f>'[Análisis de sostenibilidad (Blanchard) 090720.xlsx]2020'!$B$38:$Q$38</c:f>
              <c:numCache>
                <c:formatCode>0.0%</c:formatCode>
                <c:ptCount val="16"/>
                <c:pt idx="0">
                  <c:v>0.38500000000000001</c:v>
                </c:pt>
                <c:pt idx="1">
                  <c:v>0.38887202198289217</c:v>
                </c:pt>
                <c:pt idx="2">
                  <c:v>0.3927628712651875</c:v>
                </c:pt>
                <c:pt idx="3">
                  <c:v>0.39667263939264796</c:v>
                </c:pt>
                <c:pt idx="4">
                  <c:v>0.40060141835616719</c:v>
                </c:pt>
                <c:pt idx="5">
                  <c:v>0.40454930059393479</c:v>
                </c:pt>
                <c:pt idx="6">
                  <c:v>0.40462043305746737</c:v>
                </c:pt>
                <c:pt idx="7">
                  <c:v>0.40469122636555094</c:v>
                </c:pt>
                <c:pt idx="8">
                  <c:v>0.40476168213525893</c:v>
                </c:pt>
                <c:pt idx="9">
                  <c:v>0.4048318019759547</c:v>
                </c:pt>
                <c:pt idx="10">
                  <c:v>0.40490158748932825</c:v>
                </c:pt>
                <c:pt idx="11">
                  <c:v>0.40497104026943276</c:v>
                </c:pt>
                <c:pt idx="12">
                  <c:v>0.40504016190272113</c:v>
                </c:pt>
                <c:pt idx="13">
                  <c:v>0.40510895396808216</c:v>
                </c:pt>
                <c:pt idx="14">
                  <c:v>0.40517741803687651</c:v>
                </c:pt>
                <c:pt idx="15">
                  <c:v>0.40524555567297277</c:v>
                </c:pt>
              </c:numCache>
            </c:numRef>
          </c:val>
          <c:smooth val="0"/>
          <c:extLst xmlns:c16r2="http://schemas.microsoft.com/office/drawing/2015/06/chart">
            <c:ext xmlns:c16="http://schemas.microsoft.com/office/drawing/2014/chart" uri="{C3380CC4-5D6E-409C-BE32-E72D297353CC}">
              <c16:uniqueId val="{00000003-1926-4DB9-8187-04285B13C76B}"/>
            </c:ext>
          </c:extLst>
        </c:ser>
        <c:ser>
          <c:idx val="2"/>
          <c:order val="2"/>
          <c:tx>
            <c:strRef>
              <c:f>'[Análisis de sostenibilidad (Blanchard) 090720.xlsx]2020'!$A$45</c:f>
              <c:strCache>
                <c:ptCount val="1"/>
                <c:pt idx="0">
                  <c:v>Choque de tasa de interés</c:v>
                </c:pt>
              </c:strCache>
            </c:strRef>
          </c:tx>
          <c:spPr>
            <a:ln w="28575" cap="rnd">
              <a:solidFill>
                <a:schemeClr val="accent3">
                  <a:lumMod val="75000"/>
                </a:schemeClr>
              </a:solidFill>
              <a:prstDash val="sysDash"/>
              <a:round/>
            </a:ln>
            <a:effectLst/>
          </c:spPr>
          <c:marker>
            <c:symbol val="none"/>
          </c:marker>
          <c:dLbls>
            <c:dLbl>
              <c:idx val="15"/>
              <c:layout>
                <c:manualLayout>
                  <c:x val="0"/>
                  <c:y val="-8.9762419372851291E-3"/>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4-1926-4DB9-8187-04285B13C76B}"/>
                </c:ext>
              </c:extLst>
            </c:dLbl>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accent3">
                        <a:lumMod val="50000"/>
                      </a:schemeClr>
                    </a:solidFill>
                    <a:latin typeface="Times New Roman" panose="02020603050405020304" pitchFamily="18" charset="0"/>
                    <a:ea typeface="+mn-ea"/>
                    <a:cs typeface="Times New Roman" panose="02020603050405020304" pitchFamily="18" charset="0"/>
                  </a:defRPr>
                </a:pPr>
                <a:endParaRPr lang="es-ES"/>
              </a:p>
            </c:txPr>
            <c:dLblPos val="r"/>
            <c:showLegendKey val="0"/>
            <c:showVal val="0"/>
            <c:showCatName val="0"/>
            <c:showSerName val="0"/>
            <c:showPercent val="0"/>
            <c:showBubbleSize val="0"/>
            <c:extLst xmlns:c16r2="http://schemas.microsoft.com/office/drawing/2015/06/chart">
              <c:ext xmlns:c15="http://schemas.microsoft.com/office/drawing/2012/chart" uri="{CE6537A1-D6FC-4f65-9D91-7224C49458BB}">
                <c15:showLeaderLines val="0"/>
              </c:ext>
            </c:extLst>
          </c:dLbls>
          <c:val>
            <c:numRef>
              <c:f>'[Análisis de sostenibilidad (Blanchard) 090720.xlsx]2020'!$B$47:$Q$47</c:f>
              <c:numCache>
                <c:formatCode>0.0%</c:formatCode>
                <c:ptCount val="16"/>
                <c:pt idx="0">
                  <c:v>0.38500000000000001</c:v>
                </c:pt>
                <c:pt idx="1">
                  <c:v>0.38695617350354172</c:v>
                </c:pt>
                <c:pt idx="2">
                  <c:v>0.38891212432596362</c:v>
                </c:pt>
                <c:pt idx="3">
                  <c:v>0.39086785249261463</c:v>
                </c:pt>
                <c:pt idx="4">
                  <c:v>0.39282335802884077</c:v>
                </c:pt>
                <c:pt idx="5">
                  <c:v>0.39477864095998522</c:v>
                </c:pt>
                <c:pt idx="6">
                  <c:v>0.39673370131138824</c:v>
                </c:pt>
                <c:pt idx="7">
                  <c:v>0.3986885391083872</c:v>
                </c:pt>
                <c:pt idx="8">
                  <c:v>0.40064315437631659</c:v>
                </c:pt>
                <c:pt idx="9">
                  <c:v>0.40259754714050799</c:v>
                </c:pt>
                <c:pt idx="10">
                  <c:v>0.40455171742629015</c:v>
                </c:pt>
                <c:pt idx="11">
                  <c:v>0.4065056652589889</c:v>
                </c:pt>
                <c:pt idx="12">
                  <c:v>0.40845939066392722</c:v>
                </c:pt>
                <c:pt idx="13">
                  <c:v>0.41041289366642519</c:v>
                </c:pt>
                <c:pt idx="14">
                  <c:v>0.4123661742918</c:v>
                </c:pt>
                <c:pt idx="15">
                  <c:v>0.41431923256536596</c:v>
                </c:pt>
              </c:numCache>
            </c:numRef>
          </c:val>
          <c:smooth val="0"/>
          <c:extLst xmlns:c16r2="http://schemas.microsoft.com/office/drawing/2015/06/chart">
            <c:ext xmlns:c16="http://schemas.microsoft.com/office/drawing/2014/chart" uri="{C3380CC4-5D6E-409C-BE32-E72D297353CC}">
              <c16:uniqueId val="{00000005-1926-4DB9-8187-04285B13C76B}"/>
            </c:ext>
          </c:extLst>
        </c:ser>
        <c:ser>
          <c:idx val="3"/>
          <c:order val="3"/>
          <c:tx>
            <c:strRef>
              <c:f>'[Análisis de sostenibilidad (Blanchard) 090720.xlsx]2020'!$A$208</c:f>
              <c:strCache>
                <c:ptCount val="1"/>
                <c:pt idx="0">
                  <c:v>Choque de sp</c:v>
                </c:pt>
              </c:strCache>
            </c:strRef>
          </c:tx>
          <c:spPr>
            <a:ln w="28575" cap="rnd">
              <a:solidFill>
                <a:schemeClr val="accent4">
                  <a:lumMod val="75000"/>
                </a:schemeClr>
              </a:solidFill>
              <a:prstDash val="dashDot"/>
              <a:round/>
            </a:ln>
            <a:effectLst/>
          </c:spPr>
          <c:marker>
            <c:symbol val="none"/>
          </c:marker>
          <c:dLbls>
            <c:dLbl>
              <c:idx val="15"/>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6-1926-4DB9-8187-04285B13C76B}"/>
                </c:ext>
              </c:extLst>
            </c:dLbl>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accent4">
                        <a:lumMod val="50000"/>
                      </a:schemeClr>
                    </a:solidFill>
                    <a:latin typeface="Times New Roman" panose="02020603050405020304" pitchFamily="18" charset="0"/>
                    <a:ea typeface="+mn-ea"/>
                    <a:cs typeface="Times New Roman" panose="02020603050405020304" pitchFamily="18" charset="0"/>
                  </a:defRPr>
                </a:pPr>
                <a:endParaRPr lang="es-ES"/>
              </a:p>
            </c:txPr>
            <c:dLblPos val="r"/>
            <c:showLegendKey val="0"/>
            <c:showVal val="0"/>
            <c:showCatName val="0"/>
            <c:showSerName val="0"/>
            <c:showPercent val="0"/>
            <c:showBubbleSize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'[Análisis de sostenibilidad (Blanchard) 090720.xlsx]2020'!$B$210:$Q$210</c:f>
              <c:numCache>
                <c:formatCode>0.0%</c:formatCode>
                <c:ptCount val="16"/>
                <c:pt idx="0">
                  <c:v>0.38500000000000001</c:v>
                </c:pt>
                <c:pt idx="1">
                  <c:v>0.39116434239176862</c:v>
                </c:pt>
                <c:pt idx="2">
                  <c:v>0.39729929355753413</c:v>
                </c:pt>
                <c:pt idx="3">
                  <c:v>0.40140499363295273</c:v>
                </c:pt>
                <c:pt idx="4">
                  <c:v>0.40549111796920101</c:v>
                </c:pt>
                <c:pt idx="5">
                  <c:v>0.40755775990226484</c:v>
                </c:pt>
                <c:pt idx="6">
                  <c:v>0.40761454820678861</c:v>
                </c:pt>
                <c:pt idx="7">
                  <c:v>0.40767106574797929</c:v>
                </c:pt>
                <c:pt idx="8">
                  <c:v>0.40772731381682065</c:v>
                </c:pt>
                <c:pt idx="9">
                  <c:v>0.40778329369814115</c:v>
                </c:pt>
                <c:pt idx="10">
                  <c:v>0.40783900667064332</c:v>
                </c:pt>
                <c:pt idx="11">
                  <c:v>0.40789445400693292</c:v>
                </c:pt>
                <c:pt idx="12">
                  <c:v>0.40794963697354791</c:v>
                </c:pt>
                <c:pt idx="13">
                  <c:v>0.40800455683098757</c:v>
                </c:pt>
                <c:pt idx="14">
                  <c:v>0.40805921483374114</c:v>
                </c:pt>
                <c:pt idx="15">
                  <c:v>0.4081136122303165</c:v>
                </c:pt>
              </c:numCache>
            </c:numRef>
          </c:val>
          <c:smooth val="0"/>
          <c:extLst xmlns:c16r2="http://schemas.microsoft.com/office/drawing/2015/06/chart">
            <c:ext xmlns:c16="http://schemas.microsoft.com/office/drawing/2014/chart" uri="{C3380CC4-5D6E-409C-BE32-E72D297353CC}">
              <c16:uniqueId val="{00000007-1926-4DB9-8187-04285B13C76B}"/>
            </c:ext>
          </c:extLst>
        </c:ser>
        <c:ser>
          <c:idx val="4"/>
          <c:order val="4"/>
          <c:tx>
            <c:strRef>
              <c:f>'[Análisis de sostenibilidad (Blanchard) 090720.xlsx]2020'!$A$217</c:f>
              <c:strCache>
                <c:ptCount val="1"/>
                <c:pt idx="0">
                  <c:v>Choque combinado </c:v>
                </c:pt>
              </c:strCache>
            </c:strRef>
          </c:tx>
          <c:spPr>
            <a:ln w="28575" cap="rnd">
              <a:solidFill>
                <a:schemeClr val="accent6"/>
              </a:solidFill>
              <a:prstDash val="dashDot"/>
              <a:round/>
            </a:ln>
            <a:effectLst/>
          </c:spPr>
          <c:marker>
            <c:symbol val="none"/>
          </c:marker>
          <c:dLbls>
            <c:dLbl>
              <c:idx val="0"/>
              <c:layout>
                <c:manualLayout>
                  <c:x val="-3.0154640907717533E-2"/>
                  <c:y val="-0.11040766885373496"/>
                </c:manualLayout>
              </c:layout>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s-ES"/>
                </a:p>
              </c:txPr>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8-1926-4DB9-8187-04285B13C76B}"/>
                </c:ext>
              </c:extLst>
            </c:dLbl>
            <c:dLbl>
              <c:idx val="15"/>
              <c:layout>
                <c:manualLayout>
                  <c:x val="0"/>
                  <c:y val="-1.4841887155690616E-2"/>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9-1926-4DB9-8187-04285B13C76B}"/>
                </c:ext>
              </c:extLst>
            </c:dLbl>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accent6">
                        <a:lumMod val="50000"/>
                      </a:schemeClr>
                    </a:solidFill>
                    <a:latin typeface="Times New Roman" panose="02020603050405020304" pitchFamily="18" charset="0"/>
                    <a:ea typeface="+mn-ea"/>
                    <a:cs typeface="Times New Roman" panose="02020603050405020304" pitchFamily="18" charset="0"/>
                  </a:defRPr>
                </a:pPr>
                <a:endParaRPr lang="es-ES"/>
              </a:p>
            </c:txPr>
            <c:dLblPos val="r"/>
            <c:showLegendKey val="0"/>
            <c:showVal val="0"/>
            <c:showCatName val="0"/>
            <c:showSerName val="0"/>
            <c:showPercent val="0"/>
            <c:showBubbleSize val="0"/>
            <c:extLst xmlns:c16r2="http://schemas.microsoft.com/office/drawing/2015/06/chart">
              <c:ext xmlns:c15="http://schemas.microsoft.com/office/drawing/2012/chart" uri="{CE6537A1-D6FC-4f65-9D91-7224C49458BB}">
                <c15:showLeaderLines val="0"/>
              </c:ext>
            </c:extLst>
          </c:dLbls>
          <c:val>
            <c:numRef>
              <c:f>'[Análisis de sostenibilidad (Blanchard) 090720.xlsx]2020'!$B$219:$Q$219</c:f>
              <c:numCache>
                <c:formatCode>0.0%</c:formatCode>
                <c:ptCount val="16"/>
                <c:pt idx="0">
                  <c:v>0.38500000000000001</c:v>
                </c:pt>
                <c:pt idx="1">
                  <c:v>0.39668119170086852</c:v>
                </c:pt>
                <c:pt idx="2">
                  <c:v>0.40847407354705001</c:v>
                </c:pt>
                <c:pt idx="3">
                  <c:v>0.41837971346798858</c:v>
                </c:pt>
                <c:pt idx="4">
                  <c:v>0.42838006653040445</c:v>
                </c:pt>
                <c:pt idx="5">
                  <c:v>0.43647603833749332</c:v>
                </c:pt>
                <c:pt idx="6">
                  <c:v>0.43842635206334185</c:v>
                </c:pt>
                <c:pt idx="7">
                  <c:v>0.4403764437751187</c:v>
                </c:pt>
                <c:pt idx="8">
                  <c:v>0.44232631349809681</c:v>
                </c:pt>
                <c:pt idx="9">
                  <c:v>0.44427596125754637</c:v>
                </c:pt>
                <c:pt idx="10">
                  <c:v>0.44622538707873455</c:v>
                </c:pt>
                <c:pt idx="11">
                  <c:v>0.44817459098692569</c:v>
                </c:pt>
                <c:pt idx="12">
                  <c:v>0.45012357300738132</c:v>
                </c:pt>
                <c:pt idx="13">
                  <c:v>0.45207233316536</c:v>
                </c:pt>
                <c:pt idx="14">
                  <c:v>0.45402087148611753</c:v>
                </c:pt>
                <c:pt idx="15">
                  <c:v>0.45596918799490671</c:v>
                </c:pt>
              </c:numCache>
            </c:numRef>
          </c:val>
          <c:smooth val="0"/>
          <c:extLst xmlns:c16r2="http://schemas.microsoft.com/office/drawing/2015/06/chart">
            <c:ext xmlns:c16="http://schemas.microsoft.com/office/drawing/2014/chart" uri="{C3380CC4-5D6E-409C-BE32-E72D297353CC}">
              <c16:uniqueId val="{0000000A-1926-4DB9-8187-04285B13C76B}"/>
            </c:ext>
          </c:extLst>
        </c:ser>
        <c:dLbls>
          <c:showLegendKey val="0"/>
          <c:showVal val="0"/>
          <c:showCatName val="0"/>
          <c:showSerName val="0"/>
          <c:showPercent val="0"/>
          <c:showBubbleSize val="0"/>
        </c:dLbls>
        <c:marker val="1"/>
        <c:smooth val="0"/>
        <c:axId val="147846272"/>
        <c:axId val="147847808"/>
      </c:lineChart>
      <c:catAx>
        <c:axId val="14784627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5400000" spcFirstLastPara="1" vertOverflow="ellipsis" wrap="square" anchor="ctr" anchorCtr="1"/>
          <a:lstStyle/>
          <a:p>
            <a:pPr>
              <a:defRPr sz="8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ES"/>
          </a:p>
        </c:txPr>
        <c:crossAx val="147847808"/>
        <c:crosses val="autoZero"/>
        <c:auto val="1"/>
        <c:lblAlgn val="ctr"/>
        <c:lblOffset val="100"/>
        <c:noMultiLvlLbl val="0"/>
      </c:catAx>
      <c:valAx>
        <c:axId val="147847808"/>
        <c:scaling>
          <c:orientation val="minMax"/>
          <c:max val="0.47000000000000003"/>
          <c:min val="0.38000000000000006"/>
        </c:scaling>
        <c:delete val="0"/>
        <c:axPos val="l"/>
        <c:majorGridlines>
          <c:spPr>
            <a:ln w="9525" cap="flat" cmpd="sng" algn="ctr">
              <a:solidFill>
                <a:schemeClr val="tx1">
                  <a:alpha val="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ES"/>
          </a:p>
        </c:txPr>
        <c:crossAx val="147846272"/>
        <c:crosses val="autoZero"/>
        <c:crossBetween val="between"/>
        <c:majorUnit val="2.0000000000000004E-2"/>
      </c:valAx>
      <c:spPr>
        <a:noFill/>
        <a:ln>
          <a:noFill/>
        </a:ln>
        <a:effectLst/>
      </c:spPr>
    </c:plotArea>
    <c:legend>
      <c:legendPos val="b"/>
      <c:layout>
        <c:manualLayout>
          <c:xMode val="edge"/>
          <c:yMode val="edge"/>
          <c:x val="3.0167832606581547E-2"/>
          <c:y val="0.84796798393884032"/>
          <c:w val="0.95047523211495111"/>
          <c:h val="0.1237749971461677"/>
        </c:manualLayout>
      </c:layout>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ES"/>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pPr>
      <a:endParaRPr lang="es-ES"/>
    </a:p>
  </c:txPr>
  <c:externalData r:id="rId1">
    <c:autoUpdate val="0"/>
  </c:externalData>
</c:chartSpace>
</file>

<file path=word/charts/chart28.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9.4953548781025215E-2"/>
          <c:y val="2.9991169662995969E-2"/>
          <c:w val="0.86601618547681536"/>
          <c:h val="0.68966817774476308"/>
        </c:manualLayout>
      </c:layout>
      <c:lineChart>
        <c:grouping val="standard"/>
        <c:varyColors val="0"/>
        <c:ser>
          <c:idx val="0"/>
          <c:order val="0"/>
          <c:tx>
            <c:strRef>
              <c:f>'[Análisis de sostenibilidad (Blanchard) 090720.xlsx]2020'!$A$217</c:f>
              <c:strCache>
                <c:ptCount val="1"/>
                <c:pt idx="0">
                  <c:v>Choque combinado </c:v>
                </c:pt>
              </c:strCache>
            </c:strRef>
          </c:tx>
          <c:spPr>
            <a:ln w="28575" cap="rnd">
              <a:solidFill>
                <a:srgbClr val="FF9900"/>
              </a:solidFill>
              <a:prstDash val="dashDot"/>
              <a:round/>
            </a:ln>
            <a:effectLst/>
          </c:spPr>
          <c:marker>
            <c:symbol val="none"/>
          </c:marker>
          <c:dLbls>
            <c:dLbl>
              <c:idx val="15"/>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rgbClr val="FF9900"/>
                      </a:solidFill>
                      <a:latin typeface="Times New Roman" panose="02020603050405020304" pitchFamily="18" charset="0"/>
                      <a:ea typeface="+mn-ea"/>
                      <a:cs typeface="Times New Roman" panose="02020603050405020304" pitchFamily="18" charset="0"/>
                    </a:defRPr>
                  </a:pPr>
                  <a:endParaRPr lang="es-ES"/>
                </a:p>
              </c:txPr>
              <c:dLblPos val="b"/>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F776-4E29-A5A9-D369D2A342C5}"/>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showLegendKey val="0"/>
            <c:showVal val="0"/>
            <c:showCatName val="0"/>
            <c:showSerName val="0"/>
            <c:showPercent val="0"/>
            <c:showBubbleSize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'[Análisis de sostenibilidad (Blanchard) 090720.xlsx]2020'!$B$218:$Q$218</c:f>
              <c:numCache>
                <c:formatCode>General</c:formatCode>
                <c:ptCount val="16"/>
                <c:pt idx="0">
                  <c:v>2025</c:v>
                </c:pt>
                <c:pt idx="1">
                  <c:v>2026</c:v>
                </c:pt>
                <c:pt idx="2">
                  <c:v>2027</c:v>
                </c:pt>
                <c:pt idx="3">
                  <c:v>2028</c:v>
                </c:pt>
                <c:pt idx="4">
                  <c:v>2029</c:v>
                </c:pt>
                <c:pt idx="5">
                  <c:v>2030</c:v>
                </c:pt>
                <c:pt idx="6">
                  <c:v>2031</c:v>
                </c:pt>
                <c:pt idx="7">
                  <c:v>2032</c:v>
                </c:pt>
                <c:pt idx="8">
                  <c:v>2033</c:v>
                </c:pt>
                <c:pt idx="9">
                  <c:v>2034</c:v>
                </c:pt>
                <c:pt idx="10">
                  <c:v>2035</c:v>
                </c:pt>
                <c:pt idx="11">
                  <c:v>2036</c:v>
                </c:pt>
                <c:pt idx="12">
                  <c:v>2037</c:v>
                </c:pt>
                <c:pt idx="13">
                  <c:v>2038</c:v>
                </c:pt>
                <c:pt idx="14">
                  <c:v>2039</c:v>
                </c:pt>
                <c:pt idx="15">
                  <c:v>2040</c:v>
                </c:pt>
              </c:numCache>
            </c:numRef>
          </c:cat>
          <c:val>
            <c:numRef>
              <c:f>'[Análisis de sostenibilidad (Blanchard) 090720.xlsx]2020'!$B$219:$Q$219</c:f>
              <c:numCache>
                <c:formatCode>0.0%</c:formatCode>
                <c:ptCount val="16"/>
                <c:pt idx="0">
                  <c:v>0.38500000000000001</c:v>
                </c:pt>
                <c:pt idx="1">
                  <c:v>0.39668119170086852</c:v>
                </c:pt>
                <c:pt idx="2">
                  <c:v>0.40847407354705001</c:v>
                </c:pt>
                <c:pt idx="3">
                  <c:v>0.41837971346798858</c:v>
                </c:pt>
                <c:pt idx="4">
                  <c:v>0.42838006653040445</c:v>
                </c:pt>
                <c:pt idx="5">
                  <c:v>0.43647603833749332</c:v>
                </c:pt>
                <c:pt idx="6">
                  <c:v>0.43842635206334185</c:v>
                </c:pt>
                <c:pt idx="7">
                  <c:v>0.4403764437751187</c:v>
                </c:pt>
                <c:pt idx="8">
                  <c:v>0.44232631349809681</c:v>
                </c:pt>
                <c:pt idx="9">
                  <c:v>0.44427596125754637</c:v>
                </c:pt>
                <c:pt idx="10">
                  <c:v>0.44622538707873455</c:v>
                </c:pt>
                <c:pt idx="11">
                  <c:v>0.44817459098692569</c:v>
                </c:pt>
                <c:pt idx="12">
                  <c:v>0.45012357300738132</c:v>
                </c:pt>
                <c:pt idx="13">
                  <c:v>0.45207233316536</c:v>
                </c:pt>
                <c:pt idx="14">
                  <c:v>0.45402087148611753</c:v>
                </c:pt>
                <c:pt idx="15">
                  <c:v>0.45596918799490671</c:v>
                </c:pt>
              </c:numCache>
            </c:numRef>
          </c:val>
          <c:smooth val="0"/>
          <c:extLst xmlns:c16r2="http://schemas.microsoft.com/office/drawing/2015/06/chart">
            <c:ext xmlns:c16="http://schemas.microsoft.com/office/drawing/2014/chart" uri="{C3380CC4-5D6E-409C-BE32-E72D297353CC}">
              <c16:uniqueId val="{00000001-F776-4E29-A5A9-D369D2A342C5}"/>
            </c:ext>
          </c:extLst>
        </c:ser>
        <c:ser>
          <c:idx val="1"/>
          <c:order val="1"/>
          <c:tx>
            <c:strRef>
              <c:f>'[Análisis de sostenibilidad (Blanchard) 090720.xlsx]2020'!$A$226</c:f>
              <c:strCache>
                <c:ptCount val="1"/>
                <c:pt idx="0">
                  <c:v>Choque combinado con balance primario en equilibrio</c:v>
                </c:pt>
              </c:strCache>
            </c:strRef>
          </c:tx>
          <c:spPr>
            <a:ln w="28575" cap="rnd">
              <a:solidFill>
                <a:srgbClr val="C00000"/>
              </a:solidFill>
              <a:prstDash val="dash"/>
              <a:round/>
            </a:ln>
            <a:effectLst/>
          </c:spPr>
          <c:marker>
            <c:symbol val="none"/>
          </c:marker>
          <c:dLbls>
            <c:dLbl>
              <c:idx val="15"/>
              <c:dLblPos val="b"/>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F776-4E29-A5A9-D369D2A342C5}"/>
                </c:ext>
              </c:extLst>
            </c:dLbl>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rgbClr val="C00000"/>
                    </a:solidFill>
                    <a:latin typeface="Times New Roman" panose="02020603050405020304" pitchFamily="18" charset="0"/>
                    <a:ea typeface="+mn-ea"/>
                    <a:cs typeface="Times New Roman" panose="02020603050405020304" pitchFamily="18" charset="0"/>
                  </a:defRPr>
                </a:pPr>
                <a:endParaRPr lang="es-ES"/>
              </a:p>
            </c:txPr>
            <c:dLblPos val="b"/>
            <c:showLegendKey val="0"/>
            <c:showVal val="0"/>
            <c:showCatName val="0"/>
            <c:showSerName val="0"/>
            <c:showPercent val="0"/>
            <c:showBubbleSize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'[Análisis de sostenibilidad (Blanchard) 090720.xlsx]2020'!$B$228:$Q$228</c:f>
              <c:numCache>
                <c:formatCode>0.0%</c:formatCode>
                <c:ptCount val="16"/>
                <c:pt idx="0">
                  <c:v>0.38500000000000001</c:v>
                </c:pt>
                <c:pt idx="1">
                  <c:v>0.39668119170086852</c:v>
                </c:pt>
                <c:pt idx="2">
                  <c:v>0.40847407354705001</c:v>
                </c:pt>
                <c:pt idx="3">
                  <c:v>0.41837971346798858</c:v>
                </c:pt>
                <c:pt idx="4">
                  <c:v>0.42238006653040444</c:v>
                </c:pt>
                <c:pt idx="5">
                  <c:v>0.42641866911618109</c:v>
                </c:pt>
                <c:pt idx="6">
                  <c:v>0.42637012772321548</c:v>
                </c:pt>
                <c:pt idx="7">
                  <c:v>0.42632159185596202</c:v>
                </c:pt>
                <c:pt idx="8">
                  <c:v>0.42627306151379174</c:v>
                </c:pt>
                <c:pt idx="9">
                  <c:v>0.42622453669607563</c:v>
                </c:pt>
                <c:pt idx="10">
                  <c:v>0.42617601740218486</c:v>
                </c:pt>
                <c:pt idx="11">
                  <c:v>0.4261275036314906</c:v>
                </c:pt>
                <c:pt idx="12">
                  <c:v>0.42607899538336413</c:v>
                </c:pt>
                <c:pt idx="13">
                  <c:v>0.4260304926571768</c:v>
                </c:pt>
                <c:pt idx="14">
                  <c:v>0.42598199545230003</c:v>
                </c:pt>
                <c:pt idx="15">
                  <c:v>0.42593350376810529</c:v>
                </c:pt>
              </c:numCache>
            </c:numRef>
          </c:val>
          <c:smooth val="0"/>
          <c:extLst xmlns:c16r2="http://schemas.microsoft.com/office/drawing/2015/06/chart">
            <c:ext xmlns:c16="http://schemas.microsoft.com/office/drawing/2014/chart" uri="{C3380CC4-5D6E-409C-BE32-E72D297353CC}">
              <c16:uniqueId val="{00000003-F776-4E29-A5A9-D369D2A342C5}"/>
            </c:ext>
          </c:extLst>
        </c:ser>
        <c:ser>
          <c:idx val="2"/>
          <c:order val="2"/>
          <c:tx>
            <c:strRef>
              <c:f>'[Análisis de sostenibilidad (Blanchard) 090720.xlsx]2020'!$A$235</c:f>
              <c:strCache>
                <c:ptCount val="1"/>
                <c:pt idx="0">
                  <c:v>Choque combinado con reforma fiscal</c:v>
                </c:pt>
              </c:strCache>
            </c:strRef>
          </c:tx>
          <c:spPr>
            <a:ln w="28575" cap="rnd">
              <a:solidFill>
                <a:schemeClr val="accent3">
                  <a:lumMod val="75000"/>
                </a:schemeClr>
              </a:solidFill>
              <a:prstDash val="dashDot"/>
              <a:round/>
            </a:ln>
            <a:effectLst/>
          </c:spPr>
          <c:marker>
            <c:symbol val="none"/>
          </c:marker>
          <c:dLbls>
            <c:dLbl>
              <c:idx val="15"/>
              <c:dLblPos val="b"/>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4-F776-4E29-A5A9-D369D2A342C5}"/>
                </c:ext>
              </c:extLst>
            </c:dLbl>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accent3">
                        <a:lumMod val="50000"/>
                      </a:schemeClr>
                    </a:solidFill>
                    <a:latin typeface="Times New Roman" panose="02020603050405020304" pitchFamily="18" charset="0"/>
                    <a:ea typeface="+mn-ea"/>
                    <a:cs typeface="Times New Roman" panose="02020603050405020304" pitchFamily="18" charset="0"/>
                  </a:defRPr>
                </a:pPr>
                <a:endParaRPr lang="es-ES"/>
              </a:p>
            </c:txPr>
            <c:dLblPos val="b"/>
            <c:showLegendKey val="0"/>
            <c:showVal val="0"/>
            <c:showCatName val="0"/>
            <c:showSerName val="0"/>
            <c:showPercent val="0"/>
            <c:showBubbleSize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'[Análisis de sostenibilidad (Blanchard) 090720.xlsx]2020'!$B$237:$Q$237</c:f>
              <c:numCache>
                <c:formatCode>0.0%</c:formatCode>
                <c:ptCount val="16"/>
                <c:pt idx="0">
                  <c:v>0.38500000000000001</c:v>
                </c:pt>
                <c:pt idx="1">
                  <c:v>0.39668119170086852</c:v>
                </c:pt>
                <c:pt idx="2">
                  <c:v>0.40847407354705001</c:v>
                </c:pt>
                <c:pt idx="3">
                  <c:v>0.41837971346798858</c:v>
                </c:pt>
                <c:pt idx="4">
                  <c:v>0.42038006653040444</c:v>
                </c:pt>
                <c:pt idx="5">
                  <c:v>0.42239954604241037</c:v>
                </c:pt>
                <c:pt idx="6">
                  <c:v>0.42035146216654384</c:v>
                </c:pt>
                <c:pt idx="7">
                  <c:v>0.41830361143441946</c:v>
                </c:pt>
                <c:pt idx="8">
                  <c:v>0.41625599381949735</c:v>
                </c:pt>
                <c:pt idx="9">
                  <c:v>0.41420860929524056</c:v>
                </c:pt>
                <c:pt idx="10">
                  <c:v>0.41216145783511521</c:v>
                </c:pt>
                <c:pt idx="11">
                  <c:v>0.41011453941259041</c:v>
                </c:pt>
                <c:pt idx="12">
                  <c:v>0.40806785400113832</c:v>
                </c:pt>
                <c:pt idx="13">
                  <c:v>0.40602140157423411</c:v>
                </c:pt>
                <c:pt idx="14">
                  <c:v>0.40397518210535599</c:v>
                </c:pt>
                <c:pt idx="15">
                  <c:v>0.40192919556798512</c:v>
                </c:pt>
              </c:numCache>
            </c:numRef>
          </c:val>
          <c:smooth val="0"/>
          <c:extLst xmlns:c16r2="http://schemas.microsoft.com/office/drawing/2015/06/chart">
            <c:ext xmlns:c16="http://schemas.microsoft.com/office/drawing/2014/chart" uri="{C3380CC4-5D6E-409C-BE32-E72D297353CC}">
              <c16:uniqueId val="{00000005-F776-4E29-A5A9-D369D2A342C5}"/>
            </c:ext>
          </c:extLst>
        </c:ser>
        <c:dLbls>
          <c:showLegendKey val="0"/>
          <c:showVal val="0"/>
          <c:showCatName val="0"/>
          <c:showSerName val="0"/>
          <c:showPercent val="0"/>
          <c:showBubbleSize val="0"/>
        </c:dLbls>
        <c:marker val="1"/>
        <c:smooth val="0"/>
        <c:axId val="147755776"/>
        <c:axId val="147757312"/>
      </c:lineChart>
      <c:catAx>
        <c:axId val="14775577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5400000" spcFirstLastPara="1" vertOverflow="ellipsis" wrap="square" anchor="ctr" anchorCtr="1"/>
          <a:lstStyle/>
          <a:p>
            <a:pPr>
              <a:defRPr sz="8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ES"/>
          </a:p>
        </c:txPr>
        <c:crossAx val="147757312"/>
        <c:crosses val="autoZero"/>
        <c:auto val="1"/>
        <c:lblAlgn val="ctr"/>
        <c:lblOffset val="100"/>
        <c:noMultiLvlLbl val="0"/>
      </c:catAx>
      <c:valAx>
        <c:axId val="147757312"/>
        <c:scaling>
          <c:orientation val="minMax"/>
          <c:min val="0.36000000000000004"/>
        </c:scaling>
        <c:delete val="0"/>
        <c:axPos val="l"/>
        <c:majorGridlines>
          <c:spPr>
            <a:ln w="9525" cap="flat" cmpd="sng" algn="ctr">
              <a:solidFill>
                <a:schemeClr val="tx1">
                  <a:alpha val="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147755776"/>
        <c:crosses val="autoZero"/>
        <c:crossBetween val="between"/>
      </c:valAx>
      <c:spPr>
        <a:noFill/>
        <a:ln>
          <a:noFill/>
        </a:ln>
        <a:effectLst/>
      </c:spPr>
    </c:plotArea>
    <c:legend>
      <c:legendPos val="b"/>
      <c:layout>
        <c:manualLayout>
          <c:xMode val="edge"/>
          <c:yMode val="edge"/>
          <c:x val="0"/>
          <c:y val="0.86625396825396805"/>
          <c:w val="0.98713316518975303"/>
          <c:h val="0.13093055026565512"/>
        </c:manualLayout>
      </c:layout>
      <c:overlay val="0"/>
      <c:spPr>
        <a:noFill/>
        <a:ln>
          <a:noFill/>
        </a:ln>
        <a:effectLst/>
      </c:spPr>
      <c:txPr>
        <a:bodyPr rot="0" spcFirstLastPara="1" vertOverflow="ellipsis" vert="horz" wrap="square" anchor="ctr" anchorCtr="1"/>
        <a:lstStyle/>
        <a:p>
          <a:pPr>
            <a:defRPr sz="7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ES"/>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pPr>
      <a:endParaRPr lang="es-ES"/>
    </a:p>
  </c:txPr>
  <c:externalData r:id="rId1">
    <c:autoUpdate val="0"/>
  </c:externalData>
</c:chartSpace>
</file>

<file path=word/charts/chart29.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40"/>
      <c:depthPercent val="100"/>
      <c:rAngAx val="0"/>
      <c:perspective val="3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4.5381853902712065E-2"/>
          <c:y val="0.14617436756516133"/>
          <c:w val="0.82195630609464954"/>
          <c:h val="0.79496366709797694"/>
        </c:manualLayout>
      </c:layout>
      <c:pie3DChart>
        <c:varyColors val="1"/>
        <c:ser>
          <c:idx val="0"/>
          <c:order val="0"/>
          <c:dPt>
            <c:idx val="0"/>
            <c:bubble3D val="0"/>
            <c:spPr>
              <a:blipFill>
                <a:blip xmlns:r="http://schemas.openxmlformats.org/officeDocument/2006/relationships" r:embed="rId1"/>
                <a:stretch>
                  <a:fillRect/>
                </a:stretch>
              </a:blip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1-A69F-4E61-B29B-7D832EEDA402}"/>
              </c:ext>
            </c:extLst>
          </c:dPt>
          <c:dPt>
            <c:idx val="1"/>
            <c:bubble3D val="0"/>
            <c:spPr>
              <a:blipFill>
                <a:blip xmlns:r="http://schemas.openxmlformats.org/officeDocument/2006/relationships" r:embed="rId2"/>
                <a:stretch>
                  <a:fillRect/>
                </a:stretch>
              </a:blip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3-A69F-4E61-B29B-7D832EEDA402}"/>
              </c:ext>
            </c:extLst>
          </c:dPt>
          <c:dPt>
            <c:idx val="2"/>
            <c:bubble3D val="0"/>
            <c:spPr>
              <a:blipFill>
                <a:blip xmlns:r="http://schemas.openxmlformats.org/officeDocument/2006/relationships" r:embed="rId3"/>
                <a:stretch>
                  <a:fillRect/>
                </a:stretch>
              </a:blip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5-A69F-4E61-B29B-7D832EEDA402}"/>
              </c:ext>
            </c:extLst>
          </c:dPt>
          <c:dPt>
            <c:idx val="3"/>
            <c:bubble3D val="0"/>
            <c:spPr>
              <a:blipFill>
                <a:blip xmlns:r="http://schemas.openxmlformats.org/officeDocument/2006/relationships" r:embed="rId4"/>
                <a:stretch>
                  <a:fillRect/>
                </a:stretch>
              </a:blip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7-A69F-4E61-B29B-7D832EEDA402}"/>
              </c:ext>
            </c:extLst>
          </c:dPt>
          <c:dPt>
            <c:idx val="4"/>
            <c:bubble3D val="0"/>
            <c:spPr>
              <a:blipFill>
                <a:blip xmlns:r="http://schemas.openxmlformats.org/officeDocument/2006/relationships" r:embed="rId5"/>
                <a:stretch>
                  <a:fillRect/>
                </a:stretch>
              </a:blip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9-A69F-4E61-B29B-7D832EEDA402}"/>
              </c:ext>
            </c:extLst>
          </c:dPt>
          <c:dPt>
            <c:idx val="5"/>
            <c:bubble3D val="0"/>
            <c:spPr>
              <a:blipFill>
                <a:blip xmlns:r="http://schemas.openxmlformats.org/officeDocument/2006/relationships" r:embed="rId6"/>
                <a:stretch>
                  <a:fillRect/>
                </a:stretch>
              </a:blip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B-A69F-4E61-B29B-7D832EEDA402}"/>
              </c:ext>
            </c:extLst>
          </c:dPt>
          <c:dPt>
            <c:idx val="6"/>
            <c:bubble3D val="0"/>
            <c:spPr>
              <a:blipFill>
                <a:blip xmlns:r="http://schemas.openxmlformats.org/officeDocument/2006/relationships" r:embed="rId7"/>
                <a:stretch>
                  <a:fillRect/>
                </a:stretch>
              </a:blip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D-A69F-4E61-B29B-7D832EEDA402}"/>
              </c:ext>
            </c:extLst>
          </c:dPt>
          <c:dPt>
            <c:idx val="7"/>
            <c:bubble3D val="0"/>
            <c:spPr>
              <a:blipFill>
                <a:blip xmlns:r="http://schemas.openxmlformats.org/officeDocument/2006/relationships" r:embed="rId8"/>
                <a:stretch>
                  <a:fillRect/>
                </a:stretch>
              </a:blip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F-A69F-4E61-B29B-7D832EEDA402}"/>
              </c:ext>
            </c:extLst>
          </c:dPt>
          <c:dPt>
            <c:idx val="8"/>
            <c:bubble3D val="0"/>
            <c:spPr>
              <a:blipFill>
                <a:blip xmlns:r="http://schemas.openxmlformats.org/officeDocument/2006/relationships" r:embed="rId9"/>
                <a:stretch>
                  <a:fillRect/>
                </a:stretch>
              </a:blip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11-A69F-4E61-B29B-7D832EEDA402}"/>
              </c:ext>
            </c:extLst>
          </c:dPt>
          <c:dPt>
            <c:idx val="9"/>
            <c:bubble3D val="0"/>
            <c:spPr>
              <a:blipFill>
                <a:blip xmlns:r="http://schemas.openxmlformats.org/officeDocument/2006/relationships" r:embed="rId10"/>
                <a:stretch>
                  <a:fillRect/>
                </a:stretch>
              </a:blip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13-A69F-4E61-B29B-7D832EEDA402}"/>
              </c:ext>
            </c:extLst>
          </c:dPt>
          <c:dLbls>
            <c:dLbl>
              <c:idx val="0"/>
              <c:layout>
                <c:manualLayout>
                  <c:x val="-2.7670212109562341E-2"/>
                  <c:y val="-5.1437260109318109E-2"/>
                </c:manualLayout>
              </c:layout>
              <c:showLegendKey val="0"/>
              <c:showVal val="1"/>
              <c:showCatName val="1"/>
              <c:showSerName val="0"/>
              <c:showPercent val="0"/>
              <c:showBubbleSize val="0"/>
              <c:separator>
</c:separator>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A69F-4E61-B29B-7D832EEDA402}"/>
                </c:ext>
              </c:extLst>
            </c:dLbl>
            <c:dLbl>
              <c:idx val="1"/>
              <c:layout>
                <c:manualLayout>
                  <c:x val="1.3115385893219044E-2"/>
                  <c:y val="-4.0123600903259407E-2"/>
                </c:manualLayout>
              </c:layout>
              <c:showLegendKey val="0"/>
              <c:showVal val="1"/>
              <c:showCatName val="1"/>
              <c:showSerName val="0"/>
              <c:showPercent val="0"/>
              <c:showBubbleSize val="0"/>
              <c:separator>
</c:separator>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A69F-4E61-B29B-7D832EEDA402}"/>
                </c:ext>
              </c:extLst>
            </c:dLbl>
            <c:dLbl>
              <c:idx val="3"/>
              <c:layout>
                <c:manualLayout>
                  <c:x val="3.8634062251700116E-2"/>
                  <c:y val="2.9866112389509898E-3"/>
                </c:manualLayout>
              </c:layout>
              <c:showLegendKey val="0"/>
              <c:showVal val="1"/>
              <c:showCatName val="1"/>
              <c:showSerName val="0"/>
              <c:showPercent val="0"/>
              <c:showBubbleSize val="0"/>
              <c:separator>
</c:separator>
              <c:extLst xmlns:c16r2="http://schemas.microsoft.com/office/drawing/2015/06/chart">
                <c:ext xmlns:c15="http://schemas.microsoft.com/office/drawing/2012/chart" uri="{CE6537A1-D6FC-4f65-9D91-7224C49458BB}"/>
                <c:ext xmlns:c16="http://schemas.microsoft.com/office/drawing/2014/chart" uri="{C3380CC4-5D6E-409C-BE32-E72D297353CC}">
                  <c16:uniqueId val="{00000007-A69F-4E61-B29B-7D832EEDA402}"/>
                </c:ext>
              </c:extLst>
            </c:dLbl>
            <c:dLbl>
              <c:idx val="5"/>
              <c:layout>
                <c:manualLayout>
                  <c:x val="-1.5473698699055023E-3"/>
                  <c:y val="-7.9116265572931777E-2"/>
                </c:manualLayout>
              </c:layout>
              <c:showLegendKey val="0"/>
              <c:showVal val="1"/>
              <c:showCatName val="1"/>
              <c:showSerName val="0"/>
              <c:showPercent val="0"/>
              <c:showBubbleSize val="0"/>
              <c:separator>
</c:separator>
              <c:extLst xmlns:c16r2="http://schemas.microsoft.com/office/drawing/2015/06/chart">
                <c:ext xmlns:c15="http://schemas.microsoft.com/office/drawing/2012/chart" uri="{CE6537A1-D6FC-4f65-9D91-7224C49458BB}"/>
                <c:ext xmlns:c16="http://schemas.microsoft.com/office/drawing/2014/chart" uri="{C3380CC4-5D6E-409C-BE32-E72D297353CC}">
                  <c16:uniqueId val="{0000000B-A69F-4E61-B29B-7D832EEDA402}"/>
                </c:ext>
              </c:extLst>
            </c:dLbl>
            <c:dLbl>
              <c:idx val="6"/>
              <c:layout>
                <c:manualLayout>
                  <c:x val="1.6228161353248567E-2"/>
                  <c:y val="-5.0401427935901008E-2"/>
                </c:manualLayout>
              </c:layout>
              <c:showLegendKey val="0"/>
              <c:showVal val="1"/>
              <c:showCatName val="1"/>
              <c:showSerName val="0"/>
              <c:showPercent val="0"/>
              <c:showBubbleSize val="0"/>
              <c:separator>
</c:separator>
              <c:extLst xmlns:c16r2="http://schemas.microsoft.com/office/drawing/2015/06/chart">
                <c:ext xmlns:c15="http://schemas.microsoft.com/office/drawing/2012/chart" uri="{CE6537A1-D6FC-4f65-9D91-7224C49458BB}"/>
                <c:ext xmlns:c16="http://schemas.microsoft.com/office/drawing/2014/chart" uri="{C3380CC4-5D6E-409C-BE32-E72D297353CC}">
                  <c16:uniqueId val="{0000000D-A69F-4E61-B29B-7D832EEDA402}"/>
                </c:ext>
              </c:extLst>
            </c:dLbl>
            <c:dLbl>
              <c:idx val="7"/>
              <c:layout>
                <c:manualLayout>
                  <c:x val="-7.3604723460200382E-4"/>
                  <c:y val="1.6830267611939915E-2"/>
                </c:manualLayout>
              </c:layout>
              <c:showLegendKey val="0"/>
              <c:showVal val="1"/>
              <c:showCatName val="1"/>
              <c:showSerName val="0"/>
              <c:showPercent val="0"/>
              <c:showBubbleSize val="0"/>
              <c:separator>
</c:separator>
              <c:extLst xmlns:c16r2="http://schemas.microsoft.com/office/drawing/2015/06/chart">
                <c:ext xmlns:c15="http://schemas.microsoft.com/office/drawing/2012/chart" uri="{CE6537A1-D6FC-4f65-9D91-7224C49458BB}"/>
                <c:ext xmlns:c16="http://schemas.microsoft.com/office/drawing/2014/chart" uri="{C3380CC4-5D6E-409C-BE32-E72D297353CC}">
                  <c16:uniqueId val="{0000000F-A69F-4E61-B29B-7D832EEDA402}"/>
                </c:ext>
              </c:extLst>
            </c:dLbl>
            <c:dLbl>
              <c:idx val="8"/>
              <c:layout>
                <c:manualLayout>
                  <c:x val="-8.1701812589881958E-3"/>
                  <c:y val="1.8987869362542119E-2"/>
                </c:manualLayout>
              </c:layout>
              <c:showLegendKey val="0"/>
              <c:showVal val="1"/>
              <c:showCatName val="1"/>
              <c:showSerName val="0"/>
              <c:showPercent val="0"/>
              <c:showBubbleSize val="0"/>
              <c:separator>
</c:separator>
              <c:extLst xmlns:c16r2="http://schemas.microsoft.com/office/drawing/2015/06/chart">
                <c:ext xmlns:c15="http://schemas.microsoft.com/office/drawing/2012/chart" uri="{CE6537A1-D6FC-4f65-9D91-7224C49458BB}"/>
                <c:ext xmlns:c16="http://schemas.microsoft.com/office/drawing/2014/chart" uri="{C3380CC4-5D6E-409C-BE32-E72D297353CC}">
                  <c16:uniqueId val="{00000011-A69F-4E61-B29B-7D832EEDA402}"/>
                </c:ext>
              </c:extLst>
            </c:dLbl>
            <c:dLbl>
              <c:idx val="9"/>
              <c:layout>
                <c:manualLayout>
                  <c:x val="3.8782399035563596E-2"/>
                  <c:y val="-0.1651381744546484"/>
                </c:manualLayout>
              </c:layout>
              <c:showLegendKey val="0"/>
              <c:showVal val="1"/>
              <c:showCatName val="1"/>
              <c:showSerName val="0"/>
              <c:showPercent val="0"/>
              <c:showBubbleSize val="0"/>
              <c:separator>
</c:separator>
              <c:extLst xmlns:c16r2="http://schemas.microsoft.com/office/drawing/2015/06/chart">
                <c:ext xmlns:c15="http://schemas.microsoft.com/office/drawing/2012/chart" uri="{CE6537A1-D6FC-4f65-9D91-7224C49458BB}"/>
                <c:ext xmlns:c16="http://schemas.microsoft.com/office/drawing/2014/chart" uri="{C3380CC4-5D6E-409C-BE32-E72D297353CC}">
                  <c16:uniqueId val="{00000013-A69F-4E61-B29B-7D832EEDA402}"/>
                </c:ext>
              </c:extLst>
            </c:dLbl>
            <c:spPr>
              <a:noFill/>
              <a:ln>
                <a:noFill/>
              </a:ln>
              <a:effectLst/>
            </c:spPr>
            <c:txPr>
              <a:bodyPr rot="0" spcFirstLastPara="1" vertOverflow="ellipsis" vert="horz" wrap="square" anchor="ctr" anchorCtr="1"/>
              <a:lstStyle/>
              <a:p>
                <a:pPr>
                  <a:defRPr sz="7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ES"/>
              </a:p>
            </c:txPr>
            <c:showLegendKey val="0"/>
            <c:showVal val="1"/>
            <c:showCatName val="1"/>
            <c:showSerName val="0"/>
            <c:showPercent val="0"/>
            <c:showBubbleSize val="0"/>
            <c:separator>
</c:separator>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'import por origen'!$H$26:$H$35</c:f>
              <c:strCache>
                <c:ptCount val="10"/>
                <c:pt idx="0">
                  <c:v>Japón</c:v>
                </c:pt>
                <c:pt idx="1">
                  <c:v>Brasil</c:v>
                </c:pt>
                <c:pt idx="2">
                  <c:v>Honduras</c:v>
                </c:pt>
                <c:pt idx="3">
                  <c:v>Colombia</c:v>
                </c:pt>
                <c:pt idx="4">
                  <c:v>Panamá</c:v>
                </c:pt>
                <c:pt idx="5">
                  <c:v>Costa Rica</c:v>
                </c:pt>
                <c:pt idx="6">
                  <c:v>El Salvador</c:v>
                </c:pt>
                <c:pt idx="7">
                  <c:v>México</c:v>
                </c:pt>
                <c:pt idx="8">
                  <c:v>China</c:v>
                </c:pt>
                <c:pt idx="9">
                  <c:v>Estados Unidos </c:v>
                </c:pt>
              </c:strCache>
            </c:strRef>
          </c:cat>
          <c:val>
            <c:numRef>
              <c:f>'import por origen'!$I$26:$I$35</c:f>
              <c:numCache>
                <c:formatCode>0.0%</c:formatCode>
                <c:ptCount val="10"/>
                <c:pt idx="0">
                  <c:v>1.5258472118077564E-2</c:v>
                </c:pt>
                <c:pt idx="1">
                  <c:v>1.6184629131581904E-2</c:v>
                </c:pt>
                <c:pt idx="2">
                  <c:v>2.4106002410808635E-2</c:v>
                </c:pt>
                <c:pt idx="3">
                  <c:v>2.9512252832247822E-2</c:v>
                </c:pt>
                <c:pt idx="4">
                  <c:v>3.3719823655881304E-2</c:v>
                </c:pt>
                <c:pt idx="5">
                  <c:v>3.476361300785976E-2</c:v>
                </c:pt>
                <c:pt idx="6">
                  <c:v>5.2024563254390199E-2</c:v>
                </c:pt>
                <c:pt idx="7">
                  <c:v>0.11027383492805885</c:v>
                </c:pt>
                <c:pt idx="8">
                  <c:v>0.11210264774618665</c:v>
                </c:pt>
                <c:pt idx="9">
                  <c:v>0.37025320930286387</c:v>
                </c:pt>
              </c:numCache>
            </c:numRef>
          </c:val>
          <c:extLst xmlns:c16r2="http://schemas.microsoft.com/office/drawing/2015/06/chart">
            <c:ext xmlns:c16="http://schemas.microsoft.com/office/drawing/2014/chart" uri="{C3380CC4-5D6E-409C-BE32-E72D297353CC}">
              <c16:uniqueId val="{00000014-A69F-4E61-B29B-7D832EEDA402}"/>
            </c:ext>
          </c:extLst>
        </c:ser>
        <c:dLbls>
          <c:showLegendKey val="0"/>
          <c:showVal val="0"/>
          <c:showCatName val="0"/>
          <c:showSerName val="0"/>
          <c:showPercent val="0"/>
          <c:showBubbleSize val="0"/>
          <c:showLeaderLines val="1"/>
        </c:dLbls>
      </c:pie3DChart>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es-ES"/>
    </a:p>
  </c:txPr>
  <c:externalData r:id="rId1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2"/>
          <c:order val="4"/>
          <c:tx>
            <c:strRef>
              <c:f>CA!$B$6</c:f>
              <c:strCache>
                <c:ptCount val="1"/>
                <c:pt idx="0">
                  <c:v>Guatemala</c:v>
                </c:pt>
              </c:strCache>
            </c:strRef>
          </c:tx>
          <c:spPr>
            <a:solidFill>
              <a:srgbClr val="92D050"/>
            </a:solidFill>
            <a:ln>
              <a:noFill/>
            </a:ln>
            <a:effectLst/>
          </c:spPr>
          <c:invertIfNegative val="0"/>
          <c:val>
            <c:numRef>
              <c:f>CA!$C$6:$F$6</c:f>
              <c:numCache>
                <c:formatCode>General</c:formatCode>
                <c:ptCount val="4"/>
                <c:pt idx="0">
                  <c:v>3.056</c:v>
                </c:pt>
                <c:pt idx="1">
                  <c:v>3.57</c:v>
                </c:pt>
                <c:pt idx="2">
                  <c:v>-1.9630000000000001</c:v>
                </c:pt>
                <c:pt idx="3">
                  <c:v>5.4560000000000004</c:v>
                </c:pt>
              </c:numCache>
            </c:numRef>
          </c:val>
          <c:extLst xmlns:c16r2="http://schemas.microsoft.com/office/drawing/2015/06/chart">
            <c:ext xmlns:c16="http://schemas.microsoft.com/office/drawing/2014/chart" uri="{C3380CC4-5D6E-409C-BE32-E72D297353CC}">
              <c16:uniqueId val="{00000000-A512-4369-9801-39828294553B}"/>
            </c:ext>
          </c:extLst>
        </c:ser>
        <c:dLbls>
          <c:showLegendKey val="0"/>
          <c:showVal val="0"/>
          <c:showCatName val="0"/>
          <c:showSerName val="0"/>
          <c:showPercent val="0"/>
          <c:showBubbleSize val="0"/>
        </c:dLbls>
        <c:gapWidth val="150"/>
        <c:axId val="145536512"/>
        <c:axId val="145538048"/>
      </c:barChart>
      <c:lineChart>
        <c:grouping val="standard"/>
        <c:varyColors val="0"/>
        <c:ser>
          <c:idx val="0"/>
          <c:order val="0"/>
          <c:tx>
            <c:strRef>
              <c:f>CA!$I$4</c:f>
              <c:strCache>
                <c:ptCount val="1"/>
                <c:pt idx="0">
                  <c:v>Costa Rica</c:v>
                </c:pt>
              </c:strCache>
            </c:strRef>
          </c:tx>
          <c:spPr>
            <a:ln w="28575" cap="rnd">
              <a:solidFill>
                <a:schemeClr val="accent5">
                  <a:lumMod val="50000"/>
                </a:schemeClr>
              </a:solidFill>
              <a:prstDash val="dashDot"/>
              <a:round/>
            </a:ln>
            <a:effectLst/>
          </c:spPr>
          <c:marker>
            <c:symbol val="none"/>
          </c:marker>
          <c:cat>
            <c:numRef>
              <c:f>CA!$H$5:$H$9</c:f>
              <c:numCache>
                <c:formatCode>General</c:formatCode>
                <c:ptCount val="5"/>
                <c:pt idx="0">
                  <c:v>2018</c:v>
                </c:pt>
                <c:pt idx="1">
                  <c:v>2019</c:v>
                </c:pt>
                <c:pt idx="2">
                  <c:v>2020</c:v>
                </c:pt>
                <c:pt idx="3">
                  <c:v>2021</c:v>
                </c:pt>
              </c:numCache>
            </c:numRef>
          </c:cat>
          <c:val>
            <c:numRef>
              <c:f>CA!$I$5:$I$8</c:f>
              <c:numCache>
                <c:formatCode>0.0</c:formatCode>
                <c:ptCount val="4"/>
                <c:pt idx="0">
                  <c:v>2.66</c:v>
                </c:pt>
                <c:pt idx="1">
                  <c:v>2.0840000000000001</c:v>
                </c:pt>
                <c:pt idx="2">
                  <c:v>-3.2919999999999998</c:v>
                </c:pt>
                <c:pt idx="3">
                  <c:v>2.9710000000000001</c:v>
                </c:pt>
              </c:numCache>
            </c:numRef>
          </c:val>
          <c:smooth val="0"/>
          <c:extLst xmlns:c16r2="http://schemas.microsoft.com/office/drawing/2015/06/chart">
            <c:ext xmlns:c16="http://schemas.microsoft.com/office/drawing/2014/chart" uri="{C3380CC4-5D6E-409C-BE32-E72D297353CC}">
              <c16:uniqueId val="{00000001-A512-4369-9801-39828294553B}"/>
            </c:ext>
          </c:extLst>
        </c:ser>
        <c:ser>
          <c:idx val="1"/>
          <c:order val="1"/>
          <c:tx>
            <c:strRef>
              <c:f>CA!$J$4</c:f>
              <c:strCache>
                <c:ptCount val="1"/>
                <c:pt idx="0">
                  <c:v>El Salvador</c:v>
                </c:pt>
              </c:strCache>
            </c:strRef>
          </c:tx>
          <c:spPr>
            <a:ln w="31750" cap="rnd">
              <a:solidFill>
                <a:schemeClr val="bg1">
                  <a:lumMod val="65000"/>
                </a:schemeClr>
              </a:solidFill>
              <a:prstDash val="sysDash"/>
              <a:round/>
            </a:ln>
            <a:effectLst/>
          </c:spPr>
          <c:marker>
            <c:symbol val="none"/>
          </c:marker>
          <c:cat>
            <c:numRef>
              <c:f>CA!$H$5:$H$9</c:f>
              <c:numCache>
                <c:formatCode>General</c:formatCode>
                <c:ptCount val="5"/>
                <c:pt idx="0">
                  <c:v>2018</c:v>
                </c:pt>
                <c:pt idx="1">
                  <c:v>2019</c:v>
                </c:pt>
                <c:pt idx="2">
                  <c:v>2020</c:v>
                </c:pt>
                <c:pt idx="3">
                  <c:v>2021</c:v>
                </c:pt>
              </c:numCache>
            </c:numRef>
          </c:cat>
          <c:val>
            <c:numRef>
              <c:f>CA!$J$5:$J$8</c:f>
              <c:numCache>
                <c:formatCode>0.0</c:formatCode>
                <c:ptCount val="4"/>
                <c:pt idx="0">
                  <c:v>2.4300000000000002</c:v>
                </c:pt>
                <c:pt idx="1">
                  <c:v>2.3849999999999998</c:v>
                </c:pt>
                <c:pt idx="2">
                  <c:v>-5.44</c:v>
                </c:pt>
                <c:pt idx="3">
                  <c:v>4.46</c:v>
                </c:pt>
              </c:numCache>
            </c:numRef>
          </c:val>
          <c:smooth val="0"/>
          <c:extLst xmlns:c16r2="http://schemas.microsoft.com/office/drawing/2015/06/chart">
            <c:ext xmlns:c16="http://schemas.microsoft.com/office/drawing/2014/chart" uri="{C3380CC4-5D6E-409C-BE32-E72D297353CC}">
              <c16:uniqueId val="{00000002-A512-4369-9801-39828294553B}"/>
            </c:ext>
          </c:extLst>
        </c:ser>
        <c:ser>
          <c:idx val="3"/>
          <c:order val="2"/>
          <c:tx>
            <c:strRef>
              <c:f>CA!$L$4</c:f>
              <c:strCache>
                <c:ptCount val="1"/>
                <c:pt idx="0">
                  <c:v>Honduras</c:v>
                </c:pt>
              </c:strCache>
            </c:strRef>
          </c:tx>
          <c:spPr>
            <a:ln w="28575" cap="rnd">
              <a:solidFill>
                <a:srgbClr val="C00000"/>
              </a:solidFill>
              <a:prstDash val="lgDashDot"/>
              <a:round/>
            </a:ln>
            <a:effectLst/>
          </c:spPr>
          <c:marker>
            <c:symbol val="none"/>
          </c:marker>
          <c:cat>
            <c:numRef>
              <c:f>CA!$H$5:$H$9</c:f>
              <c:numCache>
                <c:formatCode>General</c:formatCode>
                <c:ptCount val="5"/>
                <c:pt idx="0">
                  <c:v>2018</c:v>
                </c:pt>
                <c:pt idx="1">
                  <c:v>2019</c:v>
                </c:pt>
                <c:pt idx="2">
                  <c:v>2020</c:v>
                </c:pt>
                <c:pt idx="3">
                  <c:v>2021</c:v>
                </c:pt>
              </c:numCache>
            </c:numRef>
          </c:cat>
          <c:val>
            <c:numRef>
              <c:f>CA!$L$5:$L$8</c:f>
              <c:numCache>
                <c:formatCode>0.0</c:formatCode>
                <c:ptCount val="4"/>
                <c:pt idx="0">
                  <c:v>3.6970000000000001</c:v>
                </c:pt>
                <c:pt idx="1">
                  <c:v>2.6509999999999998</c:v>
                </c:pt>
                <c:pt idx="2">
                  <c:v>-2.35</c:v>
                </c:pt>
                <c:pt idx="3">
                  <c:v>4.05</c:v>
                </c:pt>
              </c:numCache>
            </c:numRef>
          </c:val>
          <c:smooth val="0"/>
          <c:extLst xmlns:c16r2="http://schemas.microsoft.com/office/drawing/2015/06/chart">
            <c:ext xmlns:c16="http://schemas.microsoft.com/office/drawing/2014/chart" uri="{C3380CC4-5D6E-409C-BE32-E72D297353CC}">
              <c16:uniqueId val="{00000003-A512-4369-9801-39828294553B}"/>
            </c:ext>
          </c:extLst>
        </c:ser>
        <c:ser>
          <c:idx val="4"/>
          <c:order val="3"/>
          <c:tx>
            <c:strRef>
              <c:f>CA!$M$4</c:f>
              <c:strCache>
                <c:ptCount val="1"/>
                <c:pt idx="0">
                  <c:v>Nicaragua</c:v>
                </c:pt>
              </c:strCache>
            </c:strRef>
          </c:tx>
          <c:spPr>
            <a:ln w="31750" cap="rnd">
              <a:solidFill>
                <a:schemeClr val="accent4"/>
              </a:solidFill>
              <a:round/>
            </a:ln>
            <a:effectLst/>
          </c:spPr>
          <c:marker>
            <c:symbol val="none"/>
          </c:marker>
          <c:cat>
            <c:numRef>
              <c:f>CA!$H$5:$H$9</c:f>
              <c:numCache>
                <c:formatCode>General</c:formatCode>
                <c:ptCount val="5"/>
                <c:pt idx="0">
                  <c:v>2018</c:v>
                </c:pt>
                <c:pt idx="1">
                  <c:v>2019</c:v>
                </c:pt>
                <c:pt idx="2">
                  <c:v>2020</c:v>
                </c:pt>
                <c:pt idx="3">
                  <c:v>2021</c:v>
                </c:pt>
              </c:numCache>
            </c:numRef>
          </c:cat>
          <c:val>
            <c:numRef>
              <c:f>CA!$M$5:$M$8</c:f>
              <c:numCache>
                <c:formatCode>0.0</c:formatCode>
                <c:ptCount val="4"/>
                <c:pt idx="0">
                  <c:v>-3.95</c:v>
                </c:pt>
                <c:pt idx="1">
                  <c:v>-3.879</c:v>
                </c:pt>
                <c:pt idx="2">
                  <c:v>-6</c:v>
                </c:pt>
                <c:pt idx="3">
                  <c:v>0</c:v>
                </c:pt>
              </c:numCache>
            </c:numRef>
          </c:val>
          <c:smooth val="0"/>
          <c:extLst xmlns:c16r2="http://schemas.microsoft.com/office/drawing/2015/06/chart">
            <c:ext xmlns:c16="http://schemas.microsoft.com/office/drawing/2014/chart" uri="{C3380CC4-5D6E-409C-BE32-E72D297353CC}">
              <c16:uniqueId val="{00000004-A512-4369-9801-39828294553B}"/>
            </c:ext>
          </c:extLst>
        </c:ser>
        <c:dLbls>
          <c:showLegendKey val="0"/>
          <c:showVal val="0"/>
          <c:showCatName val="0"/>
          <c:showSerName val="0"/>
          <c:showPercent val="0"/>
          <c:showBubbleSize val="0"/>
        </c:dLbls>
        <c:marker val="1"/>
        <c:smooth val="0"/>
        <c:axId val="145536512"/>
        <c:axId val="145538048"/>
      </c:lineChart>
      <c:catAx>
        <c:axId val="145536512"/>
        <c:scaling>
          <c:orientation val="minMax"/>
        </c:scaling>
        <c:delete val="0"/>
        <c:axPos val="b"/>
        <c:majorGridlines>
          <c:spPr>
            <a:ln w="9525" cap="flat" cmpd="sng" algn="ctr">
              <a:solidFill>
                <a:schemeClr val="bg1">
                  <a:lumMod val="85000"/>
                  <a:alpha val="50000"/>
                </a:schemeClr>
              </a:solidFill>
              <a:round/>
            </a:ln>
            <a:effectLst/>
          </c:spPr>
        </c:majorGridlines>
        <c:numFmt formatCode="General" sourceLinked="1"/>
        <c:majorTickMark val="none"/>
        <c:minorTickMark val="none"/>
        <c:tickLblPos val="low"/>
        <c:spPr>
          <a:noFill/>
          <a:ln w="19050" cap="flat" cmpd="sng" algn="ctr">
            <a:solidFill>
              <a:schemeClr val="bg1">
                <a:lumMod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ES"/>
          </a:p>
        </c:txPr>
        <c:crossAx val="145538048"/>
        <c:crosses val="autoZero"/>
        <c:auto val="1"/>
        <c:lblAlgn val="ctr"/>
        <c:lblOffset val="100"/>
        <c:noMultiLvlLbl val="0"/>
      </c:catAx>
      <c:valAx>
        <c:axId val="145538048"/>
        <c:scaling>
          <c:orientation val="minMax"/>
          <c:max val="6"/>
          <c:min val="-7"/>
        </c:scaling>
        <c:delete val="0"/>
        <c:axPos val="l"/>
        <c:majorGridlines>
          <c:spPr>
            <a:ln w="9525" cap="flat" cmpd="sng" algn="ctr">
              <a:solidFill>
                <a:schemeClr val="bg1">
                  <a:lumMod val="85000"/>
                  <a:alpha val="50000"/>
                </a:schemeClr>
              </a:solidFill>
              <a:round/>
            </a:ln>
            <a:effectLst/>
          </c:spPr>
        </c:majorGridlines>
        <c:numFmt formatCode="General" sourceLinked="1"/>
        <c:majorTickMark val="none"/>
        <c:minorTickMark val="none"/>
        <c:tickLblPos val="high"/>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ES"/>
          </a:p>
        </c:txPr>
        <c:crossAx val="14553651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ES"/>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pPr>
      <a:endParaRPr lang="es-ES"/>
    </a:p>
  </c:txPr>
  <c:externalData r:id="rId1">
    <c:autoUpdate val="0"/>
  </c:externalData>
  <c:userShapes r:id="rId2"/>
</c:chartSpace>
</file>

<file path=word/charts/chart30.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E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'import por origen'!$C$11:$C$20</c:f>
              <c:strCache>
                <c:ptCount val="10"/>
                <c:pt idx="0">
                  <c:v>Japón</c:v>
                </c:pt>
                <c:pt idx="1">
                  <c:v>Brasil</c:v>
                </c:pt>
                <c:pt idx="2">
                  <c:v>Honduras</c:v>
                </c:pt>
                <c:pt idx="3">
                  <c:v>Colombia</c:v>
                </c:pt>
                <c:pt idx="4">
                  <c:v>Panamá</c:v>
                </c:pt>
                <c:pt idx="5">
                  <c:v>Costa Rica</c:v>
                </c:pt>
                <c:pt idx="6">
                  <c:v>El Salvador</c:v>
                </c:pt>
                <c:pt idx="7">
                  <c:v>México</c:v>
                </c:pt>
                <c:pt idx="8">
                  <c:v>China</c:v>
                </c:pt>
                <c:pt idx="9">
                  <c:v>Estados Unidos </c:v>
                </c:pt>
              </c:strCache>
            </c:strRef>
          </c:cat>
          <c:val>
            <c:numRef>
              <c:f>'import por origen'!$D$11:$D$20</c:f>
              <c:numCache>
                <c:formatCode>_(* #,##0.00_);_(* \(#,##0.00\);_(* "-"??_);_(@_)</c:formatCode>
                <c:ptCount val="10"/>
                <c:pt idx="0">
                  <c:v>303.37151699999998</c:v>
                </c:pt>
                <c:pt idx="1">
                  <c:v>321.785527</c:v>
                </c:pt>
                <c:pt idx="2">
                  <c:v>479.279607</c:v>
                </c:pt>
                <c:pt idx="3">
                  <c:v>586.76759000000004</c:v>
                </c:pt>
                <c:pt idx="4">
                  <c:v>670.42322300000001</c:v>
                </c:pt>
                <c:pt idx="5">
                  <c:v>691.176019</c:v>
                </c:pt>
                <c:pt idx="6">
                  <c:v>1034.361144</c:v>
                </c:pt>
                <c:pt idx="7">
                  <c:v>2192.4829909999999</c:v>
                </c:pt>
                <c:pt idx="8">
                  <c:v>2228.8437560000002</c:v>
                </c:pt>
                <c:pt idx="9">
                  <c:v>7361.4367750000001</c:v>
                </c:pt>
              </c:numCache>
            </c:numRef>
          </c:val>
          <c:extLst xmlns:c16r2="http://schemas.microsoft.com/office/drawing/2015/06/chart">
            <c:ext xmlns:c16="http://schemas.microsoft.com/office/drawing/2014/chart" uri="{C3380CC4-5D6E-409C-BE32-E72D297353CC}">
              <c16:uniqueId val="{00000000-D87B-413D-BB17-E1127A35EC24}"/>
            </c:ext>
          </c:extLst>
        </c:ser>
        <c:dLbls>
          <c:showLegendKey val="0"/>
          <c:showVal val="0"/>
          <c:showCatName val="0"/>
          <c:showSerName val="0"/>
          <c:showPercent val="0"/>
          <c:showBubbleSize val="0"/>
        </c:dLbls>
        <c:gapWidth val="182"/>
        <c:axId val="148027264"/>
        <c:axId val="148028800"/>
      </c:barChart>
      <c:catAx>
        <c:axId val="14802726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ES"/>
          </a:p>
        </c:txPr>
        <c:crossAx val="148028800"/>
        <c:crosses val="autoZero"/>
        <c:auto val="1"/>
        <c:lblAlgn val="ctr"/>
        <c:lblOffset val="100"/>
        <c:noMultiLvlLbl val="0"/>
      </c:catAx>
      <c:valAx>
        <c:axId val="148028800"/>
        <c:scaling>
          <c:orientation val="minMax"/>
        </c:scaling>
        <c:delete val="0"/>
        <c:axPos val="b"/>
        <c:numFmt formatCode="_(* #,##0.00_);_(* \(#,##0.00\);_(* &quot;-&quot;??_);_(@_)"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ES"/>
          </a:p>
        </c:txPr>
        <c:crossAx val="148027264"/>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es-ES"/>
    </a:p>
  </c:txPr>
  <c:externalData r:id="rId2">
    <c:autoUpdate val="0"/>
  </c:externalData>
</c:chartSpace>
</file>

<file path=word/charts/chart31.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0930056144153284"/>
          <c:y val="4.0571686132557024E-2"/>
          <c:w val="0.83149298870584076"/>
          <c:h val="0.91885662773488597"/>
        </c:manualLayout>
      </c:layout>
      <c:lineChart>
        <c:grouping val="standard"/>
        <c:varyColors val="0"/>
        <c:ser>
          <c:idx val="0"/>
          <c:order val="0"/>
          <c:spPr>
            <a:ln w="28575" cap="rnd">
              <a:solidFill>
                <a:schemeClr val="accent1"/>
              </a:solidFill>
              <a:round/>
            </a:ln>
            <a:effectLst/>
          </c:spPr>
          <c:marker>
            <c:symbol val="circle"/>
            <c:size val="5"/>
            <c:spPr>
              <a:solidFill>
                <a:schemeClr val="accent1"/>
              </a:solidFill>
              <a:ln w="9525">
                <a:solidFill>
                  <a:schemeClr val="accent1"/>
                </a:solidFill>
              </a:ln>
              <a:effectLst/>
            </c:spPr>
          </c:marker>
          <c:dLbls>
            <c:dLbl>
              <c:idx val="39"/>
              <c:layout>
                <c:manualLayout>
                  <c:x val="-6.7973846880572841E-2"/>
                  <c:y val="3.3195015926637428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4C0E-42EA-A985-4D45A94A6C61}"/>
                </c:ext>
              </c:extLst>
            </c:dLbl>
            <c:dLbl>
              <c:idx val="40"/>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4C0E-42EA-A985-4D45A94A6C61}"/>
                </c:ext>
              </c:extLst>
            </c:dLbl>
            <c:dLbl>
              <c:idx val="41"/>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4C0E-42EA-A985-4D45A94A6C61}"/>
                </c:ext>
              </c:extLst>
            </c:dLbl>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ES"/>
              </a:p>
            </c:txPr>
            <c:showLegendKey val="0"/>
            <c:showVal val="0"/>
            <c:showCatName val="0"/>
            <c:showSerName val="0"/>
            <c:showPercent val="0"/>
            <c:showBubbleSize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remesas!$M$14:$M$55</c:f>
              <c:numCache>
                <c:formatCode>mmm\-yy</c:formatCode>
                <c:ptCount val="42"/>
                <c:pt idx="0">
                  <c:v>42736</c:v>
                </c:pt>
                <c:pt idx="1">
                  <c:v>42767</c:v>
                </c:pt>
                <c:pt idx="2">
                  <c:v>42795</c:v>
                </c:pt>
                <c:pt idx="3">
                  <c:v>42826</c:v>
                </c:pt>
                <c:pt idx="4">
                  <c:v>42856</c:v>
                </c:pt>
                <c:pt idx="5">
                  <c:v>42887</c:v>
                </c:pt>
                <c:pt idx="6">
                  <c:v>42917</c:v>
                </c:pt>
                <c:pt idx="7">
                  <c:v>42948</c:v>
                </c:pt>
                <c:pt idx="8">
                  <c:v>42979</c:v>
                </c:pt>
                <c:pt idx="9">
                  <c:v>43009</c:v>
                </c:pt>
                <c:pt idx="10">
                  <c:v>43040</c:v>
                </c:pt>
                <c:pt idx="11">
                  <c:v>43070</c:v>
                </c:pt>
                <c:pt idx="12">
                  <c:v>43101</c:v>
                </c:pt>
                <c:pt idx="13">
                  <c:v>43132</c:v>
                </c:pt>
                <c:pt idx="14">
                  <c:v>43160</c:v>
                </c:pt>
                <c:pt idx="15">
                  <c:v>43191</c:v>
                </c:pt>
                <c:pt idx="16">
                  <c:v>43221</c:v>
                </c:pt>
                <c:pt idx="17">
                  <c:v>43252</c:v>
                </c:pt>
                <c:pt idx="18">
                  <c:v>43282</c:v>
                </c:pt>
                <c:pt idx="19">
                  <c:v>43313</c:v>
                </c:pt>
                <c:pt idx="20">
                  <c:v>43344</c:v>
                </c:pt>
                <c:pt idx="21">
                  <c:v>43374</c:v>
                </c:pt>
                <c:pt idx="22">
                  <c:v>43405</c:v>
                </c:pt>
                <c:pt idx="23">
                  <c:v>43435</c:v>
                </c:pt>
                <c:pt idx="24">
                  <c:v>43466</c:v>
                </c:pt>
                <c:pt idx="25">
                  <c:v>43497</c:v>
                </c:pt>
                <c:pt idx="26">
                  <c:v>43525</c:v>
                </c:pt>
                <c:pt idx="27">
                  <c:v>43556</c:v>
                </c:pt>
                <c:pt idx="28">
                  <c:v>43586</c:v>
                </c:pt>
                <c:pt idx="29">
                  <c:v>43617</c:v>
                </c:pt>
                <c:pt idx="30">
                  <c:v>43647</c:v>
                </c:pt>
                <c:pt idx="31">
                  <c:v>43678</c:v>
                </c:pt>
                <c:pt idx="32">
                  <c:v>43709</c:v>
                </c:pt>
                <c:pt idx="33">
                  <c:v>43739</c:v>
                </c:pt>
                <c:pt idx="34">
                  <c:v>43770</c:v>
                </c:pt>
                <c:pt idx="35">
                  <c:v>43800</c:v>
                </c:pt>
                <c:pt idx="36">
                  <c:v>43831</c:v>
                </c:pt>
                <c:pt idx="37">
                  <c:v>43862</c:v>
                </c:pt>
                <c:pt idx="38">
                  <c:v>43891</c:v>
                </c:pt>
                <c:pt idx="39">
                  <c:v>43922</c:v>
                </c:pt>
                <c:pt idx="40">
                  <c:v>43952</c:v>
                </c:pt>
                <c:pt idx="41">
                  <c:v>43983</c:v>
                </c:pt>
              </c:numCache>
            </c:numRef>
          </c:cat>
          <c:val>
            <c:numRef>
              <c:f>remesas!$N$14:$N$55</c:f>
              <c:numCache>
                <c:formatCode>0.0%</c:formatCode>
                <c:ptCount val="42"/>
                <c:pt idx="0">
                  <c:v>0.21925552544249394</c:v>
                </c:pt>
                <c:pt idx="1">
                  <c:v>0.10010717910020084</c:v>
                </c:pt>
                <c:pt idx="2">
                  <c:v>0.18753486236838568</c:v>
                </c:pt>
                <c:pt idx="3">
                  <c:v>5.0170372541611608E-2</c:v>
                </c:pt>
                <c:pt idx="4">
                  <c:v>0.19530692767828062</c:v>
                </c:pt>
                <c:pt idx="5">
                  <c:v>0.17740487533144234</c:v>
                </c:pt>
                <c:pt idx="6">
                  <c:v>0.23886756196832581</c:v>
                </c:pt>
                <c:pt idx="7">
                  <c:v>0.14310814769549185</c:v>
                </c:pt>
                <c:pt idx="8">
                  <c:v>0.10741803216639711</c:v>
                </c:pt>
                <c:pt idx="9">
                  <c:v>0.20188883263106394</c:v>
                </c:pt>
                <c:pt idx="10">
                  <c:v>7.6556298318356308E-2</c:v>
                </c:pt>
                <c:pt idx="11">
                  <c:v>6.175171750377606E-2</c:v>
                </c:pt>
                <c:pt idx="12">
                  <c:v>7.9892742779903436E-2</c:v>
                </c:pt>
                <c:pt idx="13">
                  <c:v>2.6390552881854656E-2</c:v>
                </c:pt>
                <c:pt idx="14">
                  <c:v>1.982665983614873E-2</c:v>
                </c:pt>
                <c:pt idx="15">
                  <c:v>0.2032661687825803</c:v>
                </c:pt>
                <c:pt idx="16">
                  <c:v>8.1774527749172155E-2</c:v>
                </c:pt>
                <c:pt idx="17">
                  <c:v>0.10738272375321567</c:v>
                </c:pt>
                <c:pt idx="18">
                  <c:v>0.2321053919262257</c:v>
                </c:pt>
                <c:pt idx="19">
                  <c:v>0.21556475347026804</c:v>
                </c:pt>
                <c:pt idx="20">
                  <c:v>0.10853220958677712</c:v>
                </c:pt>
                <c:pt idx="21">
                  <c:v>0.18571112755793506</c:v>
                </c:pt>
                <c:pt idx="22">
                  <c:v>0.17140400967907987</c:v>
                </c:pt>
                <c:pt idx="23">
                  <c:v>0.17080361791185661</c:v>
                </c:pt>
                <c:pt idx="24">
                  <c:v>8.4298982416451285E-2</c:v>
                </c:pt>
                <c:pt idx="25">
                  <c:v>9.5852311059768658E-2</c:v>
                </c:pt>
                <c:pt idx="26">
                  <c:v>9.5732308033650959E-2</c:v>
                </c:pt>
                <c:pt idx="27">
                  <c:v>0.12365701864828682</c:v>
                </c:pt>
                <c:pt idx="28">
                  <c:v>0.20520729610660515</c:v>
                </c:pt>
                <c:pt idx="29">
                  <c:v>0.10056920266332492</c:v>
                </c:pt>
                <c:pt idx="30">
                  <c:v>0.15822124790278957</c:v>
                </c:pt>
                <c:pt idx="31">
                  <c:v>0.13963201771956779</c:v>
                </c:pt>
                <c:pt idx="32">
                  <c:v>0.19614397265323902</c:v>
                </c:pt>
                <c:pt idx="33">
                  <c:v>0.15799955855176262</c:v>
                </c:pt>
                <c:pt idx="34">
                  <c:v>8.3010414887626727E-2</c:v>
                </c:pt>
                <c:pt idx="35">
                  <c:v>0.1155722448367833</c:v>
                </c:pt>
                <c:pt idx="36">
                  <c:v>0.21296181644945245</c:v>
                </c:pt>
                <c:pt idx="37">
                  <c:v>0.17020417827963663</c:v>
                </c:pt>
                <c:pt idx="38">
                  <c:v>-9.6682805667790417E-2</c:v>
                </c:pt>
                <c:pt idx="39">
                  <c:v>-0.20156773893472268</c:v>
                </c:pt>
                <c:pt idx="40">
                  <c:v>-0.14131320552109627</c:v>
                </c:pt>
                <c:pt idx="41">
                  <c:v>9.2154191062443269E-2</c:v>
                </c:pt>
              </c:numCache>
            </c:numRef>
          </c:val>
          <c:smooth val="0"/>
          <c:extLst xmlns:c16r2="http://schemas.microsoft.com/office/drawing/2015/06/chart">
            <c:ext xmlns:c16="http://schemas.microsoft.com/office/drawing/2014/chart" uri="{C3380CC4-5D6E-409C-BE32-E72D297353CC}">
              <c16:uniqueId val="{00000003-4C0E-42EA-A985-4D45A94A6C61}"/>
            </c:ext>
          </c:extLst>
        </c:ser>
        <c:dLbls>
          <c:showLegendKey val="0"/>
          <c:showVal val="0"/>
          <c:showCatName val="0"/>
          <c:showSerName val="0"/>
          <c:showPercent val="0"/>
          <c:showBubbleSize val="0"/>
        </c:dLbls>
        <c:marker val="1"/>
        <c:smooth val="0"/>
        <c:axId val="148205568"/>
        <c:axId val="148207104"/>
      </c:lineChart>
      <c:dateAx>
        <c:axId val="148205568"/>
        <c:scaling>
          <c:orientation val="minMax"/>
        </c:scaling>
        <c:delete val="0"/>
        <c:axPos val="b"/>
        <c:numFmt formatCode="mmm\-yy" sourceLinked="1"/>
        <c:majorTickMark val="none"/>
        <c:minorTickMark val="none"/>
        <c:tickLblPos val="low"/>
        <c:spPr>
          <a:noFill/>
          <a:ln w="9525" cap="flat" cmpd="sng" algn="ctr">
            <a:solidFill>
              <a:schemeClr val="tx1">
                <a:lumMod val="15000"/>
                <a:lumOff val="85000"/>
              </a:schemeClr>
            </a:solidFill>
            <a:round/>
          </a:ln>
          <a:effectLst/>
        </c:spPr>
        <c:txPr>
          <a:bodyPr rot="-5400000" spcFirstLastPara="1" vertOverflow="ellipsis"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ES"/>
          </a:p>
        </c:txPr>
        <c:crossAx val="148207104"/>
        <c:crosses val="autoZero"/>
        <c:auto val="1"/>
        <c:lblOffset val="100"/>
        <c:baseTimeUnit val="months"/>
        <c:majorUnit val="2"/>
        <c:majorTimeUnit val="months"/>
        <c:minorUnit val="2"/>
        <c:minorTimeUnit val="months"/>
      </c:dateAx>
      <c:valAx>
        <c:axId val="148207104"/>
        <c:scaling>
          <c:orientation val="minMax"/>
        </c:scaling>
        <c:delete val="0"/>
        <c:axPos val="l"/>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ES"/>
          </a:p>
        </c:txPr>
        <c:crossAx val="148205568"/>
        <c:crosses val="autoZero"/>
        <c:crossBetween val="between"/>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latin typeface="Times New Roman" panose="02020603050405020304" pitchFamily="18" charset="0"/>
          <a:cs typeface="Times New Roman" panose="02020603050405020304" pitchFamily="18" charset="0"/>
        </a:defRPr>
      </a:pPr>
      <a:endParaRPr lang="es-ES"/>
    </a:p>
  </c:txPr>
  <c:externalData r:id="rId2">
    <c:autoUpdate val="0"/>
  </c:externalData>
</c:chartSpace>
</file>

<file path=word/charts/chart32.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3954874080173224"/>
          <c:y val="6.018510214696967E-2"/>
          <c:w val="0.7643109568398343"/>
          <c:h val="0.73577136191309422"/>
        </c:manualLayout>
      </c:layout>
      <c:lineChart>
        <c:grouping val="standard"/>
        <c:varyColors val="0"/>
        <c:ser>
          <c:idx val="0"/>
          <c:order val="0"/>
          <c:tx>
            <c:strRef>
              <c:f>'Turismo '!$P$8</c:f>
              <c:strCache>
                <c:ptCount val="1"/>
                <c:pt idx="0">
                  <c:v>2020/p</c:v>
                </c:pt>
              </c:strCache>
            </c:strRef>
          </c:tx>
          <c:spPr>
            <a:ln w="38100" cap="rnd">
              <a:solidFill>
                <a:srgbClr val="002060"/>
              </a:solidFill>
              <a:prstDash val="solid"/>
              <a:round/>
            </a:ln>
            <a:effectLst/>
          </c:spPr>
          <c:marker>
            <c:symbol val="none"/>
          </c:marker>
          <c:dPt>
            <c:idx val="7"/>
            <c:bubble3D val="0"/>
            <c:spPr>
              <a:ln w="38100" cap="rnd">
                <a:solidFill>
                  <a:srgbClr val="002060"/>
                </a:solidFill>
                <a:prstDash val="sysDot"/>
                <a:round/>
              </a:ln>
              <a:effectLst/>
            </c:spPr>
            <c:extLst xmlns:c16r2="http://schemas.microsoft.com/office/drawing/2015/06/chart">
              <c:ext xmlns:c16="http://schemas.microsoft.com/office/drawing/2014/chart" uri="{C3380CC4-5D6E-409C-BE32-E72D297353CC}">
                <c16:uniqueId val="{00000001-8AD3-45F1-A4A8-EE1FD48AFCDD}"/>
              </c:ext>
            </c:extLst>
          </c:dPt>
          <c:dLbls>
            <c:dLbl>
              <c:idx val="7"/>
              <c:layout>
                <c:manualLayout>
                  <c:x val="-3.3467926150869366E-3"/>
                  <c:y val="-7.4072247233332869E-3"/>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8AD3-45F1-A4A8-EE1FD48AFCDD}"/>
                </c:ext>
              </c:extLst>
            </c:dLbl>
            <c:spPr>
              <a:noFill/>
              <a:ln>
                <a:noFill/>
              </a:ln>
              <a:effectLst/>
            </c:spPr>
            <c:txPr>
              <a:bodyPr rot="0" spcFirstLastPara="1" vertOverflow="ellipsis" vert="horz" wrap="square" anchor="ctr" anchorCtr="1"/>
              <a:lstStyle/>
              <a:p>
                <a:pPr>
                  <a:defRPr sz="7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ES"/>
              </a:p>
            </c:txPr>
            <c:dLblPos val="t"/>
            <c:showLegendKey val="0"/>
            <c:showVal val="0"/>
            <c:showCatName val="0"/>
            <c:showSerName val="0"/>
            <c:showPercent val="0"/>
            <c:showBubbleSize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'Turismo '!$O$9:$O$16</c:f>
              <c:numCache>
                <c:formatCode>General</c:formatCode>
                <c:ptCount val="8"/>
                <c:pt idx="0">
                  <c:v>2013</c:v>
                </c:pt>
                <c:pt idx="1">
                  <c:v>2014</c:v>
                </c:pt>
                <c:pt idx="2">
                  <c:v>2015</c:v>
                </c:pt>
                <c:pt idx="3">
                  <c:v>2016</c:v>
                </c:pt>
                <c:pt idx="4">
                  <c:v>2017</c:v>
                </c:pt>
                <c:pt idx="5">
                  <c:v>2018</c:v>
                </c:pt>
                <c:pt idx="6">
                  <c:v>2019</c:v>
                </c:pt>
                <c:pt idx="7">
                  <c:v>2020</c:v>
                </c:pt>
              </c:numCache>
            </c:numRef>
          </c:cat>
          <c:val>
            <c:numRef>
              <c:f>'Turismo '!$P$9:$P$16</c:f>
              <c:numCache>
                <c:formatCode>_-* #,##0.0_-;\-* #,##0.0_-;_-* "-"??_-;_-@_-</c:formatCode>
                <c:ptCount val="8"/>
                <c:pt idx="0">
                  <c:v>1.5156540000000001</c:v>
                </c:pt>
                <c:pt idx="1">
                  <c:v>1.7398979999999999</c:v>
                </c:pt>
                <c:pt idx="2">
                  <c:v>1.8651390000000001</c:v>
                </c:pt>
                <c:pt idx="3">
                  <c:v>1.9169179999999999</c:v>
                </c:pt>
                <c:pt idx="4">
                  <c:v>2.11327</c:v>
                </c:pt>
                <c:pt idx="5">
                  <c:v>2.4059020000000002</c:v>
                </c:pt>
                <c:pt idx="6">
                  <c:v>2.559599</c:v>
                </c:pt>
                <c:pt idx="7">
                  <c:v>2.7666865478586646</c:v>
                </c:pt>
              </c:numCache>
            </c:numRef>
          </c:val>
          <c:smooth val="0"/>
          <c:extLst xmlns:c16r2="http://schemas.microsoft.com/office/drawing/2015/06/chart">
            <c:ext xmlns:c16="http://schemas.microsoft.com/office/drawing/2014/chart" uri="{C3380CC4-5D6E-409C-BE32-E72D297353CC}">
              <c16:uniqueId val="{00000002-8AD3-45F1-A4A8-EE1FD48AFCDD}"/>
            </c:ext>
          </c:extLst>
        </c:ser>
        <c:ser>
          <c:idx val="1"/>
          <c:order val="1"/>
          <c:tx>
            <c:strRef>
              <c:f>'Turismo '!$Q$8</c:f>
              <c:strCache>
                <c:ptCount val="1"/>
                <c:pt idx="0">
                  <c:v>2020/30%</c:v>
                </c:pt>
              </c:strCache>
            </c:strRef>
          </c:tx>
          <c:spPr>
            <a:ln w="38100" cap="rnd">
              <a:solidFill>
                <a:srgbClr val="00B050">
                  <a:alpha val="94000"/>
                </a:srgbClr>
              </a:solidFill>
              <a:prstDash val="sysDot"/>
              <a:round/>
            </a:ln>
            <a:effectLst/>
          </c:spPr>
          <c:marker>
            <c:symbol val="none"/>
          </c:marker>
          <c:dPt>
            <c:idx val="7"/>
            <c:bubble3D val="0"/>
            <c:extLst xmlns:c16r2="http://schemas.microsoft.com/office/drawing/2015/06/chart">
              <c:ext xmlns:c16="http://schemas.microsoft.com/office/drawing/2014/chart" uri="{C3380CC4-5D6E-409C-BE32-E72D297353CC}">
                <c16:uniqueId val="{00000004-8AD3-45F1-A4A8-EE1FD48AFCDD}"/>
              </c:ext>
            </c:extLst>
          </c:dPt>
          <c:dLbls>
            <c:dLbl>
              <c:idx val="7"/>
              <c:layout>
                <c:manualLayout>
                  <c:x val="-3.5459944640025801E-3"/>
                  <c:y val="-7.407224723333326E-3"/>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4-8AD3-45F1-A4A8-EE1FD48AFCDD}"/>
                </c:ext>
              </c:extLst>
            </c:dLbl>
            <c:spPr>
              <a:noFill/>
              <a:ln>
                <a:noFill/>
              </a:ln>
              <a:effectLst/>
            </c:spPr>
            <c:txPr>
              <a:bodyPr rot="0" spcFirstLastPara="1" vertOverflow="ellipsis" vert="horz" wrap="square" anchor="ctr" anchorCtr="1"/>
              <a:lstStyle/>
              <a:p>
                <a:pPr>
                  <a:defRPr sz="7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ES"/>
              </a:p>
            </c:txPr>
            <c:dLblPos val="t"/>
            <c:showLegendKey val="0"/>
            <c:showVal val="0"/>
            <c:showCatName val="0"/>
            <c:showSerName val="0"/>
            <c:showPercent val="0"/>
            <c:showBubbleSize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'Turismo '!$O$9:$O$16</c:f>
              <c:numCache>
                <c:formatCode>General</c:formatCode>
                <c:ptCount val="8"/>
                <c:pt idx="0">
                  <c:v>2013</c:v>
                </c:pt>
                <c:pt idx="1">
                  <c:v>2014</c:v>
                </c:pt>
                <c:pt idx="2">
                  <c:v>2015</c:v>
                </c:pt>
                <c:pt idx="3">
                  <c:v>2016</c:v>
                </c:pt>
                <c:pt idx="4">
                  <c:v>2017</c:v>
                </c:pt>
                <c:pt idx="5">
                  <c:v>2018</c:v>
                </c:pt>
                <c:pt idx="6">
                  <c:v>2019</c:v>
                </c:pt>
                <c:pt idx="7">
                  <c:v>2020</c:v>
                </c:pt>
              </c:numCache>
            </c:numRef>
          </c:cat>
          <c:val>
            <c:numRef>
              <c:f>'Turismo '!$Q$9:$Q$16</c:f>
              <c:numCache>
                <c:formatCode>_-* #,##0.0_-;\-* #,##0.0_-;_-* "-"??_-;_-@_-</c:formatCode>
                <c:ptCount val="8"/>
                <c:pt idx="0">
                  <c:v>1.5156540000000001</c:v>
                </c:pt>
                <c:pt idx="1">
                  <c:v>1.7398979999999999</c:v>
                </c:pt>
                <c:pt idx="2">
                  <c:v>1.8651390000000001</c:v>
                </c:pt>
                <c:pt idx="3">
                  <c:v>1.9169179999999999</c:v>
                </c:pt>
                <c:pt idx="4">
                  <c:v>2.11327</c:v>
                </c:pt>
                <c:pt idx="5">
                  <c:v>2.4059020000000002</c:v>
                </c:pt>
                <c:pt idx="6">
                  <c:v>2.559599</c:v>
                </c:pt>
                <c:pt idx="7">
                  <c:v>1.9366805835010654</c:v>
                </c:pt>
              </c:numCache>
            </c:numRef>
          </c:val>
          <c:smooth val="0"/>
          <c:extLst xmlns:c16r2="http://schemas.microsoft.com/office/drawing/2015/06/chart">
            <c:ext xmlns:c16="http://schemas.microsoft.com/office/drawing/2014/chart" uri="{C3380CC4-5D6E-409C-BE32-E72D297353CC}">
              <c16:uniqueId val="{00000005-8AD3-45F1-A4A8-EE1FD48AFCDD}"/>
            </c:ext>
          </c:extLst>
        </c:ser>
        <c:ser>
          <c:idx val="2"/>
          <c:order val="2"/>
          <c:tx>
            <c:strRef>
              <c:f>'Turismo '!$R$8</c:f>
              <c:strCache>
                <c:ptCount val="1"/>
                <c:pt idx="0">
                  <c:v>2020/40%</c:v>
                </c:pt>
              </c:strCache>
            </c:strRef>
          </c:tx>
          <c:spPr>
            <a:ln w="38100" cap="rnd">
              <a:solidFill>
                <a:srgbClr val="FF0000"/>
              </a:solidFill>
              <a:prstDash val="sysDot"/>
              <a:round/>
            </a:ln>
            <a:effectLst/>
          </c:spPr>
          <c:marker>
            <c:symbol val="none"/>
          </c:marker>
          <c:dPt>
            <c:idx val="0"/>
            <c:bubble3D val="0"/>
            <c:extLst xmlns:c16r2="http://schemas.microsoft.com/office/drawing/2015/06/chart">
              <c:ext xmlns:c16="http://schemas.microsoft.com/office/drawing/2014/chart" uri="{C3380CC4-5D6E-409C-BE32-E72D297353CC}">
                <c16:uniqueId val="{00000007-8AD3-45F1-A4A8-EE1FD48AFCDD}"/>
              </c:ext>
            </c:extLst>
          </c:dPt>
          <c:dPt>
            <c:idx val="1"/>
            <c:bubble3D val="0"/>
            <c:spPr>
              <a:ln w="38100" cap="rnd">
                <a:noFill/>
                <a:prstDash val="sysDot"/>
                <a:round/>
              </a:ln>
              <a:effectLst/>
            </c:spPr>
            <c:extLst xmlns:c16r2="http://schemas.microsoft.com/office/drawing/2015/06/chart">
              <c:ext xmlns:c16="http://schemas.microsoft.com/office/drawing/2014/chart" uri="{C3380CC4-5D6E-409C-BE32-E72D297353CC}">
                <c16:uniqueId val="{00000009-8AD3-45F1-A4A8-EE1FD48AFCDD}"/>
              </c:ext>
            </c:extLst>
          </c:dPt>
          <c:dPt>
            <c:idx val="2"/>
            <c:bubble3D val="0"/>
            <c:spPr>
              <a:ln w="38100" cap="rnd">
                <a:noFill/>
                <a:prstDash val="sysDot"/>
                <a:round/>
              </a:ln>
              <a:effectLst/>
            </c:spPr>
            <c:extLst xmlns:c16r2="http://schemas.microsoft.com/office/drawing/2015/06/chart">
              <c:ext xmlns:c16="http://schemas.microsoft.com/office/drawing/2014/chart" uri="{C3380CC4-5D6E-409C-BE32-E72D297353CC}">
                <c16:uniqueId val="{0000000B-8AD3-45F1-A4A8-EE1FD48AFCDD}"/>
              </c:ext>
            </c:extLst>
          </c:dPt>
          <c:dPt>
            <c:idx val="3"/>
            <c:bubble3D val="0"/>
            <c:spPr>
              <a:ln w="38100" cap="rnd">
                <a:noFill/>
                <a:prstDash val="sysDot"/>
                <a:round/>
              </a:ln>
              <a:effectLst/>
            </c:spPr>
            <c:extLst xmlns:c16r2="http://schemas.microsoft.com/office/drawing/2015/06/chart">
              <c:ext xmlns:c16="http://schemas.microsoft.com/office/drawing/2014/chart" uri="{C3380CC4-5D6E-409C-BE32-E72D297353CC}">
                <c16:uniqueId val="{0000000D-8AD3-45F1-A4A8-EE1FD48AFCDD}"/>
              </c:ext>
            </c:extLst>
          </c:dPt>
          <c:dPt>
            <c:idx val="4"/>
            <c:bubble3D val="0"/>
            <c:spPr>
              <a:ln w="38100" cap="rnd">
                <a:noFill/>
                <a:prstDash val="sysDot"/>
                <a:round/>
              </a:ln>
              <a:effectLst/>
            </c:spPr>
            <c:extLst xmlns:c16r2="http://schemas.microsoft.com/office/drawing/2015/06/chart">
              <c:ext xmlns:c16="http://schemas.microsoft.com/office/drawing/2014/chart" uri="{C3380CC4-5D6E-409C-BE32-E72D297353CC}">
                <c16:uniqueId val="{0000000F-8AD3-45F1-A4A8-EE1FD48AFCDD}"/>
              </c:ext>
            </c:extLst>
          </c:dPt>
          <c:dPt>
            <c:idx val="5"/>
            <c:bubble3D val="0"/>
            <c:spPr>
              <a:ln w="38100" cap="rnd">
                <a:noFill/>
                <a:prstDash val="sysDot"/>
                <a:round/>
              </a:ln>
              <a:effectLst/>
            </c:spPr>
            <c:extLst xmlns:c16r2="http://schemas.microsoft.com/office/drawing/2015/06/chart">
              <c:ext xmlns:c16="http://schemas.microsoft.com/office/drawing/2014/chart" uri="{C3380CC4-5D6E-409C-BE32-E72D297353CC}">
                <c16:uniqueId val="{00000011-8AD3-45F1-A4A8-EE1FD48AFCDD}"/>
              </c:ext>
            </c:extLst>
          </c:dPt>
          <c:dPt>
            <c:idx val="6"/>
            <c:bubble3D val="0"/>
            <c:spPr>
              <a:ln w="38100" cap="rnd">
                <a:noFill/>
                <a:prstDash val="sysDot"/>
                <a:round/>
              </a:ln>
              <a:effectLst/>
            </c:spPr>
            <c:extLst xmlns:c16r2="http://schemas.microsoft.com/office/drawing/2015/06/chart">
              <c:ext xmlns:c16="http://schemas.microsoft.com/office/drawing/2014/chart" uri="{C3380CC4-5D6E-409C-BE32-E72D297353CC}">
                <c16:uniqueId val="{00000013-8AD3-45F1-A4A8-EE1FD48AFCDD}"/>
              </c:ext>
            </c:extLst>
          </c:dPt>
          <c:dPt>
            <c:idx val="7"/>
            <c:bubble3D val="0"/>
            <c:extLst xmlns:c16r2="http://schemas.microsoft.com/office/drawing/2015/06/chart">
              <c:ext xmlns:c16="http://schemas.microsoft.com/office/drawing/2014/chart" uri="{C3380CC4-5D6E-409C-BE32-E72D297353CC}">
                <c16:uniqueId val="{00000015-8AD3-45F1-A4A8-EE1FD48AFCDD}"/>
              </c:ext>
            </c:extLst>
          </c:dPt>
          <c:dLbls>
            <c:dLbl>
              <c:idx val="7"/>
              <c:layout>
                <c:manualLayout>
                  <c:x val="-3.6985031307946575E-4"/>
                  <c:y val="2.9629795706060714E-2"/>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15-8AD3-45F1-A4A8-EE1FD48AFCDD}"/>
                </c:ext>
              </c:extLst>
            </c:dLbl>
            <c:spPr>
              <a:noFill/>
              <a:ln>
                <a:noFill/>
              </a:ln>
              <a:effectLst/>
            </c:spPr>
            <c:txPr>
              <a:bodyPr rot="0" spcFirstLastPara="1" vertOverflow="ellipsis" vert="horz" wrap="square" anchor="ctr" anchorCtr="1"/>
              <a:lstStyle/>
              <a:p>
                <a:pPr>
                  <a:defRPr sz="7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ES"/>
              </a:p>
            </c:txPr>
            <c:dLblPos val="t"/>
            <c:showLegendKey val="0"/>
            <c:showVal val="0"/>
            <c:showCatName val="0"/>
            <c:showSerName val="0"/>
            <c:showPercent val="0"/>
            <c:showBubbleSize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'Turismo '!$O$9:$O$16</c:f>
              <c:numCache>
                <c:formatCode>General</c:formatCode>
                <c:ptCount val="8"/>
                <c:pt idx="0">
                  <c:v>2013</c:v>
                </c:pt>
                <c:pt idx="1">
                  <c:v>2014</c:v>
                </c:pt>
                <c:pt idx="2">
                  <c:v>2015</c:v>
                </c:pt>
                <c:pt idx="3">
                  <c:v>2016</c:v>
                </c:pt>
                <c:pt idx="4">
                  <c:v>2017</c:v>
                </c:pt>
                <c:pt idx="5">
                  <c:v>2018</c:v>
                </c:pt>
                <c:pt idx="6">
                  <c:v>2019</c:v>
                </c:pt>
                <c:pt idx="7">
                  <c:v>2020</c:v>
                </c:pt>
              </c:numCache>
            </c:numRef>
          </c:cat>
          <c:val>
            <c:numRef>
              <c:f>'Turismo '!$R$9:$R$16</c:f>
              <c:numCache>
                <c:formatCode>_-* #,##0.0_-;\-* #,##0.0_-;_-* "-"??_-;_-@_-</c:formatCode>
                <c:ptCount val="8"/>
                <c:pt idx="0">
                  <c:v>1.5156540000000001</c:v>
                </c:pt>
                <c:pt idx="1">
                  <c:v>1.7398979999999999</c:v>
                </c:pt>
                <c:pt idx="2">
                  <c:v>1.8651390000000001</c:v>
                </c:pt>
                <c:pt idx="3">
                  <c:v>1.9169179999999999</c:v>
                </c:pt>
                <c:pt idx="4">
                  <c:v>2.11327</c:v>
                </c:pt>
                <c:pt idx="5">
                  <c:v>2.4059020000000002</c:v>
                </c:pt>
                <c:pt idx="6">
                  <c:v>2.559599</c:v>
                </c:pt>
                <c:pt idx="7">
                  <c:v>1.6600119287151989</c:v>
                </c:pt>
              </c:numCache>
            </c:numRef>
          </c:val>
          <c:smooth val="0"/>
          <c:extLst xmlns:c16r2="http://schemas.microsoft.com/office/drawing/2015/06/chart">
            <c:ext xmlns:c16="http://schemas.microsoft.com/office/drawing/2014/chart" uri="{C3380CC4-5D6E-409C-BE32-E72D297353CC}">
              <c16:uniqueId val="{00000016-8AD3-45F1-A4A8-EE1FD48AFCDD}"/>
            </c:ext>
          </c:extLst>
        </c:ser>
        <c:dLbls>
          <c:dLblPos val="t"/>
          <c:showLegendKey val="0"/>
          <c:showVal val="1"/>
          <c:showCatName val="0"/>
          <c:showSerName val="0"/>
          <c:showPercent val="0"/>
          <c:showBubbleSize val="0"/>
        </c:dLbls>
        <c:marker val="1"/>
        <c:smooth val="0"/>
        <c:axId val="213034496"/>
        <c:axId val="213036032"/>
      </c:lineChart>
      <c:catAx>
        <c:axId val="21303449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7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ES"/>
          </a:p>
        </c:txPr>
        <c:crossAx val="213036032"/>
        <c:crosses val="autoZero"/>
        <c:auto val="1"/>
        <c:lblAlgn val="ctr"/>
        <c:lblOffset val="100"/>
        <c:noMultiLvlLbl val="0"/>
      </c:catAx>
      <c:valAx>
        <c:axId val="213036032"/>
        <c:scaling>
          <c:orientation val="minMax"/>
        </c:scaling>
        <c:delete val="0"/>
        <c:axPos val="l"/>
        <c:title>
          <c:tx>
            <c:rich>
              <a:bodyPr rot="-5400000" spcFirstLastPara="1" vertOverflow="ellipsis" vert="horz" wrap="square" anchor="ctr" anchorCtr="1"/>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a:solidFill>
                      <a:sysClr val="windowText" lastClr="000000"/>
                    </a:solidFill>
                  </a:rPr>
                  <a:t>Millones de visitantes no residentes</a:t>
                </a:r>
              </a:p>
            </c:rich>
          </c:tx>
          <c:layout>
            <c:manualLayout>
              <c:xMode val="edge"/>
              <c:yMode val="edge"/>
              <c:x val="4.5867659858713026E-3"/>
              <c:y val="0.10016174405509494"/>
            </c:manualLayout>
          </c:layout>
          <c:overlay val="0"/>
          <c:spPr>
            <a:noFill/>
            <a:ln>
              <a:noFill/>
            </a:ln>
            <a:effectLst/>
          </c:spPr>
        </c:title>
        <c:numFmt formatCode="_-* #,##0.0_-;\-* #,##0.0_-;_-* &quot;-&quot;??_-;_-@_-" sourceLinked="1"/>
        <c:majorTickMark val="none"/>
        <c:minorTickMark val="none"/>
        <c:tickLblPos val="nextTo"/>
        <c:spPr>
          <a:noFill/>
          <a:ln>
            <a:noFill/>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ES"/>
          </a:p>
        </c:txPr>
        <c:crossAx val="21303449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7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ES"/>
        </a:p>
      </c:txPr>
    </c:legend>
    <c:plotVisOnly val="1"/>
    <c:dispBlanksAs val="gap"/>
    <c:showDLblsOverMax val="0"/>
  </c:chart>
  <c:spPr>
    <a:solidFill>
      <a:schemeClr val="bg1"/>
    </a:solidFill>
    <a:ln w="9525" cap="flat" cmpd="sng" algn="ctr">
      <a:noFill/>
      <a:round/>
    </a:ln>
    <a:effectLst/>
  </c:spPr>
  <c:txPr>
    <a:bodyPr/>
    <a:lstStyle/>
    <a:p>
      <a:pPr>
        <a:defRPr sz="800">
          <a:latin typeface="Times New Roman" panose="02020603050405020304" pitchFamily="18" charset="0"/>
          <a:cs typeface="Times New Roman" panose="02020603050405020304" pitchFamily="18" charset="0"/>
        </a:defRPr>
      </a:pPr>
      <a:endParaRPr lang="es-ES"/>
    </a:p>
  </c:txPr>
  <c:externalData r:id="rId2">
    <c:autoUpdate val="0"/>
  </c:externalData>
</c:chartSpace>
</file>

<file path=word/charts/chart33.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23038116504093706"/>
          <c:y val="4.6296296296296294E-2"/>
          <c:w val="0.70448957038264959"/>
          <c:h val="0.73577136191309422"/>
        </c:manualLayout>
      </c:layout>
      <c:lineChart>
        <c:grouping val="standard"/>
        <c:varyColors val="0"/>
        <c:ser>
          <c:idx val="0"/>
          <c:order val="0"/>
          <c:tx>
            <c:strRef>
              <c:f>'Turismo '!$S$8</c:f>
              <c:strCache>
                <c:ptCount val="1"/>
                <c:pt idx="0">
                  <c:v>2020/p</c:v>
                </c:pt>
              </c:strCache>
            </c:strRef>
          </c:tx>
          <c:spPr>
            <a:ln w="28575" cap="rnd">
              <a:solidFill>
                <a:srgbClr val="002060"/>
              </a:solidFill>
              <a:round/>
            </a:ln>
            <a:effectLst/>
          </c:spPr>
          <c:marker>
            <c:symbol val="none"/>
          </c:marker>
          <c:dPt>
            <c:idx val="7"/>
            <c:bubble3D val="0"/>
            <c:spPr>
              <a:ln w="38100" cap="rnd">
                <a:solidFill>
                  <a:srgbClr val="002060"/>
                </a:solidFill>
                <a:prstDash val="sysDot"/>
                <a:round/>
              </a:ln>
              <a:effectLst/>
            </c:spPr>
            <c:extLst xmlns:c16r2="http://schemas.microsoft.com/office/drawing/2015/06/chart">
              <c:ext xmlns:c16="http://schemas.microsoft.com/office/drawing/2014/chart" uri="{C3380CC4-5D6E-409C-BE32-E72D297353CC}">
                <c16:uniqueId val="{00000001-9746-4FA3-8E5E-3651DA7C7010}"/>
              </c:ext>
            </c:extLst>
          </c:dPt>
          <c:dLbls>
            <c:dLbl>
              <c:idx val="7"/>
              <c:layout>
                <c:manualLayout>
                  <c:x val="-1.4396406190852938E-2"/>
                  <c:y val="-2.8563267637817767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9746-4FA3-8E5E-3651DA7C7010}"/>
                </c:ext>
              </c:extLst>
            </c:dLbl>
            <c:spPr>
              <a:noFill/>
              <a:ln>
                <a:noFill/>
              </a:ln>
              <a:effectLst/>
            </c:spPr>
            <c:txPr>
              <a:bodyPr rot="0" spcFirstLastPara="1" vertOverflow="ellipsis" vert="horz" wrap="square" anchor="ctr" anchorCtr="1"/>
              <a:lstStyle/>
              <a:p>
                <a:pPr>
                  <a:defRPr sz="7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ES"/>
              </a:p>
            </c:txPr>
            <c:showLegendKey val="0"/>
            <c:showVal val="0"/>
            <c:showCatName val="0"/>
            <c:showSerName val="0"/>
            <c:showPercent val="0"/>
            <c:showBubbleSize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'Turismo '!$O$9:$O$16</c:f>
              <c:numCache>
                <c:formatCode>General</c:formatCode>
                <c:ptCount val="8"/>
                <c:pt idx="0">
                  <c:v>2013</c:v>
                </c:pt>
                <c:pt idx="1">
                  <c:v>2014</c:v>
                </c:pt>
                <c:pt idx="2">
                  <c:v>2015</c:v>
                </c:pt>
                <c:pt idx="3">
                  <c:v>2016</c:v>
                </c:pt>
                <c:pt idx="4">
                  <c:v>2017</c:v>
                </c:pt>
                <c:pt idx="5">
                  <c:v>2018</c:v>
                </c:pt>
                <c:pt idx="6">
                  <c:v>2019</c:v>
                </c:pt>
                <c:pt idx="7">
                  <c:v>2020</c:v>
                </c:pt>
              </c:numCache>
            </c:numRef>
          </c:cat>
          <c:val>
            <c:numRef>
              <c:f>'Turismo '!$S$9:$S$16</c:f>
              <c:numCache>
                <c:formatCode>_-* #,##0.0_-;\-* #,##0.0_-;_-* "-"??_-;_-@_-</c:formatCode>
                <c:ptCount val="8"/>
                <c:pt idx="0">
                  <c:v>1020.0952</c:v>
                </c:pt>
                <c:pt idx="1">
                  <c:v>1039.6400000000001</c:v>
                </c:pt>
                <c:pt idx="2">
                  <c:v>991.42100000000005</c:v>
                </c:pt>
                <c:pt idx="3">
                  <c:v>958.44839999999999</c:v>
                </c:pt>
                <c:pt idx="4">
                  <c:v>969.21269999999993</c:v>
                </c:pt>
                <c:pt idx="5">
                  <c:v>985.59349999999995</c:v>
                </c:pt>
                <c:pt idx="6">
                  <c:v>958.91769999999997</c:v>
                </c:pt>
                <c:pt idx="7">
                  <c:v>943.84888084700503</c:v>
                </c:pt>
              </c:numCache>
            </c:numRef>
          </c:val>
          <c:smooth val="0"/>
          <c:extLst xmlns:c16r2="http://schemas.microsoft.com/office/drawing/2015/06/chart">
            <c:ext xmlns:c16="http://schemas.microsoft.com/office/drawing/2014/chart" uri="{C3380CC4-5D6E-409C-BE32-E72D297353CC}">
              <c16:uniqueId val="{00000002-9746-4FA3-8E5E-3651DA7C7010}"/>
            </c:ext>
          </c:extLst>
        </c:ser>
        <c:ser>
          <c:idx val="1"/>
          <c:order val="1"/>
          <c:tx>
            <c:strRef>
              <c:f>'Turismo '!$T$8</c:f>
              <c:strCache>
                <c:ptCount val="1"/>
                <c:pt idx="0">
                  <c:v>2020/30%</c:v>
                </c:pt>
              </c:strCache>
            </c:strRef>
          </c:tx>
          <c:spPr>
            <a:ln w="38100" cap="rnd">
              <a:solidFill>
                <a:srgbClr val="00B050"/>
              </a:solidFill>
              <a:prstDash val="sysDot"/>
              <a:round/>
            </a:ln>
            <a:effectLst/>
          </c:spPr>
          <c:marker>
            <c:symbol val="none"/>
          </c:marker>
          <c:dPt>
            <c:idx val="7"/>
            <c:bubble3D val="0"/>
            <c:extLst xmlns:c16r2="http://schemas.microsoft.com/office/drawing/2015/06/chart">
              <c:ext xmlns:c16="http://schemas.microsoft.com/office/drawing/2014/chart" uri="{C3380CC4-5D6E-409C-BE32-E72D297353CC}">
                <c16:uniqueId val="{00000004-9746-4FA3-8E5E-3651DA7C7010}"/>
              </c:ext>
            </c:extLst>
          </c:dPt>
          <c:dLbls>
            <c:dLbl>
              <c:idx val="7"/>
              <c:layout>
                <c:manualLayout>
                  <c:x val="-5.758583406619242E-3"/>
                  <c:y val="-1.3888888888888888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4-9746-4FA3-8E5E-3651DA7C7010}"/>
                </c:ext>
              </c:extLst>
            </c:dLbl>
            <c:spPr>
              <a:noFill/>
              <a:ln>
                <a:noFill/>
              </a:ln>
              <a:effectLst/>
            </c:spPr>
            <c:txPr>
              <a:bodyPr rot="0" spcFirstLastPara="1" vertOverflow="ellipsis" vert="horz" wrap="square" anchor="ctr" anchorCtr="1"/>
              <a:lstStyle/>
              <a:p>
                <a:pPr>
                  <a:defRPr sz="7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ES"/>
              </a:p>
            </c:txPr>
            <c:showLegendKey val="0"/>
            <c:showVal val="0"/>
            <c:showCatName val="0"/>
            <c:showSerName val="0"/>
            <c:showPercent val="0"/>
            <c:showBubbleSize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'Turismo '!$O$9:$O$16</c:f>
              <c:numCache>
                <c:formatCode>General</c:formatCode>
                <c:ptCount val="8"/>
                <c:pt idx="0">
                  <c:v>2013</c:v>
                </c:pt>
                <c:pt idx="1">
                  <c:v>2014</c:v>
                </c:pt>
                <c:pt idx="2">
                  <c:v>2015</c:v>
                </c:pt>
                <c:pt idx="3">
                  <c:v>2016</c:v>
                </c:pt>
                <c:pt idx="4">
                  <c:v>2017</c:v>
                </c:pt>
                <c:pt idx="5">
                  <c:v>2018</c:v>
                </c:pt>
                <c:pt idx="6">
                  <c:v>2019</c:v>
                </c:pt>
                <c:pt idx="7">
                  <c:v>2020</c:v>
                </c:pt>
              </c:numCache>
            </c:numRef>
          </c:cat>
          <c:val>
            <c:numRef>
              <c:f>'Turismo '!$T$9:$T$16</c:f>
              <c:numCache>
                <c:formatCode>_-* #,##0.0_-;\-* #,##0.0_-;_-* "-"??_-;_-@_-</c:formatCode>
                <c:ptCount val="8"/>
                <c:pt idx="0">
                  <c:v>1020.0952</c:v>
                </c:pt>
                <c:pt idx="1">
                  <c:v>1039.6400000000001</c:v>
                </c:pt>
                <c:pt idx="2">
                  <c:v>991.42100000000005</c:v>
                </c:pt>
                <c:pt idx="3">
                  <c:v>958.44839999999999</c:v>
                </c:pt>
                <c:pt idx="4">
                  <c:v>969.21269999999993</c:v>
                </c:pt>
                <c:pt idx="5">
                  <c:v>985.59349999999995</c:v>
                </c:pt>
                <c:pt idx="6">
                  <c:v>958.91769999999997</c:v>
                </c:pt>
                <c:pt idx="7">
                  <c:v>660.69421659290344</c:v>
                </c:pt>
              </c:numCache>
            </c:numRef>
          </c:val>
          <c:smooth val="0"/>
          <c:extLst xmlns:c16r2="http://schemas.microsoft.com/office/drawing/2015/06/chart">
            <c:ext xmlns:c16="http://schemas.microsoft.com/office/drawing/2014/chart" uri="{C3380CC4-5D6E-409C-BE32-E72D297353CC}">
              <c16:uniqueId val="{00000005-9746-4FA3-8E5E-3651DA7C7010}"/>
            </c:ext>
          </c:extLst>
        </c:ser>
        <c:ser>
          <c:idx val="2"/>
          <c:order val="2"/>
          <c:tx>
            <c:strRef>
              <c:f>'Turismo '!$U$8</c:f>
              <c:strCache>
                <c:ptCount val="1"/>
                <c:pt idx="0">
                  <c:v>2020/40%</c:v>
                </c:pt>
              </c:strCache>
            </c:strRef>
          </c:tx>
          <c:spPr>
            <a:ln w="38100" cap="rnd">
              <a:solidFill>
                <a:srgbClr val="FF0000"/>
              </a:solidFill>
              <a:prstDash val="sysDot"/>
              <a:round/>
            </a:ln>
            <a:effectLst/>
          </c:spPr>
          <c:marker>
            <c:symbol val="none"/>
          </c:marker>
          <c:dPt>
            <c:idx val="1"/>
            <c:bubble3D val="0"/>
            <c:spPr>
              <a:ln w="38100" cap="rnd">
                <a:noFill/>
                <a:prstDash val="sysDot"/>
                <a:round/>
              </a:ln>
              <a:effectLst/>
            </c:spPr>
            <c:extLst xmlns:c16r2="http://schemas.microsoft.com/office/drawing/2015/06/chart">
              <c:ext xmlns:c16="http://schemas.microsoft.com/office/drawing/2014/chart" uri="{C3380CC4-5D6E-409C-BE32-E72D297353CC}">
                <c16:uniqueId val="{00000007-9746-4FA3-8E5E-3651DA7C7010}"/>
              </c:ext>
            </c:extLst>
          </c:dPt>
          <c:dPt>
            <c:idx val="2"/>
            <c:bubble3D val="0"/>
            <c:spPr>
              <a:ln w="38100" cap="rnd">
                <a:noFill/>
                <a:prstDash val="sysDot"/>
                <a:round/>
              </a:ln>
              <a:effectLst/>
            </c:spPr>
            <c:extLst xmlns:c16r2="http://schemas.microsoft.com/office/drawing/2015/06/chart">
              <c:ext xmlns:c16="http://schemas.microsoft.com/office/drawing/2014/chart" uri="{C3380CC4-5D6E-409C-BE32-E72D297353CC}">
                <c16:uniqueId val="{00000009-9746-4FA3-8E5E-3651DA7C7010}"/>
              </c:ext>
            </c:extLst>
          </c:dPt>
          <c:dPt>
            <c:idx val="3"/>
            <c:bubble3D val="0"/>
            <c:spPr>
              <a:ln w="38100" cap="rnd">
                <a:noFill/>
                <a:prstDash val="sysDot"/>
                <a:round/>
              </a:ln>
              <a:effectLst/>
            </c:spPr>
            <c:extLst xmlns:c16r2="http://schemas.microsoft.com/office/drawing/2015/06/chart">
              <c:ext xmlns:c16="http://schemas.microsoft.com/office/drawing/2014/chart" uri="{C3380CC4-5D6E-409C-BE32-E72D297353CC}">
                <c16:uniqueId val="{0000000B-9746-4FA3-8E5E-3651DA7C7010}"/>
              </c:ext>
            </c:extLst>
          </c:dPt>
          <c:dPt>
            <c:idx val="4"/>
            <c:bubble3D val="0"/>
            <c:spPr>
              <a:ln w="38100" cap="rnd">
                <a:noFill/>
                <a:prstDash val="sysDot"/>
                <a:round/>
              </a:ln>
              <a:effectLst/>
            </c:spPr>
            <c:extLst xmlns:c16r2="http://schemas.microsoft.com/office/drawing/2015/06/chart">
              <c:ext xmlns:c16="http://schemas.microsoft.com/office/drawing/2014/chart" uri="{C3380CC4-5D6E-409C-BE32-E72D297353CC}">
                <c16:uniqueId val="{0000000D-9746-4FA3-8E5E-3651DA7C7010}"/>
              </c:ext>
            </c:extLst>
          </c:dPt>
          <c:dPt>
            <c:idx val="5"/>
            <c:bubble3D val="0"/>
            <c:spPr>
              <a:ln w="38100" cap="rnd">
                <a:noFill/>
                <a:prstDash val="sysDot"/>
                <a:round/>
              </a:ln>
              <a:effectLst/>
            </c:spPr>
            <c:extLst xmlns:c16r2="http://schemas.microsoft.com/office/drawing/2015/06/chart">
              <c:ext xmlns:c16="http://schemas.microsoft.com/office/drawing/2014/chart" uri="{C3380CC4-5D6E-409C-BE32-E72D297353CC}">
                <c16:uniqueId val="{0000000F-9746-4FA3-8E5E-3651DA7C7010}"/>
              </c:ext>
            </c:extLst>
          </c:dPt>
          <c:dPt>
            <c:idx val="6"/>
            <c:bubble3D val="0"/>
            <c:spPr>
              <a:ln w="38100" cap="rnd">
                <a:noFill/>
                <a:prstDash val="sysDot"/>
                <a:round/>
              </a:ln>
              <a:effectLst/>
            </c:spPr>
            <c:extLst xmlns:c16r2="http://schemas.microsoft.com/office/drawing/2015/06/chart">
              <c:ext xmlns:c16="http://schemas.microsoft.com/office/drawing/2014/chart" uri="{C3380CC4-5D6E-409C-BE32-E72D297353CC}">
                <c16:uniqueId val="{00000011-9746-4FA3-8E5E-3651DA7C7010}"/>
              </c:ext>
            </c:extLst>
          </c:dPt>
          <c:dPt>
            <c:idx val="7"/>
            <c:bubble3D val="0"/>
            <c:extLst xmlns:c16r2="http://schemas.microsoft.com/office/drawing/2015/06/chart">
              <c:ext xmlns:c16="http://schemas.microsoft.com/office/drawing/2014/chart" uri="{C3380CC4-5D6E-409C-BE32-E72D297353CC}">
                <c16:uniqueId val="{00000013-9746-4FA3-8E5E-3651DA7C7010}"/>
              </c:ext>
            </c:extLst>
          </c:dPt>
          <c:dLbls>
            <c:dLbl>
              <c:idx val="7"/>
              <c:layout>
                <c:manualLayout>
                  <c:x val="-5.758583406619242E-3"/>
                  <c:y val="2.3148148148148064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13-9746-4FA3-8E5E-3651DA7C7010}"/>
                </c:ext>
              </c:extLst>
            </c:dLbl>
            <c:spPr>
              <a:noFill/>
              <a:ln>
                <a:noFill/>
              </a:ln>
              <a:effectLst/>
            </c:spPr>
            <c:txPr>
              <a:bodyPr rot="0" spcFirstLastPara="1" vertOverflow="ellipsis" vert="horz" wrap="square" anchor="ctr" anchorCtr="1"/>
              <a:lstStyle/>
              <a:p>
                <a:pPr>
                  <a:defRPr sz="7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ES"/>
              </a:p>
            </c:txPr>
            <c:showLegendKey val="0"/>
            <c:showVal val="0"/>
            <c:showCatName val="0"/>
            <c:showSerName val="0"/>
            <c:showPercent val="0"/>
            <c:showBubbleSize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'Turismo '!$O$9:$O$16</c:f>
              <c:numCache>
                <c:formatCode>General</c:formatCode>
                <c:ptCount val="8"/>
                <c:pt idx="0">
                  <c:v>2013</c:v>
                </c:pt>
                <c:pt idx="1">
                  <c:v>2014</c:v>
                </c:pt>
                <c:pt idx="2">
                  <c:v>2015</c:v>
                </c:pt>
                <c:pt idx="3">
                  <c:v>2016</c:v>
                </c:pt>
                <c:pt idx="4">
                  <c:v>2017</c:v>
                </c:pt>
                <c:pt idx="5">
                  <c:v>2018</c:v>
                </c:pt>
                <c:pt idx="6">
                  <c:v>2019</c:v>
                </c:pt>
                <c:pt idx="7">
                  <c:v>2020</c:v>
                </c:pt>
              </c:numCache>
            </c:numRef>
          </c:cat>
          <c:val>
            <c:numRef>
              <c:f>'Turismo '!$U$9:$U$16</c:f>
              <c:numCache>
                <c:formatCode>_-* #,##0.0_-;\-* #,##0.0_-;_-* "-"??_-;_-@_-</c:formatCode>
                <c:ptCount val="8"/>
                <c:pt idx="0">
                  <c:v>1020.0952</c:v>
                </c:pt>
                <c:pt idx="1">
                  <c:v>1039.6400000000001</c:v>
                </c:pt>
                <c:pt idx="2">
                  <c:v>991.42100000000005</c:v>
                </c:pt>
                <c:pt idx="3">
                  <c:v>958.44839999999999</c:v>
                </c:pt>
                <c:pt idx="4">
                  <c:v>969.21269999999993</c:v>
                </c:pt>
                <c:pt idx="5">
                  <c:v>985.59349999999995</c:v>
                </c:pt>
                <c:pt idx="6">
                  <c:v>958.91769999999997</c:v>
                </c:pt>
                <c:pt idx="7">
                  <c:v>566.30932850820307</c:v>
                </c:pt>
              </c:numCache>
            </c:numRef>
          </c:val>
          <c:smooth val="0"/>
          <c:extLst xmlns:c16r2="http://schemas.microsoft.com/office/drawing/2015/06/chart">
            <c:ext xmlns:c16="http://schemas.microsoft.com/office/drawing/2014/chart" uri="{C3380CC4-5D6E-409C-BE32-E72D297353CC}">
              <c16:uniqueId val="{00000014-9746-4FA3-8E5E-3651DA7C7010}"/>
            </c:ext>
          </c:extLst>
        </c:ser>
        <c:dLbls>
          <c:showLegendKey val="0"/>
          <c:showVal val="0"/>
          <c:showCatName val="0"/>
          <c:showSerName val="0"/>
          <c:showPercent val="0"/>
          <c:showBubbleSize val="0"/>
        </c:dLbls>
        <c:marker val="1"/>
        <c:smooth val="0"/>
        <c:axId val="215814144"/>
        <c:axId val="215815680"/>
      </c:lineChart>
      <c:catAx>
        <c:axId val="21581414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7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ES"/>
          </a:p>
        </c:txPr>
        <c:crossAx val="215815680"/>
        <c:crosses val="autoZero"/>
        <c:auto val="1"/>
        <c:lblAlgn val="ctr"/>
        <c:lblOffset val="100"/>
        <c:noMultiLvlLbl val="0"/>
      </c:catAx>
      <c:valAx>
        <c:axId val="215815680"/>
        <c:scaling>
          <c:orientation val="minMax"/>
        </c:scaling>
        <c:delete val="0"/>
        <c:axPos val="l"/>
        <c:title>
          <c:tx>
            <c:rich>
              <a:bodyPr rot="-5400000" spcFirstLastPara="1" vertOverflow="ellipsis" vert="horz" wrap="square" anchor="ctr" anchorCtr="1"/>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a:t>Millones de U.S.Dólares</a:t>
                </a:r>
              </a:p>
            </c:rich>
          </c:tx>
          <c:layout>
            <c:manualLayout>
              <c:xMode val="edge"/>
              <c:yMode val="edge"/>
              <c:x val="8.554079993732127E-3"/>
              <c:y val="0.16004156292802732"/>
            </c:manualLayout>
          </c:layout>
          <c:overlay val="0"/>
          <c:spPr>
            <a:noFill/>
            <a:ln>
              <a:noFill/>
            </a:ln>
            <a:effectLst/>
          </c:spPr>
        </c:title>
        <c:numFmt formatCode="_-* #,##0.0_-;\-* #,##0.0_-;_-* &quot;-&quot;??_-;_-@_-" sourceLinked="1"/>
        <c:majorTickMark val="none"/>
        <c:minorTickMark val="none"/>
        <c:tickLblPos val="nextTo"/>
        <c:spPr>
          <a:noFill/>
          <a:ln>
            <a:noFill/>
          </a:ln>
          <a:effectLst/>
        </c:spPr>
        <c:txPr>
          <a:bodyPr rot="-60000000" spcFirstLastPara="1" vertOverflow="ellipsis" vert="horz" wrap="square" anchor="ctr" anchorCtr="1"/>
          <a:lstStyle/>
          <a:p>
            <a:pPr>
              <a:defRPr sz="7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ES"/>
          </a:p>
        </c:txPr>
        <c:crossAx val="21581414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7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ES"/>
        </a:p>
      </c:txPr>
    </c:legend>
    <c:plotVisOnly val="1"/>
    <c:dispBlanksAs val="gap"/>
    <c:showDLblsOverMax val="0"/>
  </c:chart>
  <c:spPr>
    <a:solidFill>
      <a:schemeClr val="bg1"/>
    </a:solidFill>
    <a:ln w="9525" cap="flat" cmpd="sng" algn="ctr">
      <a:noFill/>
      <a:round/>
    </a:ln>
    <a:effectLst/>
  </c:spPr>
  <c:txPr>
    <a:bodyPr/>
    <a:lstStyle/>
    <a:p>
      <a:pPr>
        <a:defRPr sz="800">
          <a:solidFill>
            <a:sysClr val="windowText" lastClr="000000"/>
          </a:solidFill>
          <a:latin typeface="Times New Roman" panose="02020603050405020304" pitchFamily="18" charset="0"/>
          <a:cs typeface="Times New Roman" panose="02020603050405020304" pitchFamily="18" charset="0"/>
        </a:defRPr>
      </a:pPr>
      <a:endParaRPr lang="es-ES"/>
    </a:p>
  </c:txPr>
  <c:externalData r:id="rId2">
    <c:autoUpdate val="0"/>
  </c:externalData>
</c:chartSpace>
</file>

<file path=word/charts/chart34.xml><?xml version="1.0" encoding="utf-8"?>
<c:chartSpace xmlns:c="http://schemas.openxmlformats.org/drawingml/2006/chart" xmlns:a="http://schemas.openxmlformats.org/drawingml/2006/main" xmlns:r="http://schemas.openxmlformats.org/officeDocument/2006/relationships">
  <c:date1904 val="0"/>
  <c:lang val="es-ES"/>
  <c:roundedCorners val="1"/>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202711618010035"/>
          <c:y val="0.13170784070172212"/>
          <c:w val="0.76231573377120632"/>
          <c:h val="0.66902164648395956"/>
        </c:manualLayout>
      </c:layout>
      <c:lineChart>
        <c:grouping val="standard"/>
        <c:varyColors val="0"/>
        <c:ser>
          <c:idx val="3"/>
          <c:order val="0"/>
          <c:tx>
            <c:strRef>
              <c:f>'PIB Nacional'!$C$6</c:f>
              <c:strCache>
                <c:ptCount val="1"/>
                <c:pt idx="0">
                  <c:v>Proyectado Enero 2020</c:v>
                </c:pt>
              </c:strCache>
            </c:strRef>
          </c:tx>
          <c:spPr>
            <a:ln w="38100" cmpd="sng">
              <a:solidFill>
                <a:srgbClr val="002060"/>
              </a:solidFill>
            </a:ln>
          </c:spPr>
          <c:marker>
            <c:symbol val="none"/>
          </c:marker>
          <c:dPt>
            <c:idx val="8"/>
            <c:bubble3D val="0"/>
            <c:spPr>
              <a:ln w="38100" cmpd="sng">
                <a:solidFill>
                  <a:srgbClr val="002060"/>
                </a:solidFill>
                <a:prstDash val="solid"/>
              </a:ln>
            </c:spPr>
            <c:extLst xmlns:c16r2="http://schemas.microsoft.com/office/drawing/2015/06/chart">
              <c:ext xmlns:c16="http://schemas.microsoft.com/office/drawing/2014/chart" uri="{C3380CC4-5D6E-409C-BE32-E72D297353CC}">
                <c16:uniqueId val="{00000001-C079-4258-BB4A-F7E7D7DFB326}"/>
              </c:ext>
            </c:extLst>
          </c:dPt>
          <c:dLbls>
            <c:dLbl>
              <c:idx val="0"/>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C079-4258-BB4A-F7E7D7DFB326}"/>
                </c:ext>
              </c:extLst>
            </c:dLbl>
            <c:dLbl>
              <c:idx val="1"/>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C079-4258-BB4A-F7E7D7DFB326}"/>
                </c:ext>
              </c:extLst>
            </c:dLbl>
            <c:dLbl>
              <c:idx val="2"/>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4-C079-4258-BB4A-F7E7D7DFB326}"/>
                </c:ext>
              </c:extLst>
            </c:dLbl>
            <c:dLbl>
              <c:idx val="3"/>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5-C079-4258-BB4A-F7E7D7DFB326}"/>
                </c:ext>
              </c:extLst>
            </c:dLbl>
            <c:dLbl>
              <c:idx val="4"/>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6-C079-4258-BB4A-F7E7D7DFB326}"/>
                </c:ext>
              </c:extLst>
            </c:dLbl>
            <c:dLbl>
              <c:idx val="5"/>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7-C079-4258-BB4A-F7E7D7DFB326}"/>
                </c:ext>
              </c:extLst>
            </c:dLbl>
            <c:dLbl>
              <c:idx val="6"/>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8-C079-4258-BB4A-F7E7D7DFB326}"/>
                </c:ext>
              </c:extLst>
            </c:dLbl>
            <c:dLbl>
              <c:idx val="7"/>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9-C079-4258-BB4A-F7E7D7DFB326}"/>
                </c:ext>
              </c:extLst>
            </c:dLbl>
            <c:dLbl>
              <c:idx val="8"/>
              <c:layout>
                <c:manualLayout>
                  <c:x val="4.2651238714494659E-2"/>
                  <c:y val="4.860020721366793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C079-4258-BB4A-F7E7D7DFB326}"/>
                </c:ext>
              </c:extLst>
            </c:dLbl>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ext>
            </c:extLst>
          </c:dLbls>
          <c:cat>
            <c:strRef>
              <c:f>'PIB Nacional'!$B$7:$B$15</c:f>
              <c:strCache>
                <c:ptCount val="9"/>
                <c:pt idx="0">
                  <c:v>2012</c:v>
                </c:pt>
                <c:pt idx="1">
                  <c:v>2013</c:v>
                </c:pt>
                <c:pt idx="2">
                  <c:v>2014</c:v>
                </c:pt>
                <c:pt idx="3">
                  <c:v>2015</c:v>
                </c:pt>
                <c:pt idx="4">
                  <c:v>2016</c:v>
                </c:pt>
                <c:pt idx="5">
                  <c:v>2017</c:v>
                </c:pt>
                <c:pt idx="6">
                  <c:v>2018</c:v>
                </c:pt>
                <c:pt idx="7">
                  <c:v>2019</c:v>
                </c:pt>
                <c:pt idx="8">
                  <c:v>2020 py</c:v>
                </c:pt>
              </c:strCache>
            </c:strRef>
          </c:cat>
          <c:val>
            <c:numRef>
              <c:f>'PIB Nacional'!$C$7:$C$15</c:f>
              <c:numCache>
                <c:formatCode>#,##0.0</c:formatCode>
                <c:ptCount val="9"/>
                <c:pt idx="0">
                  <c:v>3.1</c:v>
                </c:pt>
                <c:pt idx="1">
                  <c:v>3.5</c:v>
                </c:pt>
                <c:pt idx="2">
                  <c:v>4.4000000000000004</c:v>
                </c:pt>
                <c:pt idx="3">
                  <c:v>4.0999999999999996</c:v>
                </c:pt>
                <c:pt idx="4">
                  <c:v>2.7</c:v>
                </c:pt>
                <c:pt idx="5">
                  <c:v>3</c:v>
                </c:pt>
                <c:pt idx="6">
                  <c:v>3.1</c:v>
                </c:pt>
                <c:pt idx="7">
                  <c:v>3.5</c:v>
                </c:pt>
                <c:pt idx="8">
                  <c:v>3.6</c:v>
                </c:pt>
              </c:numCache>
            </c:numRef>
          </c:val>
          <c:smooth val="0"/>
          <c:extLst xmlns:c16r2="http://schemas.microsoft.com/office/drawing/2015/06/chart">
            <c:ext xmlns:c16="http://schemas.microsoft.com/office/drawing/2014/chart" uri="{C3380CC4-5D6E-409C-BE32-E72D297353CC}">
              <c16:uniqueId val="{0000000A-C079-4258-BB4A-F7E7D7DFB326}"/>
            </c:ext>
          </c:extLst>
        </c:ser>
        <c:ser>
          <c:idx val="0"/>
          <c:order val="1"/>
          <c:tx>
            <c:strRef>
              <c:f>'PIB Nacional'!$D$6</c:f>
              <c:strCache>
                <c:ptCount val="1"/>
                <c:pt idx="0">
                  <c:v>Banguat Alto</c:v>
                </c:pt>
              </c:strCache>
            </c:strRef>
          </c:tx>
          <c:spPr>
            <a:ln w="38100">
              <a:solidFill>
                <a:srgbClr val="00B050"/>
              </a:solidFill>
              <a:prstDash val="sysDot"/>
            </a:ln>
          </c:spPr>
          <c:marker>
            <c:symbol val="none"/>
          </c:marker>
          <c:dPt>
            <c:idx val="8"/>
            <c:bubble3D val="0"/>
            <c:extLst xmlns:c16r2="http://schemas.microsoft.com/office/drawing/2015/06/chart">
              <c:ext xmlns:c16="http://schemas.microsoft.com/office/drawing/2014/chart" uri="{C3380CC4-5D6E-409C-BE32-E72D297353CC}">
                <c16:uniqueId val="{0000000B-C079-4258-BB4A-F7E7D7DFB326}"/>
              </c:ext>
            </c:extLst>
          </c:dPt>
          <c:dLbls>
            <c:dLbl>
              <c:idx val="8"/>
              <c:layout>
                <c:manualLayout>
                  <c:x val="2.8316730183181746E-2"/>
                  <c:y val="-2.9212862860560393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B-C079-4258-BB4A-F7E7D7DFB326}"/>
                </c:ext>
              </c:extLst>
            </c:dLbl>
            <c:spPr>
              <a:noFill/>
              <a:ln>
                <a:noFill/>
              </a:ln>
              <a:effectLst/>
            </c:spPr>
            <c:showLegendKey val="0"/>
            <c:showVal val="0"/>
            <c:showCatName val="0"/>
            <c:showSerName val="0"/>
            <c:showPercent val="0"/>
            <c:showBubbleSize val="0"/>
            <c:extLst xmlns:c16r2="http://schemas.microsoft.com/office/drawing/2015/06/chart">
              <c:ext xmlns:c15="http://schemas.microsoft.com/office/drawing/2012/chart" uri="{CE6537A1-D6FC-4f65-9D91-7224C49458BB}">
                <c15:showLeaderLines val="1"/>
              </c:ext>
            </c:extLst>
          </c:dLbls>
          <c:cat>
            <c:strRef>
              <c:f>'PIB Nacional'!$B$7:$B$15</c:f>
              <c:strCache>
                <c:ptCount val="9"/>
                <c:pt idx="0">
                  <c:v>2012</c:v>
                </c:pt>
                <c:pt idx="1">
                  <c:v>2013</c:v>
                </c:pt>
                <c:pt idx="2">
                  <c:v>2014</c:v>
                </c:pt>
                <c:pt idx="3">
                  <c:v>2015</c:v>
                </c:pt>
                <c:pt idx="4">
                  <c:v>2016</c:v>
                </c:pt>
                <c:pt idx="5">
                  <c:v>2017</c:v>
                </c:pt>
                <c:pt idx="6">
                  <c:v>2018</c:v>
                </c:pt>
                <c:pt idx="7">
                  <c:v>2019</c:v>
                </c:pt>
                <c:pt idx="8">
                  <c:v>2020 py</c:v>
                </c:pt>
              </c:strCache>
            </c:strRef>
          </c:cat>
          <c:val>
            <c:numRef>
              <c:f>'PIB Nacional'!$D$7:$D$15</c:f>
              <c:numCache>
                <c:formatCode>#,##0.0</c:formatCode>
                <c:ptCount val="9"/>
                <c:pt idx="0">
                  <c:v>3.1</c:v>
                </c:pt>
                <c:pt idx="1">
                  <c:v>3.5</c:v>
                </c:pt>
                <c:pt idx="2">
                  <c:v>4.4000000000000004</c:v>
                </c:pt>
                <c:pt idx="3">
                  <c:v>4.0999999999999996</c:v>
                </c:pt>
                <c:pt idx="4">
                  <c:v>2.7</c:v>
                </c:pt>
                <c:pt idx="5">
                  <c:v>3</c:v>
                </c:pt>
                <c:pt idx="6">
                  <c:v>3.1</c:v>
                </c:pt>
                <c:pt idx="7">
                  <c:v>3.5</c:v>
                </c:pt>
                <c:pt idx="8">
                  <c:v>-1.5</c:v>
                </c:pt>
              </c:numCache>
            </c:numRef>
          </c:val>
          <c:smooth val="0"/>
          <c:extLst xmlns:c16r2="http://schemas.microsoft.com/office/drawing/2015/06/chart">
            <c:ext xmlns:c16="http://schemas.microsoft.com/office/drawing/2014/chart" uri="{C3380CC4-5D6E-409C-BE32-E72D297353CC}">
              <c16:uniqueId val="{0000000C-C079-4258-BB4A-F7E7D7DFB326}"/>
            </c:ext>
          </c:extLst>
        </c:ser>
        <c:ser>
          <c:idx val="1"/>
          <c:order val="2"/>
          <c:tx>
            <c:strRef>
              <c:f>'PIB Nacional'!$E$6</c:f>
              <c:strCache>
                <c:ptCount val="1"/>
                <c:pt idx="0">
                  <c:v>Banguat medio</c:v>
                </c:pt>
              </c:strCache>
            </c:strRef>
          </c:tx>
          <c:spPr>
            <a:ln w="38100">
              <a:solidFill>
                <a:srgbClr val="FFC000"/>
              </a:solidFill>
              <a:prstDash val="sysDot"/>
            </a:ln>
          </c:spPr>
          <c:marker>
            <c:symbol val="none"/>
          </c:marker>
          <c:dPt>
            <c:idx val="0"/>
            <c:bubble3D val="0"/>
            <c:spPr>
              <a:ln w="38100">
                <a:noFill/>
                <a:prstDash val="sysDot"/>
              </a:ln>
            </c:spPr>
            <c:extLst xmlns:c16r2="http://schemas.microsoft.com/office/drawing/2015/06/chart">
              <c:ext xmlns:c16="http://schemas.microsoft.com/office/drawing/2014/chart" uri="{C3380CC4-5D6E-409C-BE32-E72D297353CC}">
                <c16:uniqueId val="{0000000E-C079-4258-BB4A-F7E7D7DFB326}"/>
              </c:ext>
            </c:extLst>
          </c:dPt>
          <c:dPt>
            <c:idx val="1"/>
            <c:bubble3D val="0"/>
            <c:extLst xmlns:c16r2="http://schemas.microsoft.com/office/drawing/2015/06/chart">
              <c:ext xmlns:c16="http://schemas.microsoft.com/office/drawing/2014/chart" uri="{C3380CC4-5D6E-409C-BE32-E72D297353CC}">
                <c16:uniqueId val="{0000000F-C079-4258-BB4A-F7E7D7DFB326}"/>
              </c:ext>
            </c:extLst>
          </c:dPt>
          <c:dPt>
            <c:idx val="2"/>
            <c:bubble3D val="0"/>
            <c:extLst xmlns:c16r2="http://schemas.microsoft.com/office/drawing/2015/06/chart">
              <c:ext xmlns:c16="http://schemas.microsoft.com/office/drawing/2014/chart" uri="{C3380CC4-5D6E-409C-BE32-E72D297353CC}">
                <c16:uniqueId val="{00000010-C079-4258-BB4A-F7E7D7DFB326}"/>
              </c:ext>
            </c:extLst>
          </c:dPt>
          <c:dPt>
            <c:idx val="3"/>
            <c:bubble3D val="0"/>
            <c:extLst xmlns:c16r2="http://schemas.microsoft.com/office/drawing/2015/06/chart">
              <c:ext xmlns:c16="http://schemas.microsoft.com/office/drawing/2014/chart" uri="{C3380CC4-5D6E-409C-BE32-E72D297353CC}">
                <c16:uniqueId val="{00000011-C079-4258-BB4A-F7E7D7DFB326}"/>
              </c:ext>
            </c:extLst>
          </c:dPt>
          <c:dPt>
            <c:idx val="4"/>
            <c:bubble3D val="0"/>
            <c:extLst xmlns:c16r2="http://schemas.microsoft.com/office/drawing/2015/06/chart">
              <c:ext xmlns:c16="http://schemas.microsoft.com/office/drawing/2014/chart" uri="{C3380CC4-5D6E-409C-BE32-E72D297353CC}">
                <c16:uniqueId val="{00000012-C079-4258-BB4A-F7E7D7DFB326}"/>
              </c:ext>
            </c:extLst>
          </c:dPt>
          <c:dPt>
            <c:idx val="5"/>
            <c:bubble3D val="0"/>
            <c:extLst xmlns:c16r2="http://schemas.microsoft.com/office/drawing/2015/06/chart">
              <c:ext xmlns:c16="http://schemas.microsoft.com/office/drawing/2014/chart" uri="{C3380CC4-5D6E-409C-BE32-E72D297353CC}">
                <c16:uniqueId val="{00000013-C079-4258-BB4A-F7E7D7DFB326}"/>
              </c:ext>
            </c:extLst>
          </c:dPt>
          <c:dPt>
            <c:idx val="6"/>
            <c:bubble3D val="0"/>
            <c:extLst xmlns:c16r2="http://schemas.microsoft.com/office/drawing/2015/06/chart">
              <c:ext xmlns:c16="http://schemas.microsoft.com/office/drawing/2014/chart" uri="{C3380CC4-5D6E-409C-BE32-E72D297353CC}">
                <c16:uniqueId val="{00000014-C079-4258-BB4A-F7E7D7DFB326}"/>
              </c:ext>
            </c:extLst>
          </c:dPt>
          <c:dPt>
            <c:idx val="7"/>
            <c:bubble3D val="0"/>
            <c:extLst xmlns:c16r2="http://schemas.microsoft.com/office/drawing/2015/06/chart">
              <c:ext xmlns:c16="http://schemas.microsoft.com/office/drawing/2014/chart" uri="{C3380CC4-5D6E-409C-BE32-E72D297353CC}">
                <c16:uniqueId val="{00000015-C079-4258-BB4A-F7E7D7DFB326}"/>
              </c:ext>
            </c:extLst>
          </c:dPt>
          <c:dPt>
            <c:idx val="8"/>
            <c:bubble3D val="0"/>
            <c:extLst xmlns:c16r2="http://schemas.microsoft.com/office/drawing/2015/06/chart">
              <c:ext xmlns:c16="http://schemas.microsoft.com/office/drawing/2014/chart" uri="{C3380CC4-5D6E-409C-BE32-E72D297353CC}">
                <c16:uniqueId val="{00000016-C079-4258-BB4A-F7E7D7DFB326}"/>
              </c:ext>
            </c:extLst>
          </c:dPt>
          <c:dLbls>
            <c:dLbl>
              <c:idx val="8"/>
              <c:layout>
                <c:manualLayout>
                  <c:x val="2.7615624790194714E-2"/>
                  <c:y val="8.8641901496469746E-3"/>
                </c:manualLayout>
              </c:layout>
              <c:showLegendKey val="0"/>
              <c:showVal val="1"/>
              <c:showCatName val="0"/>
              <c:showSerName val="0"/>
              <c:showPercent val="0"/>
              <c:showBubbleSize val="0"/>
              <c:separator>
</c:separator>
              <c:extLst xmlns:c16r2="http://schemas.microsoft.com/office/drawing/2015/06/chart">
                <c:ext xmlns:c15="http://schemas.microsoft.com/office/drawing/2012/chart" uri="{CE6537A1-D6FC-4f65-9D91-7224C49458BB}"/>
                <c:ext xmlns:c16="http://schemas.microsoft.com/office/drawing/2014/chart" uri="{C3380CC4-5D6E-409C-BE32-E72D297353CC}">
                  <c16:uniqueId val="{00000016-C079-4258-BB4A-F7E7D7DFB326}"/>
                </c:ext>
              </c:extLst>
            </c:dLbl>
            <c:spPr>
              <a:noFill/>
              <a:ln>
                <a:noFill/>
              </a:ln>
              <a:effectLst/>
            </c:spPr>
            <c:showLegendKey val="0"/>
            <c:showVal val="0"/>
            <c:showCatName val="0"/>
            <c:showSerName val="0"/>
            <c:showPercent val="0"/>
            <c:showBubbleSize val="0"/>
            <c:separator>
</c:separator>
            <c:extLst xmlns:c16r2="http://schemas.microsoft.com/office/drawing/2015/06/chart">
              <c:ext xmlns:c15="http://schemas.microsoft.com/office/drawing/2012/chart" uri="{CE6537A1-D6FC-4f65-9D91-7224C49458BB}">
                <c15:showLeaderLines val="1"/>
              </c:ext>
            </c:extLst>
          </c:dLbls>
          <c:cat>
            <c:strRef>
              <c:f>'PIB Nacional'!$B$7:$B$15</c:f>
              <c:strCache>
                <c:ptCount val="9"/>
                <c:pt idx="0">
                  <c:v>2012</c:v>
                </c:pt>
                <c:pt idx="1">
                  <c:v>2013</c:v>
                </c:pt>
                <c:pt idx="2">
                  <c:v>2014</c:v>
                </c:pt>
                <c:pt idx="3">
                  <c:v>2015</c:v>
                </c:pt>
                <c:pt idx="4">
                  <c:v>2016</c:v>
                </c:pt>
                <c:pt idx="5">
                  <c:v>2017</c:v>
                </c:pt>
                <c:pt idx="6">
                  <c:v>2018</c:v>
                </c:pt>
                <c:pt idx="7">
                  <c:v>2019</c:v>
                </c:pt>
                <c:pt idx="8">
                  <c:v>2020 py</c:v>
                </c:pt>
              </c:strCache>
            </c:strRef>
          </c:cat>
          <c:val>
            <c:numRef>
              <c:f>'PIB Nacional'!$E$7:$E$15</c:f>
              <c:numCache>
                <c:formatCode>#,##0.0</c:formatCode>
                <c:ptCount val="9"/>
                <c:pt idx="0">
                  <c:v>3.1</c:v>
                </c:pt>
                <c:pt idx="1">
                  <c:v>3.5</c:v>
                </c:pt>
                <c:pt idx="2">
                  <c:v>4.4000000000000004</c:v>
                </c:pt>
                <c:pt idx="3">
                  <c:v>4.0999999999999996</c:v>
                </c:pt>
                <c:pt idx="4">
                  <c:v>2.7</c:v>
                </c:pt>
                <c:pt idx="5">
                  <c:v>3</c:v>
                </c:pt>
                <c:pt idx="6">
                  <c:v>3.1</c:v>
                </c:pt>
                <c:pt idx="7">
                  <c:v>3.5</c:v>
                </c:pt>
                <c:pt idx="8">
                  <c:v>-2.5</c:v>
                </c:pt>
              </c:numCache>
            </c:numRef>
          </c:val>
          <c:smooth val="0"/>
          <c:extLst xmlns:c16r2="http://schemas.microsoft.com/office/drawing/2015/06/chart">
            <c:ext xmlns:c16="http://schemas.microsoft.com/office/drawing/2014/chart" uri="{C3380CC4-5D6E-409C-BE32-E72D297353CC}">
              <c16:uniqueId val="{00000017-C079-4258-BB4A-F7E7D7DFB326}"/>
            </c:ext>
          </c:extLst>
        </c:ser>
        <c:ser>
          <c:idx val="2"/>
          <c:order val="3"/>
          <c:tx>
            <c:strRef>
              <c:f>'PIB Nacional'!$F$6</c:f>
              <c:strCache>
                <c:ptCount val="1"/>
                <c:pt idx="0">
                  <c:v>Banguat Bajo</c:v>
                </c:pt>
              </c:strCache>
            </c:strRef>
          </c:tx>
          <c:spPr>
            <a:ln w="38100">
              <a:solidFill>
                <a:srgbClr val="FF5050"/>
              </a:solidFill>
              <a:prstDash val="sysDot"/>
            </a:ln>
          </c:spPr>
          <c:marker>
            <c:symbol val="none"/>
          </c:marker>
          <c:dPt>
            <c:idx val="1"/>
            <c:bubble3D val="0"/>
            <c:spPr>
              <a:ln w="38100">
                <a:noFill/>
                <a:prstDash val="sysDot"/>
              </a:ln>
            </c:spPr>
            <c:extLst xmlns:c16r2="http://schemas.microsoft.com/office/drawing/2015/06/chart">
              <c:ext xmlns:c16="http://schemas.microsoft.com/office/drawing/2014/chart" uri="{C3380CC4-5D6E-409C-BE32-E72D297353CC}">
                <c16:uniqueId val="{00000019-C079-4258-BB4A-F7E7D7DFB326}"/>
              </c:ext>
            </c:extLst>
          </c:dPt>
          <c:dPt>
            <c:idx val="2"/>
            <c:bubble3D val="0"/>
            <c:spPr>
              <a:ln w="38100">
                <a:noFill/>
                <a:prstDash val="sysDot"/>
              </a:ln>
            </c:spPr>
            <c:extLst xmlns:c16r2="http://schemas.microsoft.com/office/drawing/2015/06/chart">
              <c:ext xmlns:c16="http://schemas.microsoft.com/office/drawing/2014/chart" uri="{C3380CC4-5D6E-409C-BE32-E72D297353CC}">
                <c16:uniqueId val="{0000001B-C079-4258-BB4A-F7E7D7DFB326}"/>
              </c:ext>
            </c:extLst>
          </c:dPt>
          <c:dPt>
            <c:idx val="3"/>
            <c:bubble3D val="0"/>
            <c:spPr>
              <a:ln w="38100">
                <a:noFill/>
                <a:prstDash val="sysDot"/>
              </a:ln>
            </c:spPr>
            <c:extLst xmlns:c16r2="http://schemas.microsoft.com/office/drawing/2015/06/chart">
              <c:ext xmlns:c16="http://schemas.microsoft.com/office/drawing/2014/chart" uri="{C3380CC4-5D6E-409C-BE32-E72D297353CC}">
                <c16:uniqueId val="{0000001D-C079-4258-BB4A-F7E7D7DFB326}"/>
              </c:ext>
            </c:extLst>
          </c:dPt>
          <c:dPt>
            <c:idx val="4"/>
            <c:bubble3D val="0"/>
            <c:spPr>
              <a:ln w="38100">
                <a:noFill/>
                <a:prstDash val="sysDot"/>
              </a:ln>
            </c:spPr>
            <c:extLst xmlns:c16r2="http://schemas.microsoft.com/office/drawing/2015/06/chart">
              <c:ext xmlns:c16="http://schemas.microsoft.com/office/drawing/2014/chart" uri="{C3380CC4-5D6E-409C-BE32-E72D297353CC}">
                <c16:uniqueId val="{0000001F-C079-4258-BB4A-F7E7D7DFB326}"/>
              </c:ext>
            </c:extLst>
          </c:dPt>
          <c:dPt>
            <c:idx val="5"/>
            <c:bubble3D val="0"/>
            <c:spPr>
              <a:ln w="38100">
                <a:noFill/>
                <a:prstDash val="sysDot"/>
              </a:ln>
            </c:spPr>
            <c:extLst xmlns:c16r2="http://schemas.microsoft.com/office/drawing/2015/06/chart">
              <c:ext xmlns:c16="http://schemas.microsoft.com/office/drawing/2014/chart" uri="{C3380CC4-5D6E-409C-BE32-E72D297353CC}">
                <c16:uniqueId val="{00000021-C079-4258-BB4A-F7E7D7DFB326}"/>
              </c:ext>
            </c:extLst>
          </c:dPt>
          <c:dPt>
            <c:idx val="6"/>
            <c:bubble3D val="0"/>
            <c:spPr>
              <a:ln w="38100">
                <a:noFill/>
                <a:prstDash val="sysDot"/>
              </a:ln>
            </c:spPr>
            <c:extLst xmlns:c16r2="http://schemas.microsoft.com/office/drawing/2015/06/chart">
              <c:ext xmlns:c16="http://schemas.microsoft.com/office/drawing/2014/chart" uri="{C3380CC4-5D6E-409C-BE32-E72D297353CC}">
                <c16:uniqueId val="{00000023-C079-4258-BB4A-F7E7D7DFB326}"/>
              </c:ext>
            </c:extLst>
          </c:dPt>
          <c:dPt>
            <c:idx val="7"/>
            <c:bubble3D val="0"/>
            <c:spPr>
              <a:ln w="38100">
                <a:noFill/>
                <a:prstDash val="sysDot"/>
              </a:ln>
            </c:spPr>
            <c:extLst xmlns:c16r2="http://schemas.microsoft.com/office/drawing/2015/06/chart">
              <c:ext xmlns:c16="http://schemas.microsoft.com/office/drawing/2014/chart" uri="{C3380CC4-5D6E-409C-BE32-E72D297353CC}">
                <c16:uniqueId val="{00000025-C079-4258-BB4A-F7E7D7DFB326}"/>
              </c:ext>
            </c:extLst>
          </c:dPt>
          <c:dLbls>
            <c:dLbl>
              <c:idx val="0"/>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26-C079-4258-BB4A-F7E7D7DFB326}"/>
                </c:ext>
              </c:extLst>
            </c:dLbl>
            <c:dLbl>
              <c:idx val="1"/>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19-C079-4258-BB4A-F7E7D7DFB326}"/>
                </c:ext>
              </c:extLst>
            </c:dLbl>
            <c:dLbl>
              <c:idx val="2"/>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1B-C079-4258-BB4A-F7E7D7DFB326}"/>
                </c:ext>
              </c:extLst>
            </c:dLbl>
            <c:dLbl>
              <c:idx val="3"/>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1D-C079-4258-BB4A-F7E7D7DFB326}"/>
                </c:ext>
              </c:extLst>
            </c:dLbl>
            <c:dLbl>
              <c:idx val="4"/>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1F-C079-4258-BB4A-F7E7D7DFB326}"/>
                </c:ext>
              </c:extLst>
            </c:dLbl>
            <c:dLbl>
              <c:idx val="5"/>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21-C079-4258-BB4A-F7E7D7DFB326}"/>
                </c:ext>
              </c:extLst>
            </c:dLbl>
            <c:dLbl>
              <c:idx val="6"/>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23-C079-4258-BB4A-F7E7D7DFB326}"/>
                </c:ext>
              </c:extLst>
            </c:dLbl>
            <c:dLbl>
              <c:idx val="7"/>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25-C079-4258-BB4A-F7E7D7DFB326}"/>
                </c:ext>
              </c:extLst>
            </c:dLbl>
            <c:dLbl>
              <c:idx val="8"/>
              <c:layout>
                <c:manualLayout>
                  <c:x val="2.6743578506338201E-2"/>
                  <c:y val="-1.2983494604693483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27-C079-4258-BB4A-F7E7D7DFB326}"/>
                </c:ext>
              </c:extLst>
            </c:dLbl>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ext>
            </c:extLst>
          </c:dLbls>
          <c:cat>
            <c:strRef>
              <c:f>'PIB Nacional'!$B$7:$B$15</c:f>
              <c:strCache>
                <c:ptCount val="9"/>
                <c:pt idx="0">
                  <c:v>2012</c:v>
                </c:pt>
                <c:pt idx="1">
                  <c:v>2013</c:v>
                </c:pt>
                <c:pt idx="2">
                  <c:v>2014</c:v>
                </c:pt>
                <c:pt idx="3">
                  <c:v>2015</c:v>
                </c:pt>
                <c:pt idx="4">
                  <c:v>2016</c:v>
                </c:pt>
                <c:pt idx="5">
                  <c:v>2017</c:v>
                </c:pt>
                <c:pt idx="6">
                  <c:v>2018</c:v>
                </c:pt>
                <c:pt idx="7">
                  <c:v>2019</c:v>
                </c:pt>
                <c:pt idx="8">
                  <c:v>2020 py</c:v>
                </c:pt>
              </c:strCache>
            </c:strRef>
          </c:cat>
          <c:val>
            <c:numRef>
              <c:f>'PIB Nacional'!$F$7:$F$15</c:f>
              <c:numCache>
                <c:formatCode>#,##0.0</c:formatCode>
                <c:ptCount val="9"/>
                <c:pt idx="0">
                  <c:v>3.1</c:v>
                </c:pt>
                <c:pt idx="1">
                  <c:v>3.5</c:v>
                </c:pt>
                <c:pt idx="2">
                  <c:v>4.4000000000000004</c:v>
                </c:pt>
                <c:pt idx="3">
                  <c:v>4.0999999999999996</c:v>
                </c:pt>
                <c:pt idx="4">
                  <c:v>2.7</c:v>
                </c:pt>
                <c:pt idx="5">
                  <c:v>3</c:v>
                </c:pt>
                <c:pt idx="6">
                  <c:v>3.1</c:v>
                </c:pt>
                <c:pt idx="7">
                  <c:v>3.5</c:v>
                </c:pt>
                <c:pt idx="8">
                  <c:v>-3.5</c:v>
                </c:pt>
              </c:numCache>
            </c:numRef>
          </c:val>
          <c:smooth val="0"/>
          <c:extLst xmlns:c16r2="http://schemas.microsoft.com/office/drawing/2015/06/chart">
            <c:ext xmlns:c16="http://schemas.microsoft.com/office/drawing/2014/chart" uri="{C3380CC4-5D6E-409C-BE32-E72D297353CC}">
              <c16:uniqueId val="{00000028-C079-4258-BB4A-F7E7D7DFB326}"/>
            </c:ext>
          </c:extLst>
        </c:ser>
        <c:ser>
          <c:idx val="4"/>
          <c:order val="4"/>
          <c:tx>
            <c:strRef>
              <c:f>'PIB Nacional'!$G$6</c:f>
              <c:strCache>
                <c:ptCount val="1"/>
                <c:pt idx="0">
                  <c:v>Banco Mundial </c:v>
                </c:pt>
              </c:strCache>
            </c:strRef>
          </c:tx>
          <c:spPr>
            <a:ln>
              <a:solidFill>
                <a:srgbClr val="FF0000"/>
              </a:solidFill>
            </a:ln>
          </c:spPr>
          <c:marker>
            <c:symbol val="none"/>
          </c:marker>
          <c:dPt>
            <c:idx val="1"/>
            <c:bubble3D val="0"/>
            <c:spPr>
              <a:ln>
                <a:solidFill>
                  <a:srgbClr val="002060"/>
                </a:solidFill>
              </a:ln>
            </c:spPr>
            <c:extLst xmlns:c16r2="http://schemas.microsoft.com/office/drawing/2015/06/chart">
              <c:ext xmlns:c16="http://schemas.microsoft.com/office/drawing/2014/chart" uri="{C3380CC4-5D6E-409C-BE32-E72D297353CC}">
                <c16:uniqueId val="{0000002A-C079-4258-BB4A-F7E7D7DFB326}"/>
              </c:ext>
            </c:extLst>
          </c:dPt>
          <c:dPt>
            <c:idx val="2"/>
            <c:bubble3D val="0"/>
            <c:spPr>
              <a:ln>
                <a:solidFill>
                  <a:srgbClr val="002060"/>
                </a:solidFill>
              </a:ln>
            </c:spPr>
            <c:extLst xmlns:c16r2="http://schemas.microsoft.com/office/drawing/2015/06/chart">
              <c:ext xmlns:c16="http://schemas.microsoft.com/office/drawing/2014/chart" uri="{C3380CC4-5D6E-409C-BE32-E72D297353CC}">
                <c16:uniqueId val="{0000002C-C079-4258-BB4A-F7E7D7DFB326}"/>
              </c:ext>
            </c:extLst>
          </c:dPt>
          <c:dPt>
            <c:idx val="3"/>
            <c:bubble3D val="0"/>
            <c:spPr>
              <a:ln>
                <a:solidFill>
                  <a:srgbClr val="002060"/>
                </a:solidFill>
              </a:ln>
            </c:spPr>
            <c:extLst xmlns:c16r2="http://schemas.microsoft.com/office/drawing/2015/06/chart">
              <c:ext xmlns:c16="http://schemas.microsoft.com/office/drawing/2014/chart" uri="{C3380CC4-5D6E-409C-BE32-E72D297353CC}">
                <c16:uniqueId val="{0000002E-C079-4258-BB4A-F7E7D7DFB326}"/>
              </c:ext>
            </c:extLst>
          </c:dPt>
          <c:dPt>
            <c:idx val="4"/>
            <c:bubble3D val="0"/>
            <c:spPr>
              <a:ln>
                <a:solidFill>
                  <a:srgbClr val="002060"/>
                </a:solidFill>
              </a:ln>
            </c:spPr>
            <c:extLst xmlns:c16r2="http://schemas.microsoft.com/office/drawing/2015/06/chart">
              <c:ext xmlns:c16="http://schemas.microsoft.com/office/drawing/2014/chart" uri="{C3380CC4-5D6E-409C-BE32-E72D297353CC}">
                <c16:uniqueId val="{00000030-C079-4258-BB4A-F7E7D7DFB326}"/>
              </c:ext>
            </c:extLst>
          </c:dPt>
          <c:dPt>
            <c:idx val="5"/>
            <c:bubble3D val="0"/>
            <c:spPr>
              <a:ln>
                <a:solidFill>
                  <a:srgbClr val="002060"/>
                </a:solidFill>
              </a:ln>
            </c:spPr>
            <c:extLst xmlns:c16r2="http://schemas.microsoft.com/office/drawing/2015/06/chart">
              <c:ext xmlns:c16="http://schemas.microsoft.com/office/drawing/2014/chart" uri="{C3380CC4-5D6E-409C-BE32-E72D297353CC}">
                <c16:uniqueId val="{00000032-C079-4258-BB4A-F7E7D7DFB326}"/>
              </c:ext>
            </c:extLst>
          </c:dPt>
          <c:dPt>
            <c:idx val="6"/>
            <c:bubble3D val="0"/>
            <c:spPr>
              <a:ln>
                <a:solidFill>
                  <a:srgbClr val="002060"/>
                </a:solidFill>
              </a:ln>
            </c:spPr>
            <c:extLst xmlns:c16r2="http://schemas.microsoft.com/office/drawing/2015/06/chart">
              <c:ext xmlns:c16="http://schemas.microsoft.com/office/drawing/2014/chart" uri="{C3380CC4-5D6E-409C-BE32-E72D297353CC}">
                <c16:uniqueId val="{00000034-C079-4258-BB4A-F7E7D7DFB326}"/>
              </c:ext>
            </c:extLst>
          </c:dPt>
          <c:dPt>
            <c:idx val="7"/>
            <c:bubble3D val="0"/>
            <c:spPr>
              <a:ln>
                <a:solidFill>
                  <a:srgbClr val="002060"/>
                </a:solidFill>
              </a:ln>
            </c:spPr>
            <c:extLst xmlns:c16r2="http://schemas.microsoft.com/office/drawing/2015/06/chart">
              <c:ext xmlns:c16="http://schemas.microsoft.com/office/drawing/2014/chart" uri="{C3380CC4-5D6E-409C-BE32-E72D297353CC}">
                <c16:uniqueId val="{00000036-C079-4258-BB4A-F7E7D7DFB326}"/>
              </c:ext>
            </c:extLst>
          </c:dPt>
          <c:dLbls>
            <c:dLbl>
              <c:idx val="8"/>
              <c:layout>
                <c:manualLayout>
                  <c:x val="3.1010040176064162E-2"/>
                  <c:y val="2.8494686808871331E-3"/>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37-C079-4258-BB4A-F7E7D7DFB326}"/>
                </c:ext>
              </c:extLst>
            </c:dLbl>
            <c:spPr>
              <a:noFill/>
              <a:ln>
                <a:noFill/>
              </a:ln>
              <a:effectLst/>
            </c:spPr>
            <c:showLegendKey val="0"/>
            <c:showVal val="0"/>
            <c:showCatName val="0"/>
            <c:showSerName val="0"/>
            <c:showPercent val="0"/>
            <c:showBubbleSize val="0"/>
            <c:extLst xmlns:c16r2="http://schemas.microsoft.com/office/drawing/2015/06/chart">
              <c:ext xmlns:c15="http://schemas.microsoft.com/office/drawing/2012/chart" uri="{CE6537A1-D6FC-4f65-9D91-7224C49458BB}">
                <c15:showLeaderLines val="1"/>
                <c15:leaderLines>
                  <c:spPr>
                    <a:ln>
                      <a:solidFill>
                        <a:srgbClr val="FF0000"/>
                      </a:solidFill>
                    </a:ln>
                  </c:spPr>
                </c15:leaderLines>
              </c:ext>
            </c:extLst>
          </c:dLbls>
          <c:cat>
            <c:strRef>
              <c:f>'PIB Nacional'!$B$7:$B$15</c:f>
              <c:strCache>
                <c:ptCount val="9"/>
                <c:pt idx="0">
                  <c:v>2012</c:v>
                </c:pt>
                <c:pt idx="1">
                  <c:v>2013</c:v>
                </c:pt>
                <c:pt idx="2">
                  <c:v>2014</c:v>
                </c:pt>
                <c:pt idx="3">
                  <c:v>2015</c:v>
                </c:pt>
                <c:pt idx="4">
                  <c:v>2016</c:v>
                </c:pt>
                <c:pt idx="5">
                  <c:v>2017</c:v>
                </c:pt>
                <c:pt idx="6">
                  <c:v>2018</c:v>
                </c:pt>
                <c:pt idx="7">
                  <c:v>2019</c:v>
                </c:pt>
                <c:pt idx="8">
                  <c:v>2020 py</c:v>
                </c:pt>
              </c:strCache>
            </c:strRef>
          </c:cat>
          <c:val>
            <c:numRef>
              <c:f>'PIB Nacional'!$G$7:$G$15</c:f>
              <c:numCache>
                <c:formatCode>#,##0.0</c:formatCode>
                <c:ptCount val="9"/>
                <c:pt idx="0">
                  <c:v>3.1</c:v>
                </c:pt>
                <c:pt idx="1">
                  <c:v>3.5</c:v>
                </c:pt>
                <c:pt idx="2">
                  <c:v>4.4000000000000004</c:v>
                </c:pt>
                <c:pt idx="3">
                  <c:v>4.0999999999999996</c:v>
                </c:pt>
                <c:pt idx="4">
                  <c:v>2.7</c:v>
                </c:pt>
                <c:pt idx="5">
                  <c:v>3</c:v>
                </c:pt>
                <c:pt idx="6">
                  <c:v>3.1</c:v>
                </c:pt>
                <c:pt idx="7">
                  <c:v>3.5</c:v>
                </c:pt>
                <c:pt idx="8">
                  <c:v>-1.8</c:v>
                </c:pt>
              </c:numCache>
            </c:numRef>
          </c:val>
          <c:smooth val="0"/>
          <c:extLst xmlns:c16r2="http://schemas.microsoft.com/office/drawing/2015/06/chart">
            <c:ext xmlns:c16="http://schemas.microsoft.com/office/drawing/2014/chart" uri="{C3380CC4-5D6E-409C-BE32-E72D297353CC}">
              <c16:uniqueId val="{00000038-C079-4258-BB4A-F7E7D7DFB326}"/>
            </c:ext>
          </c:extLst>
        </c:ser>
        <c:dLbls>
          <c:showLegendKey val="0"/>
          <c:showVal val="0"/>
          <c:showCatName val="0"/>
          <c:showSerName val="0"/>
          <c:showPercent val="0"/>
          <c:showBubbleSize val="0"/>
        </c:dLbls>
        <c:marker val="1"/>
        <c:smooth val="0"/>
        <c:axId val="208288384"/>
        <c:axId val="208294272"/>
      </c:lineChart>
      <c:catAx>
        <c:axId val="208288384"/>
        <c:scaling>
          <c:orientation val="minMax"/>
        </c:scaling>
        <c:delete val="0"/>
        <c:axPos val="b"/>
        <c:numFmt formatCode="0" sourceLinked="0"/>
        <c:majorTickMark val="none"/>
        <c:minorTickMark val="none"/>
        <c:tickLblPos val="low"/>
        <c:spPr>
          <a:ln w="12700"/>
          <a:effectLst>
            <a:softEdge rad="12700"/>
          </a:effectLst>
        </c:spPr>
        <c:crossAx val="208294272"/>
        <c:crosses val="autoZero"/>
        <c:auto val="1"/>
        <c:lblAlgn val="ctr"/>
        <c:lblOffset val="100"/>
        <c:noMultiLvlLbl val="0"/>
      </c:catAx>
      <c:valAx>
        <c:axId val="208294272"/>
        <c:scaling>
          <c:orientation val="minMax"/>
          <c:min val="-4"/>
        </c:scaling>
        <c:delete val="0"/>
        <c:axPos val="l"/>
        <c:title>
          <c:tx>
            <c:rich>
              <a:bodyPr rot="0" vert="horz"/>
              <a:lstStyle/>
              <a:p>
                <a:pPr>
                  <a:defRPr/>
                </a:pPr>
                <a:r>
                  <a:rPr lang="es-GT"/>
                  <a:t>Porcentaje</a:t>
                </a:r>
              </a:p>
            </c:rich>
          </c:tx>
          <c:layout>
            <c:manualLayout>
              <c:xMode val="edge"/>
              <c:yMode val="edge"/>
              <c:x val="1.3291425316823551E-2"/>
              <c:y val="2.9153174346318898E-2"/>
            </c:manualLayout>
          </c:layout>
          <c:overlay val="0"/>
        </c:title>
        <c:numFmt formatCode="#,##0.0" sourceLinked="0"/>
        <c:majorTickMark val="none"/>
        <c:minorTickMark val="none"/>
        <c:tickLblPos val="nextTo"/>
        <c:crossAx val="208288384"/>
        <c:crossesAt val="1"/>
        <c:crossBetween val="between"/>
        <c:majorUnit val="1"/>
        <c:minorUnit val="0.1"/>
      </c:valAx>
      <c:spPr>
        <a:noFill/>
        <a:ln>
          <a:noFill/>
        </a:ln>
        <a:effectLst>
          <a:glow rad="101600">
            <a:schemeClr val="accent5">
              <a:satMod val="175000"/>
              <a:alpha val="40000"/>
            </a:schemeClr>
          </a:glow>
          <a:innerShdw blurRad="63500" dist="50800" dir="16200000">
            <a:prstClr val="black">
              <a:alpha val="50000"/>
            </a:prstClr>
          </a:innerShdw>
        </a:effectLst>
        <a:scene3d>
          <a:camera prst="orthographicFront"/>
          <a:lightRig rig="threePt" dir="t"/>
        </a:scene3d>
        <a:sp3d>
          <a:bevelT/>
        </a:sp3d>
      </c:spPr>
    </c:plotArea>
    <c:legend>
      <c:legendPos val="b"/>
      <c:layout>
        <c:manualLayout>
          <c:xMode val="edge"/>
          <c:yMode val="edge"/>
          <c:x val="4.3047375648553467E-2"/>
          <c:y val="0.86417807834056626"/>
          <c:w val="0.89999995045191572"/>
          <c:h val="5.5063562895830455E-2"/>
        </c:manualLayout>
      </c:layout>
      <c:overlay val="0"/>
    </c:legend>
    <c:plotVisOnly val="1"/>
    <c:dispBlanksAs val="gap"/>
    <c:showDLblsOverMax val="0"/>
  </c:chart>
  <c:spPr>
    <a:ln>
      <a:noFill/>
    </a:ln>
  </c:spPr>
  <c:txPr>
    <a:bodyPr/>
    <a:lstStyle/>
    <a:p>
      <a:pPr>
        <a:defRPr sz="1000" b="0">
          <a:solidFill>
            <a:sysClr val="windowText" lastClr="000000"/>
          </a:solidFill>
          <a:latin typeface="Times New Roman" pitchFamily="18" charset="0"/>
          <a:cs typeface="Times New Roman" pitchFamily="18" charset="0"/>
        </a:defRPr>
      </a:pPr>
      <a:endParaRPr lang="es-ES"/>
    </a:p>
  </c:txPr>
  <c:externalData r:id="rId2">
    <c:autoUpdate val="0"/>
  </c:externalData>
  <c:userShapes r:id="rId3"/>
</c:chartSpace>
</file>

<file path=word/charts/chart35.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6.319822944930456E-2"/>
          <c:y val="3.5974137768277792E-2"/>
          <c:w val="0.89342601084379147"/>
          <c:h val="0.74611829251304618"/>
        </c:manualLayout>
      </c:layout>
      <c:lineChart>
        <c:grouping val="stacked"/>
        <c:varyColors val="0"/>
        <c:ser>
          <c:idx val="0"/>
          <c:order val="0"/>
          <c:spPr>
            <a:ln>
              <a:solidFill>
                <a:schemeClr val="accent1"/>
              </a:solidFill>
            </a:ln>
          </c:spPr>
          <c:dLbls>
            <c:dLbl>
              <c:idx val="53"/>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499A-4843-9EFA-5F339E34B645}"/>
                </c:ext>
              </c:extLst>
            </c:dLbl>
            <c:dLbl>
              <c:idx val="65"/>
              <c:layout>
                <c:manualLayout>
                  <c:x val="-6.6006583507033732E-3"/>
                  <c:y val="-3.1520882584712369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499A-4843-9EFA-5F339E34B645}"/>
                </c:ext>
              </c:extLst>
            </c:dLbl>
            <c:spPr>
              <a:noFill/>
              <a:ln>
                <a:noFill/>
              </a:ln>
              <a:effectLst/>
            </c:spPr>
            <c:showLegendKey val="0"/>
            <c:showVal val="0"/>
            <c:showCatName val="0"/>
            <c:showSerName val="0"/>
            <c:showPercent val="0"/>
            <c:showBubbleSize val="0"/>
            <c:extLst xmlns:c16r2="http://schemas.microsoft.com/office/drawing/2015/06/chart">
              <c:ext xmlns:c15="http://schemas.microsoft.com/office/drawing/2012/chart" uri="{CE6537A1-D6FC-4f65-9D91-7224C49458BB}">
                <c15:showLeaderLines val="1"/>
              </c:ext>
            </c:extLst>
          </c:dLbls>
          <c:cat>
            <c:numRef>
              <c:f>'Inflación '!$A$31:$A$96</c:f>
              <c:numCache>
                <c:formatCode>mmm\-yy</c:formatCode>
                <c:ptCount val="66"/>
                <c:pt idx="0">
                  <c:v>42005</c:v>
                </c:pt>
                <c:pt idx="1">
                  <c:v>42036</c:v>
                </c:pt>
                <c:pt idx="2">
                  <c:v>42064</c:v>
                </c:pt>
                <c:pt idx="3">
                  <c:v>42095</c:v>
                </c:pt>
                <c:pt idx="4">
                  <c:v>42125</c:v>
                </c:pt>
                <c:pt idx="5">
                  <c:v>42156</c:v>
                </c:pt>
                <c:pt idx="6">
                  <c:v>42186</c:v>
                </c:pt>
                <c:pt idx="7">
                  <c:v>42217</c:v>
                </c:pt>
                <c:pt idx="8">
                  <c:v>42248</c:v>
                </c:pt>
                <c:pt idx="9">
                  <c:v>42278</c:v>
                </c:pt>
                <c:pt idx="10">
                  <c:v>42309</c:v>
                </c:pt>
                <c:pt idx="11">
                  <c:v>42339</c:v>
                </c:pt>
                <c:pt idx="12">
                  <c:v>42370</c:v>
                </c:pt>
                <c:pt idx="13">
                  <c:v>42401</c:v>
                </c:pt>
                <c:pt idx="14">
                  <c:v>42430</c:v>
                </c:pt>
                <c:pt idx="15">
                  <c:v>42461</c:v>
                </c:pt>
                <c:pt idx="16">
                  <c:v>42491</c:v>
                </c:pt>
                <c:pt idx="17">
                  <c:v>42522</c:v>
                </c:pt>
                <c:pt idx="18">
                  <c:v>42552</c:v>
                </c:pt>
                <c:pt idx="19">
                  <c:v>42583</c:v>
                </c:pt>
                <c:pt idx="20">
                  <c:v>42614</c:v>
                </c:pt>
                <c:pt idx="21">
                  <c:v>42644</c:v>
                </c:pt>
                <c:pt idx="22">
                  <c:v>42675</c:v>
                </c:pt>
                <c:pt idx="23">
                  <c:v>42705</c:v>
                </c:pt>
                <c:pt idx="24">
                  <c:v>42736</c:v>
                </c:pt>
                <c:pt idx="25">
                  <c:v>42767</c:v>
                </c:pt>
                <c:pt idx="26">
                  <c:v>42795</c:v>
                </c:pt>
                <c:pt idx="27">
                  <c:v>42826</c:v>
                </c:pt>
                <c:pt idx="28">
                  <c:v>42856</c:v>
                </c:pt>
                <c:pt idx="29">
                  <c:v>42887</c:v>
                </c:pt>
                <c:pt idx="30">
                  <c:v>42917</c:v>
                </c:pt>
                <c:pt idx="31">
                  <c:v>42948</c:v>
                </c:pt>
                <c:pt idx="32">
                  <c:v>42979</c:v>
                </c:pt>
                <c:pt idx="33">
                  <c:v>43009</c:v>
                </c:pt>
                <c:pt idx="34">
                  <c:v>43040</c:v>
                </c:pt>
                <c:pt idx="35">
                  <c:v>43070</c:v>
                </c:pt>
                <c:pt idx="36">
                  <c:v>43101</c:v>
                </c:pt>
                <c:pt idx="37">
                  <c:v>43132</c:v>
                </c:pt>
                <c:pt idx="38">
                  <c:v>43160</c:v>
                </c:pt>
                <c:pt idx="39">
                  <c:v>43191</c:v>
                </c:pt>
                <c:pt idx="40">
                  <c:v>43221</c:v>
                </c:pt>
                <c:pt idx="41">
                  <c:v>43252</c:v>
                </c:pt>
                <c:pt idx="42">
                  <c:v>43282</c:v>
                </c:pt>
                <c:pt idx="43">
                  <c:v>43313</c:v>
                </c:pt>
                <c:pt idx="44">
                  <c:v>43344</c:v>
                </c:pt>
                <c:pt idx="45">
                  <c:v>43374</c:v>
                </c:pt>
                <c:pt idx="46">
                  <c:v>43405</c:v>
                </c:pt>
                <c:pt idx="47">
                  <c:v>43435</c:v>
                </c:pt>
                <c:pt idx="48">
                  <c:v>43466</c:v>
                </c:pt>
                <c:pt idx="49">
                  <c:v>43497</c:v>
                </c:pt>
                <c:pt idx="50">
                  <c:v>43525</c:v>
                </c:pt>
                <c:pt idx="51">
                  <c:v>43556</c:v>
                </c:pt>
                <c:pt idx="52">
                  <c:v>43586</c:v>
                </c:pt>
                <c:pt idx="53">
                  <c:v>43617</c:v>
                </c:pt>
                <c:pt idx="54">
                  <c:v>43647</c:v>
                </c:pt>
                <c:pt idx="55">
                  <c:v>43678</c:v>
                </c:pt>
                <c:pt idx="56">
                  <c:v>43709</c:v>
                </c:pt>
                <c:pt idx="57">
                  <c:v>43739</c:v>
                </c:pt>
                <c:pt idx="58">
                  <c:v>43770</c:v>
                </c:pt>
                <c:pt idx="59">
                  <c:v>43800</c:v>
                </c:pt>
                <c:pt idx="60">
                  <c:v>43831</c:v>
                </c:pt>
                <c:pt idx="61">
                  <c:v>43862</c:v>
                </c:pt>
                <c:pt idx="62">
                  <c:v>43891</c:v>
                </c:pt>
                <c:pt idx="63">
                  <c:v>43922</c:v>
                </c:pt>
                <c:pt idx="64">
                  <c:v>43952</c:v>
                </c:pt>
                <c:pt idx="65">
                  <c:v>43983</c:v>
                </c:pt>
              </c:numCache>
            </c:numRef>
          </c:cat>
          <c:val>
            <c:numRef>
              <c:f>'Inflación '!$C$31:$C$96</c:f>
              <c:numCache>
                <c:formatCode>0.00</c:formatCode>
                <c:ptCount val="66"/>
                <c:pt idx="0">
                  <c:v>2.3199999999999998</c:v>
                </c:pt>
                <c:pt idx="1">
                  <c:v>2.44</c:v>
                </c:pt>
                <c:pt idx="2">
                  <c:v>2.4300000000000002</c:v>
                </c:pt>
                <c:pt idx="3">
                  <c:v>2.58</c:v>
                </c:pt>
                <c:pt idx="4">
                  <c:v>2.5499999999999998</c:v>
                </c:pt>
                <c:pt idx="5">
                  <c:v>2.39</c:v>
                </c:pt>
                <c:pt idx="6">
                  <c:v>2.3199999999999998</c:v>
                </c:pt>
                <c:pt idx="7">
                  <c:v>1.96</c:v>
                </c:pt>
                <c:pt idx="8">
                  <c:v>1.88</c:v>
                </c:pt>
                <c:pt idx="9">
                  <c:v>2.23</c:v>
                </c:pt>
                <c:pt idx="10">
                  <c:v>2.5099999999999998</c:v>
                </c:pt>
                <c:pt idx="11">
                  <c:v>3.07</c:v>
                </c:pt>
                <c:pt idx="12">
                  <c:v>4.38</c:v>
                </c:pt>
                <c:pt idx="13">
                  <c:v>4.2699999999999996</c:v>
                </c:pt>
                <c:pt idx="14">
                  <c:v>4.26</c:v>
                </c:pt>
                <c:pt idx="15">
                  <c:v>4.09</c:v>
                </c:pt>
                <c:pt idx="16">
                  <c:v>4.3600000000000003</c:v>
                </c:pt>
                <c:pt idx="17">
                  <c:v>4.43</c:v>
                </c:pt>
                <c:pt idx="18">
                  <c:v>4.62</c:v>
                </c:pt>
                <c:pt idx="19">
                  <c:v>4.74</c:v>
                </c:pt>
                <c:pt idx="20">
                  <c:v>4.5599999999999996</c:v>
                </c:pt>
                <c:pt idx="21">
                  <c:v>4.76</c:v>
                </c:pt>
                <c:pt idx="22">
                  <c:v>4.67</c:v>
                </c:pt>
                <c:pt idx="23">
                  <c:v>4.2300000000000004</c:v>
                </c:pt>
                <c:pt idx="24">
                  <c:v>3.83</c:v>
                </c:pt>
                <c:pt idx="25">
                  <c:v>3.96</c:v>
                </c:pt>
                <c:pt idx="26">
                  <c:v>4</c:v>
                </c:pt>
                <c:pt idx="27">
                  <c:v>4.09</c:v>
                </c:pt>
                <c:pt idx="28">
                  <c:v>3.93</c:v>
                </c:pt>
                <c:pt idx="29">
                  <c:v>4.3600000000000003</c:v>
                </c:pt>
                <c:pt idx="30">
                  <c:v>5.22</c:v>
                </c:pt>
                <c:pt idx="31">
                  <c:v>4.72</c:v>
                </c:pt>
                <c:pt idx="32">
                  <c:v>4.3600000000000003</c:v>
                </c:pt>
                <c:pt idx="33">
                  <c:v>4.2</c:v>
                </c:pt>
                <c:pt idx="34">
                  <c:v>4.6900000000000004</c:v>
                </c:pt>
                <c:pt idx="35">
                  <c:v>5.68</c:v>
                </c:pt>
                <c:pt idx="36">
                  <c:v>4.71</c:v>
                </c:pt>
                <c:pt idx="37">
                  <c:v>4.1500000000000004</c:v>
                </c:pt>
                <c:pt idx="38">
                  <c:v>4.1399999999999997</c:v>
                </c:pt>
                <c:pt idx="39">
                  <c:v>3.92</c:v>
                </c:pt>
                <c:pt idx="40">
                  <c:v>4.09</c:v>
                </c:pt>
                <c:pt idx="41">
                  <c:v>3.79</c:v>
                </c:pt>
                <c:pt idx="42">
                  <c:v>2.61</c:v>
                </c:pt>
                <c:pt idx="43">
                  <c:v>3.36</c:v>
                </c:pt>
                <c:pt idx="44">
                  <c:v>4.55</c:v>
                </c:pt>
                <c:pt idx="45">
                  <c:v>4.34</c:v>
                </c:pt>
                <c:pt idx="46">
                  <c:v>3.15</c:v>
                </c:pt>
                <c:pt idx="47">
                  <c:v>2.31</c:v>
                </c:pt>
                <c:pt idx="48">
                  <c:v>4.0999999999999996</c:v>
                </c:pt>
                <c:pt idx="49">
                  <c:v>4.46</c:v>
                </c:pt>
                <c:pt idx="50">
                  <c:v>4.17</c:v>
                </c:pt>
                <c:pt idx="51">
                  <c:v>4.75</c:v>
                </c:pt>
                <c:pt idx="52">
                  <c:v>4.54</c:v>
                </c:pt>
                <c:pt idx="53">
                  <c:v>4.8</c:v>
                </c:pt>
                <c:pt idx="54">
                  <c:v>4.37</c:v>
                </c:pt>
                <c:pt idx="55">
                  <c:v>3.01</c:v>
                </c:pt>
                <c:pt idx="56">
                  <c:v>1.8</c:v>
                </c:pt>
                <c:pt idx="57">
                  <c:v>2.17</c:v>
                </c:pt>
                <c:pt idx="58">
                  <c:v>2.92</c:v>
                </c:pt>
                <c:pt idx="59">
                  <c:v>3.41</c:v>
                </c:pt>
                <c:pt idx="60">
                  <c:v>1.78</c:v>
                </c:pt>
                <c:pt idx="61">
                  <c:v>1.24</c:v>
                </c:pt>
                <c:pt idx="62">
                  <c:v>1.77</c:v>
                </c:pt>
                <c:pt idx="63">
                  <c:v>1.88</c:v>
                </c:pt>
                <c:pt idx="64">
                  <c:v>1.8</c:v>
                </c:pt>
                <c:pt idx="65">
                  <c:v>2.39</c:v>
                </c:pt>
              </c:numCache>
            </c:numRef>
          </c:val>
          <c:smooth val="0"/>
          <c:extLst xmlns:c16r2="http://schemas.microsoft.com/office/drawing/2015/06/chart">
            <c:ext xmlns:c16="http://schemas.microsoft.com/office/drawing/2014/chart" uri="{C3380CC4-5D6E-409C-BE32-E72D297353CC}">
              <c16:uniqueId val="{00000002-499A-4843-9EFA-5F339E34B645}"/>
            </c:ext>
          </c:extLst>
        </c:ser>
        <c:dLbls>
          <c:showLegendKey val="0"/>
          <c:showVal val="0"/>
          <c:showCatName val="0"/>
          <c:showSerName val="0"/>
          <c:showPercent val="0"/>
          <c:showBubbleSize val="0"/>
        </c:dLbls>
        <c:marker val="1"/>
        <c:smooth val="0"/>
        <c:axId val="216042880"/>
        <c:axId val="216056960"/>
      </c:lineChart>
      <c:dateAx>
        <c:axId val="216042880"/>
        <c:scaling>
          <c:orientation val="minMax"/>
        </c:scaling>
        <c:delete val="0"/>
        <c:axPos val="b"/>
        <c:numFmt formatCode="mmm\-yy" sourceLinked="1"/>
        <c:majorTickMark val="cross"/>
        <c:minorTickMark val="none"/>
        <c:tickLblPos val="low"/>
        <c:spPr>
          <a:ln/>
        </c:spPr>
        <c:txPr>
          <a:bodyPr/>
          <a:lstStyle/>
          <a:p>
            <a:pPr>
              <a:defRPr>
                <a:latin typeface="Times New Roman" panose="02020603050405020304" pitchFamily="18" charset="0"/>
                <a:cs typeface="Times New Roman" panose="02020603050405020304" pitchFamily="18" charset="0"/>
              </a:defRPr>
            </a:pPr>
            <a:endParaRPr lang="es-ES"/>
          </a:p>
        </c:txPr>
        <c:crossAx val="216056960"/>
        <c:crosses val="autoZero"/>
        <c:auto val="1"/>
        <c:lblOffset val="100"/>
        <c:baseTimeUnit val="months"/>
      </c:dateAx>
      <c:valAx>
        <c:axId val="216056960"/>
        <c:scaling>
          <c:orientation val="minMax"/>
        </c:scaling>
        <c:delete val="0"/>
        <c:axPos val="l"/>
        <c:numFmt formatCode="0.00" sourceLinked="1"/>
        <c:majorTickMark val="out"/>
        <c:minorTickMark val="none"/>
        <c:tickLblPos val="nextTo"/>
        <c:crossAx val="216042880"/>
        <c:crosses val="autoZero"/>
        <c:crossBetween val="between"/>
      </c:valAx>
    </c:plotArea>
    <c:plotVisOnly val="1"/>
    <c:dispBlanksAs val="gap"/>
    <c:showDLblsOverMax val="0"/>
  </c:chart>
  <c:spPr>
    <a:ln>
      <a:noFill/>
    </a:ln>
  </c:spPr>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634356999052759"/>
          <c:y val="4.9886603500775437E-2"/>
          <c:w val="0.6846895315399304"/>
          <c:h val="0.68169275922911099"/>
        </c:manualLayout>
      </c:layout>
      <c:lineChart>
        <c:grouping val="standard"/>
        <c:varyColors val="0"/>
        <c:ser>
          <c:idx val="0"/>
          <c:order val="0"/>
          <c:tx>
            <c:strRef>
              <c:f>Sheet4!$E$32873</c:f>
              <c:strCache>
                <c:ptCount val="1"/>
                <c:pt idx="0">
                  <c:v>Casos acumulados</c:v>
                </c:pt>
              </c:strCache>
            </c:strRef>
          </c:tx>
          <c:spPr>
            <a:ln w="28575" cap="rnd">
              <a:solidFill>
                <a:schemeClr val="accent5">
                  <a:lumMod val="50000"/>
                </a:schemeClr>
              </a:solidFill>
              <a:round/>
            </a:ln>
            <a:effectLst/>
          </c:spPr>
          <c:marker>
            <c:symbol val="none"/>
          </c:marker>
          <c:val>
            <c:numRef>
              <c:f>Sheet4!$E$32874:$E$32896</c:f>
              <c:numCache>
                <c:formatCode>_(* #,##0_);_(* \(#,##0\);_(* "-"??_);_(@_)</c:formatCode>
                <c:ptCount val="23"/>
                <c:pt idx="0">
                  <c:v>11.946</c:v>
                </c:pt>
                <c:pt idx="1">
                  <c:v>34.933</c:v>
                </c:pt>
                <c:pt idx="2">
                  <c:v>67.102999999999994</c:v>
                </c:pt>
                <c:pt idx="3">
                  <c:v>77.804000000000002</c:v>
                </c:pt>
                <c:pt idx="4">
                  <c:v>85.222999999999999</c:v>
                </c:pt>
                <c:pt idx="5">
                  <c:v>102.73399999999999</c:v>
                </c:pt>
                <c:pt idx="6">
                  <c:v>147.48400000000001</c:v>
                </c:pt>
                <c:pt idx="7">
                  <c:v>285.113</c:v>
                </c:pt>
                <c:pt idx="8">
                  <c:v>616.39</c:v>
                </c:pt>
                <c:pt idx="9">
                  <c:v>1108.201</c:v>
                </c:pt>
                <c:pt idx="10">
                  <c:v>1670.2809999999999</c:v>
                </c:pt>
                <c:pt idx="11">
                  <c:v>2208.3789999999999</c:v>
                </c:pt>
                <c:pt idx="12">
                  <c:v>2737.5039999999999</c:v>
                </c:pt>
                <c:pt idx="13">
                  <c:v>3311.1120000000001</c:v>
                </c:pt>
                <c:pt idx="14">
                  <c:v>3901.3820000000001</c:v>
                </c:pt>
                <c:pt idx="15">
                  <c:v>4505.5360000000001</c:v>
                </c:pt>
                <c:pt idx="16">
                  <c:v>5176.68</c:v>
                </c:pt>
                <c:pt idx="17">
                  <c:v>5901.0169999999998</c:v>
                </c:pt>
                <c:pt idx="18">
                  <c:v>6737.6180000000004</c:v>
                </c:pt>
                <c:pt idx="19">
                  <c:v>7626.59</c:v>
                </c:pt>
                <c:pt idx="20">
                  <c:v>8635.6589999999997</c:v>
                </c:pt>
                <c:pt idx="21">
                  <c:v>9771.8430000000008</c:v>
                </c:pt>
                <c:pt idx="22">
                  <c:v>11051.135</c:v>
                </c:pt>
              </c:numCache>
            </c:numRef>
          </c:val>
          <c:smooth val="0"/>
          <c:extLst xmlns:c16r2="http://schemas.microsoft.com/office/drawing/2015/06/chart">
            <c:ext xmlns:c16="http://schemas.microsoft.com/office/drawing/2014/chart" uri="{C3380CC4-5D6E-409C-BE32-E72D297353CC}">
              <c16:uniqueId val="{00000000-66E1-4DD6-9E1A-D6CB8BF95F2A}"/>
            </c:ext>
          </c:extLst>
        </c:ser>
        <c:dLbls>
          <c:showLegendKey val="0"/>
          <c:showVal val="0"/>
          <c:showCatName val="0"/>
          <c:showSerName val="0"/>
          <c:showPercent val="0"/>
          <c:showBubbleSize val="0"/>
        </c:dLbls>
        <c:marker val="1"/>
        <c:smooth val="0"/>
        <c:axId val="145702272"/>
        <c:axId val="145708544"/>
      </c:lineChart>
      <c:lineChart>
        <c:grouping val="standard"/>
        <c:varyColors val="0"/>
        <c:ser>
          <c:idx val="1"/>
          <c:order val="1"/>
          <c:tx>
            <c:strRef>
              <c:f>Sheet4!$F$32873</c:f>
              <c:strCache>
                <c:ptCount val="1"/>
                <c:pt idx="0">
                  <c:v>Casos por semana</c:v>
                </c:pt>
              </c:strCache>
            </c:strRef>
          </c:tx>
          <c:spPr>
            <a:ln w="28575" cap="rnd">
              <a:solidFill>
                <a:srgbClr val="C00000"/>
              </a:solidFill>
              <a:round/>
            </a:ln>
            <a:effectLst/>
          </c:spPr>
          <c:marker>
            <c:symbol val="none"/>
          </c:marker>
          <c:val>
            <c:numRef>
              <c:f>Sheet4!$F$32874:$F$32896</c:f>
              <c:numCache>
                <c:formatCode>_(* #,##0_);_(* \(#,##0\);_(* "-"??_);_(@_)</c:formatCode>
                <c:ptCount val="23"/>
                <c:pt idx="0">
                  <c:v>10.596</c:v>
                </c:pt>
                <c:pt idx="1">
                  <c:v>22.986999999999998</c:v>
                </c:pt>
                <c:pt idx="2">
                  <c:v>32.17</c:v>
                </c:pt>
                <c:pt idx="3">
                  <c:v>10.701000000000001</c:v>
                </c:pt>
                <c:pt idx="4">
                  <c:v>7.4189999999999996</c:v>
                </c:pt>
                <c:pt idx="5">
                  <c:v>17.510999999999999</c:v>
                </c:pt>
                <c:pt idx="6">
                  <c:v>44.75</c:v>
                </c:pt>
                <c:pt idx="7">
                  <c:v>137.62899999999999</c:v>
                </c:pt>
                <c:pt idx="8">
                  <c:v>331.27699999999999</c:v>
                </c:pt>
                <c:pt idx="9">
                  <c:v>491.81099999999998</c:v>
                </c:pt>
                <c:pt idx="10">
                  <c:v>562.08000000000004</c:v>
                </c:pt>
                <c:pt idx="11">
                  <c:v>538.09799999999996</c:v>
                </c:pt>
                <c:pt idx="12">
                  <c:v>529.125</c:v>
                </c:pt>
                <c:pt idx="13">
                  <c:v>573.60799999999995</c:v>
                </c:pt>
                <c:pt idx="14">
                  <c:v>590.27</c:v>
                </c:pt>
                <c:pt idx="15">
                  <c:v>604.154</c:v>
                </c:pt>
                <c:pt idx="16">
                  <c:v>671.14400000000001</c:v>
                </c:pt>
                <c:pt idx="17">
                  <c:v>724.33699999999999</c:v>
                </c:pt>
                <c:pt idx="18">
                  <c:v>836.601</c:v>
                </c:pt>
                <c:pt idx="19">
                  <c:v>888.97199999999998</c:v>
                </c:pt>
                <c:pt idx="20">
                  <c:v>1009.069</c:v>
                </c:pt>
                <c:pt idx="21">
                  <c:v>1136.184</c:v>
                </c:pt>
                <c:pt idx="22">
                  <c:v>1279.2919999999999</c:v>
                </c:pt>
              </c:numCache>
            </c:numRef>
          </c:val>
          <c:smooth val="0"/>
          <c:extLst xmlns:c16r2="http://schemas.microsoft.com/office/drawing/2015/06/chart">
            <c:ext xmlns:c16="http://schemas.microsoft.com/office/drawing/2014/chart" uri="{C3380CC4-5D6E-409C-BE32-E72D297353CC}">
              <c16:uniqueId val="{00000001-66E1-4DD6-9E1A-D6CB8BF95F2A}"/>
            </c:ext>
          </c:extLst>
        </c:ser>
        <c:dLbls>
          <c:showLegendKey val="0"/>
          <c:showVal val="0"/>
          <c:showCatName val="0"/>
          <c:showSerName val="0"/>
          <c:showPercent val="0"/>
          <c:showBubbleSize val="0"/>
        </c:dLbls>
        <c:marker val="1"/>
        <c:smooth val="0"/>
        <c:axId val="145724928"/>
        <c:axId val="145710464"/>
      </c:lineChart>
      <c:catAx>
        <c:axId val="145702272"/>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s-GT">
                    <a:latin typeface="Times New Roman" panose="02020603050405020304" pitchFamily="18" charset="0"/>
                    <a:cs typeface="Times New Roman" panose="02020603050405020304" pitchFamily="18" charset="0"/>
                  </a:rPr>
                  <a:t>Numero de semanas desde el 26/01/2020</a:t>
                </a:r>
              </a:p>
            </c:rich>
          </c:tx>
          <c:overlay val="0"/>
          <c:spPr>
            <a:noFill/>
            <a:ln>
              <a:noFill/>
            </a:ln>
            <a:effectLst/>
          </c:spPr>
        </c:title>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ES"/>
          </a:p>
        </c:txPr>
        <c:crossAx val="145708544"/>
        <c:crosses val="autoZero"/>
        <c:auto val="1"/>
        <c:lblAlgn val="ctr"/>
        <c:lblOffset val="100"/>
        <c:noMultiLvlLbl val="0"/>
      </c:catAx>
      <c:valAx>
        <c:axId val="145708544"/>
        <c:scaling>
          <c:orientation val="minMax"/>
          <c:max val="13000"/>
          <c:min val="0"/>
        </c:scaling>
        <c:delete val="0"/>
        <c:axPos val="l"/>
        <c:majorGridlines>
          <c:spPr>
            <a:ln w="9525" cap="flat" cmpd="sng" algn="ctr">
              <a:solidFill>
                <a:schemeClr val="tx1">
                  <a:alpha val="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s-GT">
                    <a:latin typeface="Times New Roman" panose="02020603050405020304" pitchFamily="18" charset="0"/>
                    <a:cs typeface="Times New Roman" panose="02020603050405020304" pitchFamily="18" charset="0"/>
                  </a:rPr>
                  <a:t>Miles de casos acumulados</a:t>
                </a:r>
              </a:p>
            </c:rich>
          </c:tx>
          <c:overlay val="0"/>
          <c:spPr>
            <a:noFill/>
            <a:ln>
              <a:noFill/>
            </a:ln>
            <a:effectLst/>
          </c:spPr>
        </c:title>
        <c:numFmt formatCode="_(* #,##0_);_(* \(#,##0\);_(* &quot;-&quot;??_);_(@_)"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ES"/>
          </a:p>
        </c:txPr>
        <c:crossAx val="145702272"/>
        <c:crosses val="autoZero"/>
        <c:crossBetween val="between"/>
      </c:valAx>
      <c:valAx>
        <c:axId val="145710464"/>
        <c:scaling>
          <c:orientation val="minMax"/>
          <c:max val="2000"/>
        </c:scaling>
        <c:delete val="0"/>
        <c:axPos val="r"/>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s-GT">
                    <a:latin typeface="Times New Roman" panose="02020603050405020304" pitchFamily="18" charset="0"/>
                    <a:cs typeface="Times New Roman" panose="02020603050405020304" pitchFamily="18" charset="0"/>
                  </a:rPr>
                  <a:t>Miles de casos semanales</a:t>
                </a:r>
              </a:p>
            </c:rich>
          </c:tx>
          <c:overlay val="0"/>
          <c:spPr>
            <a:noFill/>
            <a:ln>
              <a:noFill/>
            </a:ln>
            <a:effectLst/>
          </c:spPr>
        </c:title>
        <c:numFmt formatCode="_(* #,##0_);_(* \(#,##0\);_(* &quot;-&quot;??_);_(@_)"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ES"/>
          </a:p>
        </c:txPr>
        <c:crossAx val="145724928"/>
        <c:crosses val="max"/>
        <c:crossBetween val="between"/>
      </c:valAx>
      <c:catAx>
        <c:axId val="145724928"/>
        <c:scaling>
          <c:orientation val="minMax"/>
        </c:scaling>
        <c:delete val="1"/>
        <c:axPos val="b"/>
        <c:majorTickMark val="out"/>
        <c:minorTickMark val="none"/>
        <c:tickLblPos val="nextTo"/>
        <c:crossAx val="145710464"/>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ES"/>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pPr>
      <a:endParaRPr lang="es-ES"/>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lineChart>
        <c:grouping val="standard"/>
        <c:varyColors val="0"/>
        <c:ser>
          <c:idx val="0"/>
          <c:order val="0"/>
          <c:tx>
            <c:strRef>
              <c:f>Comm_pronósticos!$L$171</c:f>
              <c:strCache>
                <c:ptCount val="1"/>
                <c:pt idx="0">
                  <c:v>Energia</c:v>
                </c:pt>
              </c:strCache>
            </c:strRef>
          </c:tx>
          <c:spPr>
            <a:ln w="31750" cap="rnd">
              <a:solidFill>
                <a:schemeClr val="accent5">
                  <a:lumMod val="50000"/>
                </a:schemeClr>
              </a:solidFill>
              <a:round/>
            </a:ln>
            <a:effectLst/>
          </c:spPr>
          <c:marker>
            <c:symbol val="none"/>
          </c:marker>
          <c:cat>
            <c:numRef>
              <c:f>Comm_pronósticos!$X$168:$AE$168</c:f>
              <c:numCache>
                <c:formatCode>General</c:formatCode>
                <c:ptCount val="8"/>
                <c:pt idx="0">
                  <c:v>2018</c:v>
                </c:pt>
                <c:pt idx="1">
                  <c:v>2019</c:v>
                </c:pt>
                <c:pt idx="2">
                  <c:v>2020</c:v>
                </c:pt>
                <c:pt idx="3">
                  <c:v>2021</c:v>
                </c:pt>
                <c:pt idx="4">
                  <c:v>2022</c:v>
                </c:pt>
                <c:pt idx="5">
                  <c:v>2023</c:v>
                </c:pt>
                <c:pt idx="6">
                  <c:v>2024</c:v>
                </c:pt>
                <c:pt idx="7">
                  <c:v>2025</c:v>
                </c:pt>
              </c:numCache>
            </c:numRef>
          </c:cat>
          <c:val>
            <c:numRef>
              <c:f>Comm_pronósticos!$X$171:$AE$171</c:f>
              <c:numCache>
                <c:formatCode>_(* #,##0.0_);_(* \(#,##0.0\);_(* "-"??_);_(@_)</c:formatCode>
                <c:ptCount val="8"/>
                <c:pt idx="0">
                  <c:v>87.003965828300693</c:v>
                </c:pt>
                <c:pt idx="1">
                  <c:v>75.953631988254699</c:v>
                </c:pt>
                <c:pt idx="2">
                  <c:v>45.344331610951897</c:v>
                </c:pt>
                <c:pt idx="3">
                  <c:v>53.894639831387202</c:v>
                </c:pt>
                <c:pt idx="4">
                  <c:v>56.791109107626198</c:v>
                </c:pt>
                <c:pt idx="5">
                  <c:v>59.861455510955999</c:v>
                </c:pt>
                <c:pt idx="6">
                  <c:v>63.115871437104403</c:v>
                </c:pt>
                <c:pt idx="7">
                  <c:v>66.565150353804299</c:v>
                </c:pt>
              </c:numCache>
            </c:numRef>
          </c:val>
          <c:smooth val="0"/>
          <c:extLst xmlns:c16r2="http://schemas.microsoft.com/office/drawing/2015/06/chart">
            <c:ext xmlns:c16="http://schemas.microsoft.com/office/drawing/2014/chart" uri="{C3380CC4-5D6E-409C-BE32-E72D297353CC}">
              <c16:uniqueId val="{00000000-D205-4E41-8F54-3F1282B97801}"/>
            </c:ext>
          </c:extLst>
        </c:ser>
        <c:ser>
          <c:idx val="2"/>
          <c:order val="1"/>
          <c:tx>
            <c:strRef>
              <c:f>Comm_pronósticos!$M$173</c:f>
              <c:strCache>
                <c:ptCount val="1"/>
                <c:pt idx="0">
                  <c:v>Agricultura</c:v>
                </c:pt>
              </c:strCache>
            </c:strRef>
          </c:tx>
          <c:spPr>
            <a:ln w="31750" cap="rnd">
              <a:solidFill>
                <a:schemeClr val="accent6">
                  <a:lumMod val="75000"/>
                </a:schemeClr>
              </a:solidFill>
              <a:round/>
            </a:ln>
            <a:effectLst/>
          </c:spPr>
          <c:marker>
            <c:symbol val="none"/>
          </c:marker>
          <c:cat>
            <c:numRef>
              <c:f>Comm_pronósticos!$X$168:$AE$168</c:f>
              <c:numCache>
                <c:formatCode>General</c:formatCode>
                <c:ptCount val="8"/>
                <c:pt idx="0">
                  <c:v>2018</c:v>
                </c:pt>
                <c:pt idx="1">
                  <c:v>2019</c:v>
                </c:pt>
                <c:pt idx="2">
                  <c:v>2020</c:v>
                </c:pt>
                <c:pt idx="3">
                  <c:v>2021</c:v>
                </c:pt>
                <c:pt idx="4">
                  <c:v>2022</c:v>
                </c:pt>
                <c:pt idx="5">
                  <c:v>2023</c:v>
                </c:pt>
                <c:pt idx="6">
                  <c:v>2024</c:v>
                </c:pt>
                <c:pt idx="7">
                  <c:v>2025</c:v>
                </c:pt>
              </c:numCache>
            </c:numRef>
          </c:cat>
          <c:val>
            <c:numRef>
              <c:f>Comm_pronósticos!$X$173:$AE$173</c:f>
              <c:numCache>
                <c:formatCode>_(* #,##0.0_);_(* \(#,##0.0\);_(* "-"??_);_(@_)</c:formatCode>
                <c:ptCount val="8"/>
                <c:pt idx="0">
                  <c:v>86.688154555644402</c:v>
                </c:pt>
                <c:pt idx="1">
                  <c:v>83.315147236837007</c:v>
                </c:pt>
                <c:pt idx="2">
                  <c:v>82.3576469136421</c:v>
                </c:pt>
                <c:pt idx="3">
                  <c:v>83.878108287360405</c:v>
                </c:pt>
                <c:pt idx="4">
                  <c:v>85.436953016741896</c:v>
                </c:pt>
                <c:pt idx="5">
                  <c:v>87.035261854623201</c:v>
                </c:pt>
                <c:pt idx="6">
                  <c:v>88.674148648630506</c:v>
                </c:pt>
                <c:pt idx="7">
                  <c:v>90.354761416104594</c:v>
                </c:pt>
              </c:numCache>
            </c:numRef>
          </c:val>
          <c:smooth val="0"/>
          <c:extLst xmlns:c16r2="http://schemas.microsoft.com/office/drawing/2015/06/chart">
            <c:ext xmlns:c16="http://schemas.microsoft.com/office/drawing/2014/chart" uri="{C3380CC4-5D6E-409C-BE32-E72D297353CC}">
              <c16:uniqueId val="{00000001-D205-4E41-8F54-3F1282B97801}"/>
            </c:ext>
          </c:extLst>
        </c:ser>
        <c:ser>
          <c:idx val="3"/>
          <c:order val="2"/>
          <c:tx>
            <c:strRef>
              <c:f>Comm_pronósticos!$N$183</c:f>
              <c:strCache>
                <c:ptCount val="1"/>
                <c:pt idx="0">
                  <c:v>Metales y minerales</c:v>
                </c:pt>
              </c:strCache>
            </c:strRef>
          </c:tx>
          <c:spPr>
            <a:ln w="31750" cap="rnd">
              <a:solidFill>
                <a:srgbClr val="C00000"/>
              </a:solidFill>
              <a:round/>
            </a:ln>
            <a:effectLst/>
          </c:spPr>
          <c:marker>
            <c:symbol val="none"/>
          </c:marker>
          <c:cat>
            <c:numRef>
              <c:f>Comm_pronósticos!$X$168:$AE$168</c:f>
              <c:numCache>
                <c:formatCode>General</c:formatCode>
                <c:ptCount val="8"/>
                <c:pt idx="0">
                  <c:v>2018</c:v>
                </c:pt>
                <c:pt idx="1">
                  <c:v>2019</c:v>
                </c:pt>
                <c:pt idx="2">
                  <c:v>2020</c:v>
                </c:pt>
                <c:pt idx="3">
                  <c:v>2021</c:v>
                </c:pt>
                <c:pt idx="4">
                  <c:v>2022</c:v>
                </c:pt>
                <c:pt idx="5">
                  <c:v>2023</c:v>
                </c:pt>
                <c:pt idx="6">
                  <c:v>2024</c:v>
                </c:pt>
                <c:pt idx="7">
                  <c:v>2025</c:v>
                </c:pt>
              </c:numCache>
            </c:numRef>
          </c:cat>
          <c:val>
            <c:numRef>
              <c:f>Comm_pronósticos!$X$183:$AE$183</c:f>
              <c:numCache>
                <c:formatCode>_(* #,##0.0_);_(* \(#,##0.0\);_(* "-"??_);_(@_)</c:formatCode>
                <c:ptCount val="8"/>
                <c:pt idx="0">
                  <c:v>82.510125436753697</c:v>
                </c:pt>
                <c:pt idx="1">
                  <c:v>78.358987023285493</c:v>
                </c:pt>
                <c:pt idx="2">
                  <c:v>68.024249607565096</c:v>
                </c:pt>
                <c:pt idx="3">
                  <c:v>70.761927084537305</c:v>
                </c:pt>
                <c:pt idx="4">
                  <c:v>72.638488254625003</c:v>
                </c:pt>
                <c:pt idx="5">
                  <c:v>74.571324262302397</c:v>
                </c:pt>
                <c:pt idx="6">
                  <c:v>76.562240198581193</c:v>
                </c:pt>
                <c:pt idx="7">
                  <c:v>78.613102293783996</c:v>
                </c:pt>
              </c:numCache>
            </c:numRef>
          </c:val>
          <c:smooth val="0"/>
          <c:extLst xmlns:c16r2="http://schemas.microsoft.com/office/drawing/2015/06/chart">
            <c:ext xmlns:c16="http://schemas.microsoft.com/office/drawing/2014/chart" uri="{C3380CC4-5D6E-409C-BE32-E72D297353CC}">
              <c16:uniqueId val="{00000002-D205-4E41-8F54-3F1282B97801}"/>
            </c:ext>
          </c:extLst>
        </c:ser>
        <c:ser>
          <c:idx val="4"/>
          <c:order val="3"/>
          <c:tx>
            <c:strRef>
              <c:f>Comm_pronósticos!$N$185</c:f>
              <c:strCache>
                <c:ptCount val="1"/>
                <c:pt idx="0">
                  <c:v>Metales preciosos</c:v>
                </c:pt>
              </c:strCache>
            </c:strRef>
          </c:tx>
          <c:spPr>
            <a:ln w="31750" cap="rnd">
              <a:solidFill>
                <a:srgbClr val="FFC000"/>
              </a:solidFill>
              <a:round/>
            </a:ln>
            <a:effectLst/>
          </c:spPr>
          <c:marker>
            <c:symbol val="none"/>
          </c:marker>
          <c:cat>
            <c:numRef>
              <c:f>Comm_pronósticos!$X$168:$AE$168</c:f>
              <c:numCache>
                <c:formatCode>General</c:formatCode>
                <c:ptCount val="8"/>
                <c:pt idx="0">
                  <c:v>2018</c:v>
                </c:pt>
                <c:pt idx="1">
                  <c:v>2019</c:v>
                </c:pt>
                <c:pt idx="2">
                  <c:v>2020</c:v>
                </c:pt>
                <c:pt idx="3">
                  <c:v>2021</c:v>
                </c:pt>
                <c:pt idx="4">
                  <c:v>2022</c:v>
                </c:pt>
                <c:pt idx="5">
                  <c:v>2023</c:v>
                </c:pt>
                <c:pt idx="6">
                  <c:v>2024</c:v>
                </c:pt>
                <c:pt idx="7">
                  <c:v>2025</c:v>
                </c:pt>
              </c:numCache>
            </c:numRef>
          </c:cat>
          <c:val>
            <c:numRef>
              <c:f>Comm_pronósticos!$X$185:$AE$185</c:f>
              <c:numCache>
                <c:formatCode>_(* #,##0.0_);_(* \(#,##0.0\);_(* "-"??_);_(@_)</c:formatCode>
                <c:ptCount val="8"/>
                <c:pt idx="0">
                  <c:v>97.172782469925593</c:v>
                </c:pt>
                <c:pt idx="1">
                  <c:v>105.44443695111499</c:v>
                </c:pt>
                <c:pt idx="2">
                  <c:v>119.326631477966</c:v>
                </c:pt>
                <c:pt idx="3">
                  <c:v>119.001557268786</c:v>
                </c:pt>
                <c:pt idx="4">
                  <c:v>117.736409250436</c:v>
                </c:pt>
                <c:pt idx="5">
                  <c:v>116.493103508696</c:v>
                </c:pt>
                <c:pt idx="6">
                  <c:v>115.271396849799</c:v>
                </c:pt>
                <c:pt idx="7">
                  <c:v>114.07105084048</c:v>
                </c:pt>
              </c:numCache>
            </c:numRef>
          </c:val>
          <c:smooth val="0"/>
          <c:extLst xmlns:c16r2="http://schemas.microsoft.com/office/drawing/2015/06/chart">
            <c:ext xmlns:c16="http://schemas.microsoft.com/office/drawing/2014/chart" uri="{C3380CC4-5D6E-409C-BE32-E72D297353CC}">
              <c16:uniqueId val="{00000003-D205-4E41-8F54-3F1282B97801}"/>
            </c:ext>
          </c:extLst>
        </c:ser>
        <c:dLbls>
          <c:showLegendKey val="0"/>
          <c:showVal val="0"/>
          <c:showCatName val="0"/>
          <c:showSerName val="0"/>
          <c:showPercent val="0"/>
          <c:showBubbleSize val="0"/>
        </c:dLbls>
        <c:marker val="1"/>
        <c:smooth val="0"/>
        <c:axId val="145888384"/>
        <c:axId val="145889920"/>
      </c:lineChart>
      <c:catAx>
        <c:axId val="14588838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ES"/>
          </a:p>
        </c:txPr>
        <c:crossAx val="145889920"/>
        <c:crosses val="autoZero"/>
        <c:auto val="1"/>
        <c:lblAlgn val="ctr"/>
        <c:lblOffset val="100"/>
        <c:noMultiLvlLbl val="0"/>
      </c:catAx>
      <c:valAx>
        <c:axId val="145889920"/>
        <c:scaling>
          <c:orientation val="minMax"/>
          <c:max val="125"/>
          <c:min val="40"/>
        </c:scaling>
        <c:delete val="0"/>
        <c:axPos val="l"/>
        <c:majorGridlines>
          <c:spPr>
            <a:ln w="9525" cap="flat" cmpd="sng" algn="ctr">
              <a:solidFill>
                <a:schemeClr val="bg2">
                  <a:lumMod val="10000"/>
                  <a:alpha val="5000"/>
                </a:schemeClr>
              </a:solidFill>
              <a:round/>
            </a:ln>
            <a:effectLst/>
          </c:spPr>
        </c:majorGridlines>
        <c:numFmt formatCode="_(* #,##0.0_);_(* \(#,##0.0\);_(* &quot;-&quot;??_);_(@_)" sourceLinked="1"/>
        <c:majorTickMark val="none"/>
        <c:minorTickMark val="none"/>
        <c:tickLblPos val="high"/>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ES"/>
          </a:p>
        </c:txPr>
        <c:crossAx val="145888384"/>
        <c:crosses val="autoZero"/>
        <c:crossBetween val="between"/>
        <c:majorUnit val="20"/>
      </c:valAx>
      <c:spPr>
        <a:noFill/>
        <a:ln>
          <a:noFill/>
        </a:ln>
        <a:effectLst/>
      </c:spPr>
    </c:plotArea>
    <c:legend>
      <c:legendPos val="b"/>
      <c:layout>
        <c:manualLayout>
          <c:xMode val="edge"/>
          <c:yMode val="edge"/>
          <c:x val="3.4154748891435709E-2"/>
          <c:y val="0.83756746031746032"/>
          <c:w val="0.93809514803761751"/>
          <c:h val="0.13219444444444445"/>
        </c:manualLayout>
      </c:layout>
      <c:overlay val="0"/>
      <c:spPr>
        <a:noFill/>
        <a:ln>
          <a:noFill/>
        </a:ln>
        <a:effectLst/>
      </c:spPr>
      <c:txPr>
        <a:bodyPr rot="0" spcFirstLastPara="1" vertOverflow="ellipsis" vert="horz" wrap="square" anchor="ctr" anchorCtr="1"/>
        <a:lstStyle/>
        <a:p>
          <a:pPr>
            <a:defRPr sz="7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ES"/>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latin typeface="Times New Roman" panose="02020603050405020304" pitchFamily="18" charset="0"/>
          <a:cs typeface="Times New Roman" panose="02020603050405020304" pitchFamily="18" charset="0"/>
        </a:defRPr>
      </a:pPr>
      <a:endParaRPr lang="es-ES"/>
    </a:p>
  </c:txPr>
  <c:externalData r:id="rId1">
    <c:autoUpdate val="0"/>
  </c:externalData>
  <c:userShapes r:id="rId2"/>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lineChart>
        <c:grouping val="standard"/>
        <c:varyColors val="0"/>
        <c:ser>
          <c:idx val="0"/>
          <c:order val="0"/>
          <c:tx>
            <c:strRef>
              <c:f>Comm_pronósticos!$L$171</c:f>
              <c:strCache>
                <c:ptCount val="1"/>
                <c:pt idx="0">
                  <c:v>Energia</c:v>
                </c:pt>
              </c:strCache>
            </c:strRef>
          </c:tx>
          <c:spPr>
            <a:ln w="31750" cap="rnd">
              <a:solidFill>
                <a:schemeClr val="accent5">
                  <a:lumMod val="50000"/>
                </a:schemeClr>
              </a:solidFill>
              <a:round/>
            </a:ln>
            <a:effectLst/>
          </c:spPr>
          <c:marker>
            <c:symbol val="circle"/>
            <c:size val="7"/>
            <c:spPr>
              <a:solidFill>
                <a:schemeClr val="accent5"/>
              </a:solidFill>
              <a:ln w="9525">
                <a:solidFill>
                  <a:schemeClr val="accent5">
                    <a:lumMod val="50000"/>
                  </a:schemeClr>
                </a:solidFill>
              </a:ln>
              <a:effectLst/>
            </c:spPr>
          </c:marker>
          <c:dLbls>
            <c:dLbl>
              <c:idx val="0"/>
              <c:dLblPos val="l"/>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5894-4293-B1BB-14CD243AE1D0}"/>
                </c:ext>
              </c:extLst>
            </c:dLbl>
            <c:dLbl>
              <c:idx val="1"/>
              <c:layout>
                <c:manualLayout>
                  <c:x val="-1.104445863884012E-2"/>
                  <c:y val="4.6626280817985899E-3"/>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5894-4293-B1BB-14CD243AE1D0}"/>
                </c:ext>
              </c:extLst>
            </c:dLbl>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rgbClr val="002060"/>
                    </a:solidFill>
                    <a:latin typeface="Times New Roman" panose="02020603050405020304" pitchFamily="18" charset="0"/>
                    <a:ea typeface="+mn-ea"/>
                    <a:cs typeface="Times New Roman" panose="02020603050405020304" pitchFamily="18" charset="0"/>
                  </a:defRPr>
                </a:pPr>
                <a:endParaRPr lang="es-E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Comm_pronósticos!$AK$168:$AL$168</c:f>
              <c:strCache>
                <c:ptCount val="2"/>
                <c:pt idx="0">
                  <c:v>Pronóstico  10/19</c:v>
                </c:pt>
                <c:pt idx="1">
                  <c:v>Pronóstico  04/2020</c:v>
                </c:pt>
              </c:strCache>
            </c:strRef>
          </c:cat>
          <c:val>
            <c:numRef>
              <c:f>Comm_pronósticos!$AK$171:$AL$171</c:f>
              <c:numCache>
                <c:formatCode>_(* #,##0.0_);_(* \(#,##0.0\);_(* "-"??_);_(@_)</c:formatCode>
                <c:ptCount val="2"/>
                <c:pt idx="0">
                  <c:v>71.963526762786998</c:v>
                </c:pt>
                <c:pt idx="1">
                  <c:v>45.344331610951897</c:v>
                </c:pt>
              </c:numCache>
            </c:numRef>
          </c:val>
          <c:smooth val="0"/>
          <c:extLst xmlns:c16r2="http://schemas.microsoft.com/office/drawing/2015/06/chart">
            <c:ext xmlns:c16="http://schemas.microsoft.com/office/drawing/2014/chart" uri="{C3380CC4-5D6E-409C-BE32-E72D297353CC}">
              <c16:uniqueId val="{00000002-5894-4293-B1BB-14CD243AE1D0}"/>
            </c:ext>
          </c:extLst>
        </c:ser>
        <c:ser>
          <c:idx val="1"/>
          <c:order val="1"/>
          <c:tx>
            <c:strRef>
              <c:f>Comm_pronósticos!$M$173</c:f>
              <c:strCache>
                <c:ptCount val="1"/>
                <c:pt idx="0">
                  <c:v>Agricultura</c:v>
                </c:pt>
              </c:strCache>
            </c:strRef>
          </c:tx>
          <c:spPr>
            <a:ln w="31750" cap="rnd">
              <a:solidFill>
                <a:schemeClr val="accent6">
                  <a:lumMod val="75000"/>
                </a:schemeClr>
              </a:solidFill>
              <a:round/>
            </a:ln>
            <a:effectLst/>
          </c:spPr>
          <c:marker>
            <c:symbol val="circle"/>
            <c:size val="7"/>
            <c:spPr>
              <a:solidFill>
                <a:schemeClr val="accent6">
                  <a:lumMod val="40000"/>
                  <a:lumOff val="60000"/>
                </a:schemeClr>
              </a:solidFill>
              <a:ln w="9525">
                <a:solidFill>
                  <a:schemeClr val="accent6">
                    <a:lumMod val="75000"/>
                  </a:schemeClr>
                </a:solidFill>
              </a:ln>
              <a:effectLst/>
            </c:spPr>
          </c:marker>
          <c:dLbls>
            <c:dLbl>
              <c:idx val="0"/>
              <c:dLblPos val="l"/>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5894-4293-B1BB-14CD243AE1D0}"/>
                </c:ext>
              </c:extLst>
            </c:dLbl>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accent6">
                        <a:lumMod val="75000"/>
                      </a:schemeClr>
                    </a:solidFill>
                    <a:latin typeface="Times New Roman" panose="02020603050405020304" pitchFamily="18" charset="0"/>
                    <a:ea typeface="+mn-ea"/>
                    <a:cs typeface="Times New Roman" panose="02020603050405020304" pitchFamily="18" charset="0"/>
                  </a:defRPr>
                </a:pPr>
                <a:endParaRPr lang="es-E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Comm_pronósticos!$AK$168:$AL$168</c:f>
              <c:strCache>
                <c:ptCount val="2"/>
                <c:pt idx="0">
                  <c:v>Pronóstico  10/19</c:v>
                </c:pt>
                <c:pt idx="1">
                  <c:v>Pronóstico  04/2020</c:v>
                </c:pt>
              </c:strCache>
            </c:strRef>
          </c:cat>
          <c:val>
            <c:numRef>
              <c:f>Comm_pronósticos!$AK$173:$AL$173</c:f>
              <c:numCache>
                <c:formatCode>_(* #,##0.0_);_(* \(#,##0.0\);_(* "-"??_);_(@_)</c:formatCode>
                <c:ptCount val="2"/>
                <c:pt idx="0">
                  <c:v>83.129666672291904</c:v>
                </c:pt>
                <c:pt idx="1">
                  <c:v>82.3576469136421</c:v>
                </c:pt>
              </c:numCache>
            </c:numRef>
          </c:val>
          <c:smooth val="0"/>
          <c:extLst xmlns:c16r2="http://schemas.microsoft.com/office/drawing/2015/06/chart">
            <c:ext xmlns:c16="http://schemas.microsoft.com/office/drawing/2014/chart" uri="{C3380CC4-5D6E-409C-BE32-E72D297353CC}">
              <c16:uniqueId val="{00000004-5894-4293-B1BB-14CD243AE1D0}"/>
            </c:ext>
          </c:extLst>
        </c:ser>
        <c:ser>
          <c:idx val="2"/>
          <c:order val="2"/>
          <c:tx>
            <c:strRef>
              <c:f>Comm_pronósticos!$N$183</c:f>
              <c:strCache>
                <c:ptCount val="1"/>
                <c:pt idx="0">
                  <c:v>Metales y minerales</c:v>
                </c:pt>
              </c:strCache>
            </c:strRef>
          </c:tx>
          <c:spPr>
            <a:ln w="31750" cap="rnd">
              <a:solidFill>
                <a:srgbClr val="C00000"/>
              </a:solidFill>
              <a:round/>
            </a:ln>
            <a:effectLst/>
          </c:spPr>
          <c:marker>
            <c:symbol val="circle"/>
            <c:size val="7"/>
            <c:spPr>
              <a:solidFill>
                <a:srgbClr val="FFC1C1"/>
              </a:solidFill>
              <a:ln w="9525">
                <a:solidFill>
                  <a:srgbClr val="C00000"/>
                </a:solidFill>
              </a:ln>
              <a:effectLst/>
            </c:spPr>
          </c:marker>
          <c:dLbls>
            <c:dLbl>
              <c:idx val="0"/>
              <c:dLblPos val="l"/>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5-5894-4293-B1BB-14CD243AE1D0}"/>
                </c:ext>
              </c:extLst>
            </c:dLbl>
            <c:dLbl>
              <c:idx val="1"/>
              <c:layout>
                <c:manualLayout>
                  <c:x val="-5.5788005578800556E-3"/>
                  <c:y val="9.3253786140431397E-3"/>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6-5894-4293-B1BB-14CD243AE1D0}"/>
                </c:ext>
              </c:extLst>
            </c:dLbl>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rgbClr val="C00000"/>
                    </a:solidFill>
                    <a:latin typeface="Times New Roman" panose="02020603050405020304" pitchFamily="18" charset="0"/>
                    <a:ea typeface="+mn-ea"/>
                    <a:cs typeface="Times New Roman" panose="02020603050405020304" pitchFamily="18" charset="0"/>
                  </a:defRPr>
                </a:pPr>
                <a:endParaRPr lang="es-E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Comm_pronósticos!$AK$168:$AL$168</c:f>
              <c:strCache>
                <c:ptCount val="2"/>
                <c:pt idx="0">
                  <c:v>Pronóstico  10/19</c:v>
                </c:pt>
                <c:pt idx="1">
                  <c:v>Pronóstico  04/2020</c:v>
                </c:pt>
              </c:strCache>
            </c:strRef>
          </c:cat>
          <c:val>
            <c:numRef>
              <c:f>Comm_pronósticos!$AK$183:$AL$183</c:f>
              <c:numCache>
                <c:formatCode>_(* #,##0.0_);_(* \(#,##0.0\);_(* "-"??_);_(@_)</c:formatCode>
                <c:ptCount val="2"/>
                <c:pt idx="0">
                  <c:v>77.137612306122307</c:v>
                </c:pt>
                <c:pt idx="1">
                  <c:v>68.024249607565096</c:v>
                </c:pt>
              </c:numCache>
            </c:numRef>
          </c:val>
          <c:smooth val="0"/>
          <c:extLst xmlns:c16r2="http://schemas.microsoft.com/office/drawing/2015/06/chart">
            <c:ext xmlns:c16="http://schemas.microsoft.com/office/drawing/2014/chart" uri="{C3380CC4-5D6E-409C-BE32-E72D297353CC}">
              <c16:uniqueId val="{00000007-5894-4293-B1BB-14CD243AE1D0}"/>
            </c:ext>
          </c:extLst>
        </c:ser>
        <c:ser>
          <c:idx val="3"/>
          <c:order val="3"/>
          <c:tx>
            <c:strRef>
              <c:f>Comm_pronósticos!$N$185</c:f>
              <c:strCache>
                <c:ptCount val="1"/>
                <c:pt idx="0">
                  <c:v>Metales preciosos</c:v>
                </c:pt>
              </c:strCache>
            </c:strRef>
          </c:tx>
          <c:spPr>
            <a:ln w="31750" cap="rnd">
              <a:solidFill>
                <a:schemeClr val="accent4"/>
              </a:solidFill>
              <a:round/>
            </a:ln>
            <a:effectLst/>
          </c:spPr>
          <c:marker>
            <c:symbol val="circle"/>
            <c:size val="7"/>
            <c:spPr>
              <a:solidFill>
                <a:schemeClr val="accent4">
                  <a:lumMod val="40000"/>
                  <a:lumOff val="60000"/>
                </a:schemeClr>
              </a:solidFill>
              <a:ln w="9525">
                <a:solidFill>
                  <a:schemeClr val="accent4"/>
                </a:solidFill>
              </a:ln>
              <a:effectLst/>
            </c:spPr>
          </c:marker>
          <c:dLbls>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accent4"/>
                      </a:solidFill>
                      <a:latin typeface="Times New Roman" panose="02020603050405020304" pitchFamily="18" charset="0"/>
                      <a:ea typeface="+mn-ea"/>
                      <a:cs typeface="Times New Roman" panose="02020603050405020304" pitchFamily="18" charset="0"/>
                    </a:defRPr>
                  </a:pPr>
                  <a:endParaRPr lang="es-ES"/>
                </a:p>
              </c:txPr>
              <c:dLblPos val="l"/>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8-5894-4293-B1BB-14CD243AE1D0}"/>
                </c:ext>
              </c:extLst>
            </c:dLbl>
            <c:dLbl>
              <c:idx val="1"/>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accent4"/>
                      </a:solidFill>
                      <a:latin typeface="Times New Roman" panose="02020603050405020304" pitchFamily="18" charset="0"/>
                      <a:ea typeface="+mn-ea"/>
                      <a:cs typeface="Times New Roman" panose="02020603050405020304" pitchFamily="18" charset="0"/>
                    </a:defRPr>
                  </a:pPr>
                  <a:endParaRPr lang="es-ES"/>
                </a:p>
              </c:txPr>
              <c:showLegendKey val="0"/>
              <c:showVal val="1"/>
              <c:showCatName val="0"/>
              <c:showSerName val="0"/>
              <c:showPercent val="0"/>
              <c:showBubbleSize val="0"/>
            </c:dLbl>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accent4"/>
                    </a:solidFill>
                    <a:latin typeface="Times New Roman" panose="02020603050405020304" pitchFamily="18" charset="0"/>
                    <a:ea typeface="+mn-ea"/>
                    <a:cs typeface="Times New Roman" panose="02020603050405020304" pitchFamily="18" charset="0"/>
                  </a:defRPr>
                </a:pPr>
                <a:endParaRPr lang="es-E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Comm_pronósticos!$AK$168:$AL$168</c:f>
              <c:strCache>
                <c:ptCount val="2"/>
                <c:pt idx="0">
                  <c:v>Pronóstico  10/19</c:v>
                </c:pt>
                <c:pt idx="1">
                  <c:v>Pronóstico  04/2020</c:v>
                </c:pt>
              </c:strCache>
            </c:strRef>
          </c:cat>
          <c:val>
            <c:numRef>
              <c:f>Comm_pronósticos!$AK$185:$AL$185</c:f>
              <c:numCache>
                <c:formatCode>_(* #,##0.0_);_(* \(#,##0.0\);_(* "-"??_);_(@_)</c:formatCode>
                <c:ptCount val="2"/>
                <c:pt idx="0">
                  <c:v>111.155224684495</c:v>
                </c:pt>
                <c:pt idx="1">
                  <c:v>119.326631477966</c:v>
                </c:pt>
              </c:numCache>
            </c:numRef>
          </c:val>
          <c:smooth val="0"/>
          <c:extLst xmlns:c16r2="http://schemas.microsoft.com/office/drawing/2015/06/chart">
            <c:ext xmlns:c16="http://schemas.microsoft.com/office/drawing/2014/chart" uri="{C3380CC4-5D6E-409C-BE32-E72D297353CC}">
              <c16:uniqueId val="{0000000A-5894-4293-B1BB-14CD243AE1D0}"/>
            </c:ext>
          </c:extLst>
        </c:ser>
        <c:dLbls>
          <c:showLegendKey val="0"/>
          <c:showVal val="0"/>
          <c:showCatName val="0"/>
          <c:showSerName val="0"/>
          <c:showPercent val="0"/>
          <c:showBubbleSize val="0"/>
        </c:dLbls>
        <c:marker val="1"/>
        <c:smooth val="0"/>
        <c:axId val="146092416"/>
        <c:axId val="146093952"/>
      </c:lineChart>
      <c:catAx>
        <c:axId val="14609241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ES"/>
          </a:p>
        </c:txPr>
        <c:crossAx val="146093952"/>
        <c:crosses val="autoZero"/>
        <c:auto val="1"/>
        <c:lblAlgn val="ctr"/>
        <c:lblOffset val="100"/>
        <c:noMultiLvlLbl val="0"/>
      </c:catAx>
      <c:valAx>
        <c:axId val="146093952"/>
        <c:scaling>
          <c:orientation val="minMax"/>
          <c:max val="120"/>
          <c:min val="40"/>
        </c:scaling>
        <c:delete val="1"/>
        <c:axPos val="l"/>
        <c:majorGridlines>
          <c:spPr>
            <a:ln w="9525" cap="flat" cmpd="sng" algn="ctr">
              <a:solidFill>
                <a:schemeClr val="bg2">
                  <a:lumMod val="10000"/>
                  <a:alpha val="5000"/>
                </a:schemeClr>
              </a:solidFill>
              <a:round/>
            </a:ln>
            <a:effectLst/>
          </c:spPr>
        </c:majorGridlines>
        <c:numFmt formatCode="_(* #,##0.0_);_(* \(#,##0.0\);_(* &quot;-&quot;??_);_(@_)" sourceLinked="1"/>
        <c:majorTickMark val="none"/>
        <c:minorTickMark val="none"/>
        <c:tickLblPos val="nextTo"/>
        <c:crossAx val="14609241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7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ES"/>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pPr>
      <a:endParaRPr lang="es-ES"/>
    </a:p>
  </c:tx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VIX!$F$4</c:f>
              <c:strCache>
                <c:ptCount val="1"/>
                <c:pt idx="0">
                  <c:v>VIX</c:v>
                </c:pt>
              </c:strCache>
            </c:strRef>
          </c:tx>
          <c:spPr>
            <a:ln w="28575" cap="rnd">
              <a:solidFill>
                <a:schemeClr val="accent5">
                  <a:lumMod val="50000"/>
                </a:schemeClr>
              </a:solidFill>
              <a:round/>
            </a:ln>
            <a:effectLst/>
          </c:spPr>
          <c:marker>
            <c:symbol val="none"/>
          </c:marker>
          <c:cat>
            <c:numRef>
              <c:f>VIX!$H$5:$H$46</c:f>
              <c:numCache>
                <c:formatCode>mmm\-yy</c:formatCode>
                <c:ptCount val="42"/>
                <c:pt idx="0">
                  <c:v>42736</c:v>
                </c:pt>
                <c:pt idx="1">
                  <c:v>42767</c:v>
                </c:pt>
                <c:pt idx="2">
                  <c:v>42795</c:v>
                </c:pt>
                <c:pt idx="3">
                  <c:v>42826</c:v>
                </c:pt>
                <c:pt idx="4">
                  <c:v>42856</c:v>
                </c:pt>
                <c:pt idx="5">
                  <c:v>42887</c:v>
                </c:pt>
                <c:pt idx="6">
                  <c:v>42917</c:v>
                </c:pt>
                <c:pt idx="7">
                  <c:v>42948</c:v>
                </c:pt>
                <c:pt idx="8">
                  <c:v>42979</c:v>
                </c:pt>
                <c:pt idx="9">
                  <c:v>43009</c:v>
                </c:pt>
                <c:pt idx="10">
                  <c:v>43040</c:v>
                </c:pt>
                <c:pt idx="11">
                  <c:v>43070</c:v>
                </c:pt>
                <c:pt idx="12">
                  <c:v>43101</c:v>
                </c:pt>
                <c:pt idx="13">
                  <c:v>43132</c:v>
                </c:pt>
                <c:pt idx="14">
                  <c:v>43160</c:v>
                </c:pt>
                <c:pt idx="15">
                  <c:v>43191</c:v>
                </c:pt>
                <c:pt idx="16">
                  <c:v>43221</c:v>
                </c:pt>
                <c:pt idx="17">
                  <c:v>43252</c:v>
                </c:pt>
                <c:pt idx="18">
                  <c:v>43282</c:v>
                </c:pt>
                <c:pt idx="19">
                  <c:v>43313</c:v>
                </c:pt>
                <c:pt idx="20">
                  <c:v>43344</c:v>
                </c:pt>
                <c:pt idx="21">
                  <c:v>43374</c:v>
                </c:pt>
                <c:pt idx="22">
                  <c:v>43405</c:v>
                </c:pt>
                <c:pt idx="23">
                  <c:v>43435</c:v>
                </c:pt>
                <c:pt idx="24">
                  <c:v>43466</c:v>
                </c:pt>
                <c:pt idx="25">
                  <c:v>43497</c:v>
                </c:pt>
                <c:pt idx="26">
                  <c:v>43525</c:v>
                </c:pt>
                <c:pt idx="27">
                  <c:v>43556</c:v>
                </c:pt>
                <c:pt idx="28">
                  <c:v>43586</c:v>
                </c:pt>
                <c:pt idx="29">
                  <c:v>43617</c:v>
                </c:pt>
                <c:pt idx="30">
                  <c:v>43647</c:v>
                </c:pt>
                <c:pt idx="31">
                  <c:v>43678</c:v>
                </c:pt>
                <c:pt idx="32">
                  <c:v>43709</c:v>
                </c:pt>
                <c:pt idx="33">
                  <c:v>43739</c:v>
                </c:pt>
                <c:pt idx="34">
                  <c:v>43770</c:v>
                </c:pt>
                <c:pt idx="35">
                  <c:v>43800</c:v>
                </c:pt>
                <c:pt idx="36">
                  <c:v>43831</c:v>
                </c:pt>
                <c:pt idx="37">
                  <c:v>43862</c:v>
                </c:pt>
                <c:pt idx="38">
                  <c:v>43891</c:v>
                </c:pt>
                <c:pt idx="39">
                  <c:v>43922</c:v>
                </c:pt>
                <c:pt idx="40">
                  <c:v>43952</c:v>
                </c:pt>
                <c:pt idx="41">
                  <c:v>43983</c:v>
                </c:pt>
              </c:numCache>
            </c:numRef>
          </c:cat>
          <c:val>
            <c:numRef>
              <c:f>VIX!$F$5:$F$46</c:f>
              <c:numCache>
                <c:formatCode>General</c:formatCode>
                <c:ptCount val="42"/>
                <c:pt idx="0">
                  <c:v>11.99</c:v>
                </c:pt>
                <c:pt idx="1">
                  <c:v>12.92</c:v>
                </c:pt>
                <c:pt idx="2">
                  <c:v>12.37</c:v>
                </c:pt>
                <c:pt idx="3">
                  <c:v>10.82</c:v>
                </c:pt>
                <c:pt idx="4">
                  <c:v>10.41</c:v>
                </c:pt>
                <c:pt idx="5">
                  <c:v>11.18</c:v>
                </c:pt>
                <c:pt idx="6">
                  <c:v>10.26</c:v>
                </c:pt>
                <c:pt idx="7">
                  <c:v>10.59</c:v>
                </c:pt>
                <c:pt idx="8">
                  <c:v>9.51</c:v>
                </c:pt>
                <c:pt idx="9">
                  <c:v>10.18</c:v>
                </c:pt>
                <c:pt idx="10">
                  <c:v>11.28</c:v>
                </c:pt>
                <c:pt idx="11">
                  <c:v>11.04</c:v>
                </c:pt>
                <c:pt idx="12">
                  <c:v>13.54</c:v>
                </c:pt>
                <c:pt idx="13">
                  <c:v>19.850000000000001</c:v>
                </c:pt>
                <c:pt idx="14">
                  <c:v>19.97</c:v>
                </c:pt>
                <c:pt idx="15">
                  <c:v>15.93</c:v>
                </c:pt>
                <c:pt idx="16">
                  <c:v>15.43</c:v>
                </c:pt>
                <c:pt idx="17">
                  <c:v>16.09</c:v>
                </c:pt>
                <c:pt idx="18">
                  <c:v>12.83</c:v>
                </c:pt>
                <c:pt idx="19">
                  <c:v>12.86</c:v>
                </c:pt>
                <c:pt idx="20">
                  <c:v>12.12</c:v>
                </c:pt>
                <c:pt idx="21">
                  <c:v>21.23</c:v>
                </c:pt>
                <c:pt idx="22">
                  <c:v>18.07</c:v>
                </c:pt>
                <c:pt idx="23">
                  <c:v>25.42</c:v>
                </c:pt>
                <c:pt idx="24">
                  <c:v>16.57</c:v>
                </c:pt>
                <c:pt idx="25">
                  <c:v>14.78</c:v>
                </c:pt>
                <c:pt idx="26">
                  <c:v>13.71</c:v>
                </c:pt>
                <c:pt idx="27">
                  <c:v>13.12</c:v>
                </c:pt>
                <c:pt idx="28">
                  <c:v>18.71</c:v>
                </c:pt>
                <c:pt idx="29">
                  <c:v>15.08</c:v>
                </c:pt>
                <c:pt idx="30">
                  <c:v>16.12</c:v>
                </c:pt>
                <c:pt idx="31">
                  <c:v>18.98</c:v>
                </c:pt>
                <c:pt idx="32">
                  <c:v>16.239999999999998</c:v>
                </c:pt>
                <c:pt idx="33">
                  <c:v>13.22</c:v>
                </c:pt>
                <c:pt idx="34">
                  <c:v>12.62</c:v>
                </c:pt>
                <c:pt idx="35">
                  <c:v>13.78</c:v>
                </c:pt>
                <c:pt idx="36">
                  <c:v>18.84</c:v>
                </c:pt>
                <c:pt idx="37">
                  <c:v>40.11</c:v>
                </c:pt>
                <c:pt idx="38">
                  <c:v>53.54</c:v>
                </c:pt>
                <c:pt idx="39">
                  <c:v>34.15</c:v>
                </c:pt>
                <c:pt idx="40">
                  <c:v>27.51</c:v>
                </c:pt>
                <c:pt idx="41">
                  <c:v>30.43</c:v>
                </c:pt>
              </c:numCache>
            </c:numRef>
          </c:val>
          <c:smooth val="1"/>
          <c:extLst xmlns:c16r2="http://schemas.microsoft.com/office/drawing/2015/06/chart">
            <c:ext xmlns:c16="http://schemas.microsoft.com/office/drawing/2014/chart" uri="{C3380CC4-5D6E-409C-BE32-E72D297353CC}">
              <c16:uniqueId val="{00000000-EC9C-49D7-B693-B4D0B84CA728}"/>
            </c:ext>
          </c:extLst>
        </c:ser>
        <c:ser>
          <c:idx val="1"/>
          <c:order val="1"/>
          <c:tx>
            <c:strRef>
              <c:f>VIX!$H$4</c:f>
              <c:strCache>
                <c:ptCount val="1"/>
                <c:pt idx="0">
                  <c:v>VXEEM</c:v>
                </c:pt>
              </c:strCache>
            </c:strRef>
          </c:tx>
          <c:spPr>
            <a:ln w="28575" cap="rnd">
              <a:solidFill>
                <a:srgbClr val="C00000"/>
              </a:solidFill>
              <a:round/>
            </a:ln>
            <a:effectLst/>
          </c:spPr>
          <c:marker>
            <c:symbol val="none"/>
          </c:marker>
          <c:cat>
            <c:numRef>
              <c:f>VIX!$H$5:$H$46</c:f>
              <c:numCache>
                <c:formatCode>mmm\-yy</c:formatCode>
                <c:ptCount val="42"/>
                <c:pt idx="0">
                  <c:v>42736</c:v>
                </c:pt>
                <c:pt idx="1">
                  <c:v>42767</c:v>
                </c:pt>
                <c:pt idx="2">
                  <c:v>42795</c:v>
                </c:pt>
                <c:pt idx="3">
                  <c:v>42826</c:v>
                </c:pt>
                <c:pt idx="4">
                  <c:v>42856</c:v>
                </c:pt>
                <c:pt idx="5">
                  <c:v>42887</c:v>
                </c:pt>
                <c:pt idx="6">
                  <c:v>42917</c:v>
                </c:pt>
                <c:pt idx="7">
                  <c:v>42948</c:v>
                </c:pt>
                <c:pt idx="8">
                  <c:v>42979</c:v>
                </c:pt>
                <c:pt idx="9">
                  <c:v>43009</c:v>
                </c:pt>
                <c:pt idx="10">
                  <c:v>43040</c:v>
                </c:pt>
                <c:pt idx="11">
                  <c:v>43070</c:v>
                </c:pt>
                <c:pt idx="12">
                  <c:v>43101</c:v>
                </c:pt>
                <c:pt idx="13">
                  <c:v>43132</c:v>
                </c:pt>
                <c:pt idx="14">
                  <c:v>43160</c:v>
                </c:pt>
                <c:pt idx="15">
                  <c:v>43191</c:v>
                </c:pt>
                <c:pt idx="16">
                  <c:v>43221</c:v>
                </c:pt>
                <c:pt idx="17">
                  <c:v>43252</c:v>
                </c:pt>
                <c:pt idx="18">
                  <c:v>43282</c:v>
                </c:pt>
                <c:pt idx="19">
                  <c:v>43313</c:v>
                </c:pt>
                <c:pt idx="20">
                  <c:v>43344</c:v>
                </c:pt>
                <c:pt idx="21">
                  <c:v>43374</c:v>
                </c:pt>
                <c:pt idx="22">
                  <c:v>43405</c:v>
                </c:pt>
                <c:pt idx="23">
                  <c:v>43435</c:v>
                </c:pt>
                <c:pt idx="24">
                  <c:v>43466</c:v>
                </c:pt>
                <c:pt idx="25">
                  <c:v>43497</c:v>
                </c:pt>
                <c:pt idx="26">
                  <c:v>43525</c:v>
                </c:pt>
                <c:pt idx="27">
                  <c:v>43556</c:v>
                </c:pt>
                <c:pt idx="28">
                  <c:v>43586</c:v>
                </c:pt>
                <c:pt idx="29">
                  <c:v>43617</c:v>
                </c:pt>
                <c:pt idx="30">
                  <c:v>43647</c:v>
                </c:pt>
                <c:pt idx="31">
                  <c:v>43678</c:v>
                </c:pt>
                <c:pt idx="32">
                  <c:v>43709</c:v>
                </c:pt>
                <c:pt idx="33">
                  <c:v>43739</c:v>
                </c:pt>
                <c:pt idx="34">
                  <c:v>43770</c:v>
                </c:pt>
                <c:pt idx="35">
                  <c:v>43800</c:v>
                </c:pt>
                <c:pt idx="36">
                  <c:v>43831</c:v>
                </c:pt>
                <c:pt idx="37">
                  <c:v>43862</c:v>
                </c:pt>
                <c:pt idx="38">
                  <c:v>43891</c:v>
                </c:pt>
                <c:pt idx="39">
                  <c:v>43922</c:v>
                </c:pt>
                <c:pt idx="40">
                  <c:v>43952</c:v>
                </c:pt>
                <c:pt idx="41">
                  <c:v>43983</c:v>
                </c:pt>
              </c:numCache>
            </c:numRef>
          </c:cat>
          <c:val>
            <c:numRef>
              <c:f>VIX!$I$5:$I$46</c:f>
              <c:numCache>
                <c:formatCode>General</c:formatCode>
                <c:ptCount val="42"/>
                <c:pt idx="0">
                  <c:v>18.62</c:v>
                </c:pt>
                <c:pt idx="1">
                  <c:v>18.670000000000002</c:v>
                </c:pt>
                <c:pt idx="2">
                  <c:v>15.99</c:v>
                </c:pt>
                <c:pt idx="3">
                  <c:v>14.76</c:v>
                </c:pt>
                <c:pt idx="4">
                  <c:v>17.059999999999999</c:v>
                </c:pt>
                <c:pt idx="5">
                  <c:v>15.97</c:v>
                </c:pt>
                <c:pt idx="6">
                  <c:v>14.52</c:v>
                </c:pt>
                <c:pt idx="7">
                  <c:v>16.52</c:v>
                </c:pt>
                <c:pt idx="8">
                  <c:v>16.03</c:v>
                </c:pt>
                <c:pt idx="9">
                  <c:v>17.07</c:v>
                </c:pt>
                <c:pt idx="10">
                  <c:v>18.920000000000002</c:v>
                </c:pt>
                <c:pt idx="11">
                  <c:v>16.25</c:v>
                </c:pt>
                <c:pt idx="12">
                  <c:v>20.66</c:v>
                </c:pt>
                <c:pt idx="13">
                  <c:v>25.81</c:v>
                </c:pt>
                <c:pt idx="14">
                  <c:v>26.26</c:v>
                </c:pt>
                <c:pt idx="15">
                  <c:v>18.91</c:v>
                </c:pt>
                <c:pt idx="16">
                  <c:v>19.329999999999998</c:v>
                </c:pt>
                <c:pt idx="17">
                  <c:v>20.77</c:v>
                </c:pt>
                <c:pt idx="18">
                  <c:v>17.8</c:v>
                </c:pt>
                <c:pt idx="19">
                  <c:v>20.260000000000002</c:v>
                </c:pt>
                <c:pt idx="20">
                  <c:v>19.649999999999999</c:v>
                </c:pt>
                <c:pt idx="21">
                  <c:v>27.92</c:v>
                </c:pt>
                <c:pt idx="22">
                  <c:v>26.11</c:v>
                </c:pt>
                <c:pt idx="23">
                  <c:v>24.91</c:v>
                </c:pt>
                <c:pt idx="24">
                  <c:v>20.149999999999999</c:v>
                </c:pt>
                <c:pt idx="25">
                  <c:v>18.66</c:v>
                </c:pt>
                <c:pt idx="26">
                  <c:v>18.09</c:v>
                </c:pt>
                <c:pt idx="27">
                  <c:v>16</c:v>
                </c:pt>
                <c:pt idx="28">
                  <c:v>21.17</c:v>
                </c:pt>
                <c:pt idx="29">
                  <c:v>19.73</c:v>
                </c:pt>
                <c:pt idx="30">
                  <c:v>17.48</c:v>
                </c:pt>
                <c:pt idx="31">
                  <c:v>19.72</c:v>
                </c:pt>
                <c:pt idx="32">
                  <c:v>19.2</c:v>
                </c:pt>
                <c:pt idx="33">
                  <c:v>17.52</c:v>
                </c:pt>
                <c:pt idx="34">
                  <c:v>18.02</c:v>
                </c:pt>
                <c:pt idx="35">
                  <c:v>17.27</c:v>
                </c:pt>
                <c:pt idx="36">
                  <c:v>22.99</c:v>
                </c:pt>
                <c:pt idx="37">
                  <c:v>43.16</c:v>
                </c:pt>
                <c:pt idx="38">
                  <c:v>51.75</c:v>
                </c:pt>
                <c:pt idx="39">
                  <c:v>35.99</c:v>
                </c:pt>
                <c:pt idx="40">
                  <c:v>29.79</c:v>
                </c:pt>
                <c:pt idx="41">
                  <c:v>27.99</c:v>
                </c:pt>
              </c:numCache>
            </c:numRef>
          </c:val>
          <c:smooth val="1"/>
          <c:extLst xmlns:c16r2="http://schemas.microsoft.com/office/drawing/2015/06/chart">
            <c:ext xmlns:c16="http://schemas.microsoft.com/office/drawing/2014/chart" uri="{C3380CC4-5D6E-409C-BE32-E72D297353CC}">
              <c16:uniqueId val="{00000001-EC9C-49D7-B693-B4D0B84CA728}"/>
            </c:ext>
          </c:extLst>
        </c:ser>
        <c:dLbls>
          <c:showLegendKey val="0"/>
          <c:showVal val="0"/>
          <c:showCatName val="0"/>
          <c:showSerName val="0"/>
          <c:showPercent val="0"/>
          <c:showBubbleSize val="0"/>
        </c:dLbls>
        <c:marker val="1"/>
        <c:smooth val="0"/>
        <c:axId val="146122624"/>
        <c:axId val="146124160"/>
      </c:lineChart>
      <c:dateAx>
        <c:axId val="146122624"/>
        <c:scaling>
          <c:orientation val="minMax"/>
          <c:min val="43252"/>
        </c:scaling>
        <c:delete val="0"/>
        <c:axPos val="b"/>
        <c:numFmt formatCode="mmm\-yy"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ES"/>
          </a:p>
        </c:txPr>
        <c:crossAx val="146124160"/>
        <c:crosses val="autoZero"/>
        <c:auto val="1"/>
        <c:lblOffset val="100"/>
        <c:baseTimeUnit val="months"/>
        <c:majorUnit val="2"/>
        <c:majorTimeUnit val="months"/>
      </c:dateAx>
      <c:valAx>
        <c:axId val="146124160"/>
        <c:scaling>
          <c:orientation val="minMax"/>
        </c:scaling>
        <c:delete val="0"/>
        <c:axPos val="l"/>
        <c:majorGridlines>
          <c:spPr>
            <a:ln w="9525" cap="flat" cmpd="sng" algn="ctr">
              <a:solidFill>
                <a:schemeClr val="tx1">
                  <a:lumMod val="95000"/>
                  <a:lumOff val="5000"/>
                  <a:alpha val="5000"/>
                </a:schemeClr>
              </a:solidFill>
              <a:round/>
            </a:ln>
            <a:effectLst/>
          </c:spPr>
        </c:majorGridlines>
        <c:numFmt formatCode="General" sourceLinked="1"/>
        <c:majorTickMark val="none"/>
        <c:minorTickMark val="none"/>
        <c:tickLblPos val="high"/>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ES"/>
          </a:p>
        </c:txPr>
        <c:crossAx val="14612262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pPr>
      <a:endParaRPr lang="es-ES"/>
    </a:p>
  </c:tx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Interno!$N$3</c:f>
              <c:strCache>
                <c:ptCount val="1"/>
                <c:pt idx="0">
                  <c:v>Pronóstico</c:v>
                </c:pt>
              </c:strCache>
            </c:strRef>
          </c:tx>
          <c:spPr>
            <a:solidFill>
              <a:schemeClr val="accent6">
                <a:lumMod val="40000"/>
                <a:lumOff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ES"/>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Interno!$M$4:$M$7</c:f>
              <c:strCache>
                <c:ptCount val="4"/>
                <c:pt idx="0">
                  <c:v>Dic-18</c:v>
                </c:pt>
                <c:pt idx="1">
                  <c:v>Abr-19</c:v>
                </c:pt>
                <c:pt idx="2">
                  <c:v>Ago-19</c:v>
                </c:pt>
                <c:pt idx="3">
                  <c:v>Dic-19</c:v>
                </c:pt>
              </c:strCache>
            </c:strRef>
          </c:cat>
          <c:val>
            <c:numRef>
              <c:f>Interno!$N$4:$N$7</c:f>
              <c:numCache>
                <c:formatCode>0.0</c:formatCode>
                <c:ptCount val="4"/>
                <c:pt idx="0">
                  <c:v>3.4</c:v>
                </c:pt>
                <c:pt idx="1">
                  <c:v>3.4</c:v>
                </c:pt>
                <c:pt idx="2">
                  <c:v>3.4</c:v>
                </c:pt>
                <c:pt idx="3">
                  <c:v>3.6</c:v>
                </c:pt>
              </c:numCache>
            </c:numRef>
          </c:val>
          <c:extLst xmlns:c16r2="http://schemas.microsoft.com/office/drawing/2015/06/chart">
            <c:ext xmlns:c16="http://schemas.microsoft.com/office/drawing/2014/chart" uri="{C3380CC4-5D6E-409C-BE32-E72D297353CC}">
              <c16:uniqueId val="{00000000-09B8-41C7-B735-3051D7513D20}"/>
            </c:ext>
          </c:extLst>
        </c:ser>
        <c:dLbls>
          <c:showLegendKey val="0"/>
          <c:showVal val="0"/>
          <c:showCatName val="0"/>
          <c:showSerName val="0"/>
          <c:showPercent val="0"/>
          <c:showBubbleSize val="0"/>
        </c:dLbls>
        <c:gapWidth val="100"/>
        <c:axId val="146213504"/>
        <c:axId val="146231680"/>
      </c:barChart>
      <c:lineChart>
        <c:grouping val="stacked"/>
        <c:varyColors val="0"/>
        <c:ser>
          <c:idx val="1"/>
          <c:order val="1"/>
          <c:tx>
            <c:strRef>
              <c:f>Interno!$M$10</c:f>
              <c:strCache>
                <c:ptCount val="1"/>
                <c:pt idx="0">
                  <c:v>Desviación con respecto al observado</c:v>
                </c:pt>
              </c:strCache>
            </c:strRef>
          </c:tx>
          <c:spPr>
            <a:ln w="31750" cap="rnd">
              <a:noFill/>
              <a:round/>
            </a:ln>
            <a:effectLst/>
          </c:spPr>
          <c:marker>
            <c:symbol val="diamond"/>
            <c:size val="7"/>
            <c:spPr>
              <a:solidFill>
                <a:srgbClr val="C00000"/>
              </a:solidFill>
              <a:ln w="9525">
                <a:noFill/>
              </a:ln>
              <a:effectLst/>
            </c:spPr>
          </c:marker>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rgbClr val="C00000"/>
                    </a:solidFill>
                    <a:latin typeface="Times New Roman" panose="02020603050405020304" pitchFamily="18" charset="0"/>
                    <a:ea typeface="+mn-ea"/>
                    <a:cs typeface="Times New Roman" panose="02020603050405020304" pitchFamily="18" charset="0"/>
                  </a:defRPr>
                </a:pPr>
                <a:endParaRPr lang="es-ES"/>
              </a:p>
            </c:txPr>
            <c:dLblPos val="b"/>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Interno!$N$11:$N$14</c:f>
              <c:numCache>
                <c:formatCode>0.0</c:formatCode>
                <c:ptCount val="4"/>
                <c:pt idx="0">
                  <c:v>-0.44599787705283811</c:v>
                </c:pt>
                <c:pt idx="1">
                  <c:v>-0.44599787705283811</c:v>
                </c:pt>
                <c:pt idx="2">
                  <c:v>-0.44599787705283811</c:v>
                </c:pt>
                <c:pt idx="3">
                  <c:v>-0.24599787705283793</c:v>
                </c:pt>
              </c:numCache>
            </c:numRef>
          </c:val>
          <c:smooth val="0"/>
          <c:extLst xmlns:c16r2="http://schemas.microsoft.com/office/drawing/2015/06/chart">
            <c:ext xmlns:c16="http://schemas.microsoft.com/office/drawing/2014/chart" uri="{C3380CC4-5D6E-409C-BE32-E72D297353CC}">
              <c16:uniqueId val="{00000001-09B8-41C7-B735-3051D7513D20}"/>
            </c:ext>
          </c:extLst>
        </c:ser>
        <c:dLbls>
          <c:showLegendKey val="0"/>
          <c:showVal val="0"/>
          <c:showCatName val="0"/>
          <c:showSerName val="0"/>
          <c:showPercent val="0"/>
          <c:showBubbleSize val="0"/>
        </c:dLbls>
        <c:marker val="1"/>
        <c:smooth val="0"/>
        <c:axId val="146213504"/>
        <c:axId val="146231680"/>
      </c:lineChart>
      <c:catAx>
        <c:axId val="146213504"/>
        <c:scaling>
          <c:orientation val="minMax"/>
        </c:scaling>
        <c:delete val="0"/>
        <c:axPos val="b"/>
        <c:numFmt formatCode="General" sourceLinked="1"/>
        <c:majorTickMark val="none"/>
        <c:minorTickMark val="none"/>
        <c:tickLblPos val="low"/>
        <c:spPr>
          <a:noFill/>
          <a:ln w="19050" cap="flat" cmpd="sng" algn="ctr">
            <a:solidFill>
              <a:schemeClr val="bg1">
                <a:lumMod val="6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146231680"/>
        <c:crosses val="autoZero"/>
        <c:auto val="1"/>
        <c:lblAlgn val="ctr"/>
        <c:lblOffset val="100"/>
        <c:noMultiLvlLbl val="0"/>
      </c:catAx>
      <c:valAx>
        <c:axId val="146231680"/>
        <c:scaling>
          <c:orientation val="minMax"/>
        </c:scaling>
        <c:delete val="1"/>
        <c:axPos val="l"/>
        <c:majorGridlines>
          <c:spPr>
            <a:ln w="9525" cap="flat" cmpd="sng" algn="ctr">
              <a:solidFill>
                <a:schemeClr val="tx1">
                  <a:alpha val="7000"/>
                </a:schemeClr>
              </a:solidFill>
              <a:round/>
            </a:ln>
            <a:effectLst/>
          </c:spPr>
        </c:majorGridlines>
        <c:numFmt formatCode="0.0" sourceLinked="1"/>
        <c:majorTickMark val="none"/>
        <c:minorTickMark val="none"/>
        <c:tickLblPos val="nextTo"/>
        <c:crossAx val="14621350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ES"/>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pPr>
      <a:endParaRPr lang="es-ES"/>
    </a:p>
  </c:txPr>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5.5436507936507937E-2"/>
          <c:y val="5.5436507936507937E-2"/>
          <c:w val="0.8891269841269841"/>
          <c:h val="0.71173888888888892"/>
        </c:manualLayout>
      </c:layout>
      <c:barChart>
        <c:barDir val="col"/>
        <c:grouping val="clustered"/>
        <c:varyColors val="0"/>
        <c:ser>
          <c:idx val="0"/>
          <c:order val="0"/>
          <c:tx>
            <c:strRef>
              <c:f>Interno!$O$3</c:f>
              <c:strCache>
                <c:ptCount val="1"/>
                <c:pt idx="0">
                  <c:v>Pronóstico</c:v>
                </c:pt>
              </c:strCache>
            </c:strRef>
          </c:tx>
          <c:spPr>
            <a:solidFill>
              <a:schemeClr val="accent5">
                <a:lumMod val="40000"/>
                <a:lumOff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ES"/>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Interno!$M$4:$M$7</c:f>
              <c:strCache>
                <c:ptCount val="4"/>
                <c:pt idx="0">
                  <c:v>Dic-18</c:v>
                </c:pt>
                <c:pt idx="1">
                  <c:v>Abr-19</c:v>
                </c:pt>
                <c:pt idx="2">
                  <c:v>Ago-19</c:v>
                </c:pt>
                <c:pt idx="3">
                  <c:v>Dic-19</c:v>
                </c:pt>
              </c:strCache>
            </c:strRef>
          </c:cat>
          <c:val>
            <c:numRef>
              <c:f>Interno!$O$4:$O$7</c:f>
              <c:numCache>
                <c:formatCode>General</c:formatCode>
                <c:ptCount val="4"/>
                <c:pt idx="0">
                  <c:v>7.9</c:v>
                </c:pt>
                <c:pt idx="1">
                  <c:v>7.5</c:v>
                </c:pt>
                <c:pt idx="2">
                  <c:v>7.5</c:v>
                </c:pt>
                <c:pt idx="3">
                  <c:v>7.5</c:v>
                </c:pt>
              </c:numCache>
            </c:numRef>
          </c:val>
          <c:extLst xmlns:c16r2="http://schemas.microsoft.com/office/drawing/2015/06/chart">
            <c:ext xmlns:c16="http://schemas.microsoft.com/office/drawing/2014/chart" uri="{C3380CC4-5D6E-409C-BE32-E72D297353CC}">
              <c16:uniqueId val="{00000000-102E-42E0-B144-46B835DB38F5}"/>
            </c:ext>
          </c:extLst>
        </c:ser>
        <c:dLbls>
          <c:showLegendKey val="0"/>
          <c:showVal val="0"/>
          <c:showCatName val="0"/>
          <c:showSerName val="0"/>
          <c:showPercent val="0"/>
          <c:showBubbleSize val="0"/>
        </c:dLbls>
        <c:gapWidth val="100"/>
        <c:axId val="146263424"/>
        <c:axId val="146265216"/>
      </c:barChart>
      <c:lineChart>
        <c:grouping val="stacked"/>
        <c:varyColors val="0"/>
        <c:ser>
          <c:idx val="1"/>
          <c:order val="1"/>
          <c:tx>
            <c:strRef>
              <c:f>Interno!$M$10</c:f>
              <c:strCache>
                <c:ptCount val="1"/>
                <c:pt idx="0">
                  <c:v>Desviación con respecto al observado</c:v>
                </c:pt>
              </c:strCache>
            </c:strRef>
          </c:tx>
          <c:spPr>
            <a:ln w="31750" cap="rnd">
              <a:noFill/>
              <a:round/>
            </a:ln>
            <a:effectLst/>
          </c:spPr>
          <c:marker>
            <c:symbol val="diamond"/>
            <c:size val="7"/>
            <c:spPr>
              <a:solidFill>
                <a:srgbClr val="C00000"/>
              </a:solidFill>
              <a:ln w="9525">
                <a:noFill/>
              </a:ln>
              <a:effectLst/>
            </c:spPr>
          </c:marker>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rgbClr val="C00000"/>
                    </a:solidFill>
                    <a:latin typeface="Times New Roman" panose="02020603050405020304" pitchFamily="18" charset="0"/>
                    <a:ea typeface="+mn-ea"/>
                    <a:cs typeface="Times New Roman" panose="02020603050405020304" pitchFamily="18" charset="0"/>
                  </a:defRPr>
                </a:pPr>
                <a:endParaRPr lang="es-ES"/>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Interno!$O$11:$O$14</c:f>
              <c:numCache>
                <c:formatCode>0.0</c:formatCode>
                <c:ptCount val="4"/>
                <c:pt idx="0">
                  <c:v>0.51047830550106177</c:v>
                </c:pt>
                <c:pt idx="1">
                  <c:v>0.11047830550106141</c:v>
                </c:pt>
                <c:pt idx="2">
                  <c:v>0.11047830550106141</c:v>
                </c:pt>
                <c:pt idx="3">
                  <c:v>0.11047830550106141</c:v>
                </c:pt>
              </c:numCache>
            </c:numRef>
          </c:val>
          <c:smooth val="0"/>
          <c:extLst xmlns:c16r2="http://schemas.microsoft.com/office/drawing/2015/06/chart">
            <c:ext xmlns:c16="http://schemas.microsoft.com/office/drawing/2014/chart" uri="{C3380CC4-5D6E-409C-BE32-E72D297353CC}">
              <c16:uniqueId val="{00000001-102E-42E0-B144-46B835DB38F5}"/>
            </c:ext>
          </c:extLst>
        </c:ser>
        <c:dLbls>
          <c:showLegendKey val="0"/>
          <c:showVal val="0"/>
          <c:showCatName val="0"/>
          <c:showSerName val="0"/>
          <c:showPercent val="0"/>
          <c:showBubbleSize val="0"/>
        </c:dLbls>
        <c:marker val="1"/>
        <c:smooth val="0"/>
        <c:axId val="146263424"/>
        <c:axId val="146265216"/>
      </c:lineChart>
      <c:catAx>
        <c:axId val="146263424"/>
        <c:scaling>
          <c:orientation val="minMax"/>
        </c:scaling>
        <c:delete val="0"/>
        <c:axPos val="b"/>
        <c:numFmt formatCode="General" sourceLinked="1"/>
        <c:majorTickMark val="none"/>
        <c:minorTickMark val="none"/>
        <c:tickLblPos val="low"/>
        <c:spPr>
          <a:noFill/>
          <a:ln w="19050" cap="flat" cmpd="sng" algn="ctr">
            <a:solidFill>
              <a:schemeClr val="bg1">
                <a:lumMod val="6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ES"/>
          </a:p>
        </c:txPr>
        <c:crossAx val="146265216"/>
        <c:crosses val="autoZero"/>
        <c:auto val="1"/>
        <c:lblAlgn val="ctr"/>
        <c:lblOffset val="100"/>
        <c:noMultiLvlLbl val="0"/>
      </c:catAx>
      <c:valAx>
        <c:axId val="146265216"/>
        <c:scaling>
          <c:orientation val="minMax"/>
        </c:scaling>
        <c:delete val="1"/>
        <c:axPos val="l"/>
        <c:majorGridlines>
          <c:spPr>
            <a:ln w="9525" cap="flat" cmpd="sng" algn="ctr">
              <a:solidFill>
                <a:schemeClr val="tx1">
                  <a:alpha val="7000"/>
                </a:schemeClr>
              </a:solidFill>
              <a:round/>
            </a:ln>
            <a:effectLst/>
          </c:spPr>
        </c:majorGridlines>
        <c:numFmt formatCode="General" sourceLinked="1"/>
        <c:majorTickMark val="none"/>
        <c:minorTickMark val="none"/>
        <c:tickLblPos val="nextTo"/>
        <c:crossAx val="14626342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ES"/>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pPr>
      <a:endParaRPr lang="es-ES"/>
    </a:p>
  </c:txPr>
  <c:externalData r:id="rId1">
    <c:autoUpdate val="0"/>
  </c:externalData>
</c:chartSpace>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95BD838A-4234-4BA0-955C-688852652860}" type="doc">
      <dgm:prSet loTypeId="urn:microsoft.com/office/officeart/2005/8/layout/hierarchy3" loCatId="relationship" qsTypeId="urn:microsoft.com/office/officeart/2005/8/quickstyle/simple1" qsCatId="simple" csTypeId="urn:microsoft.com/office/officeart/2005/8/colors/accent1_2" csCatId="accent1" phldr="1"/>
      <dgm:spPr/>
      <dgm:t>
        <a:bodyPr/>
        <a:lstStyle/>
        <a:p>
          <a:endParaRPr lang="es-GT"/>
        </a:p>
      </dgm:t>
    </dgm:pt>
    <dgm:pt modelId="{E9C13116-2CD3-4FF3-B827-0EB367E63747}">
      <dgm:prSet phldrT="[Texto]" custT="1">
        <dgm:style>
          <a:lnRef idx="2">
            <a:schemeClr val="accent1"/>
          </a:lnRef>
          <a:fillRef idx="1">
            <a:schemeClr val="lt1"/>
          </a:fillRef>
          <a:effectRef idx="0">
            <a:schemeClr val="accent1"/>
          </a:effectRef>
          <a:fontRef idx="minor">
            <a:schemeClr val="dk1"/>
          </a:fontRef>
        </dgm:style>
      </dgm:prSet>
      <dgm:spPr/>
      <dgm:t>
        <a:bodyPr anchor="t"/>
        <a:lstStyle/>
        <a:p>
          <a:r>
            <a:rPr lang="es-ES" sz="1000" b="1" dirty="0">
              <a:latin typeface="Times New Roman" panose="02020603050405020304" pitchFamily="18" charset="0"/>
              <a:cs typeface="Times New Roman" panose="02020603050405020304" pitchFamily="18" charset="0"/>
            </a:rPr>
            <a:t>Respuesta</a:t>
          </a:r>
        </a:p>
        <a:p>
          <a:r>
            <a:rPr lang="es-ES" sz="900" dirty="0">
              <a:latin typeface="Times New Roman" panose="02020603050405020304" pitchFamily="18" charset="0"/>
              <a:cs typeface="Times New Roman" panose="02020603050405020304" pitchFamily="18" charset="0"/>
            </a:rPr>
            <a:t>Responder a la emergencia de salud y apoyar a las  personas y empresas vulnerables </a:t>
          </a:r>
          <a:endParaRPr lang="es-GT" sz="900" dirty="0">
            <a:latin typeface="Times New Roman" panose="02020603050405020304" pitchFamily="18" charset="0"/>
            <a:cs typeface="Times New Roman" panose="02020603050405020304" pitchFamily="18" charset="0"/>
          </a:endParaRPr>
        </a:p>
      </dgm:t>
    </dgm:pt>
    <dgm:pt modelId="{F04E5778-08B2-452E-9FED-7AF7F1BAA846}" type="parTrans" cxnId="{FC71891F-4D8E-45A5-8384-CAE082797334}">
      <dgm:prSet/>
      <dgm:spPr/>
      <dgm:t>
        <a:bodyPr/>
        <a:lstStyle/>
        <a:p>
          <a:endParaRPr lang="es-GT" sz="1400">
            <a:latin typeface="Times New Roman" panose="02020603050405020304" pitchFamily="18" charset="0"/>
            <a:cs typeface="Times New Roman" panose="02020603050405020304" pitchFamily="18" charset="0"/>
          </a:endParaRPr>
        </a:p>
      </dgm:t>
    </dgm:pt>
    <dgm:pt modelId="{1CF80FE0-6E37-461A-BF1C-4D3DB2922A29}" type="sibTrans" cxnId="{FC71891F-4D8E-45A5-8384-CAE082797334}">
      <dgm:prSet/>
      <dgm:spPr/>
      <dgm:t>
        <a:bodyPr/>
        <a:lstStyle/>
        <a:p>
          <a:endParaRPr lang="es-GT" sz="1400">
            <a:latin typeface="Times New Roman" panose="02020603050405020304" pitchFamily="18" charset="0"/>
            <a:cs typeface="Times New Roman" panose="02020603050405020304" pitchFamily="18" charset="0"/>
          </a:endParaRPr>
        </a:p>
      </dgm:t>
    </dgm:pt>
    <dgm:pt modelId="{C77BC8D2-8368-4CFF-B561-76F88DA3F026}">
      <dgm:prSet phldrT="[Texto]" custT="1"/>
      <dgm:spPr/>
      <dgm:t>
        <a:bodyPr anchor="t"/>
        <a:lstStyle/>
        <a:p>
          <a:pPr algn="just">
            <a:buNone/>
          </a:pPr>
          <a:r>
            <a:rPr lang="es-ES" sz="800" b="0" i="0" dirty="0">
              <a:latin typeface="Times New Roman" panose="02020603050405020304" pitchFamily="18" charset="0"/>
              <a:cs typeface="Times New Roman" panose="02020603050405020304" pitchFamily="18" charset="0"/>
            </a:rPr>
            <a:t>Asistir a la crisis de salud, hacer cumplir el confinamiento y distanciamiento social.</a:t>
          </a:r>
        </a:p>
        <a:p>
          <a:pPr algn="just">
            <a:buNone/>
          </a:pPr>
          <a:r>
            <a:rPr lang="es-ES" sz="800" b="0" i="0" dirty="0">
              <a:latin typeface="Times New Roman" panose="02020603050405020304" pitchFamily="18" charset="0"/>
              <a:cs typeface="Times New Roman" panose="02020603050405020304" pitchFamily="18" charset="0"/>
            </a:rPr>
            <a:t>Aumento de gastos para atención de la emergencia sanitaria.</a:t>
          </a:r>
        </a:p>
        <a:p>
          <a:pPr algn="just">
            <a:buNone/>
          </a:pPr>
          <a:r>
            <a:rPr lang="es-ES" sz="800" b="0" i="0" dirty="0">
              <a:latin typeface="Times New Roman" panose="02020603050405020304" pitchFamily="18" charset="0"/>
              <a:cs typeface="Times New Roman" panose="02020603050405020304" pitchFamily="18" charset="0"/>
            </a:rPr>
            <a:t>Constituir fondos específicos de atención de la emergencia y realizar transferencias de emergencia:</a:t>
          </a:r>
        </a:p>
        <a:p>
          <a:pPr algn="just">
            <a:buFont typeface="Wingdings" panose="05000000000000000000" pitchFamily="2" charset="2"/>
            <a:buChar char="§"/>
          </a:pPr>
          <a:r>
            <a:rPr lang="es-ES" sz="800" b="0" i="0" dirty="0">
              <a:latin typeface="Times New Roman" panose="02020603050405020304" pitchFamily="18" charset="0"/>
              <a:cs typeface="Times New Roman" panose="02020603050405020304" pitchFamily="18" charset="0"/>
            </a:rPr>
            <a:t>	Apoyar a ciudadanos 	vulnerables</a:t>
          </a:r>
        </a:p>
        <a:p>
          <a:pPr algn="just">
            <a:buFont typeface="Wingdings" panose="05000000000000000000" pitchFamily="2" charset="2"/>
            <a:buChar char="§"/>
          </a:pPr>
          <a:r>
            <a:rPr lang="es-ES" sz="800" b="0" i="0" dirty="0">
              <a:latin typeface="Times New Roman" panose="02020603050405020304" pitchFamily="18" charset="0"/>
              <a:cs typeface="Times New Roman" panose="02020603050405020304" pitchFamily="18" charset="0"/>
            </a:rPr>
            <a:t>	Apoyo al empleo</a:t>
          </a:r>
        </a:p>
        <a:p>
          <a:pPr algn="just">
            <a:buFont typeface="Wingdings" panose="05000000000000000000" pitchFamily="2" charset="2"/>
            <a:buChar char="§"/>
          </a:pPr>
          <a:r>
            <a:rPr lang="es-ES" sz="800" b="0" i="0" dirty="0">
              <a:latin typeface="Times New Roman" panose="02020603050405020304" pitchFamily="18" charset="0"/>
              <a:cs typeface="Times New Roman" panose="02020603050405020304" pitchFamily="18" charset="0"/>
            </a:rPr>
            <a:t>	Apoyo a </a:t>
          </a:r>
          <a:r>
            <a:rPr lang="es-ES" sz="800" b="0" i="0" dirty="0" err="1">
              <a:latin typeface="Times New Roman" panose="02020603050405020304" pitchFamily="18" charset="0"/>
              <a:cs typeface="Times New Roman" panose="02020603050405020304" pitchFamily="18" charset="0"/>
            </a:rPr>
            <a:t>Mipymes</a:t>
          </a:r>
          <a:r>
            <a:rPr lang="es-ES" sz="800" b="0" i="0" dirty="0">
              <a:latin typeface="Times New Roman" panose="02020603050405020304" pitchFamily="18" charset="0"/>
              <a:cs typeface="Times New Roman" panose="02020603050405020304" pitchFamily="18" charset="0"/>
            </a:rPr>
            <a:t>.</a:t>
          </a:r>
        </a:p>
        <a:p>
          <a:pPr algn="just">
            <a:buFont typeface="Wingdings" panose="05000000000000000000" pitchFamily="2" charset="2"/>
            <a:buChar char="§"/>
          </a:pPr>
          <a:r>
            <a:rPr lang="es-GT" sz="800" b="0" i="0" dirty="0">
              <a:latin typeface="Times New Roman" panose="02020603050405020304" pitchFamily="18" charset="0"/>
              <a:cs typeface="Times New Roman" panose="02020603050405020304" pitchFamily="18" charset="0"/>
            </a:rPr>
            <a:t>Agilizar la devolución del crédito fiscal a los exportadores </a:t>
          </a:r>
          <a:endParaRPr lang="es-GT" sz="900" dirty="0">
            <a:latin typeface="Times New Roman" panose="02020603050405020304" pitchFamily="18" charset="0"/>
            <a:cs typeface="Times New Roman" panose="02020603050405020304" pitchFamily="18" charset="0"/>
          </a:endParaRPr>
        </a:p>
      </dgm:t>
    </dgm:pt>
    <dgm:pt modelId="{3CD45809-FE7C-4B58-9060-F1A388C992B3}" type="parTrans" cxnId="{C4D47431-C0AA-4776-B922-FB3E721A42F2}">
      <dgm:prSet/>
      <dgm:spPr/>
      <dgm:t>
        <a:bodyPr/>
        <a:lstStyle/>
        <a:p>
          <a:endParaRPr lang="es-GT" sz="1400">
            <a:latin typeface="Times New Roman" panose="02020603050405020304" pitchFamily="18" charset="0"/>
            <a:cs typeface="Times New Roman" panose="02020603050405020304" pitchFamily="18" charset="0"/>
          </a:endParaRPr>
        </a:p>
      </dgm:t>
    </dgm:pt>
    <dgm:pt modelId="{9984B808-5785-4726-BF3B-A1F8F455DF8B}" type="sibTrans" cxnId="{C4D47431-C0AA-4776-B922-FB3E721A42F2}">
      <dgm:prSet/>
      <dgm:spPr/>
      <dgm:t>
        <a:bodyPr/>
        <a:lstStyle/>
        <a:p>
          <a:endParaRPr lang="es-GT" sz="1400">
            <a:latin typeface="Times New Roman" panose="02020603050405020304" pitchFamily="18" charset="0"/>
            <a:cs typeface="Times New Roman" panose="02020603050405020304" pitchFamily="18" charset="0"/>
          </a:endParaRPr>
        </a:p>
      </dgm:t>
    </dgm:pt>
    <dgm:pt modelId="{AAD2A0F6-E88C-4E5D-BC05-CF2DD772F5E1}">
      <dgm:prSet phldrT="[Texto]" custT="1">
        <dgm:style>
          <a:lnRef idx="2">
            <a:schemeClr val="accent1"/>
          </a:lnRef>
          <a:fillRef idx="1">
            <a:schemeClr val="lt1"/>
          </a:fillRef>
          <a:effectRef idx="0">
            <a:schemeClr val="accent1"/>
          </a:effectRef>
          <a:fontRef idx="minor">
            <a:schemeClr val="dk1"/>
          </a:fontRef>
        </dgm:style>
      </dgm:prSet>
      <dgm:spPr/>
      <dgm:t>
        <a:bodyPr anchor="t"/>
        <a:lstStyle/>
        <a:p>
          <a:r>
            <a:rPr lang="es-ES" sz="1000" b="1" dirty="0">
              <a:latin typeface="Times New Roman" panose="02020603050405020304" pitchFamily="18" charset="0"/>
              <a:cs typeface="Times New Roman" panose="02020603050405020304" pitchFamily="18" charset="0"/>
            </a:rPr>
            <a:t>Reconstrucción </a:t>
          </a:r>
        </a:p>
        <a:p>
          <a:r>
            <a:rPr lang="es-ES" sz="900" dirty="0">
              <a:latin typeface="Times New Roman" panose="02020603050405020304" pitchFamily="18" charset="0"/>
              <a:cs typeface="Times New Roman" panose="02020603050405020304" pitchFamily="18" charset="0"/>
            </a:rPr>
            <a:t> Restauración de las finanzas públicas y recuperación la estabilidad macroeconomica</a:t>
          </a:r>
          <a:endParaRPr lang="es-GT" sz="900" dirty="0">
            <a:latin typeface="Times New Roman" panose="02020603050405020304" pitchFamily="18" charset="0"/>
            <a:cs typeface="Times New Roman" panose="02020603050405020304" pitchFamily="18" charset="0"/>
          </a:endParaRPr>
        </a:p>
      </dgm:t>
    </dgm:pt>
    <dgm:pt modelId="{0502F7BE-7BA4-44CA-8256-0C400FAE4231}" type="parTrans" cxnId="{3B6A1519-A0EA-45D0-BDE2-2F8FE4B4EC25}">
      <dgm:prSet/>
      <dgm:spPr/>
      <dgm:t>
        <a:bodyPr/>
        <a:lstStyle/>
        <a:p>
          <a:endParaRPr lang="es-GT" sz="1400">
            <a:latin typeface="Times New Roman" panose="02020603050405020304" pitchFamily="18" charset="0"/>
            <a:cs typeface="Times New Roman" panose="02020603050405020304" pitchFamily="18" charset="0"/>
          </a:endParaRPr>
        </a:p>
      </dgm:t>
    </dgm:pt>
    <dgm:pt modelId="{16B259E3-92DA-422E-8BAA-FE581FCB763A}" type="sibTrans" cxnId="{3B6A1519-A0EA-45D0-BDE2-2F8FE4B4EC25}">
      <dgm:prSet/>
      <dgm:spPr/>
      <dgm:t>
        <a:bodyPr/>
        <a:lstStyle/>
        <a:p>
          <a:endParaRPr lang="es-GT" sz="1400">
            <a:latin typeface="Times New Roman" panose="02020603050405020304" pitchFamily="18" charset="0"/>
            <a:cs typeface="Times New Roman" panose="02020603050405020304" pitchFamily="18" charset="0"/>
          </a:endParaRPr>
        </a:p>
      </dgm:t>
    </dgm:pt>
    <dgm:pt modelId="{4AD5CEDA-DE72-403B-AA3A-FD5274D44574}">
      <dgm:prSet phldrT="[Texto]" custT="1"/>
      <dgm:spPr/>
      <dgm:t>
        <a:bodyPr anchor="t"/>
        <a:lstStyle/>
        <a:p>
          <a:pPr algn="just"/>
          <a:r>
            <a:rPr lang="es-ES" sz="800" b="0" i="0" dirty="0">
              <a:latin typeface="Times New Roman" panose="02020603050405020304" pitchFamily="18" charset="0"/>
              <a:cs typeface="Times New Roman" panose="02020603050405020304" pitchFamily="18" charset="0"/>
            </a:rPr>
            <a:t>Del lado del gasto llevar a cabo revisiones por tipo de gasto, evaluación de políticas, evaluaciones de impacto para priorizar gastos.</a:t>
          </a:r>
        </a:p>
        <a:p>
          <a:pPr algn="just"/>
          <a:endParaRPr lang="es-ES" sz="200" b="0" i="0" dirty="0">
            <a:latin typeface="Times New Roman" panose="02020603050405020304" pitchFamily="18" charset="0"/>
            <a:cs typeface="Times New Roman" panose="02020603050405020304" pitchFamily="18" charset="0"/>
          </a:endParaRPr>
        </a:p>
        <a:p>
          <a:pPr algn="just"/>
          <a:r>
            <a:rPr lang="es-ES" sz="800" b="0" i="0" dirty="0">
              <a:latin typeface="Times New Roman" panose="02020603050405020304" pitchFamily="18" charset="0"/>
              <a:cs typeface="Times New Roman" panose="02020603050405020304" pitchFamily="18" charset="0"/>
            </a:rPr>
            <a:t>Por el lado de los ingresos, retomar los esfuerzos y las necesidades nacionales de reforma fiscal.</a:t>
          </a:r>
        </a:p>
        <a:p>
          <a:pPr algn="just"/>
          <a:endParaRPr lang="es-ES" sz="200" b="0" i="0" dirty="0">
            <a:latin typeface="Times New Roman" panose="02020603050405020304" pitchFamily="18" charset="0"/>
            <a:cs typeface="Times New Roman" panose="02020603050405020304" pitchFamily="18" charset="0"/>
          </a:endParaRPr>
        </a:p>
        <a:p>
          <a:pPr algn="just"/>
          <a:r>
            <a:rPr lang="es-ES" sz="800" b="0" i="0" dirty="0">
              <a:latin typeface="Times New Roman" panose="02020603050405020304" pitchFamily="18" charset="0"/>
              <a:cs typeface="Times New Roman" panose="02020603050405020304" pitchFamily="18" charset="0"/>
            </a:rPr>
            <a:t>Impulsar proyectos de inversión pública o bien esquemas de participación publico-privada, que permitan una senda más alta de crecimiento de mediano plazo.</a:t>
          </a:r>
        </a:p>
        <a:p>
          <a:pPr algn="just"/>
          <a:endParaRPr lang="es-GT" sz="800" dirty="0">
            <a:latin typeface="Times New Roman" panose="02020603050405020304" pitchFamily="18" charset="0"/>
            <a:cs typeface="Times New Roman" panose="02020603050405020304" pitchFamily="18" charset="0"/>
          </a:endParaRPr>
        </a:p>
      </dgm:t>
    </dgm:pt>
    <dgm:pt modelId="{ACB73B5F-4130-44BA-A9DC-5721646B5F83}" type="parTrans" cxnId="{1A6FF5E8-7EA7-4C97-8D7B-098DB4486885}">
      <dgm:prSet/>
      <dgm:spPr/>
      <dgm:t>
        <a:bodyPr/>
        <a:lstStyle/>
        <a:p>
          <a:endParaRPr lang="es-GT" sz="1400">
            <a:latin typeface="Times New Roman" panose="02020603050405020304" pitchFamily="18" charset="0"/>
            <a:cs typeface="Times New Roman" panose="02020603050405020304" pitchFamily="18" charset="0"/>
          </a:endParaRPr>
        </a:p>
      </dgm:t>
    </dgm:pt>
    <dgm:pt modelId="{57C7A20C-DA21-4983-A951-DC5B217F31E1}" type="sibTrans" cxnId="{1A6FF5E8-7EA7-4C97-8D7B-098DB4486885}">
      <dgm:prSet/>
      <dgm:spPr/>
      <dgm:t>
        <a:bodyPr/>
        <a:lstStyle/>
        <a:p>
          <a:endParaRPr lang="es-GT" sz="1400">
            <a:latin typeface="Times New Roman" panose="02020603050405020304" pitchFamily="18" charset="0"/>
            <a:cs typeface="Times New Roman" panose="02020603050405020304" pitchFamily="18" charset="0"/>
          </a:endParaRPr>
        </a:p>
      </dgm:t>
    </dgm:pt>
    <dgm:pt modelId="{713CA4A1-5A09-41B1-8C3B-42A840A560B1}">
      <dgm:prSet custT="1">
        <dgm:style>
          <a:lnRef idx="2">
            <a:schemeClr val="accent1"/>
          </a:lnRef>
          <a:fillRef idx="1">
            <a:schemeClr val="lt1"/>
          </a:fillRef>
          <a:effectRef idx="0">
            <a:schemeClr val="accent1"/>
          </a:effectRef>
          <a:fontRef idx="minor">
            <a:schemeClr val="dk1"/>
          </a:fontRef>
        </dgm:style>
      </dgm:prSet>
      <dgm:spPr/>
      <dgm:t>
        <a:bodyPr anchor="t"/>
        <a:lstStyle/>
        <a:p>
          <a:r>
            <a:rPr lang="es-ES" sz="1000" b="1" dirty="0">
              <a:latin typeface="Times New Roman" panose="02020603050405020304" pitchFamily="18" charset="0"/>
              <a:cs typeface="Times New Roman" panose="02020603050405020304" pitchFamily="18" charset="0"/>
            </a:rPr>
            <a:t>Rehabilitación</a:t>
          </a:r>
        </a:p>
        <a:p>
          <a:r>
            <a:rPr lang="es-ES" sz="900" dirty="0">
              <a:latin typeface="Times New Roman" panose="02020603050405020304" pitchFamily="18" charset="0"/>
              <a:cs typeface="Times New Roman" panose="02020603050405020304" pitchFamily="18" charset="0"/>
            </a:rPr>
            <a:t>Apoyar la actividad económica para acortar y reducir el impacto económico de la crisis</a:t>
          </a:r>
          <a:endParaRPr lang="es-GT" sz="900" dirty="0">
            <a:latin typeface="Times New Roman" panose="02020603050405020304" pitchFamily="18" charset="0"/>
            <a:cs typeface="Times New Roman" panose="02020603050405020304" pitchFamily="18" charset="0"/>
          </a:endParaRPr>
        </a:p>
      </dgm:t>
    </dgm:pt>
    <dgm:pt modelId="{063BA21B-A4B2-45E0-9205-3736640696D6}" type="parTrans" cxnId="{6E31233C-02A0-4768-B046-75ABB75A7CED}">
      <dgm:prSet/>
      <dgm:spPr/>
      <dgm:t>
        <a:bodyPr/>
        <a:lstStyle/>
        <a:p>
          <a:endParaRPr lang="es-GT" sz="1400">
            <a:latin typeface="Times New Roman" panose="02020603050405020304" pitchFamily="18" charset="0"/>
            <a:cs typeface="Times New Roman" panose="02020603050405020304" pitchFamily="18" charset="0"/>
          </a:endParaRPr>
        </a:p>
      </dgm:t>
    </dgm:pt>
    <dgm:pt modelId="{5E83A6BF-4312-491A-8C08-CA658C8F9DD1}" type="sibTrans" cxnId="{6E31233C-02A0-4768-B046-75ABB75A7CED}">
      <dgm:prSet/>
      <dgm:spPr/>
      <dgm:t>
        <a:bodyPr/>
        <a:lstStyle/>
        <a:p>
          <a:endParaRPr lang="es-GT" sz="1400">
            <a:latin typeface="Times New Roman" panose="02020603050405020304" pitchFamily="18" charset="0"/>
            <a:cs typeface="Times New Roman" panose="02020603050405020304" pitchFamily="18" charset="0"/>
          </a:endParaRPr>
        </a:p>
      </dgm:t>
    </dgm:pt>
    <dgm:pt modelId="{502F9B55-6194-45B1-9D82-BD76E3058726}">
      <dgm:prSet custT="1"/>
      <dgm:spPr/>
      <dgm:t>
        <a:bodyPr anchor="t"/>
        <a:lstStyle/>
        <a:p>
          <a:pPr algn="just"/>
          <a:r>
            <a:rPr lang="es-ES" sz="800" b="0" i="0" kern="1200" dirty="0">
              <a:solidFill>
                <a:prstClr val="black">
                  <a:hueOff val="0"/>
                  <a:satOff val="0"/>
                  <a:lumOff val="0"/>
                  <a:alphaOff val="0"/>
                </a:prstClr>
              </a:solidFill>
              <a:latin typeface="Times New Roman" panose="02020603050405020304" pitchFamily="18" charset="0"/>
              <a:ea typeface="+mn-ea"/>
              <a:cs typeface="Times New Roman" panose="02020603050405020304" pitchFamily="18" charset="0"/>
            </a:rPr>
            <a:t>Mantener la inversión pública en infraestructura y equipamiento de salud.</a:t>
          </a:r>
        </a:p>
        <a:p>
          <a:pPr algn="just"/>
          <a:r>
            <a:rPr lang="es-ES" sz="800" b="0" i="0" kern="1200" dirty="0">
              <a:solidFill>
                <a:prstClr val="black">
                  <a:hueOff val="0"/>
                  <a:satOff val="0"/>
                  <a:lumOff val="0"/>
                  <a:alphaOff val="0"/>
                </a:prstClr>
              </a:solidFill>
              <a:latin typeface="Times New Roman" panose="02020603050405020304" pitchFamily="18" charset="0"/>
              <a:ea typeface="+mn-ea"/>
              <a:cs typeface="Times New Roman" panose="02020603050405020304" pitchFamily="18" charset="0"/>
            </a:rPr>
            <a:t>Sostener el empleo y brindar apoyo de protección social a quienes perdieron sus empleos o sus fuentes de ingresos.</a:t>
          </a:r>
        </a:p>
        <a:p>
          <a:pPr algn="just"/>
          <a:endParaRPr lang="es-ES" sz="100" b="0" i="0" kern="1200" dirty="0">
            <a:solidFill>
              <a:prstClr val="black">
                <a:hueOff val="0"/>
                <a:satOff val="0"/>
                <a:lumOff val="0"/>
                <a:alphaOff val="0"/>
              </a:prstClr>
            </a:solidFill>
            <a:latin typeface="Times New Roman" panose="02020603050405020304" pitchFamily="18" charset="0"/>
            <a:ea typeface="+mn-ea"/>
            <a:cs typeface="Times New Roman" panose="02020603050405020304" pitchFamily="18" charset="0"/>
          </a:endParaRPr>
        </a:p>
        <a:p>
          <a:pPr algn="just"/>
          <a:r>
            <a:rPr lang="es-ES" sz="800" b="0" i="0" kern="1200" dirty="0">
              <a:latin typeface="Times New Roman" panose="02020603050405020304" pitchFamily="18" charset="0"/>
              <a:cs typeface="Times New Roman" panose="02020603050405020304" pitchFamily="18" charset="0"/>
            </a:rPr>
            <a:t>Asegurar la coordinación de las acciones para el restablecimiento de la actividad económica. </a:t>
          </a:r>
        </a:p>
        <a:p>
          <a:pPr algn="just"/>
          <a:endParaRPr lang="es-ES" sz="100" b="0" i="0" kern="1200" dirty="0">
            <a:latin typeface="Times New Roman" panose="02020603050405020304" pitchFamily="18" charset="0"/>
            <a:cs typeface="Times New Roman" panose="02020603050405020304" pitchFamily="18" charset="0"/>
          </a:endParaRPr>
        </a:p>
        <a:p>
          <a:pPr algn="just"/>
          <a:r>
            <a:rPr lang="es-ES" sz="800" b="0" i="0" kern="1200" dirty="0">
              <a:latin typeface="Times New Roman" panose="02020603050405020304" pitchFamily="18" charset="0"/>
              <a:cs typeface="Times New Roman" panose="02020603050405020304" pitchFamily="18" charset="0"/>
            </a:rPr>
            <a:t>Garantizar recursos suficientes para los fondos y programas especiales.</a:t>
          </a:r>
        </a:p>
        <a:p>
          <a:pPr algn="just"/>
          <a:endParaRPr lang="es-ES" sz="100" b="0" i="0" kern="1200" dirty="0">
            <a:latin typeface="Times New Roman" panose="02020603050405020304" pitchFamily="18" charset="0"/>
            <a:cs typeface="Times New Roman" panose="02020603050405020304" pitchFamily="18" charset="0"/>
          </a:endParaRPr>
        </a:p>
        <a:p>
          <a:pPr algn="just"/>
          <a:r>
            <a:rPr lang="es-ES" sz="800" b="0" i="0" kern="1200" dirty="0">
              <a:latin typeface="Times New Roman" panose="02020603050405020304" pitchFamily="18" charset="0"/>
              <a:cs typeface="Times New Roman" panose="02020603050405020304" pitchFamily="18" charset="0"/>
            </a:rPr>
            <a:t>Brindar apoyo financiero específico a los sectores económicos más afectados.</a:t>
          </a:r>
        </a:p>
      </dgm:t>
    </dgm:pt>
    <dgm:pt modelId="{5C35D054-3A2D-4D0F-83F5-F81F16B4AA3D}" type="parTrans" cxnId="{B10EE2BB-6940-4A50-B79E-3846EF964389}">
      <dgm:prSet/>
      <dgm:spPr/>
      <dgm:t>
        <a:bodyPr/>
        <a:lstStyle/>
        <a:p>
          <a:endParaRPr lang="es-GT" sz="1400">
            <a:latin typeface="Times New Roman" panose="02020603050405020304" pitchFamily="18" charset="0"/>
            <a:cs typeface="Times New Roman" panose="02020603050405020304" pitchFamily="18" charset="0"/>
          </a:endParaRPr>
        </a:p>
      </dgm:t>
    </dgm:pt>
    <dgm:pt modelId="{2008AD90-DAB6-4EB3-BF97-899598A81D94}" type="sibTrans" cxnId="{B10EE2BB-6940-4A50-B79E-3846EF964389}">
      <dgm:prSet/>
      <dgm:spPr/>
      <dgm:t>
        <a:bodyPr/>
        <a:lstStyle/>
        <a:p>
          <a:endParaRPr lang="es-GT" sz="1400">
            <a:latin typeface="Times New Roman" panose="02020603050405020304" pitchFamily="18" charset="0"/>
            <a:cs typeface="Times New Roman" panose="02020603050405020304" pitchFamily="18" charset="0"/>
          </a:endParaRPr>
        </a:p>
      </dgm:t>
    </dgm:pt>
    <dgm:pt modelId="{95B7ED29-715D-4CA1-8D15-FFBA04C940B1}" type="pres">
      <dgm:prSet presAssocID="{95BD838A-4234-4BA0-955C-688852652860}" presName="diagram" presStyleCnt="0">
        <dgm:presLayoutVars>
          <dgm:chPref val="1"/>
          <dgm:dir/>
          <dgm:animOne val="branch"/>
          <dgm:animLvl val="lvl"/>
          <dgm:resizeHandles/>
        </dgm:presLayoutVars>
      </dgm:prSet>
      <dgm:spPr/>
      <dgm:t>
        <a:bodyPr/>
        <a:lstStyle/>
        <a:p>
          <a:endParaRPr lang="es-ES"/>
        </a:p>
      </dgm:t>
    </dgm:pt>
    <dgm:pt modelId="{6863893E-4E2E-47B9-A52D-ADD0E686941A}" type="pres">
      <dgm:prSet presAssocID="{E9C13116-2CD3-4FF3-B827-0EB367E63747}" presName="root" presStyleCnt="0"/>
      <dgm:spPr/>
    </dgm:pt>
    <dgm:pt modelId="{465F16BC-EAFA-4469-9DA2-1151CE95CF03}" type="pres">
      <dgm:prSet presAssocID="{E9C13116-2CD3-4FF3-B827-0EB367E63747}" presName="rootComposite" presStyleCnt="0"/>
      <dgm:spPr/>
    </dgm:pt>
    <dgm:pt modelId="{AE150743-140A-4AB1-9452-EB2F91793599}" type="pres">
      <dgm:prSet presAssocID="{E9C13116-2CD3-4FF3-B827-0EB367E63747}" presName="rootText" presStyleLbl="node1" presStyleIdx="0" presStyleCnt="3"/>
      <dgm:spPr/>
      <dgm:t>
        <a:bodyPr/>
        <a:lstStyle/>
        <a:p>
          <a:endParaRPr lang="es-ES"/>
        </a:p>
      </dgm:t>
    </dgm:pt>
    <dgm:pt modelId="{B64FB37F-CDB2-400B-886E-020E4292236A}" type="pres">
      <dgm:prSet presAssocID="{E9C13116-2CD3-4FF3-B827-0EB367E63747}" presName="rootConnector" presStyleLbl="node1" presStyleIdx="0" presStyleCnt="3"/>
      <dgm:spPr/>
      <dgm:t>
        <a:bodyPr/>
        <a:lstStyle/>
        <a:p>
          <a:endParaRPr lang="es-ES"/>
        </a:p>
      </dgm:t>
    </dgm:pt>
    <dgm:pt modelId="{83BC6424-FE71-4100-8BA0-E6FE17ED2EB0}" type="pres">
      <dgm:prSet presAssocID="{E9C13116-2CD3-4FF3-B827-0EB367E63747}" presName="childShape" presStyleCnt="0"/>
      <dgm:spPr/>
    </dgm:pt>
    <dgm:pt modelId="{2A89A244-2048-40F9-9C41-83A86244ED36}" type="pres">
      <dgm:prSet presAssocID="{3CD45809-FE7C-4B58-9060-F1A388C992B3}" presName="Name13" presStyleLbl="parChTrans1D2" presStyleIdx="0" presStyleCnt="3"/>
      <dgm:spPr/>
      <dgm:t>
        <a:bodyPr/>
        <a:lstStyle/>
        <a:p>
          <a:endParaRPr lang="es-ES"/>
        </a:p>
      </dgm:t>
    </dgm:pt>
    <dgm:pt modelId="{EED6E890-C884-4ADD-8A50-4CBF424847A9}" type="pres">
      <dgm:prSet presAssocID="{C77BC8D2-8368-4CFF-B561-76F88DA3F026}" presName="childText" presStyleLbl="bgAcc1" presStyleIdx="0" presStyleCnt="3" custScaleX="103879" custScaleY="267842">
        <dgm:presLayoutVars>
          <dgm:bulletEnabled val="1"/>
        </dgm:presLayoutVars>
      </dgm:prSet>
      <dgm:spPr/>
      <dgm:t>
        <a:bodyPr/>
        <a:lstStyle/>
        <a:p>
          <a:endParaRPr lang="es-ES"/>
        </a:p>
      </dgm:t>
    </dgm:pt>
    <dgm:pt modelId="{2852CE78-EBD1-48E4-B083-3C000FEE00BE}" type="pres">
      <dgm:prSet presAssocID="{713CA4A1-5A09-41B1-8C3B-42A840A560B1}" presName="root" presStyleCnt="0"/>
      <dgm:spPr/>
    </dgm:pt>
    <dgm:pt modelId="{E56B6C2B-E6B6-44F0-AEFC-6F8C9C04E81C}" type="pres">
      <dgm:prSet presAssocID="{713CA4A1-5A09-41B1-8C3B-42A840A560B1}" presName="rootComposite" presStyleCnt="0"/>
      <dgm:spPr/>
    </dgm:pt>
    <dgm:pt modelId="{E434CD6D-3F42-4C90-8E39-43501DD06823}" type="pres">
      <dgm:prSet presAssocID="{713CA4A1-5A09-41B1-8C3B-42A840A560B1}" presName="rootText" presStyleLbl="node1" presStyleIdx="1" presStyleCnt="3"/>
      <dgm:spPr/>
      <dgm:t>
        <a:bodyPr/>
        <a:lstStyle/>
        <a:p>
          <a:endParaRPr lang="es-ES"/>
        </a:p>
      </dgm:t>
    </dgm:pt>
    <dgm:pt modelId="{03EA548C-0CF3-4A2A-BA74-044356A79E2C}" type="pres">
      <dgm:prSet presAssocID="{713CA4A1-5A09-41B1-8C3B-42A840A560B1}" presName="rootConnector" presStyleLbl="node1" presStyleIdx="1" presStyleCnt="3"/>
      <dgm:spPr/>
      <dgm:t>
        <a:bodyPr/>
        <a:lstStyle/>
        <a:p>
          <a:endParaRPr lang="es-ES"/>
        </a:p>
      </dgm:t>
    </dgm:pt>
    <dgm:pt modelId="{218AFD05-B11F-43B9-A6FC-F4C9AA5F17BC}" type="pres">
      <dgm:prSet presAssocID="{713CA4A1-5A09-41B1-8C3B-42A840A560B1}" presName="childShape" presStyleCnt="0"/>
      <dgm:spPr/>
    </dgm:pt>
    <dgm:pt modelId="{F5FD21A8-DACA-4F08-8D6B-630593F35A53}" type="pres">
      <dgm:prSet presAssocID="{5C35D054-3A2D-4D0F-83F5-F81F16B4AA3D}" presName="Name13" presStyleLbl="parChTrans1D2" presStyleIdx="1" presStyleCnt="3"/>
      <dgm:spPr/>
      <dgm:t>
        <a:bodyPr/>
        <a:lstStyle/>
        <a:p>
          <a:endParaRPr lang="es-ES"/>
        </a:p>
      </dgm:t>
    </dgm:pt>
    <dgm:pt modelId="{6E2B3684-C614-48F7-BF0B-5D51CF810ABB}" type="pres">
      <dgm:prSet presAssocID="{502F9B55-6194-45B1-9D82-BD76E3058726}" presName="childText" presStyleLbl="bgAcc1" presStyleIdx="1" presStyleCnt="3" custScaleY="280730">
        <dgm:presLayoutVars>
          <dgm:bulletEnabled val="1"/>
        </dgm:presLayoutVars>
      </dgm:prSet>
      <dgm:spPr/>
      <dgm:t>
        <a:bodyPr/>
        <a:lstStyle/>
        <a:p>
          <a:endParaRPr lang="es-ES"/>
        </a:p>
      </dgm:t>
    </dgm:pt>
    <dgm:pt modelId="{5D37C2B1-3CE6-48EA-9CA9-9EDDC56F9309}" type="pres">
      <dgm:prSet presAssocID="{AAD2A0F6-E88C-4E5D-BC05-CF2DD772F5E1}" presName="root" presStyleCnt="0"/>
      <dgm:spPr/>
    </dgm:pt>
    <dgm:pt modelId="{FF0DBB66-A9C3-46D7-AD18-F0DD858F320B}" type="pres">
      <dgm:prSet presAssocID="{AAD2A0F6-E88C-4E5D-BC05-CF2DD772F5E1}" presName="rootComposite" presStyleCnt="0"/>
      <dgm:spPr/>
    </dgm:pt>
    <dgm:pt modelId="{19608D5C-527C-437F-8F17-E14AFF8F8E25}" type="pres">
      <dgm:prSet presAssocID="{AAD2A0F6-E88C-4E5D-BC05-CF2DD772F5E1}" presName="rootText" presStyleLbl="node1" presStyleIdx="2" presStyleCnt="3"/>
      <dgm:spPr/>
      <dgm:t>
        <a:bodyPr/>
        <a:lstStyle/>
        <a:p>
          <a:endParaRPr lang="es-ES"/>
        </a:p>
      </dgm:t>
    </dgm:pt>
    <dgm:pt modelId="{D559115E-6071-4038-B7C0-647F9E5D4DD9}" type="pres">
      <dgm:prSet presAssocID="{AAD2A0F6-E88C-4E5D-BC05-CF2DD772F5E1}" presName="rootConnector" presStyleLbl="node1" presStyleIdx="2" presStyleCnt="3"/>
      <dgm:spPr/>
      <dgm:t>
        <a:bodyPr/>
        <a:lstStyle/>
        <a:p>
          <a:endParaRPr lang="es-ES"/>
        </a:p>
      </dgm:t>
    </dgm:pt>
    <dgm:pt modelId="{C4AD16A7-7BBF-4E21-B749-AB7BD673C59B}" type="pres">
      <dgm:prSet presAssocID="{AAD2A0F6-E88C-4E5D-BC05-CF2DD772F5E1}" presName="childShape" presStyleCnt="0"/>
      <dgm:spPr/>
    </dgm:pt>
    <dgm:pt modelId="{D1F4293E-E58A-4060-8858-5956BDB6AAFF}" type="pres">
      <dgm:prSet presAssocID="{ACB73B5F-4130-44BA-A9DC-5721646B5F83}" presName="Name13" presStyleLbl="parChTrans1D2" presStyleIdx="2" presStyleCnt="3"/>
      <dgm:spPr/>
      <dgm:t>
        <a:bodyPr/>
        <a:lstStyle/>
        <a:p>
          <a:endParaRPr lang="es-ES"/>
        </a:p>
      </dgm:t>
    </dgm:pt>
    <dgm:pt modelId="{6A61CA53-826B-4C55-8156-1509DF73A63B}" type="pres">
      <dgm:prSet presAssocID="{4AD5CEDA-DE72-403B-AA3A-FD5274D44574}" presName="childText" presStyleLbl="bgAcc1" presStyleIdx="2" presStyleCnt="3" custScaleY="290708" custLinFactNeighborY="-9416">
        <dgm:presLayoutVars>
          <dgm:bulletEnabled val="1"/>
        </dgm:presLayoutVars>
      </dgm:prSet>
      <dgm:spPr/>
      <dgm:t>
        <a:bodyPr/>
        <a:lstStyle/>
        <a:p>
          <a:endParaRPr lang="es-ES"/>
        </a:p>
      </dgm:t>
    </dgm:pt>
  </dgm:ptLst>
  <dgm:cxnLst>
    <dgm:cxn modelId="{C4D47431-C0AA-4776-B922-FB3E721A42F2}" srcId="{E9C13116-2CD3-4FF3-B827-0EB367E63747}" destId="{C77BC8D2-8368-4CFF-B561-76F88DA3F026}" srcOrd="0" destOrd="0" parTransId="{3CD45809-FE7C-4B58-9060-F1A388C992B3}" sibTransId="{9984B808-5785-4726-BF3B-A1F8F455DF8B}"/>
    <dgm:cxn modelId="{FACFF094-EC55-44FD-8155-5B3D0E44EC9B}" type="presOf" srcId="{5C35D054-3A2D-4D0F-83F5-F81F16B4AA3D}" destId="{F5FD21A8-DACA-4F08-8D6B-630593F35A53}" srcOrd="0" destOrd="0" presId="urn:microsoft.com/office/officeart/2005/8/layout/hierarchy3"/>
    <dgm:cxn modelId="{B3A2ED39-AF68-468C-815E-BA2418A76C2B}" type="presOf" srcId="{AAD2A0F6-E88C-4E5D-BC05-CF2DD772F5E1}" destId="{D559115E-6071-4038-B7C0-647F9E5D4DD9}" srcOrd="1" destOrd="0" presId="urn:microsoft.com/office/officeart/2005/8/layout/hierarchy3"/>
    <dgm:cxn modelId="{B10EE2BB-6940-4A50-B79E-3846EF964389}" srcId="{713CA4A1-5A09-41B1-8C3B-42A840A560B1}" destId="{502F9B55-6194-45B1-9D82-BD76E3058726}" srcOrd="0" destOrd="0" parTransId="{5C35D054-3A2D-4D0F-83F5-F81F16B4AA3D}" sibTransId="{2008AD90-DAB6-4EB3-BF97-899598A81D94}"/>
    <dgm:cxn modelId="{B8B6DF57-F060-49E6-9296-7FEE9693CDC1}" type="presOf" srcId="{E9C13116-2CD3-4FF3-B827-0EB367E63747}" destId="{AE150743-140A-4AB1-9452-EB2F91793599}" srcOrd="0" destOrd="0" presId="urn:microsoft.com/office/officeart/2005/8/layout/hierarchy3"/>
    <dgm:cxn modelId="{6E2E9DA8-5D40-4377-86CF-F6E3C848D24E}" type="presOf" srcId="{3CD45809-FE7C-4B58-9060-F1A388C992B3}" destId="{2A89A244-2048-40F9-9C41-83A86244ED36}" srcOrd="0" destOrd="0" presId="urn:microsoft.com/office/officeart/2005/8/layout/hierarchy3"/>
    <dgm:cxn modelId="{9C43EA86-411D-4596-B4EF-3F81E9C6F427}" type="presOf" srcId="{C77BC8D2-8368-4CFF-B561-76F88DA3F026}" destId="{EED6E890-C884-4ADD-8A50-4CBF424847A9}" srcOrd="0" destOrd="0" presId="urn:microsoft.com/office/officeart/2005/8/layout/hierarchy3"/>
    <dgm:cxn modelId="{3B6A1519-A0EA-45D0-BDE2-2F8FE4B4EC25}" srcId="{95BD838A-4234-4BA0-955C-688852652860}" destId="{AAD2A0F6-E88C-4E5D-BC05-CF2DD772F5E1}" srcOrd="2" destOrd="0" parTransId="{0502F7BE-7BA4-44CA-8256-0C400FAE4231}" sibTransId="{16B259E3-92DA-422E-8BAA-FE581FCB763A}"/>
    <dgm:cxn modelId="{1A6FF5E8-7EA7-4C97-8D7B-098DB4486885}" srcId="{AAD2A0F6-E88C-4E5D-BC05-CF2DD772F5E1}" destId="{4AD5CEDA-DE72-403B-AA3A-FD5274D44574}" srcOrd="0" destOrd="0" parTransId="{ACB73B5F-4130-44BA-A9DC-5721646B5F83}" sibTransId="{57C7A20C-DA21-4983-A951-DC5B217F31E1}"/>
    <dgm:cxn modelId="{F4ADB7BB-C784-4A2B-BCDA-346DEAB3FD67}" type="presOf" srcId="{713CA4A1-5A09-41B1-8C3B-42A840A560B1}" destId="{E434CD6D-3F42-4C90-8E39-43501DD06823}" srcOrd="0" destOrd="0" presId="urn:microsoft.com/office/officeart/2005/8/layout/hierarchy3"/>
    <dgm:cxn modelId="{0F7577D7-707F-4A4B-A412-8C8915017A2F}" type="presOf" srcId="{95BD838A-4234-4BA0-955C-688852652860}" destId="{95B7ED29-715D-4CA1-8D15-FFBA04C940B1}" srcOrd="0" destOrd="0" presId="urn:microsoft.com/office/officeart/2005/8/layout/hierarchy3"/>
    <dgm:cxn modelId="{727113DE-C1C6-4E24-AB7F-0927EC37C4D0}" type="presOf" srcId="{E9C13116-2CD3-4FF3-B827-0EB367E63747}" destId="{B64FB37F-CDB2-400B-886E-020E4292236A}" srcOrd="1" destOrd="0" presId="urn:microsoft.com/office/officeart/2005/8/layout/hierarchy3"/>
    <dgm:cxn modelId="{F9013006-B354-4F09-8E23-4B04FB1EECA0}" type="presOf" srcId="{AAD2A0F6-E88C-4E5D-BC05-CF2DD772F5E1}" destId="{19608D5C-527C-437F-8F17-E14AFF8F8E25}" srcOrd="0" destOrd="0" presId="urn:microsoft.com/office/officeart/2005/8/layout/hierarchy3"/>
    <dgm:cxn modelId="{82E2804F-44B7-473D-8550-4B7319952C1D}" type="presOf" srcId="{4AD5CEDA-DE72-403B-AA3A-FD5274D44574}" destId="{6A61CA53-826B-4C55-8156-1509DF73A63B}" srcOrd="0" destOrd="0" presId="urn:microsoft.com/office/officeart/2005/8/layout/hierarchy3"/>
    <dgm:cxn modelId="{C5F519F9-4C8B-48C5-8B3B-B0E34C57B8D2}" type="presOf" srcId="{713CA4A1-5A09-41B1-8C3B-42A840A560B1}" destId="{03EA548C-0CF3-4A2A-BA74-044356A79E2C}" srcOrd="1" destOrd="0" presId="urn:microsoft.com/office/officeart/2005/8/layout/hierarchy3"/>
    <dgm:cxn modelId="{00A8FA4D-9239-4DF3-8A39-3CBDA413F068}" type="presOf" srcId="{502F9B55-6194-45B1-9D82-BD76E3058726}" destId="{6E2B3684-C614-48F7-BF0B-5D51CF810ABB}" srcOrd="0" destOrd="0" presId="urn:microsoft.com/office/officeart/2005/8/layout/hierarchy3"/>
    <dgm:cxn modelId="{2DB077E7-DCE7-4378-B026-6458EBDAC8EB}" type="presOf" srcId="{ACB73B5F-4130-44BA-A9DC-5721646B5F83}" destId="{D1F4293E-E58A-4060-8858-5956BDB6AAFF}" srcOrd="0" destOrd="0" presId="urn:microsoft.com/office/officeart/2005/8/layout/hierarchy3"/>
    <dgm:cxn modelId="{6E31233C-02A0-4768-B046-75ABB75A7CED}" srcId="{95BD838A-4234-4BA0-955C-688852652860}" destId="{713CA4A1-5A09-41B1-8C3B-42A840A560B1}" srcOrd="1" destOrd="0" parTransId="{063BA21B-A4B2-45E0-9205-3736640696D6}" sibTransId="{5E83A6BF-4312-491A-8C08-CA658C8F9DD1}"/>
    <dgm:cxn modelId="{FC71891F-4D8E-45A5-8384-CAE082797334}" srcId="{95BD838A-4234-4BA0-955C-688852652860}" destId="{E9C13116-2CD3-4FF3-B827-0EB367E63747}" srcOrd="0" destOrd="0" parTransId="{F04E5778-08B2-452E-9FED-7AF7F1BAA846}" sibTransId="{1CF80FE0-6E37-461A-BF1C-4D3DB2922A29}"/>
    <dgm:cxn modelId="{6C8FE9CA-8A7A-4351-AC2B-67B42714EEEE}" type="presParOf" srcId="{95B7ED29-715D-4CA1-8D15-FFBA04C940B1}" destId="{6863893E-4E2E-47B9-A52D-ADD0E686941A}" srcOrd="0" destOrd="0" presId="urn:microsoft.com/office/officeart/2005/8/layout/hierarchy3"/>
    <dgm:cxn modelId="{A5ABE5FA-EFE7-41F8-8F73-F37886ECCEA1}" type="presParOf" srcId="{6863893E-4E2E-47B9-A52D-ADD0E686941A}" destId="{465F16BC-EAFA-4469-9DA2-1151CE95CF03}" srcOrd="0" destOrd="0" presId="urn:microsoft.com/office/officeart/2005/8/layout/hierarchy3"/>
    <dgm:cxn modelId="{8C71F2AC-4CED-4516-9704-2CF6B4B57D46}" type="presParOf" srcId="{465F16BC-EAFA-4469-9DA2-1151CE95CF03}" destId="{AE150743-140A-4AB1-9452-EB2F91793599}" srcOrd="0" destOrd="0" presId="urn:microsoft.com/office/officeart/2005/8/layout/hierarchy3"/>
    <dgm:cxn modelId="{53523B2A-520C-46D4-A96D-BCDD58C7AABB}" type="presParOf" srcId="{465F16BC-EAFA-4469-9DA2-1151CE95CF03}" destId="{B64FB37F-CDB2-400B-886E-020E4292236A}" srcOrd="1" destOrd="0" presId="urn:microsoft.com/office/officeart/2005/8/layout/hierarchy3"/>
    <dgm:cxn modelId="{EBC113D2-1F36-403D-AAF2-32007E46C2BD}" type="presParOf" srcId="{6863893E-4E2E-47B9-A52D-ADD0E686941A}" destId="{83BC6424-FE71-4100-8BA0-E6FE17ED2EB0}" srcOrd="1" destOrd="0" presId="urn:microsoft.com/office/officeart/2005/8/layout/hierarchy3"/>
    <dgm:cxn modelId="{3A30B3A5-6043-4A7B-BEA0-B568A3112552}" type="presParOf" srcId="{83BC6424-FE71-4100-8BA0-E6FE17ED2EB0}" destId="{2A89A244-2048-40F9-9C41-83A86244ED36}" srcOrd="0" destOrd="0" presId="urn:microsoft.com/office/officeart/2005/8/layout/hierarchy3"/>
    <dgm:cxn modelId="{15C9BAC8-A134-4BA7-865F-BC299F0DC9DD}" type="presParOf" srcId="{83BC6424-FE71-4100-8BA0-E6FE17ED2EB0}" destId="{EED6E890-C884-4ADD-8A50-4CBF424847A9}" srcOrd="1" destOrd="0" presId="urn:microsoft.com/office/officeart/2005/8/layout/hierarchy3"/>
    <dgm:cxn modelId="{0515DADF-44CC-4685-8B3E-BCFBBA665A7F}" type="presParOf" srcId="{95B7ED29-715D-4CA1-8D15-FFBA04C940B1}" destId="{2852CE78-EBD1-48E4-B083-3C000FEE00BE}" srcOrd="1" destOrd="0" presId="urn:microsoft.com/office/officeart/2005/8/layout/hierarchy3"/>
    <dgm:cxn modelId="{6620813C-2C32-4A17-8582-F8F7519EB87A}" type="presParOf" srcId="{2852CE78-EBD1-48E4-B083-3C000FEE00BE}" destId="{E56B6C2B-E6B6-44F0-AEFC-6F8C9C04E81C}" srcOrd="0" destOrd="0" presId="urn:microsoft.com/office/officeart/2005/8/layout/hierarchy3"/>
    <dgm:cxn modelId="{618A986F-7D82-46B6-9B30-1887D3A7AD27}" type="presParOf" srcId="{E56B6C2B-E6B6-44F0-AEFC-6F8C9C04E81C}" destId="{E434CD6D-3F42-4C90-8E39-43501DD06823}" srcOrd="0" destOrd="0" presId="urn:microsoft.com/office/officeart/2005/8/layout/hierarchy3"/>
    <dgm:cxn modelId="{C1A2406D-D210-47A8-9EAC-4CA868ACCAAF}" type="presParOf" srcId="{E56B6C2B-E6B6-44F0-AEFC-6F8C9C04E81C}" destId="{03EA548C-0CF3-4A2A-BA74-044356A79E2C}" srcOrd="1" destOrd="0" presId="urn:microsoft.com/office/officeart/2005/8/layout/hierarchy3"/>
    <dgm:cxn modelId="{D706B333-473C-4B1A-9615-E6ED039CB34B}" type="presParOf" srcId="{2852CE78-EBD1-48E4-B083-3C000FEE00BE}" destId="{218AFD05-B11F-43B9-A6FC-F4C9AA5F17BC}" srcOrd="1" destOrd="0" presId="urn:microsoft.com/office/officeart/2005/8/layout/hierarchy3"/>
    <dgm:cxn modelId="{78AEDFD4-D61D-4AD8-97FF-B85F0BE96838}" type="presParOf" srcId="{218AFD05-B11F-43B9-A6FC-F4C9AA5F17BC}" destId="{F5FD21A8-DACA-4F08-8D6B-630593F35A53}" srcOrd="0" destOrd="0" presId="urn:microsoft.com/office/officeart/2005/8/layout/hierarchy3"/>
    <dgm:cxn modelId="{3310C606-E446-4EC7-A440-382D6012C81A}" type="presParOf" srcId="{218AFD05-B11F-43B9-A6FC-F4C9AA5F17BC}" destId="{6E2B3684-C614-48F7-BF0B-5D51CF810ABB}" srcOrd="1" destOrd="0" presId="urn:microsoft.com/office/officeart/2005/8/layout/hierarchy3"/>
    <dgm:cxn modelId="{1DFF35F4-B1AC-4489-B1A9-CB9934376036}" type="presParOf" srcId="{95B7ED29-715D-4CA1-8D15-FFBA04C940B1}" destId="{5D37C2B1-3CE6-48EA-9CA9-9EDDC56F9309}" srcOrd="2" destOrd="0" presId="urn:microsoft.com/office/officeart/2005/8/layout/hierarchy3"/>
    <dgm:cxn modelId="{B65AF641-E8D8-400E-8501-620714CC789D}" type="presParOf" srcId="{5D37C2B1-3CE6-48EA-9CA9-9EDDC56F9309}" destId="{FF0DBB66-A9C3-46D7-AD18-F0DD858F320B}" srcOrd="0" destOrd="0" presId="urn:microsoft.com/office/officeart/2005/8/layout/hierarchy3"/>
    <dgm:cxn modelId="{37DC6DAB-EBFE-4BD8-BEC3-809BCC97D880}" type="presParOf" srcId="{FF0DBB66-A9C3-46D7-AD18-F0DD858F320B}" destId="{19608D5C-527C-437F-8F17-E14AFF8F8E25}" srcOrd="0" destOrd="0" presId="urn:microsoft.com/office/officeart/2005/8/layout/hierarchy3"/>
    <dgm:cxn modelId="{3005EE7F-5523-4964-9122-5511C73398C7}" type="presParOf" srcId="{FF0DBB66-A9C3-46D7-AD18-F0DD858F320B}" destId="{D559115E-6071-4038-B7C0-647F9E5D4DD9}" srcOrd="1" destOrd="0" presId="urn:microsoft.com/office/officeart/2005/8/layout/hierarchy3"/>
    <dgm:cxn modelId="{ADA88DAB-929D-434F-B5A4-DA4F8611A30F}" type="presParOf" srcId="{5D37C2B1-3CE6-48EA-9CA9-9EDDC56F9309}" destId="{C4AD16A7-7BBF-4E21-B749-AB7BD673C59B}" srcOrd="1" destOrd="0" presId="urn:microsoft.com/office/officeart/2005/8/layout/hierarchy3"/>
    <dgm:cxn modelId="{FDD28692-9E36-4E9D-9CCA-624A8E8F668C}" type="presParOf" srcId="{C4AD16A7-7BBF-4E21-B749-AB7BD673C59B}" destId="{D1F4293E-E58A-4060-8858-5956BDB6AAFF}" srcOrd="0" destOrd="0" presId="urn:microsoft.com/office/officeart/2005/8/layout/hierarchy3"/>
    <dgm:cxn modelId="{54569718-0936-4AC4-A0E7-F773A51299CC}" type="presParOf" srcId="{C4AD16A7-7BBF-4E21-B749-AB7BD673C59B}" destId="{6A61CA53-826B-4C55-8156-1509DF73A63B}" srcOrd="1" destOrd="0" presId="urn:microsoft.com/office/officeart/2005/8/layout/hierarchy3"/>
  </dgm:cxnLst>
  <dgm:bg>
    <a:solidFill>
      <a:schemeClr val="bg1"/>
    </a:solidFill>
  </dgm:bg>
  <dgm:whole/>
  <dgm:extLst>
    <a:ext uri="http://schemas.microsoft.com/office/drawing/2008/diagram">
      <dsp:dataModelExt xmlns:dsp="http://schemas.microsoft.com/office/drawing/2008/diagram" relId="rId61"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AE150743-140A-4AB1-9452-EB2F91793599}">
      <dsp:nvSpPr>
        <dsp:cNvPr id="0" name=""/>
        <dsp:cNvSpPr/>
      </dsp:nvSpPr>
      <dsp:spPr>
        <a:xfrm>
          <a:off x="728" y="122752"/>
          <a:ext cx="1705737" cy="852868"/>
        </a:xfrm>
        <a:prstGeom prst="roundRect">
          <a:avLst>
            <a:gd name="adj" fmla="val 10000"/>
          </a:avLst>
        </a:prstGeom>
        <a:solidFill>
          <a:schemeClr val="lt1"/>
        </a:solidFill>
        <a:ln w="25400" cap="flat" cmpd="sng" algn="ctr">
          <a:solidFill>
            <a:schemeClr val="accent1"/>
          </a:solidFill>
          <a:prstDash val="solid"/>
        </a:ln>
        <a:effectLst/>
      </dsp:spPr>
      <dsp:style>
        <a:lnRef idx="2">
          <a:schemeClr val="accent1"/>
        </a:lnRef>
        <a:fillRef idx="1">
          <a:schemeClr val="lt1"/>
        </a:fillRef>
        <a:effectRef idx="0">
          <a:schemeClr val="accent1"/>
        </a:effectRef>
        <a:fontRef idx="minor">
          <a:schemeClr val="dk1"/>
        </a:fontRef>
      </dsp:style>
      <dsp:txBody>
        <a:bodyPr spcFirstLastPara="0" vert="horz" wrap="square" lIns="19050" tIns="12700" rIns="19050" bIns="12700" numCol="1" spcCol="1270" anchor="t" anchorCtr="0">
          <a:noAutofit/>
        </a:bodyPr>
        <a:lstStyle/>
        <a:p>
          <a:pPr lvl="0" algn="ctr" defTabSz="444500">
            <a:lnSpc>
              <a:spcPct val="90000"/>
            </a:lnSpc>
            <a:spcBef>
              <a:spcPct val="0"/>
            </a:spcBef>
            <a:spcAft>
              <a:spcPct val="35000"/>
            </a:spcAft>
          </a:pPr>
          <a:r>
            <a:rPr lang="es-ES" sz="1000" b="1" kern="1200" dirty="0">
              <a:latin typeface="Times New Roman" panose="02020603050405020304" pitchFamily="18" charset="0"/>
              <a:cs typeface="Times New Roman" panose="02020603050405020304" pitchFamily="18" charset="0"/>
            </a:rPr>
            <a:t>Respuesta</a:t>
          </a:r>
        </a:p>
        <a:p>
          <a:pPr lvl="0" algn="ctr" defTabSz="444500">
            <a:lnSpc>
              <a:spcPct val="90000"/>
            </a:lnSpc>
            <a:spcBef>
              <a:spcPct val="0"/>
            </a:spcBef>
            <a:spcAft>
              <a:spcPct val="35000"/>
            </a:spcAft>
          </a:pPr>
          <a:r>
            <a:rPr lang="es-ES" sz="900" kern="1200" dirty="0">
              <a:latin typeface="Times New Roman" panose="02020603050405020304" pitchFamily="18" charset="0"/>
              <a:cs typeface="Times New Roman" panose="02020603050405020304" pitchFamily="18" charset="0"/>
            </a:rPr>
            <a:t>Responder a la emergencia de salud y apoyar a las  personas y empresas vulnerables </a:t>
          </a:r>
          <a:endParaRPr lang="es-GT" sz="900" kern="1200" dirty="0">
            <a:latin typeface="Times New Roman" panose="02020603050405020304" pitchFamily="18" charset="0"/>
            <a:cs typeface="Times New Roman" panose="02020603050405020304" pitchFamily="18" charset="0"/>
          </a:endParaRPr>
        </a:p>
      </dsp:txBody>
      <dsp:txXfrm>
        <a:off x="25708" y="147732"/>
        <a:ext cx="1655777" cy="802908"/>
      </dsp:txXfrm>
    </dsp:sp>
    <dsp:sp modelId="{2A89A244-2048-40F9-9C41-83A86244ED36}">
      <dsp:nvSpPr>
        <dsp:cNvPr id="0" name=""/>
        <dsp:cNvSpPr/>
      </dsp:nvSpPr>
      <dsp:spPr>
        <a:xfrm>
          <a:off x="171302" y="975621"/>
          <a:ext cx="170573" cy="1355387"/>
        </a:xfrm>
        <a:custGeom>
          <a:avLst/>
          <a:gdLst/>
          <a:ahLst/>
          <a:cxnLst/>
          <a:rect l="0" t="0" r="0" b="0"/>
          <a:pathLst>
            <a:path>
              <a:moveTo>
                <a:pt x="0" y="0"/>
              </a:moveTo>
              <a:lnTo>
                <a:pt x="0" y="1355387"/>
              </a:lnTo>
              <a:lnTo>
                <a:pt x="170573" y="1355387"/>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EED6E890-C884-4ADD-8A50-4CBF424847A9}">
      <dsp:nvSpPr>
        <dsp:cNvPr id="0" name=""/>
        <dsp:cNvSpPr/>
      </dsp:nvSpPr>
      <dsp:spPr>
        <a:xfrm>
          <a:off x="341876" y="1188839"/>
          <a:ext cx="1417522" cy="2284341"/>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15240" tIns="10160" rIns="15240" bIns="10160" numCol="1" spcCol="1270" anchor="t" anchorCtr="0">
          <a:noAutofit/>
        </a:bodyPr>
        <a:lstStyle/>
        <a:p>
          <a:pPr lvl="0" algn="just" defTabSz="355600">
            <a:lnSpc>
              <a:spcPct val="90000"/>
            </a:lnSpc>
            <a:spcBef>
              <a:spcPct val="0"/>
            </a:spcBef>
            <a:spcAft>
              <a:spcPct val="35000"/>
            </a:spcAft>
            <a:buNone/>
          </a:pPr>
          <a:r>
            <a:rPr lang="es-ES" sz="800" b="0" i="0" kern="1200" dirty="0">
              <a:latin typeface="Times New Roman" panose="02020603050405020304" pitchFamily="18" charset="0"/>
              <a:cs typeface="Times New Roman" panose="02020603050405020304" pitchFamily="18" charset="0"/>
            </a:rPr>
            <a:t>Asistir a la crisis de salud, hacer cumplir el confinamiento y distanciamiento social.</a:t>
          </a:r>
        </a:p>
        <a:p>
          <a:pPr lvl="0" algn="just" defTabSz="355600">
            <a:lnSpc>
              <a:spcPct val="90000"/>
            </a:lnSpc>
            <a:spcBef>
              <a:spcPct val="0"/>
            </a:spcBef>
            <a:spcAft>
              <a:spcPct val="35000"/>
            </a:spcAft>
            <a:buNone/>
          </a:pPr>
          <a:r>
            <a:rPr lang="es-ES" sz="800" b="0" i="0" kern="1200" dirty="0">
              <a:latin typeface="Times New Roman" panose="02020603050405020304" pitchFamily="18" charset="0"/>
              <a:cs typeface="Times New Roman" panose="02020603050405020304" pitchFamily="18" charset="0"/>
            </a:rPr>
            <a:t>Aumento de gastos para atención de la emergencia sanitaria.</a:t>
          </a:r>
        </a:p>
        <a:p>
          <a:pPr lvl="0" algn="just" defTabSz="355600">
            <a:lnSpc>
              <a:spcPct val="90000"/>
            </a:lnSpc>
            <a:spcBef>
              <a:spcPct val="0"/>
            </a:spcBef>
            <a:spcAft>
              <a:spcPct val="35000"/>
            </a:spcAft>
            <a:buNone/>
          </a:pPr>
          <a:r>
            <a:rPr lang="es-ES" sz="800" b="0" i="0" kern="1200" dirty="0">
              <a:latin typeface="Times New Roman" panose="02020603050405020304" pitchFamily="18" charset="0"/>
              <a:cs typeface="Times New Roman" panose="02020603050405020304" pitchFamily="18" charset="0"/>
            </a:rPr>
            <a:t>Constituir fondos específicos de atención de la emergencia y realizar transferencias de emergencia:</a:t>
          </a:r>
        </a:p>
        <a:p>
          <a:pPr lvl="0" algn="just" defTabSz="355600">
            <a:lnSpc>
              <a:spcPct val="90000"/>
            </a:lnSpc>
            <a:spcBef>
              <a:spcPct val="0"/>
            </a:spcBef>
            <a:spcAft>
              <a:spcPct val="35000"/>
            </a:spcAft>
            <a:buFont typeface="Wingdings" panose="05000000000000000000" pitchFamily="2" charset="2"/>
            <a:buChar char="§"/>
          </a:pPr>
          <a:r>
            <a:rPr lang="es-ES" sz="800" b="0" i="0" kern="1200" dirty="0">
              <a:latin typeface="Times New Roman" panose="02020603050405020304" pitchFamily="18" charset="0"/>
              <a:cs typeface="Times New Roman" panose="02020603050405020304" pitchFamily="18" charset="0"/>
            </a:rPr>
            <a:t>	Apoyar a ciudadanos 	vulnerables</a:t>
          </a:r>
        </a:p>
        <a:p>
          <a:pPr lvl="0" algn="just" defTabSz="355600">
            <a:lnSpc>
              <a:spcPct val="90000"/>
            </a:lnSpc>
            <a:spcBef>
              <a:spcPct val="0"/>
            </a:spcBef>
            <a:spcAft>
              <a:spcPct val="35000"/>
            </a:spcAft>
            <a:buFont typeface="Wingdings" panose="05000000000000000000" pitchFamily="2" charset="2"/>
            <a:buChar char="§"/>
          </a:pPr>
          <a:r>
            <a:rPr lang="es-ES" sz="800" b="0" i="0" kern="1200" dirty="0">
              <a:latin typeface="Times New Roman" panose="02020603050405020304" pitchFamily="18" charset="0"/>
              <a:cs typeface="Times New Roman" panose="02020603050405020304" pitchFamily="18" charset="0"/>
            </a:rPr>
            <a:t>	Apoyo al empleo</a:t>
          </a:r>
        </a:p>
        <a:p>
          <a:pPr lvl="0" algn="just" defTabSz="355600">
            <a:lnSpc>
              <a:spcPct val="90000"/>
            </a:lnSpc>
            <a:spcBef>
              <a:spcPct val="0"/>
            </a:spcBef>
            <a:spcAft>
              <a:spcPct val="35000"/>
            </a:spcAft>
            <a:buFont typeface="Wingdings" panose="05000000000000000000" pitchFamily="2" charset="2"/>
            <a:buChar char="§"/>
          </a:pPr>
          <a:r>
            <a:rPr lang="es-ES" sz="800" b="0" i="0" kern="1200" dirty="0">
              <a:latin typeface="Times New Roman" panose="02020603050405020304" pitchFamily="18" charset="0"/>
              <a:cs typeface="Times New Roman" panose="02020603050405020304" pitchFamily="18" charset="0"/>
            </a:rPr>
            <a:t>	Apoyo a </a:t>
          </a:r>
          <a:r>
            <a:rPr lang="es-ES" sz="800" b="0" i="0" kern="1200" dirty="0" err="1">
              <a:latin typeface="Times New Roman" panose="02020603050405020304" pitchFamily="18" charset="0"/>
              <a:cs typeface="Times New Roman" panose="02020603050405020304" pitchFamily="18" charset="0"/>
            </a:rPr>
            <a:t>Mipymes</a:t>
          </a:r>
          <a:r>
            <a:rPr lang="es-ES" sz="800" b="0" i="0" kern="1200" dirty="0">
              <a:latin typeface="Times New Roman" panose="02020603050405020304" pitchFamily="18" charset="0"/>
              <a:cs typeface="Times New Roman" panose="02020603050405020304" pitchFamily="18" charset="0"/>
            </a:rPr>
            <a:t>.</a:t>
          </a:r>
        </a:p>
        <a:p>
          <a:pPr lvl="0" algn="just" defTabSz="355600">
            <a:lnSpc>
              <a:spcPct val="90000"/>
            </a:lnSpc>
            <a:spcBef>
              <a:spcPct val="0"/>
            </a:spcBef>
            <a:spcAft>
              <a:spcPct val="35000"/>
            </a:spcAft>
            <a:buFont typeface="Wingdings" panose="05000000000000000000" pitchFamily="2" charset="2"/>
            <a:buChar char="§"/>
          </a:pPr>
          <a:r>
            <a:rPr lang="es-GT" sz="800" b="0" i="0" kern="1200" dirty="0">
              <a:latin typeface="Times New Roman" panose="02020603050405020304" pitchFamily="18" charset="0"/>
              <a:cs typeface="Times New Roman" panose="02020603050405020304" pitchFamily="18" charset="0"/>
            </a:rPr>
            <a:t>Agilizar la devolución del crédito fiscal a los exportadores </a:t>
          </a:r>
          <a:endParaRPr lang="es-GT" sz="900" kern="1200" dirty="0">
            <a:latin typeface="Times New Roman" panose="02020603050405020304" pitchFamily="18" charset="0"/>
            <a:cs typeface="Times New Roman" panose="02020603050405020304" pitchFamily="18" charset="0"/>
          </a:endParaRPr>
        </a:p>
      </dsp:txBody>
      <dsp:txXfrm>
        <a:off x="383394" y="1230357"/>
        <a:ext cx="1334486" cy="2201305"/>
      </dsp:txXfrm>
    </dsp:sp>
    <dsp:sp modelId="{E434CD6D-3F42-4C90-8E39-43501DD06823}">
      <dsp:nvSpPr>
        <dsp:cNvPr id="0" name=""/>
        <dsp:cNvSpPr/>
      </dsp:nvSpPr>
      <dsp:spPr>
        <a:xfrm>
          <a:off x="2132901" y="122752"/>
          <a:ext cx="1705737" cy="852868"/>
        </a:xfrm>
        <a:prstGeom prst="roundRect">
          <a:avLst>
            <a:gd name="adj" fmla="val 10000"/>
          </a:avLst>
        </a:prstGeom>
        <a:solidFill>
          <a:schemeClr val="lt1"/>
        </a:solidFill>
        <a:ln w="25400" cap="flat" cmpd="sng" algn="ctr">
          <a:solidFill>
            <a:schemeClr val="accent1"/>
          </a:solidFill>
          <a:prstDash val="solid"/>
        </a:ln>
        <a:effectLst/>
      </dsp:spPr>
      <dsp:style>
        <a:lnRef idx="2">
          <a:schemeClr val="accent1"/>
        </a:lnRef>
        <a:fillRef idx="1">
          <a:schemeClr val="lt1"/>
        </a:fillRef>
        <a:effectRef idx="0">
          <a:schemeClr val="accent1"/>
        </a:effectRef>
        <a:fontRef idx="minor">
          <a:schemeClr val="dk1"/>
        </a:fontRef>
      </dsp:style>
      <dsp:txBody>
        <a:bodyPr spcFirstLastPara="0" vert="horz" wrap="square" lIns="19050" tIns="12700" rIns="19050" bIns="12700" numCol="1" spcCol="1270" anchor="t" anchorCtr="0">
          <a:noAutofit/>
        </a:bodyPr>
        <a:lstStyle/>
        <a:p>
          <a:pPr lvl="0" algn="ctr" defTabSz="444500">
            <a:lnSpc>
              <a:spcPct val="90000"/>
            </a:lnSpc>
            <a:spcBef>
              <a:spcPct val="0"/>
            </a:spcBef>
            <a:spcAft>
              <a:spcPct val="35000"/>
            </a:spcAft>
          </a:pPr>
          <a:r>
            <a:rPr lang="es-ES" sz="1000" b="1" kern="1200" dirty="0">
              <a:latin typeface="Times New Roman" panose="02020603050405020304" pitchFamily="18" charset="0"/>
              <a:cs typeface="Times New Roman" panose="02020603050405020304" pitchFamily="18" charset="0"/>
            </a:rPr>
            <a:t>Rehabilitación</a:t>
          </a:r>
        </a:p>
        <a:p>
          <a:pPr lvl="0" algn="ctr" defTabSz="444500">
            <a:lnSpc>
              <a:spcPct val="90000"/>
            </a:lnSpc>
            <a:spcBef>
              <a:spcPct val="0"/>
            </a:spcBef>
            <a:spcAft>
              <a:spcPct val="35000"/>
            </a:spcAft>
          </a:pPr>
          <a:r>
            <a:rPr lang="es-ES" sz="900" kern="1200" dirty="0">
              <a:latin typeface="Times New Roman" panose="02020603050405020304" pitchFamily="18" charset="0"/>
              <a:cs typeface="Times New Roman" panose="02020603050405020304" pitchFamily="18" charset="0"/>
            </a:rPr>
            <a:t>Apoyar la actividad económica para acortar y reducir el impacto económico de la crisis</a:t>
          </a:r>
          <a:endParaRPr lang="es-GT" sz="900" kern="1200" dirty="0">
            <a:latin typeface="Times New Roman" panose="02020603050405020304" pitchFamily="18" charset="0"/>
            <a:cs typeface="Times New Roman" panose="02020603050405020304" pitchFamily="18" charset="0"/>
          </a:endParaRPr>
        </a:p>
      </dsp:txBody>
      <dsp:txXfrm>
        <a:off x="2157881" y="147732"/>
        <a:ext cx="1655777" cy="802908"/>
      </dsp:txXfrm>
    </dsp:sp>
    <dsp:sp modelId="{F5FD21A8-DACA-4F08-8D6B-630593F35A53}">
      <dsp:nvSpPr>
        <dsp:cNvPr id="0" name=""/>
        <dsp:cNvSpPr/>
      </dsp:nvSpPr>
      <dsp:spPr>
        <a:xfrm>
          <a:off x="2303474" y="975621"/>
          <a:ext cx="170573" cy="1410346"/>
        </a:xfrm>
        <a:custGeom>
          <a:avLst/>
          <a:gdLst/>
          <a:ahLst/>
          <a:cxnLst/>
          <a:rect l="0" t="0" r="0" b="0"/>
          <a:pathLst>
            <a:path>
              <a:moveTo>
                <a:pt x="0" y="0"/>
              </a:moveTo>
              <a:lnTo>
                <a:pt x="0" y="1410346"/>
              </a:lnTo>
              <a:lnTo>
                <a:pt x="170573" y="1410346"/>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6E2B3684-C614-48F7-BF0B-5D51CF810ABB}">
      <dsp:nvSpPr>
        <dsp:cNvPr id="0" name=""/>
        <dsp:cNvSpPr/>
      </dsp:nvSpPr>
      <dsp:spPr>
        <a:xfrm>
          <a:off x="2474048" y="1188839"/>
          <a:ext cx="1364590" cy="2394258"/>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15240" tIns="10160" rIns="15240" bIns="10160" numCol="1" spcCol="1270" anchor="t" anchorCtr="0">
          <a:noAutofit/>
        </a:bodyPr>
        <a:lstStyle/>
        <a:p>
          <a:pPr lvl="0" algn="just" defTabSz="355600">
            <a:lnSpc>
              <a:spcPct val="90000"/>
            </a:lnSpc>
            <a:spcBef>
              <a:spcPct val="0"/>
            </a:spcBef>
            <a:spcAft>
              <a:spcPct val="35000"/>
            </a:spcAft>
          </a:pPr>
          <a:r>
            <a:rPr lang="es-ES" sz="800" b="0" i="0" kern="1200" dirty="0">
              <a:solidFill>
                <a:prstClr val="black">
                  <a:hueOff val="0"/>
                  <a:satOff val="0"/>
                  <a:lumOff val="0"/>
                  <a:alphaOff val="0"/>
                </a:prstClr>
              </a:solidFill>
              <a:latin typeface="Times New Roman" panose="02020603050405020304" pitchFamily="18" charset="0"/>
              <a:ea typeface="+mn-ea"/>
              <a:cs typeface="Times New Roman" panose="02020603050405020304" pitchFamily="18" charset="0"/>
            </a:rPr>
            <a:t>Mantener la inversión pública en infraestructura y equipamiento de salud.</a:t>
          </a:r>
        </a:p>
        <a:p>
          <a:pPr lvl="0" algn="just" defTabSz="355600">
            <a:lnSpc>
              <a:spcPct val="90000"/>
            </a:lnSpc>
            <a:spcBef>
              <a:spcPct val="0"/>
            </a:spcBef>
            <a:spcAft>
              <a:spcPct val="35000"/>
            </a:spcAft>
          </a:pPr>
          <a:r>
            <a:rPr lang="es-ES" sz="800" b="0" i="0" kern="1200" dirty="0">
              <a:solidFill>
                <a:prstClr val="black">
                  <a:hueOff val="0"/>
                  <a:satOff val="0"/>
                  <a:lumOff val="0"/>
                  <a:alphaOff val="0"/>
                </a:prstClr>
              </a:solidFill>
              <a:latin typeface="Times New Roman" panose="02020603050405020304" pitchFamily="18" charset="0"/>
              <a:ea typeface="+mn-ea"/>
              <a:cs typeface="Times New Roman" panose="02020603050405020304" pitchFamily="18" charset="0"/>
            </a:rPr>
            <a:t>Sostener el empleo y brindar apoyo de protección social a quienes perdieron sus empleos o sus fuentes de ingresos.</a:t>
          </a:r>
        </a:p>
        <a:p>
          <a:pPr lvl="0" algn="just" defTabSz="355600">
            <a:lnSpc>
              <a:spcPct val="90000"/>
            </a:lnSpc>
            <a:spcBef>
              <a:spcPct val="0"/>
            </a:spcBef>
            <a:spcAft>
              <a:spcPct val="35000"/>
            </a:spcAft>
          </a:pPr>
          <a:endParaRPr lang="es-ES" sz="100" b="0" i="0" kern="1200" dirty="0">
            <a:solidFill>
              <a:prstClr val="black">
                <a:hueOff val="0"/>
                <a:satOff val="0"/>
                <a:lumOff val="0"/>
                <a:alphaOff val="0"/>
              </a:prstClr>
            </a:solidFill>
            <a:latin typeface="Times New Roman" panose="02020603050405020304" pitchFamily="18" charset="0"/>
            <a:ea typeface="+mn-ea"/>
            <a:cs typeface="Times New Roman" panose="02020603050405020304" pitchFamily="18" charset="0"/>
          </a:endParaRPr>
        </a:p>
        <a:p>
          <a:pPr lvl="0" algn="just" defTabSz="355600">
            <a:lnSpc>
              <a:spcPct val="90000"/>
            </a:lnSpc>
            <a:spcBef>
              <a:spcPct val="0"/>
            </a:spcBef>
            <a:spcAft>
              <a:spcPct val="35000"/>
            </a:spcAft>
          </a:pPr>
          <a:r>
            <a:rPr lang="es-ES" sz="800" b="0" i="0" kern="1200" dirty="0">
              <a:latin typeface="Times New Roman" panose="02020603050405020304" pitchFamily="18" charset="0"/>
              <a:cs typeface="Times New Roman" panose="02020603050405020304" pitchFamily="18" charset="0"/>
            </a:rPr>
            <a:t>Asegurar la coordinación de las acciones para el restablecimiento de la actividad económica. </a:t>
          </a:r>
        </a:p>
        <a:p>
          <a:pPr lvl="0" algn="just" defTabSz="355600">
            <a:lnSpc>
              <a:spcPct val="90000"/>
            </a:lnSpc>
            <a:spcBef>
              <a:spcPct val="0"/>
            </a:spcBef>
            <a:spcAft>
              <a:spcPct val="35000"/>
            </a:spcAft>
          </a:pPr>
          <a:endParaRPr lang="es-ES" sz="100" b="0" i="0" kern="1200" dirty="0">
            <a:latin typeface="Times New Roman" panose="02020603050405020304" pitchFamily="18" charset="0"/>
            <a:cs typeface="Times New Roman" panose="02020603050405020304" pitchFamily="18" charset="0"/>
          </a:endParaRPr>
        </a:p>
        <a:p>
          <a:pPr lvl="0" algn="just" defTabSz="355600">
            <a:lnSpc>
              <a:spcPct val="90000"/>
            </a:lnSpc>
            <a:spcBef>
              <a:spcPct val="0"/>
            </a:spcBef>
            <a:spcAft>
              <a:spcPct val="35000"/>
            </a:spcAft>
          </a:pPr>
          <a:r>
            <a:rPr lang="es-ES" sz="800" b="0" i="0" kern="1200" dirty="0">
              <a:latin typeface="Times New Roman" panose="02020603050405020304" pitchFamily="18" charset="0"/>
              <a:cs typeface="Times New Roman" panose="02020603050405020304" pitchFamily="18" charset="0"/>
            </a:rPr>
            <a:t>Garantizar recursos suficientes para los fondos y programas especiales.</a:t>
          </a:r>
        </a:p>
        <a:p>
          <a:pPr lvl="0" algn="just" defTabSz="355600">
            <a:lnSpc>
              <a:spcPct val="90000"/>
            </a:lnSpc>
            <a:spcBef>
              <a:spcPct val="0"/>
            </a:spcBef>
            <a:spcAft>
              <a:spcPct val="35000"/>
            </a:spcAft>
          </a:pPr>
          <a:endParaRPr lang="es-ES" sz="100" b="0" i="0" kern="1200" dirty="0">
            <a:latin typeface="Times New Roman" panose="02020603050405020304" pitchFamily="18" charset="0"/>
            <a:cs typeface="Times New Roman" panose="02020603050405020304" pitchFamily="18" charset="0"/>
          </a:endParaRPr>
        </a:p>
        <a:p>
          <a:pPr lvl="0" algn="just" defTabSz="355600">
            <a:lnSpc>
              <a:spcPct val="90000"/>
            </a:lnSpc>
            <a:spcBef>
              <a:spcPct val="0"/>
            </a:spcBef>
            <a:spcAft>
              <a:spcPct val="35000"/>
            </a:spcAft>
          </a:pPr>
          <a:r>
            <a:rPr lang="es-ES" sz="800" b="0" i="0" kern="1200" dirty="0">
              <a:latin typeface="Times New Roman" panose="02020603050405020304" pitchFamily="18" charset="0"/>
              <a:cs typeface="Times New Roman" panose="02020603050405020304" pitchFamily="18" charset="0"/>
            </a:rPr>
            <a:t>Brindar apoyo financiero específico a los sectores económicos más afectados.</a:t>
          </a:r>
        </a:p>
      </dsp:txBody>
      <dsp:txXfrm>
        <a:off x="2514015" y="1228806"/>
        <a:ext cx="1284656" cy="2314324"/>
      </dsp:txXfrm>
    </dsp:sp>
    <dsp:sp modelId="{19608D5C-527C-437F-8F17-E14AFF8F8E25}">
      <dsp:nvSpPr>
        <dsp:cNvPr id="0" name=""/>
        <dsp:cNvSpPr/>
      </dsp:nvSpPr>
      <dsp:spPr>
        <a:xfrm>
          <a:off x="4265073" y="122752"/>
          <a:ext cx="1705737" cy="852868"/>
        </a:xfrm>
        <a:prstGeom prst="roundRect">
          <a:avLst>
            <a:gd name="adj" fmla="val 10000"/>
          </a:avLst>
        </a:prstGeom>
        <a:solidFill>
          <a:schemeClr val="lt1"/>
        </a:solidFill>
        <a:ln w="25400" cap="flat" cmpd="sng" algn="ctr">
          <a:solidFill>
            <a:schemeClr val="accent1"/>
          </a:solidFill>
          <a:prstDash val="solid"/>
        </a:ln>
        <a:effectLst/>
      </dsp:spPr>
      <dsp:style>
        <a:lnRef idx="2">
          <a:schemeClr val="accent1"/>
        </a:lnRef>
        <a:fillRef idx="1">
          <a:schemeClr val="lt1"/>
        </a:fillRef>
        <a:effectRef idx="0">
          <a:schemeClr val="accent1"/>
        </a:effectRef>
        <a:fontRef idx="minor">
          <a:schemeClr val="dk1"/>
        </a:fontRef>
      </dsp:style>
      <dsp:txBody>
        <a:bodyPr spcFirstLastPara="0" vert="horz" wrap="square" lIns="19050" tIns="12700" rIns="19050" bIns="12700" numCol="1" spcCol="1270" anchor="t" anchorCtr="0">
          <a:noAutofit/>
        </a:bodyPr>
        <a:lstStyle/>
        <a:p>
          <a:pPr lvl="0" algn="ctr" defTabSz="444500">
            <a:lnSpc>
              <a:spcPct val="90000"/>
            </a:lnSpc>
            <a:spcBef>
              <a:spcPct val="0"/>
            </a:spcBef>
            <a:spcAft>
              <a:spcPct val="35000"/>
            </a:spcAft>
          </a:pPr>
          <a:r>
            <a:rPr lang="es-ES" sz="1000" b="1" kern="1200" dirty="0">
              <a:latin typeface="Times New Roman" panose="02020603050405020304" pitchFamily="18" charset="0"/>
              <a:cs typeface="Times New Roman" panose="02020603050405020304" pitchFamily="18" charset="0"/>
            </a:rPr>
            <a:t>Reconstrucción </a:t>
          </a:r>
        </a:p>
        <a:p>
          <a:pPr lvl="0" algn="ctr" defTabSz="444500">
            <a:lnSpc>
              <a:spcPct val="90000"/>
            </a:lnSpc>
            <a:spcBef>
              <a:spcPct val="0"/>
            </a:spcBef>
            <a:spcAft>
              <a:spcPct val="35000"/>
            </a:spcAft>
          </a:pPr>
          <a:r>
            <a:rPr lang="es-ES" sz="900" kern="1200" dirty="0">
              <a:latin typeface="Times New Roman" panose="02020603050405020304" pitchFamily="18" charset="0"/>
              <a:cs typeface="Times New Roman" panose="02020603050405020304" pitchFamily="18" charset="0"/>
            </a:rPr>
            <a:t> Restauración de las finanzas públicas y recuperación la estabilidad macroeconomica</a:t>
          </a:r>
          <a:endParaRPr lang="es-GT" sz="900" kern="1200" dirty="0">
            <a:latin typeface="Times New Roman" panose="02020603050405020304" pitchFamily="18" charset="0"/>
            <a:cs typeface="Times New Roman" panose="02020603050405020304" pitchFamily="18" charset="0"/>
          </a:endParaRPr>
        </a:p>
      </dsp:txBody>
      <dsp:txXfrm>
        <a:off x="4290053" y="147732"/>
        <a:ext cx="1655777" cy="802908"/>
      </dsp:txXfrm>
    </dsp:sp>
    <dsp:sp modelId="{D1F4293E-E58A-4060-8858-5956BDB6AAFF}">
      <dsp:nvSpPr>
        <dsp:cNvPr id="0" name=""/>
        <dsp:cNvSpPr/>
      </dsp:nvSpPr>
      <dsp:spPr>
        <a:xfrm>
          <a:off x="4435647" y="975621"/>
          <a:ext cx="170573" cy="1372590"/>
        </a:xfrm>
        <a:custGeom>
          <a:avLst/>
          <a:gdLst/>
          <a:ahLst/>
          <a:cxnLst/>
          <a:rect l="0" t="0" r="0" b="0"/>
          <a:pathLst>
            <a:path>
              <a:moveTo>
                <a:pt x="0" y="0"/>
              </a:moveTo>
              <a:lnTo>
                <a:pt x="0" y="1372590"/>
              </a:lnTo>
              <a:lnTo>
                <a:pt x="170573" y="1372590"/>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6A61CA53-826B-4C55-8156-1509DF73A63B}">
      <dsp:nvSpPr>
        <dsp:cNvPr id="0" name=""/>
        <dsp:cNvSpPr/>
      </dsp:nvSpPr>
      <dsp:spPr>
        <a:xfrm>
          <a:off x="4606220" y="1108532"/>
          <a:ext cx="1364590" cy="2479358"/>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15240" tIns="10160" rIns="15240" bIns="10160" numCol="1" spcCol="1270" anchor="t" anchorCtr="0">
          <a:noAutofit/>
        </a:bodyPr>
        <a:lstStyle/>
        <a:p>
          <a:pPr lvl="0" algn="just" defTabSz="355600">
            <a:lnSpc>
              <a:spcPct val="90000"/>
            </a:lnSpc>
            <a:spcBef>
              <a:spcPct val="0"/>
            </a:spcBef>
            <a:spcAft>
              <a:spcPct val="35000"/>
            </a:spcAft>
          </a:pPr>
          <a:r>
            <a:rPr lang="es-ES" sz="800" b="0" i="0" kern="1200" dirty="0">
              <a:latin typeface="Times New Roman" panose="02020603050405020304" pitchFamily="18" charset="0"/>
              <a:cs typeface="Times New Roman" panose="02020603050405020304" pitchFamily="18" charset="0"/>
            </a:rPr>
            <a:t>Del lado del gasto llevar a cabo revisiones por tipo de gasto, evaluación de políticas, evaluaciones de impacto para priorizar gastos.</a:t>
          </a:r>
        </a:p>
        <a:p>
          <a:pPr lvl="0" algn="just" defTabSz="355600">
            <a:lnSpc>
              <a:spcPct val="90000"/>
            </a:lnSpc>
            <a:spcBef>
              <a:spcPct val="0"/>
            </a:spcBef>
            <a:spcAft>
              <a:spcPct val="35000"/>
            </a:spcAft>
          </a:pPr>
          <a:endParaRPr lang="es-ES" sz="200" b="0" i="0" kern="1200" dirty="0">
            <a:latin typeface="Times New Roman" panose="02020603050405020304" pitchFamily="18" charset="0"/>
            <a:cs typeface="Times New Roman" panose="02020603050405020304" pitchFamily="18" charset="0"/>
          </a:endParaRPr>
        </a:p>
        <a:p>
          <a:pPr lvl="0" algn="just" defTabSz="355600">
            <a:lnSpc>
              <a:spcPct val="90000"/>
            </a:lnSpc>
            <a:spcBef>
              <a:spcPct val="0"/>
            </a:spcBef>
            <a:spcAft>
              <a:spcPct val="35000"/>
            </a:spcAft>
          </a:pPr>
          <a:r>
            <a:rPr lang="es-ES" sz="800" b="0" i="0" kern="1200" dirty="0">
              <a:latin typeface="Times New Roman" panose="02020603050405020304" pitchFamily="18" charset="0"/>
              <a:cs typeface="Times New Roman" panose="02020603050405020304" pitchFamily="18" charset="0"/>
            </a:rPr>
            <a:t>Por el lado de los ingresos, retomar los esfuerzos y las necesidades nacionales de reforma fiscal.</a:t>
          </a:r>
        </a:p>
        <a:p>
          <a:pPr lvl="0" algn="just" defTabSz="355600">
            <a:lnSpc>
              <a:spcPct val="90000"/>
            </a:lnSpc>
            <a:spcBef>
              <a:spcPct val="0"/>
            </a:spcBef>
            <a:spcAft>
              <a:spcPct val="35000"/>
            </a:spcAft>
          </a:pPr>
          <a:endParaRPr lang="es-ES" sz="200" b="0" i="0" kern="1200" dirty="0">
            <a:latin typeface="Times New Roman" panose="02020603050405020304" pitchFamily="18" charset="0"/>
            <a:cs typeface="Times New Roman" panose="02020603050405020304" pitchFamily="18" charset="0"/>
          </a:endParaRPr>
        </a:p>
        <a:p>
          <a:pPr lvl="0" algn="just" defTabSz="355600">
            <a:lnSpc>
              <a:spcPct val="90000"/>
            </a:lnSpc>
            <a:spcBef>
              <a:spcPct val="0"/>
            </a:spcBef>
            <a:spcAft>
              <a:spcPct val="35000"/>
            </a:spcAft>
          </a:pPr>
          <a:r>
            <a:rPr lang="es-ES" sz="800" b="0" i="0" kern="1200" dirty="0">
              <a:latin typeface="Times New Roman" panose="02020603050405020304" pitchFamily="18" charset="0"/>
              <a:cs typeface="Times New Roman" panose="02020603050405020304" pitchFamily="18" charset="0"/>
            </a:rPr>
            <a:t>Impulsar proyectos de inversión pública o bien esquemas de participación publico-privada, que permitan una senda más alta de crecimiento de mediano plazo.</a:t>
          </a:r>
        </a:p>
        <a:p>
          <a:pPr lvl="0" algn="just" defTabSz="355600">
            <a:lnSpc>
              <a:spcPct val="90000"/>
            </a:lnSpc>
            <a:spcBef>
              <a:spcPct val="0"/>
            </a:spcBef>
            <a:spcAft>
              <a:spcPct val="35000"/>
            </a:spcAft>
          </a:pPr>
          <a:endParaRPr lang="es-GT" sz="800" kern="1200" dirty="0">
            <a:latin typeface="Times New Roman" panose="02020603050405020304" pitchFamily="18" charset="0"/>
            <a:cs typeface="Times New Roman" panose="02020603050405020304" pitchFamily="18" charset="0"/>
          </a:endParaRPr>
        </a:p>
      </dsp:txBody>
      <dsp:txXfrm>
        <a:off x="4646187" y="1148499"/>
        <a:ext cx="1284656" cy="2399424"/>
      </dsp:txXfrm>
    </dsp:sp>
  </dsp:spTree>
</dsp:drawing>
</file>

<file path=word/diagrams/layout1.xml><?xml version="1.0" encoding="utf-8"?>
<dgm:layoutDef xmlns:dgm="http://schemas.openxmlformats.org/drawingml/2006/diagram" xmlns:a="http://schemas.openxmlformats.org/drawingml/2006/main" uniqueId="urn:microsoft.com/office/officeart/2005/8/layout/hierarchy3">
  <dgm:title val=""/>
  <dgm:desc val=""/>
  <dgm:catLst>
    <dgm:cat type="hierarchy" pri="7000"/>
    <dgm:cat type="list" pri="23000"/>
    <dgm:cat type="relationship" pri="15000"/>
    <dgm:cat type="convert" pri="7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Lst>
      <dgm:cxnLst>
        <dgm:cxn modelId="4" srcId="0" destId="1" srcOrd="0" destOrd="0"/>
        <dgm:cxn modelId="5" srcId="1" destId="11" srcOrd="0" destOrd="0"/>
        <dgm:cxn modelId="6" srcId="1" destId="12" srcOrd="1" destOrd="0"/>
        <dgm:cxn modelId="7" srcId="0" destId="2" srcOrd="1" destOrd="0"/>
        <dgm:cxn modelId="8" srcId="2" destId="21" srcOrd="0" destOrd="0"/>
        <dgm:cxn modelId="9" srcId="2" destId="2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diagram">
    <dgm:varLst>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primFontSz" for="des" forName="rootText" op="equ" val="65"/>
      <dgm:constr type="primFontSz" for="des" forName="childText" op="equ" val="65"/>
      <dgm:constr type="w" for="des" forName="rootComposite" refType="w"/>
      <dgm:constr type="h" for="des" forName="rootComposite" refType="w" fact="0.5"/>
      <dgm:constr type="w" for="des" forName="childText" refType="w" refFor="des" refForName="rootComposite" fact="0.8"/>
      <dgm:constr type="h" for="des" forName="childText" refType="h" refFor="des" refForName="rootComposite"/>
      <dgm:constr type="sibSp" refType="w" refFor="des" refForName="rootComposite" fact="0.25"/>
      <dgm:constr type="sibSp" for="des" forName="childShape" refType="h" refFor="des" refForName="childText" fact="0.25"/>
      <dgm:constr type="sp" for="des" forName="root" refType="h" refFor="des" refForName="childText" fact="0.25"/>
    </dgm:constrLst>
    <dgm:ruleLst/>
    <dgm:forEach name="Name3" axis="ch">
      <dgm:forEach name="Name4" axis="self" ptType="node" cnt="1">
        <dgm:layoutNode name="root">
          <dgm:choose name="Name5">
            <dgm:if name="Name6" func="var" arg="dir" op="equ" val="norm">
              <dgm:alg type="hierRoot">
                <dgm:param type="hierAlign" val="tL"/>
              </dgm:alg>
            </dgm:if>
            <dgm:else name="Name7">
              <dgm:alg type="hierRoot">
                <dgm:param type="hierAlign" val="tR"/>
              </dgm:alg>
            </dgm:else>
          </dgm:choose>
          <dgm:shape xmlns:r="http://schemas.openxmlformats.org/officeDocument/2006/relationships" r:blip="">
            <dgm:adjLst/>
          </dgm:shape>
          <dgm:presOf/>
          <dgm:constrLst>
            <dgm:constr type="alignOff" val="0.2"/>
          </dgm:constrLst>
          <dgm:ruleLst/>
          <dgm:layoutNode name="rootComposite">
            <dgm:alg type="composite"/>
            <dgm:shape xmlns:r="http://schemas.openxmlformats.org/officeDocument/2006/relationships" r:blip="">
              <dgm:adjLst/>
            </dgm:shape>
            <dgm:presOf axis="self" ptType="node" cnt="1"/>
            <dgm:choose name="Name8">
              <dgm:if name="Name9" func="var" arg="dir" op="equ" val="norm">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10">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styleLbl="node1">
              <dgm:alg type="tx"/>
              <dgm:shape xmlns:r="http://schemas.openxmlformats.org/officeDocument/2006/relationships" type="roundRect" r:blip="">
                <dgm:adjLst>
                  <dgm:adj idx="1" val="0.1"/>
                </dgm:adjLst>
              </dgm:shape>
              <dgm:presOf axis="self" ptType="node" cnt="1"/>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layoutNode name="rootConnector" moveWith="rootText">
              <dgm:alg type="sp"/>
              <dgm:shape xmlns:r="http://schemas.openxmlformats.org/officeDocument/2006/relationships" type="roundRect" r:blip="" hideGeom="1">
                <dgm:adjLst>
                  <dgm:adj idx="1" val="0.1"/>
                </dgm:adjLst>
              </dgm:shape>
              <dgm:presOf axis="self" ptType="node" cnt="1"/>
              <dgm:constrLst/>
              <dgm:ruleLst/>
            </dgm:layoutNode>
          </dgm:layoutNode>
          <dgm:layoutNode name="childShape">
            <dgm:alg type="hierChild">
              <dgm:param type="chAlign" val="l"/>
              <dgm:param type="linDir" val="fromT"/>
            </dgm:alg>
            <dgm:shape xmlns:r="http://schemas.openxmlformats.org/officeDocument/2006/relationships" r:blip="">
              <dgm:adjLst/>
            </dgm:shape>
            <dgm:presOf/>
            <dgm:constrLst/>
            <dgm:ruleLst/>
            <dgm:forEach name="Name11" axis="ch">
              <dgm:forEach name="Name12" axis="self" ptType="parTrans" cnt="1">
                <dgm:layoutNode name="Name13">
                  <dgm:choose name="Name14">
                    <dgm:if name="Name15" func="var" arg="dir" op="equ" val="norm">
                      <dgm:alg type="conn">
                        <dgm:param type="dim" val="1D"/>
                        <dgm:param type="endSty" val="noArr"/>
                        <dgm:param type="connRout" val="bend"/>
                        <dgm:param type="srcNode" val="rootConnector"/>
                        <dgm:param type="begPts" val="bCtr"/>
                        <dgm:param type="endPts" val="midL"/>
                      </dgm:alg>
                    </dgm:if>
                    <dgm:else name="Name16">
                      <dgm:alg type="conn">
                        <dgm:param type="dim" val="1D"/>
                        <dgm:param type="endSty" val="noArr"/>
                        <dgm:param type="connRout" val="bend"/>
                        <dgm:param type="srcNode" val="rootConnector"/>
                        <dgm:param type="begPts" val="bCtr"/>
                        <dgm:param type="endPts" val="midR"/>
                      </dgm:alg>
                    </dgm:else>
                  </dgm:choose>
                  <dgm:shape xmlns:r="http://schemas.openxmlformats.org/officeDocument/2006/relationships" type="conn" r:blip="">
                    <dgm:adjLst/>
                  </dgm:shape>
                  <dgm:presOf axis="self"/>
                  <dgm:constrLst>
                    <dgm:constr type="begPad"/>
                    <dgm:constr type="endPad"/>
                  </dgm:constrLst>
                  <dgm:ruleLst/>
                </dgm:layoutNode>
              </dgm:forEach>
              <dgm:forEach name="Name17" axis="self" ptType="node">
                <dgm:layoutNode name="childText" styleLbl="bgAcc1">
                  <dgm:varLst>
                    <dgm:bulletEnabled val="1"/>
                  </dgm:varLst>
                  <dgm:alg type="tx"/>
                  <dgm:shape xmlns:r="http://schemas.openxmlformats.org/officeDocument/2006/relationships" type="roundRect" r:blip="">
                    <dgm:adjLst>
                      <dgm:adj idx="1" val="0.1"/>
                    </dgm:adjLst>
                  </dgm:shape>
                  <dgm:presOf axis="self desOrSelf" ptType="node node" st="1 1" cnt="1 0"/>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forEach>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rawings/drawing1.xml><?xml version="1.0" encoding="utf-8"?>
<c:userShapes xmlns:c="http://schemas.openxmlformats.org/drawingml/2006/chart">
  <cdr:relSizeAnchor xmlns:cdr="http://schemas.openxmlformats.org/drawingml/2006/chartDrawing">
    <cdr:from>
      <cdr:x>0.47592</cdr:x>
      <cdr:y>0.20652</cdr:y>
    </cdr:from>
    <cdr:to>
      <cdr:x>0.47592</cdr:x>
      <cdr:y>0.52788</cdr:y>
    </cdr:to>
    <cdr:cxnSp macro="">
      <cdr:nvCxnSpPr>
        <cdr:cNvPr id="16" name="Straight Connector 15">
          <a:extLst xmlns:a="http://schemas.openxmlformats.org/drawingml/2006/main">
            <a:ext uri="{FF2B5EF4-FFF2-40B4-BE49-F238E27FC236}">
              <a16:creationId xmlns="" xmlns:a16="http://schemas.microsoft.com/office/drawing/2014/main" id="{04CA7862-E261-464C-9243-B1E6A677B5DB}"/>
            </a:ext>
          </a:extLst>
        </cdr:cNvPr>
        <cdr:cNvCxnSpPr/>
      </cdr:nvCxnSpPr>
      <cdr:spPr>
        <a:xfrm xmlns:a="http://schemas.openxmlformats.org/drawingml/2006/main">
          <a:off x="2164556" y="520304"/>
          <a:ext cx="0" cy="809625"/>
        </a:xfrm>
        <a:prstGeom xmlns:a="http://schemas.openxmlformats.org/drawingml/2006/main" prst="line">
          <a:avLst/>
        </a:prstGeom>
        <a:ln xmlns:a="http://schemas.openxmlformats.org/drawingml/2006/main" w="9525" cap="rnd">
          <a:noFill/>
          <a:round/>
          <a:tailEnd type="none" w="sm" len="sm"/>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userShapes>
</file>

<file path=word/drawings/drawing2.xml><?xml version="1.0" encoding="utf-8"?>
<c:userShapes xmlns:c="http://schemas.openxmlformats.org/drawingml/2006/chart">
  <cdr:relSizeAnchor xmlns:cdr="http://schemas.openxmlformats.org/drawingml/2006/chartDrawing">
    <cdr:from>
      <cdr:x>0.60343</cdr:x>
      <cdr:y>0.04387</cdr:y>
    </cdr:from>
    <cdr:to>
      <cdr:x>0.94328</cdr:x>
      <cdr:y>0.78665</cdr:y>
    </cdr:to>
    <cdr:sp macro="" textlink="">
      <cdr:nvSpPr>
        <cdr:cNvPr id="2" name="Rectangle 9">
          <a:extLst xmlns:a="http://schemas.openxmlformats.org/drawingml/2006/main">
            <a:ext uri="{FF2B5EF4-FFF2-40B4-BE49-F238E27FC236}">
              <a16:creationId xmlns="" xmlns:a16="http://schemas.microsoft.com/office/drawing/2014/main" id="{296F063A-EEF6-475E-9F2C-1415FCD73077}"/>
            </a:ext>
          </a:extLst>
        </cdr:cNvPr>
        <cdr:cNvSpPr/>
      </cdr:nvSpPr>
      <cdr:spPr>
        <a:xfrm xmlns:a="http://schemas.openxmlformats.org/drawingml/2006/main">
          <a:off x="3062940" y="113553"/>
          <a:ext cx="1724997" cy="1922481"/>
        </a:xfrm>
        <a:prstGeom xmlns:a="http://schemas.openxmlformats.org/drawingml/2006/main" prst="rect">
          <a:avLst/>
        </a:prstGeom>
        <a:solidFill xmlns:a="http://schemas.openxmlformats.org/drawingml/2006/main">
          <a:schemeClr val="bg1">
            <a:lumMod val="50000"/>
            <a:alpha val="10000"/>
          </a:schemeClr>
        </a:solidFill>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rtlCol="0" anchor="t"/>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pPr algn="l"/>
          <a:endParaRPr lang="es-GT" sz="1100"/>
        </a:p>
      </cdr:txBody>
    </cdr:sp>
  </cdr:relSizeAnchor>
</c:userShapes>
</file>

<file path=word/drawings/drawing3.xml><?xml version="1.0" encoding="utf-8"?>
<c:userShapes xmlns:c="http://schemas.openxmlformats.org/drawingml/2006/chart">
  <cdr:relSizeAnchor xmlns:cdr="http://schemas.openxmlformats.org/drawingml/2006/chartDrawing">
    <cdr:from>
      <cdr:x>0.37423</cdr:x>
      <cdr:y>0.06677</cdr:y>
    </cdr:from>
    <cdr:to>
      <cdr:x>0.81211</cdr:x>
      <cdr:y>0.72149</cdr:y>
    </cdr:to>
    <cdr:sp macro="" textlink="">
      <cdr:nvSpPr>
        <cdr:cNvPr id="2" name="Rectangle 1">
          <a:extLst xmlns:a="http://schemas.openxmlformats.org/drawingml/2006/main">
            <a:ext uri="{FF2B5EF4-FFF2-40B4-BE49-F238E27FC236}">
              <a16:creationId xmlns="" xmlns:a16="http://schemas.microsoft.com/office/drawing/2014/main" id="{24988E36-B660-4701-BABD-1342565B9641}"/>
            </a:ext>
          </a:extLst>
        </cdr:cNvPr>
        <cdr:cNvSpPr/>
      </cdr:nvSpPr>
      <cdr:spPr>
        <a:xfrm xmlns:a="http://schemas.openxmlformats.org/drawingml/2006/main">
          <a:off x="956241" y="163556"/>
          <a:ext cx="1118884" cy="1603789"/>
        </a:xfrm>
        <a:prstGeom xmlns:a="http://schemas.openxmlformats.org/drawingml/2006/main" prst="rect">
          <a:avLst/>
        </a:prstGeom>
        <a:solidFill xmlns:a="http://schemas.openxmlformats.org/drawingml/2006/main">
          <a:schemeClr val="bg2">
            <a:lumMod val="10000"/>
            <a:alpha val="4000"/>
          </a:schemeClr>
        </a:solidFill>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vertOverflow="clip"/>
        <a:lstStyle xmlns:a="http://schemas.openxmlformats.org/drawingml/2006/main"/>
        <a:p xmlns:a="http://schemas.openxmlformats.org/drawingml/2006/main">
          <a:endParaRPr lang="es-GT"/>
        </a:p>
      </cdr:txBody>
    </cdr:sp>
  </cdr:relSizeAnchor>
</c:userShapes>
</file>

<file path=word/drawings/drawing4.xml><?xml version="1.0" encoding="utf-8"?>
<c:userShapes xmlns:c="http://schemas.openxmlformats.org/drawingml/2006/chart">
  <cdr:relSizeAnchor xmlns:cdr="http://schemas.openxmlformats.org/drawingml/2006/chartDrawing">
    <cdr:from>
      <cdr:x>0.28192</cdr:x>
      <cdr:y>0.04751</cdr:y>
    </cdr:from>
    <cdr:to>
      <cdr:x>0.28296</cdr:x>
      <cdr:y>0.87927</cdr:y>
    </cdr:to>
    <cdr:cxnSp macro="">
      <cdr:nvCxnSpPr>
        <cdr:cNvPr id="3" name="Conector recto 2">
          <a:extLst xmlns:a="http://schemas.openxmlformats.org/drawingml/2006/main">
            <a:ext uri="{FF2B5EF4-FFF2-40B4-BE49-F238E27FC236}">
              <a16:creationId xmlns="" xmlns:a16="http://schemas.microsoft.com/office/drawing/2014/main" id="{82D94F90-93AB-4C71-9BBC-05B551F32189}"/>
            </a:ext>
          </a:extLst>
        </cdr:cNvPr>
        <cdr:cNvCxnSpPr/>
      </cdr:nvCxnSpPr>
      <cdr:spPr>
        <a:xfrm xmlns:a="http://schemas.openxmlformats.org/drawingml/2006/main" flipH="1">
          <a:off x="1420874" y="119060"/>
          <a:ext cx="5256" cy="2084576"/>
        </a:xfrm>
        <a:prstGeom xmlns:a="http://schemas.openxmlformats.org/drawingml/2006/main" prst="line">
          <a:avLst/>
        </a:prstGeom>
        <a:ln xmlns:a="http://schemas.openxmlformats.org/drawingml/2006/main" w="22225">
          <a:solidFill>
            <a:schemeClr val="accent6"/>
          </a:solidFill>
          <a:prstDash val="sysDot"/>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0.6746</cdr:x>
      <cdr:y>0.05517</cdr:y>
    </cdr:from>
    <cdr:to>
      <cdr:x>0.6772</cdr:x>
      <cdr:y>0.88285</cdr:y>
    </cdr:to>
    <cdr:cxnSp macro="">
      <cdr:nvCxnSpPr>
        <cdr:cNvPr id="5" name="Conector recto 4">
          <a:extLst xmlns:a="http://schemas.openxmlformats.org/drawingml/2006/main">
            <a:ext uri="{FF2B5EF4-FFF2-40B4-BE49-F238E27FC236}">
              <a16:creationId xmlns="" xmlns:a16="http://schemas.microsoft.com/office/drawing/2014/main" id="{ABDBEF73-2193-416D-AD3D-31DFC80EB6C1}"/>
            </a:ext>
          </a:extLst>
        </cdr:cNvPr>
        <cdr:cNvCxnSpPr/>
      </cdr:nvCxnSpPr>
      <cdr:spPr>
        <a:xfrm xmlns:a="http://schemas.openxmlformats.org/drawingml/2006/main" flipH="1">
          <a:off x="3399992" y="137367"/>
          <a:ext cx="13089" cy="2060748"/>
        </a:xfrm>
        <a:prstGeom xmlns:a="http://schemas.openxmlformats.org/drawingml/2006/main" prst="line">
          <a:avLst/>
        </a:prstGeom>
        <a:ln xmlns:a="http://schemas.openxmlformats.org/drawingml/2006/main" w="22225">
          <a:solidFill>
            <a:schemeClr val="accent6"/>
          </a:solidFill>
          <a:prstDash val="sysDot"/>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0.28494</cdr:x>
      <cdr:y>0.04672</cdr:y>
    </cdr:from>
    <cdr:to>
      <cdr:x>0.67922</cdr:x>
      <cdr:y>0.88682</cdr:y>
    </cdr:to>
    <cdr:sp macro="" textlink="">
      <cdr:nvSpPr>
        <cdr:cNvPr id="9" name="Rectángulo 8">
          <a:extLst xmlns:a="http://schemas.openxmlformats.org/drawingml/2006/main">
            <a:ext uri="{FF2B5EF4-FFF2-40B4-BE49-F238E27FC236}">
              <a16:creationId xmlns="" xmlns:a16="http://schemas.microsoft.com/office/drawing/2014/main" id="{AB6DFA84-B5FD-4163-9FD9-81E647B45D5E}"/>
            </a:ext>
          </a:extLst>
        </cdr:cNvPr>
        <cdr:cNvSpPr/>
      </cdr:nvSpPr>
      <cdr:spPr>
        <a:xfrm xmlns:a="http://schemas.openxmlformats.org/drawingml/2006/main">
          <a:off x="1436077" y="116312"/>
          <a:ext cx="1987194" cy="2091684"/>
        </a:xfrm>
        <a:prstGeom xmlns:a="http://schemas.openxmlformats.org/drawingml/2006/main" prst="rect">
          <a:avLst/>
        </a:prstGeom>
        <a:solidFill xmlns:a="http://schemas.openxmlformats.org/drawingml/2006/main">
          <a:schemeClr val="accent6">
            <a:lumMod val="20000"/>
            <a:lumOff val="80000"/>
            <a:alpha val="16000"/>
          </a:schemeClr>
        </a:solidFill>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pPr algn="ctr"/>
          <a:endParaRPr lang="es-GT" sz="1050">
            <a:latin typeface="Times New Roman" panose="02020603050405020304" pitchFamily="18" charset="0"/>
            <a:cs typeface="Times New Roman" panose="02020603050405020304" pitchFamily="18" charset="0"/>
          </a:endParaRPr>
        </a:p>
      </cdr:txBody>
    </cdr:sp>
  </cdr:relSizeAnchor>
  <cdr:relSizeAnchor xmlns:cdr="http://schemas.openxmlformats.org/drawingml/2006/chartDrawing">
    <cdr:from>
      <cdr:x>0.36294</cdr:x>
      <cdr:y>0.08599</cdr:y>
    </cdr:from>
    <cdr:to>
      <cdr:x>0.64238</cdr:x>
      <cdr:y>0.19022</cdr:y>
    </cdr:to>
    <cdr:sp macro="" textlink="">
      <cdr:nvSpPr>
        <cdr:cNvPr id="11" name="CuadroTexto 10">
          <a:extLst xmlns:a="http://schemas.openxmlformats.org/drawingml/2006/main">
            <a:ext uri="{FF2B5EF4-FFF2-40B4-BE49-F238E27FC236}">
              <a16:creationId xmlns="" xmlns:a16="http://schemas.microsoft.com/office/drawing/2014/main" id="{DA654548-AF75-421A-AAD3-E7409B519E44}"/>
            </a:ext>
          </a:extLst>
        </cdr:cNvPr>
        <cdr:cNvSpPr txBox="1"/>
      </cdr:nvSpPr>
      <cdr:spPr>
        <a:xfrm xmlns:a="http://schemas.openxmlformats.org/drawingml/2006/main">
          <a:off x="1829198" y="215498"/>
          <a:ext cx="1408387" cy="261224"/>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s-GT" sz="1000" b="1">
              <a:solidFill>
                <a:schemeClr val="accent6">
                  <a:lumMod val="50000"/>
                </a:schemeClr>
              </a:solidFill>
              <a:latin typeface="Times New Roman" panose="02020603050405020304" pitchFamily="18" charset="0"/>
              <a:cs typeface="Times New Roman" panose="02020603050405020304" pitchFamily="18" charset="0"/>
            </a:rPr>
            <a:t>Ingreso medio alto</a:t>
          </a:r>
        </a:p>
      </cdr:txBody>
    </cdr:sp>
  </cdr:relSizeAnchor>
  <cdr:relSizeAnchor xmlns:cdr="http://schemas.openxmlformats.org/drawingml/2006/chartDrawing">
    <cdr:from>
      <cdr:x>0.71398</cdr:x>
      <cdr:y>0.67055</cdr:y>
    </cdr:from>
    <cdr:to>
      <cdr:x>0.90636</cdr:x>
      <cdr:y>0.77478</cdr:y>
    </cdr:to>
    <cdr:sp macro="" textlink="">
      <cdr:nvSpPr>
        <cdr:cNvPr id="12" name="CuadroTexto 1">
          <a:extLst xmlns:a="http://schemas.openxmlformats.org/drawingml/2006/main">
            <a:ext uri="{FF2B5EF4-FFF2-40B4-BE49-F238E27FC236}">
              <a16:creationId xmlns="" xmlns:a16="http://schemas.microsoft.com/office/drawing/2014/main" id="{5F08AE24-EE99-4D63-8141-EF2147192146}"/>
            </a:ext>
          </a:extLst>
        </cdr:cNvPr>
        <cdr:cNvSpPr txBox="1"/>
      </cdr:nvSpPr>
      <cdr:spPr>
        <a:xfrm xmlns:a="http://schemas.openxmlformats.org/drawingml/2006/main">
          <a:off x="3598446" y="1669542"/>
          <a:ext cx="969629" cy="259513"/>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s-GT" sz="1000" b="1">
              <a:solidFill>
                <a:schemeClr val="tx1"/>
              </a:solidFill>
              <a:latin typeface="Times New Roman" panose="02020603050405020304" pitchFamily="18" charset="0"/>
              <a:cs typeface="Times New Roman" panose="02020603050405020304" pitchFamily="18" charset="0"/>
            </a:rPr>
            <a:t>Ingreso alto</a:t>
          </a:r>
        </a:p>
      </cdr:txBody>
    </cdr:sp>
  </cdr:relSizeAnchor>
  <cdr:relSizeAnchor xmlns:cdr="http://schemas.openxmlformats.org/drawingml/2006/chartDrawing">
    <cdr:from>
      <cdr:x>0.07264</cdr:x>
      <cdr:y>0.65179</cdr:y>
    </cdr:from>
    <cdr:to>
      <cdr:x>0.26503</cdr:x>
      <cdr:y>0.75602</cdr:y>
    </cdr:to>
    <cdr:sp macro="" textlink="">
      <cdr:nvSpPr>
        <cdr:cNvPr id="13" name="CuadroTexto 1">
          <a:extLst xmlns:a="http://schemas.openxmlformats.org/drawingml/2006/main">
            <a:ext uri="{FF2B5EF4-FFF2-40B4-BE49-F238E27FC236}">
              <a16:creationId xmlns="" xmlns:a16="http://schemas.microsoft.com/office/drawing/2014/main" id="{41042A8C-C734-4445-BAEC-0AA4C349F826}"/>
            </a:ext>
          </a:extLst>
        </cdr:cNvPr>
        <cdr:cNvSpPr txBox="1"/>
      </cdr:nvSpPr>
      <cdr:spPr>
        <a:xfrm xmlns:a="http://schemas.openxmlformats.org/drawingml/2006/main">
          <a:off x="366111" y="1643117"/>
          <a:ext cx="969629" cy="262758"/>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s-GT" sz="1000" b="1">
              <a:solidFill>
                <a:schemeClr val="tx1"/>
              </a:solidFill>
              <a:latin typeface="Times New Roman" panose="02020603050405020304" pitchFamily="18" charset="0"/>
              <a:cs typeface="Times New Roman" panose="02020603050405020304" pitchFamily="18" charset="0"/>
            </a:rPr>
            <a:t>Ingreso bajo y mediano bajo</a:t>
          </a:r>
        </a:p>
      </cdr:txBody>
    </cdr:sp>
  </cdr:relSizeAnchor>
</c:userShapes>
</file>

<file path=word/drawings/drawing5.xml><?xml version="1.0" encoding="utf-8"?>
<c:userShapes xmlns:c="http://schemas.openxmlformats.org/drawingml/2006/chart">
  <cdr:relSizeAnchor xmlns:cdr="http://schemas.openxmlformats.org/drawingml/2006/chartDrawing">
    <cdr:from>
      <cdr:x>0.85889</cdr:x>
      <cdr:y>0.33602</cdr:y>
    </cdr:from>
    <cdr:to>
      <cdr:x>1</cdr:x>
      <cdr:y>0.4445</cdr:y>
    </cdr:to>
    <cdr:sp macro="" textlink="">
      <cdr:nvSpPr>
        <cdr:cNvPr id="4" name="3 CuadroTexto"/>
        <cdr:cNvSpPr txBox="1"/>
      </cdr:nvSpPr>
      <cdr:spPr>
        <a:xfrm xmlns:a="http://schemas.openxmlformats.org/drawingml/2006/main">
          <a:off x="5565600" y="1209675"/>
          <a:ext cx="914400" cy="390525"/>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endParaRPr lang="es-GT" sz="1100"/>
        </a:p>
      </cdr:txBody>
    </cdr:sp>
  </cdr:relSizeAnchor>
</c:userShape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FD183D-1E9E-49A0-B502-EF480437D3A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64</Pages>
  <Words>21641</Words>
  <Characters>119027</Characters>
  <Application>Microsoft Office Word</Application>
  <DocSecurity>0</DocSecurity>
  <Lines>991</Lines>
  <Paragraphs>280</Paragraphs>
  <ScaleCrop>false</ScaleCrop>
  <HeadingPairs>
    <vt:vector size="2" baseType="variant">
      <vt:variant>
        <vt:lpstr>Título</vt:lpstr>
      </vt:variant>
      <vt:variant>
        <vt:i4>1</vt:i4>
      </vt:variant>
    </vt:vector>
  </HeadingPairs>
  <TitlesOfParts>
    <vt:vector size="1" baseType="lpstr">
      <vt:lpstr/>
    </vt:vector>
  </TitlesOfParts>
  <Company>Microsoft</Company>
  <LinksUpToDate>false</LinksUpToDate>
  <CharactersWithSpaces>140388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Nancy Patricia Taracena Rodriguez</dc:creator>
  <cp:lastModifiedBy>René Augusto Castro González</cp:lastModifiedBy>
  <cp:revision>2</cp:revision>
  <cp:lastPrinted>2020-09-02T20:50:00Z</cp:lastPrinted>
  <dcterms:created xsi:type="dcterms:W3CDTF">2020-09-03T14:35:00Z</dcterms:created>
  <dcterms:modified xsi:type="dcterms:W3CDTF">2020-09-03T14:35:00Z</dcterms:modified>
</cp:coreProperties>
</file>