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7.xml" ContentType="application/vnd.openxmlformats-officedocument.themeOverride+xml"/>
  <Override PartName="/word/drawings/drawing1.xml" ContentType="application/vnd.openxmlformats-officedocument.drawingml.chartshapes+xml"/>
  <Override PartName="/word/charts/chart3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8.xml" ContentType="application/vnd.openxmlformats-officedocument.themeOverride+xml"/>
  <Override PartName="/word/charts/chart38.xml" ContentType="application/vnd.openxmlformats-officedocument.drawingml.chart+xml"/>
  <Override PartName="/word/theme/themeOverride19.xml" ContentType="application/vnd.openxmlformats-officedocument.themeOverride+xml"/>
  <Override PartName="/word/charts/chart3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0.xml" ContentType="application/vnd.openxmlformats-officedocument.themeOverride+xml"/>
  <Override PartName="/word/charts/chart40.xml" ContentType="application/vnd.openxmlformats-officedocument.drawingml.chart+xml"/>
  <Override PartName="/word/theme/themeOverride21.xml" ContentType="application/vnd.openxmlformats-officedocument.themeOverride+xml"/>
  <Override PartName="/word/charts/chart4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2.xml" ContentType="application/vnd.openxmlformats-officedocument.themeOverride+xml"/>
  <Override PartName="/word/charts/chart4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3.xml" ContentType="application/vnd.openxmlformats-officedocument.themeOverride+xml"/>
  <Override PartName="/word/charts/chart4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4.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5.xml" ContentType="application/vnd.openxmlformats-officedocument.themeOverride+xml"/>
  <Override PartName="/word/charts/chart4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6.xml" ContentType="application/vnd.openxmlformats-officedocument.themeOverride+xml"/>
  <Override PartName="/word/charts/chart47.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8.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2.xml" ContentType="application/vnd.openxmlformats-officedocument.drawingml.chartshapes+xml"/>
  <Override PartName="/word/charts/chart4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0.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3.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7.xml" ContentType="application/vnd.openxmlformats-officedocument.themeOverride+xml"/>
  <Override PartName="/word/charts/chart54.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8.xml" ContentType="application/vnd.openxmlformats-officedocument.themeOverride+xml"/>
  <Override PartName="/word/charts/chart55.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6.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7.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60.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1.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62.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29.xml" ContentType="application/vnd.openxmlformats-officedocument.themeOverride+xml"/>
  <Override PartName="/word/charts/chart63.xml" ContentType="application/vnd.openxmlformats-officedocument.drawingml.chart+xml"/>
  <Override PartName="/word/charts/style50.xml" ContentType="application/vnd.ms-office.chartstyle+xml"/>
  <Override PartName="/word/charts/colors50.xml" ContentType="application/vnd.ms-office.chartcolorstyle+xml"/>
  <Override PartName="/word/drawings/drawing3.xml" ContentType="application/vnd.openxmlformats-officedocument.drawingml.chartshapes+xml"/>
  <Override PartName="/word/charts/chart64.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0.xml" ContentType="application/vnd.openxmlformats-officedocument.themeOverride+xml"/>
  <Override PartName="/word/charts/chart65.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1.xml" ContentType="application/vnd.openxmlformats-officedocument.themeOverride+xml"/>
  <Override PartName="/word/charts/chart66.xml" ContentType="application/vnd.openxmlformats-officedocument.drawingml.chart+xml"/>
  <Override PartName="/word/charts/style53.xml" ContentType="application/vnd.ms-office.chartstyle+xml"/>
  <Override PartName="/word/charts/colors5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67.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8.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9.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70.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71.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72.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73.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74.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75.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76.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7.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78.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79.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80.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81.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85.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86.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87.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88.xml" ContentType="application/vnd.openxmlformats-officedocument.drawingml.chart+xml"/>
  <Override PartName="/word/charts/chart89.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90.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91.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92.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93.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94.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95.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32.xml" ContentType="application/vnd.openxmlformats-officedocument.themeOverride+xml"/>
  <Override PartName="/word/charts/chart96.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97.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33.xml" ContentType="application/vnd.openxmlformats-officedocument.themeOverride+xml"/>
  <Override PartName="/word/charts/chart98.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99.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34.xml" ContentType="application/vnd.openxmlformats-officedocument.themeOverride+xml"/>
  <Override PartName="/word/charts/chart100.xml" ContentType="application/vnd.openxmlformats-officedocument.drawingml.chart+xml"/>
  <Override PartName="/word/drawings/drawing4.xml" ContentType="application/vnd.openxmlformats-officedocument.drawingml.chartshapes+xml"/>
  <Override PartName="/word/charts/chart101.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102.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103.xml" ContentType="application/vnd.openxmlformats-officedocument.drawingml.chart+xml"/>
  <Override PartName="/word/charts/style86.xml" ContentType="application/vnd.ms-office.chartstyle+xml"/>
  <Override PartName="/word/charts/colors8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72200" w14:textId="17DB3A97" w:rsidR="00ED483A" w:rsidRDefault="00ED483A" w:rsidP="003020ED">
      <w:pPr>
        <w:ind w:left="567"/>
        <w:rPr>
          <w:noProof/>
          <w:lang w:eastAsia="es-GT"/>
        </w:rPr>
      </w:pPr>
      <w:bookmarkStart w:id="0" w:name="_GoBack"/>
      <w:bookmarkEnd w:id="0"/>
    </w:p>
    <w:p w14:paraId="50637AC9" w14:textId="27762251" w:rsidR="00ED483A" w:rsidRDefault="00ED483A" w:rsidP="003020ED">
      <w:pPr>
        <w:ind w:left="567"/>
        <w:rPr>
          <w:noProof/>
          <w:lang w:eastAsia="es-GT"/>
        </w:rPr>
      </w:pPr>
    </w:p>
    <w:p w14:paraId="7A0F4188" w14:textId="365202E1" w:rsidR="00ED483A" w:rsidRDefault="00ED483A" w:rsidP="003020ED">
      <w:pPr>
        <w:ind w:left="567"/>
        <w:rPr>
          <w:noProof/>
          <w:lang w:eastAsia="es-GT"/>
        </w:rPr>
      </w:pPr>
    </w:p>
    <w:p w14:paraId="034550FA" w14:textId="15403521" w:rsidR="00ED483A" w:rsidRDefault="00ED483A" w:rsidP="003020ED">
      <w:pPr>
        <w:ind w:left="567"/>
        <w:rPr>
          <w:noProof/>
          <w:lang w:eastAsia="es-GT"/>
        </w:rPr>
      </w:pPr>
    </w:p>
    <w:p w14:paraId="5B42F035" w14:textId="68E39126" w:rsidR="00ED483A" w:rsidRDefault="00ED483A" w:rsidP="003020ED">
      <w:pPr>
        <w:ind w:left="567"/>
        <w:rPr>
          <w:noProof/>
          <w:lang w:eastAsia="es-GT"/>
        </w:rPr>
      </w:pPr>
    </w:p>
    <w:p w14:paraId="7D445B8F" w14:textId="42796759" w:rsidR="00ED483A" w:rsidRDefault="00ED483A" w:rsidP="003020ED">
      <w:pPr>
        <w:ind w:left="567"/>
        <w:rPr>
          <w:noProof/>
          <w:lang w:eastAsia="es-GT"/>
        </w:rPr>
      </w:pPr>
    </w:p>
    <w:p w14:paraId="467E9879" w14:textId="10FE8025" w:rsidR="00ED483A" w:rsidRDefault="000E3A47" w:rsidP="000E3A47">
      <w:pPr>
        <w:jc w:val="center"/>
        <w:rPr>
          <w:noProof/>
          <w:lang w:eastAsia="es-GT"/>
        </w:rPr>
      </w:pPr>
      <w:r>
        <w:rPr>
          <w:noProof/>
          <w:lang w:eastAsia="es-GT"/>
        </w:rPr>
        <w:drawing>
          <wp:inline distT="0" distB="0" distL="0" distR="0" wp14:anchorId="0E86B2A2" wp14:editId="607FA440">
            <wp:extent cx="3162300" cy="942975"/>
            <wp:effectExtent l="0" t="0" r="0" b="9525"/>
            <wp:docPr id="224" name="Imagen 224" descr="Inicio - Ministerio de Finanzas Púb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Ministerio de Finanzas Públic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942975"/>
                    </a:xfrm>
                    <a:prstGeom prst="rect">
                      <a:avLst/>
                    </a:prstGeom>
                    <a:noFill/>
                    <a:ln>
                      <a:noFill/>
                    </a:ln>
                  </pic:spPr>
                </pic:pic>
              </a:graphicData>
            </a:graphic>
          </wp:inline>
        </w:drawing>
      </w:r>
    </w:p>
    <w:p w14:paraId="47B8FA5B" w14:textId="1E695C2A" w:rsidR="00ED483A" w:rsidRDefault="00ED483A" w:rsidP="003020ED">
      <w:pPr>
        <w:ind w:left="567"/>
        <w:rPr>
          <w:noProof/>
          <w:lang w:eastAsia="es-GT"/>
        </w:rPr>
      </w:pPr>
    </w:p>
    <w:p w14:paraId="4B017F57" w14:textId="137EFC68" w:rsidR="00ED483A" w:rsidRDefault="00ED483A" w:rsidP="003020ED">
      <w:pPr>
        <w:ind w:left="567"/>
        <w:rPr>
          <w:noProof/>
          <w:lang w:eastAsia="es-GT"/>
        </w:rPr>
      </w:pPr>
    </w:p>
    <w:p w14:paraId="09A5E66B" w14:textId="699558CC" w:rsidR="00ED483A" w:rsidRDefault="00ED483A" w:rsidP="003020ED">
      <w:pPr>
        <w:ind w:left="567"/>
        <w:rPr>
          <w:noProof/>
          <w:lang w:eastAsia="es-GT"/>
        </w:rPr>
      </w:pPr>
    </w:p>
    <w:p w14:paraId="62B570A7" w14:textId="65AFB452" w:rsidR="00ED483A" w:rsidRDefault="00ED483A" w:rsidP="003020ED">
      <w:pPr>
        <w:ind w:left="567"/>
        <w:rPr>
          <w:noProof/>
          <w:lang w:eastAsia="es-GT"/>
        </w:rPr>
      </w:pPr>
    </w:p>
    <w:p w14:paraId="20A59F15" w14:textId="0CD4B4AF" w:rsidR="00ED483A" w:rsidRDefault="00ED483A" w:rsidP="003020ED">
      <w:pPr>
        <w:ind w:left="567"/>
        <w:rPr>
          <w:noProof/>
          <w:lang w:eastAsia="es-GT"/>
        </w:rPr>
      </w:pPr>
    </w:p>
    <w:p w14:paraId="57245F0F" w14:textId="54C6B4E4" w:rsidR="00ED483A" w:rsidRDefault="00ED483A" w:rsidP="003020ED">
      <w:pPr>
        <w:ind w:left="567"/>
        <w:rPr>
          <w:noProof/>
          <w:lang w:eastAsia="es-GT"/>
        </w:rPr>
      </w:pPr>
    </w:p>
    <w:p w14:paraId="66167D1F" w14:textId="730B7FB9" w:rsidR="00ED483A" w:rsidRDefault="00ED483A" w:rsidP="003020ED">
      <w:pPr>
        <w:ind w:left="567"/>
        <w:rPr>
          <w:noProof/>
          <w:lang w:eastAsia="es-GT"/>
        </w:rPr>
      </w:pPr>
    </w:p>
    <w:p w14:paraId="1B2FC51C" w14:textId="180AAEA8" w:rsidR="00ED483A" w:rsidRDefault="00DC3FF4" w:rsidP="00DC3FF4">
      <w:pPr>
        <w:tabs>
          <w:tab w:val="left" w:pos="7425"/>
        </w:tabs>
        <w:ind w:left="567"/>
        <w:rPr>
          <w:noProof/>
          <w:lang w:eastAsia="es-GT"/>
        </w:rPr>
      </w:pPr>
      <w:r>
        <w:rPr>
          <w:noProof/>
          <w:lang w:eastAsia="es-GT"/>
        </w:rPr>
        <w:tab/>
      </w:r>
    </w:p>
    <w:p w14:paraId="2A7E9964" w14:textId="55CF6AB7" w:rsidR="00ED483A" w:rsidRDefault="00ED483A" w:rsidP="003020ED">
      <w:pPr>
        <w:ind w:left="567"/>
        <w:rPr>
          <w:noProof/>
          <w:lang w:eastAsia="es-GT"/>
        </w:rPr>
      </w:pPr>
    </w:p>
    <w:p w14:paraId="113DE312" w14:textId="0E3CF54C" w:rsidR="00ED483A" w:rsidRDefault="00ED483A" w:rsidP="003020ED">
      <w:pPr>
        <w:ind w:left="567"/>
        <w:rPr>
          <w:noProof/>
          <w:lang w:eastAsia="es-GT"/>
        </w:rPr>
      </w:pPr>
    </w:p>
    <w:p w14:paraId="539B0A39" w14:textId="7DE40D96" w:rsidR="00ED483A" w:rsidRDefault="00ED483A" w:rsidP="003020ED">
      <w:pPr>
        <w:ind w:left="567"/>
        <w:rPr>
          <w:noProof/>
          <w:lang w:eastAsia="es-GT"/>
        </w:rPr>
      </w:pPr>
    </w:p>
    <w:p w14:paraId="30EA2E60" w14:textId="2301EE85" w:rsidR="00ED483A" w:rsidRDefault="00ED483A" w:rsidP="003020ED">
      <w:pPr>
        <w:ind w:left="567"/>
        <w:rPr>
          <w:noProof/>
          <w:lang w:eastAsia="es-GT"/>
        </w:rPr>
      </w:pPr>
    </w:p>
    <w:p w14:paraId="0C2BA6E2" w14:textId="23B6D4C8" w:rsidR="00ED483A" w:rsidRPr="00ED483A" w:rsidRDefault="00ED483A" w:rsidP="00ED483A">
      <w:pPr>
        <w:jc w:val="center"/>
        <w:rPr>
          <w:b/>
          <w:sz w:val="40"/>
          <w:szCs w:val="28"/>
        </w:rPr>
      </w:pPr>
      <w:r w:rsidRPr="00ED483A">
        <w:rPr>
          <w:b/>
          <w:sz w:val="40"/>
          <w:szCs w:val="28"/>
        </w:rPr>
        <w:t>INFORME DE RIESGOS FISCALES</w:t>
      </w:r>
      <w:r>
        <w:rPr>
          <w:b/>
          <w:sz w:val="40"/>
          <w:szCs w:val="28"/>
        </w:rPr>
        <w:t xml:space="preserve"> 2023</w:t>
      </w:r>
      <w:r w:rsidRPr="00ED483A">
        <w:rPr>
          <w:b/>
          <w:sz w:val="40"/>
          <w:szCs w:val="28"/>
        </w:rPr>
        <w:t>-</w:t>
      </w:r>
      <w:r>
        <w:rPr>
          <w:b/>
          <w:sz w:val="40"/>
          <w:szCs w:val="28"/>
        </w:rPr>
        <w:t>2027</w:t>
      </w:r>
    </w:p>
    <w:p w14:paraId="01ADDEC2" w14:textId="77777777" w:rsidR="00ED483A" w:rsidRPr="00DE1D8D" w:rsidRDefault="00ED483A" w:rsidP="00ED483A">
      <w:r>
        <w:rPr>
          <w:noProof/>
          <w:lang w:eastAsia="es-GT"/>
        </w:rPr>
        <mc:AlternateContent>
          <mc:Choice Requires="wps">
            <w:drawing>
              <wp:anchor distT="0" distB="0" distL="114300" distR="114300" simplePos="0" relativeHeight="251669504" behindDoc="0" locked="0" layoutInCell="1" allowOverlap="1" wp14:anchorId="4B453DE7" wp14:editId="1F7965E3">
                <wp:simplePos x="0" y="0"/>
                <wp:positionH relativeFrom="column">
                  <wp:posOffset>-309245</wp:posOffset>
                </wp:positionH>
                <wp:positionV relativeFrom="paragraph">
                  <wp:posOffset>109855</wp:posOffset>
                </wp:positionV>
                <wp:extent cx="6347637" cy="0"/>
                <wp:effectExtent l="19050" t="76200" r="91440" b="76200"/>
                <wp:wrapNone/>
                <wp:docPr id="225" name="Conector recto 225"/>
                <wp:cNvGraphicFramePr/>
                <a:graphic xmlns:a="http://schemas.openxmlformats.org/drawingml/2006/main">
                  <a:graphicData uri="http://schemas.microsoft.com/office/word/2010/wordprocessingShape">
                    <wps:wsp>
                      <wps:cNvCnPr/>
                      <wps:spPr>
                        <a:xfrm>
                          <a:off x="0" y="0"/>
                          <a:ext cx="6347637" cy="0"/>
                        </a:xfrm>
                        <a:prstGeom prst="line">
                          <a:avLst/>
                        </a:prstGeom>
                        <a:ln w="38100"/>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74EA3B" id="Conector recto 22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35pt,8.65pt" to="475.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" strokecolor="#3c6abe [3044]" strokeweight="3pt">
                <v:shadow on="t" color="black" opacity="26214f" origin="-.5" offset="3pt,0"/>
              </v:line>
            </w:pict>
          </mc:Fallback>
        </mc:AlternateContent>
      </w:r>
    </w:p>
    <w:p w14:paraId="064763DD" w14:textId="77777777" w:rsidR="00ED483A" w:rsidRPr="00DE1D8D" w:rsidRDefault="00ED483A" w:rsidP="00ED483A"/>
    <w:p w14:paraId="7BCECF47" w14:textId="77777777" w:rsidR="00ED483A" w:rsidRPr="00DE1D8D" w:rsidRDefault="00ED483A" w:rsidP="00ED483A"/>
    <w:p w14:paraId="47F2DE41" w14:textId="7B158EFC" w:rsidR="00ED483A" w:rsidRPr="00DE1D8D" w:rsidRDefault="000E3A47" w:rsidP="00ED483A">
      <w:pPr>
        <w:jc w:val="center"/>
        <w:rPr>
          <w:sz w:val="32"/>
        </w:rPr>
      </w:pPr>
      <w:r>
        <w:rPr>
          <w:color w:val="1F3864" w:themeColor="accent1" w:themeShade="80"/>
          <w:sz w:val="32"/>
        </w:rPr>
        <w:t>Dirección de Análisis y Política Fiscal</w:t>
      </w:r>
    </w:p>
    <w:p w14:paraId="1C282F66" w14:textId="0DABC5E7" w:rsidR="00ED483A" w:rsidRDefault="00ED483A" w:rsidP="00ED483A">
      <w:pPr>
        <w:rPr>
          <w:noProof/>
          <w:lang w:eastAsia="es-GT"/>
        </w:rPr>
      </w:pPr>
    </w:p>
    <w:p w14:paraId="11D3E59E" w14:textId="2C4CA5F5" w:rsidR="00ED483A" w:rsidRDefault="00ED483A" w:rsidP="00ED483A">
      <w:pPr>
        <w:rPr>
          <w:noProof/>
          <w:lang w:eastAsia="es-GT"/>
        </w:rPr>
      </w:pPr>
    </w:p>
    <w:p w14:paraId="13876A9E" w14:textId="4D11F53B" w:rsidR="00CE2F0A" w:rsidRDefault="00CE2F0A" w:rsidP="00ED483A">
      <w:pPr>
        <w:rPr>
          <w:noProof/>
          <w:lang w:eastAsia="es-GT"/>
        </w:rPr>
      </w:pPr>
    </w:p>
    <w:p w14:paraId="44F9BD5D" w14:textId="3BE265F6" w:rsidR="00CE2F0A" w:rsidRDefault="00CE2F0A" w:rsidP="00ED483A">
      <w:pPr>
        <w:rPr>
          <w:noProof/>
          <w:lang w:eastAsia="es-GT"/>
        </w:rPr>
      </w:pPr>
    </w:p>
    <w:p w14:paraId="776E6BA6" w14:textId="6224C4FA" w:rsidR="00CE2F0A" w:rsidRDefault="00CE2F0A" w:rsidP="00ED483A">
      <w:pPr>
        <w:rPr>
          <w:noProof/>
          <w:lang w:eastAsia="es-GT"/>
        </w:rPr>
      </w:pPr>
    </w:p>
    <w:p w14:paraId="37A58675" w14:textId="642415F6" w:rsidR="00CE2F0A" w:rsidRDefault="00CE2F0A" w:rsidP="00ED483A">
      <w:pPr>
        <w:rPr>
          <w:noProof/>
          <w:lang w:eastAsia="es-GT"/>
        </w:rPr>
      </w:pPr>
    </w:p>
    <w:p w14:paraId="576B67F1" w14:textId="4E7F5FC4" w:rsidR="00CE2F0A" w:rsidRDefault="00CE2F0A" w:rsidP="00ED483A">
      <w:pPr>
        <w:rPr>
          <w:noProof/>
          <w:lang w:eastAsia="es-GT"/>
        </w:rPr>
      </w:pPr>
    </w:p>
    <w:p w14:paraId="0789CC88" w14:textId="4C782737" w:rsidR="00CE2F0A" w:rsidRDefault="00CE2F0A" w:rsidP="00ED483A">
      <w:pPr>
        <w:rPr>
          <w:noProof/>
          <w:lang w:eastAsia="es-GT"/>
        </w:rPr>
      </w:pPr>
    </w:p>
    <w:p w14:paraId="38855075" w14:textId="6D6C6C6C" w:rsidR="00CE2F0A" w:rsidRDefault="00CE2F0A" w:rsidP="00ED483A">
      <w:pPr>
        <w:rPr>
          <w:noProof/>
          <w:lang w:eastAsia="es-GT"/>
        </w:rPr>
      </w:pPr>
    </w:p>
    <w:p w14:paraId="738855DB" w14:textId="50529EAE" w:rsidR="00CE2F0A" w:rsidRDefault="00CE2F0A" w:rsidP="00ED483A">
      <w:pPr>
        <w:rPr>
          <w:noProof/>
          <w:lang w:eastAsia="es-GT"/>
        </w:rPr>
      </w:pPr>
    </w:p>
    <w:p w14:paraId="0C9E5740" w14:textId="3185E427" w:rsidR="00CE2F0A" w:rsidRDefault="00CE2F0A" w:rsidP="00ED483A">
      <w:pPr>
        <w:rPr>
          <w:noProof/>
          <w:lang w:eastAsia="es-GT"/>
        </w:rPr>
      </w:pPr>
    </w:p>
    <w:p w14:paraId="788E84F4" w14:textId="0E8F8E36" w:rsidR="00CE2F0A" w:rsidRDefault="00CE2F0A" w:rsidP="00ED483A">
      <w:pPr>
        <w:rPr>
          <w:noProof/>
          <w:lang w:eastAsia="es-GT"/>
        </w:rPr>
      </w:pPr>
    </w:p>
    <w:p w14:paraId="344F73FA" w14:textId="672106CC" w:rsidR="00CE2F0A" w:rsidRDefault="00CE2F0A" w:rsidP="00ED483A">
      <w:pPr>
        <w:rPr>
          <w:noProof/>
          <w:lang w:eastAsia="es-GT"/>
        </w:rPr>
      </w:pPr>
    </w:p>
    <w:p w14:paraId="790EBD29" w14:textId="457BD42B" w:rsidR="00CE2F0A" w:rsidRDefault="00CE2F0A" w:rsidP="00ED483A">
      <w:pPr>
        <w:rPr>
          <w:noProof/>
          <w:lang w:eastAsia="es-GT"/>
        </w:rPr>
      </w:pPr>
    </w:p>
    <w:p w14:paraId="3A873C47" w14:textId="712054A5" w:rsidR="00CE2F0A" w:rsidRDefault="00CE2F0A" w:rsidP="00ED483A">
      <w:pPr>
        <w:rPr>
          <w:noProof/>
          <w:lang w:eastAsia="es-GT"/>
        </w:rPr>
      </w:pPr>
    </w:p>
    <w:p w14:paraId="005C2A84" w14:textId="6AD7C512" w:rsidR="00CE2F0A" w:rsidRDefault="00CE2F0A" w:rsidP="00ED483A">
      <w:pPr>
        <w:rPr>
          <w:noProof/>
          <w:lang w:eastAsia="es-GT"/>
        </w:rPr>
      </w:pPr>
    </w:p>
    <w:p w14:paraId="72B02971" w14:textId="67F07D1A" w:rsidR="00CE2F0A" w:rsidRDefault="00F7281C" w:rsidP="00CE2F0A">
      <w:pPr>
        <w:jc w:val="center"/>
        <w:rPr>
          <w:noProof/>
          <w:lang w:eastAsia="es-GT"/>
        </w:rPr>
      </w:pPr>
      <w:r>
        <w:rPr>
          <w:noProof/>
          <w:lang w:eastAsia="es-GT"/>
        </w:rPr>
        <w:t>Septiembre</w:t>
      </w:r>
      <w:r w:rsidR="00CE2F0A">
        <w:rPr>
          <w:noProof/>
          <w:lang w:eastAsia="es-GT"/>
        </w:rPr>
        <w:t>, 2022</w:t>
      </w:r>
    </w:p>
    <w:p w14:paraId="7E40E492" w14:textId="77777777" w:rsidR="00303F1D" w:rsidRPr="00303F1D" w:rsidRDefault="00303F1D" w:rsidP="00303F1D">
      <w:pPr>
        <w:jc w:val="center"/>
        <w:rPr>
          <w:b/>
          <w:sz w:val="28"/>
          <w:szCs w:val="28"/>
        </w:rPr>
      </w:pPr>
      <w:bookmarkStart w:id="1" w:name="_Toc110522915"/>
      <w:r w:rsidRPr="00303F1D">
        <w:rPr>
          <w:b/>
          <w:sz w:val="28"/>
          <w:szCs w:val="28"/>
        </w:rPr>
        <w:lastRenderedPageBreak/>
        <w:t>Introducción</w:t>
      </w:r>
      <w:bookmarkEnd w:id="1"/>
    </w:p>
    <w:p w14:paraId="1A8DA582" w14:textId="77777777" w:rsidR="00303F1D" w:rsidRPr="00DE1D8D" w:rsidRDefault="00303F1D" w:rsidP="00303F1D">
      <w:pPr>
        <w:pStyle w:val="Sinespaciado"/>
        <w:ind w:left="567"/>
        <w:jc w:val="both"/>
        <w:rPr>
          <w:color w:val="FF0000"/>
        </w:rPr>
      </w:pPr>
    </w:p>
    <w:p w14:paraId="4713386E" w14:textId="0E9CD1B9" w:rsidR="00303F1D" w:rsidRPr="00DE1D8D" w:rsidRDefault="00303F1D" w:rsidP="00303F1D">
      <w:pPr>
        <w:pStyle w:val="Sinespaciado"/>
        <w:jc w:val="both"/>
      </w:pPr>
      <w:r w:rsidRPr="00DE1D8D">
        <w:t xml:space="preserve">Como parte de los avances en materia de transparencia fiscal el Ministerio de Finanzas Públicas ha asumido el compromiso de atender las recomendaciones emanadas del Fondo Monetario Internacional -FMI- que se originaron en la evaluación que se efectuara en 2016 sobre transparencia fiscal.  De esa cuenta, se incluye dentro del proceso de Formulación del Proyecto de Presupuesto General de Ingresos y Egresos del Estado para el </w:t>
      </w:r>
      <w:r w:rsidR="00372751">
        <w:t>E</w:t>
      </w:r>
      <w:r w:rsidRPr="00DE1D8D">
        <w:t xml:space="preserve">jercicio </w:t>
      </w:r>
      <w:r w:rsidR="00372751">
        <w:t>F</w:t>
      </w:r>
      <w:r w:rsidRPr="00DE1D8D">
        <w:t>iscal 202</w:t>
      </w:r>
      <w:r>
        <w:t>3</w:t>
      </w:r>
      <w:r w:rsidRPr="00DE1D8D">
        <w:t>, la presente separata que identifica, analiza y evalúa los principales riesgos fiscales que pueden tener un impacto en el comportamiento de las principales variables económicas y de las finanzas públicas en particular, así como en la sostenibilidad de la deuda pública y por ende en la estabilidad macroeconómica del país en el corto y mediano plazo.</w:t>
      </w:r>
    </w:p>
    <w:p w14:paraId="4768A363" w14:textId="77777777" w:rsidR="00303F1D" w:rsidRPr="00DE1D8D" w:rsidRDefault="00303F1D" w:rsidP="00303F1D">
      <w:pPr>
        <w:pStyle w:val="Sinespaciado"/>
        <w:jc w:val="both"/>
      </w:pPr>
    </w:p>
    <w:p w14:paraId="1450D520" w14:textId="77777777" w:rsidR="00303F1D" w:rsidRPr="00DE1D8D" w:rsidRDefault="00303F1D" w:rsidP="00303F1D">
      <w:pPr>
        <w:pStyle w:val="Sinespaciado"/>
        <w:jc w:val="both"/>
      </w:pPr>
      <w:r w:rsidRPr="00DE1D8D">
        <w:t xml:space="preserve">El análisis de </w:t>
      </w:r>
      <w:r>
        <w:t>los</w:t>
      </w:r>
      <w:r w:rsidRPr="00DE1D8D">
        <w:t xml:space="preserve"> riesgos fiscales es muy importante para un gobierno para determinar la vulnerabilidad que existe ante la ocurrencia de determinados eventos que podrían incidir en su desarrollo, los cuales normalmente son de naturaleza exógena como las incidencias en el comercio internacional, la volatilidad de los mercados financieros, la fragilidad de las economías ante desastres climatológicos, así como la posible materialización  de algunos pasivos contingentes; estos son la muestra de una gama de sucesos que pueden incidir en la posición fiscal del gobierno en un momento determinado.  </w:t>
      </w:r>
    </w:p>
    <w:p w14:paraId="7C0CDD06" w14:textId="77777777" w:rsidR="00303F1D" w:rsidRPr="00DE1D8D" w:rsidRDefault="00303F1D" w:rsidP="00303F1D">
      <w:pPr>
        <w:pStyle w:val="Sinespaciado"/>
        <w:jc w:val="both"/>
      </w:pPr>
    </w:p>
    <w:p w14:paraId="14883C6C" w14:textId="77777777" w:rsidR="00303F1D" w:rsidRPr="00DE1D8D" w:rsidRDefault="00303F1D" w:rsidP="00303F1D">
      <w:pPr>
        <w:pStyle w:val="Sinespaciado"/>
        <w:jc w:val="both"/>
      </w:pPr>
      <w:r w:rsidRPr="00DE1D8D">
        <w:t xml:space="preserve">En este sentido, el Ministerio de Finanzas Públicas ha avanzado durante los últimos años en la inclusión de este tipo de análisis ya que se considera importante el adecuado manejo de la gestión de riesgos, desde la identificación de los riesgos fiscales, incluyendo el análisis y cuantificación de sus posibles impactos, así como la inclusión de medidas de política orientadas a la creación de instrumentos que permitan facilitar la toma de decisiones y administrar el riesgo de manera inter temporal identificando las medidas de mitigación, tales como controles directos o los límites de exposición, elaboración de estrategias para la gestión de riesgos, regulaciones, y otras medidas y mecanismos para transferir o compartir el riesgo. </w:t>
      </w:r>
    </w:p>
    <w:p w14:paraId="4982BDD8" w14:textId="77777777" w:rsidR="00303F1D" w:rsidRPr="00DE1D8D" w:rsidRDefault="00303F1D" w:rsidP="00303F1D">
      <w:pPr>
        <w:pStyle w:val="Sinespaciado"/>
        <w:jc w:val="both"/>
      </w:pPr>
    </w:p>
    <w:p w14:paraId="74486DBA" w14:textId="268DA8C9" w:rsidR="00303F1D" w:rsidRDefault="00303F1D" w:rsidP="00303F1D">
      <w:pPr>
        <w:jc w:val="both"/>
        <w:rPr>
          <w:noProof/>
          <w:lang w:eastAsia="es-GT"/>
        </w:rPr>
      </w:pPr>
      <w:r w:rsidRPr="00DE1D8D">
        <w:t>Esta separata incluye en siete secciones, el análisis de riesgos macroeconómicos en el sector externo</w:t>
      </w:r>
      <w:r>
        <w:t>,</w:t>
      </w:r>
      <w:r w:rsidRPr="00DE1D8D">
        <w:t xml:space="preserve"> en la economía doméstica</w:t>
      </w:r>
      <w:r>
        <w:t xml:space="preserve">, </w:t>
      </w:r>
      <w:r w:rsidRPr="00DE1D8D">
        <w:t>riesgos fiscales de la deuda pública</w:t>
      </w:r>
      <w:r>
        <w:t xml:space="preserve">, </w:t>
      </w:r>
      <w:r w:rsidRPr="00DE1D8D">
        <w:t>un análisis de la sostenibilidad de la deuda; así como los riesgos fiscales específicos provocados por riesgos asociados a las Municipalidades y empresas públicas,</w:t>
      </w:r>
      <w:r>
        <w:t xml:space="preserve"> así como a los sistemas pr</w:t>
      </w:r>
      <w:r w:rsidR="00372751">
        <w:t>e</w:t>
      </w:r>
      <w:r>
        <w:t>visionales y de</w:t>
      </w:r>
      <w:r w:rsidRPr="00DE1D8D">
        <w:t xml:space="preserve"> pasivos contingentes por demandas judiciales contra el Estado</w:t>
      </w:r>
      <w:r w:rsidR="00154291">
        <w:t>,</w:t>
      </w:r>
      <w:r w:rsidRPr="00DE1D8D">
        <w:t xml:space="preserve"> </w:t>
      </w:r>
      <w:r w:rsidR="00154291">
        <w:t>los asociados</w:t>
      </w:r>
      <w:r w:rsidRPr="00DE1D8D">
        <w:t xml:space="preserve"> </w:t>
      </w:r>
      <w:r w:rsidR="00154291">
        <w:t>a</w:t>
      </w:r>
      <w:r w:rsidRPr="00DE1D8D">
        <w:t xml:space="preserve"> desastres provocados por fenómenos naturales</w:t>
      </w:r>
      <w:r w:rsidR="00154291">
        <w:t xml:space="preserve"> y los riesgos derivados por recursos naturales. </w:t>
      </w:r>
    </w:p>
    <w:p w14:paraId="1E9A21F6" w14:textId="1A15ADD7" w:rsidR="00303F1D" w:rsidRDefault="00303F1D" w:rsidP="00CE2F0A">
      <w:pPr>
        <w:jc w:val="center"/>
        <w:rPr>
          <w:noProof/>
          <w:lang w:eastAsia="es-GT"/>
        </w:rPr>
      </w:pPr>
    </w:p>
    <w:p w14:paraId="4CBAD1EB" w14:textId="3B31217A" w:rsidR="00303F1D" w:rsidRDefault="00303F1D" w:rsidP="00CE2F0A">
      <w:pPr>
        <w:jc w:val="center"/>
        <w:rPr>
          <w:noProof/>
          <w:lang w:eastAsia="es-GT"/>
        </w:rPr>
      </w:pPr>
    </w:p>
    <w:p w14:paraId="66DE2381" w14:textId="24307C6E" w:rsidR="00303F1D" w:rsidRDefault="00303F1D" w:rsidP="00CE2F0A">
      <w:pPr>
        <w:jc w:val="center"/>
        <w:rPr>
          <w:noProof/>
          <w:lang w:eastAsia="es-GT"/>
        </w:rPr>
      </w:pPr>
    </w:p>
    <w:p w14:paraId="73223C68" w14:textId="1E50F1AE" w:rsidR="00303F1D" w:rsidRDefault="00303F1D" w:rsidP="00CE2F0A">
      <w:pPr>
        <w:jc w:val="center"/>
        <w:rPr>
          <w:noProof/>
          <w:lang w:eastAsia="es-GT"/>
        </w:rPr>
      </w:pPr>
    </w:p>
    <w:p w14:paraId="22546F90" w14:textId="591BE823" w:rsidR="00303F1D" w:rsidRDefault="00303F1D" w:rsidP="00CE2F0A">
      <w:pPr>
        <w:jc w:val="center"/>
        <w:rPr>
          <w:noProof/>
          <w:lang w:eastAsia="es-GT"/>
        </w:rPr>
      </w:pPr>
    </w:p>
    <w:p w14:paraId="1EA56DE5" w14:textId="3502E58E" w:rsidR="00303F1D" w:rsidRDefault="00303F1D" w:rsidP="00CE2F0A">
      <w:pPr>
        <w:jc w:val="center"/>
        <w:rPr>
          <w:noProof/>
          <w:lang w:eastAsia="es-GT"/>
        </w:rPr>
      </w:pPr>
    </w:p>
    <w:p w14:paraId="4B2D4589" w14:textId="77777777" w:rsidR="00303F1D" w:rsidRDefault="00303F1D" w:rsidP="00CE2F0A">
      <w:pPr>
        <w:jc w:val="center"/>
        <w:rPr>
          <w:noProof/>
          <w:lang w:eastAsia="es-GT"/>
        </w:rPr>
      </w:pPr>
    </w:p>
    <w:p w14:paraId="38BB8767" w14:textId="6836D3EA" w:rsidR="00303F1D" w:rsidRDefault="00303F1D" w:rsidP="00CE2F0A">
      <w:pPr>
        <w:jc w:val="center"/>
        <w:rPr>
          <w:noProof/>
          <w:lang w:eastAsia="es-GT"/>
        </w:rPr>
      </w:pPr>
    </w:p>
    <w:p w14:paraId="1A6C9E96" w14:textId="50289909" w:rsidR="00303F1D" w:rsidRDefault="00303F1D" w:rsidP="00CE2F0A">
      <w:pPr>
        <w:jc w:val="center"/>
        <w:rPr>
          <w:noProof/>
          <w:lang w:eastAsia="es-GT"/>
        </w:rPr>
      </w:pPr>
    </w:p>
    <w:p w14:paraId="4083D153" w14:textId="77777777" w:rsidR="00CD0848" w:rsidRDefault="00CD0848" w:rsidP="00CE2F0A">
      <w:pPr>
        <w:jc w:val="center"/>
        <w:rPr>
          <w:noProof/>
          <w:lang w:eastAsia="es-GT"/>
        </w:rPr>
      </w:pPr>
    </w:p>
    <w:sdt>
      <w:sdtPr>
        <w:rPr>
          <w:rFonts w:ascii="Times New Roman" w:eastAsiaTheme="minorHAnsi" w:hAnsi="Times New Roman" w:cs="Times New Roman"/>
          <w:b w:val="0"/>
          <w:bCs w:val="0"/>
          <w:color w:val="auto"/>
          <w:sz w:val="24"/>
          <w:szCs w:val="24"/>
          <w:lang w:val="es-ES" w:eastAsia="en-US"/>
        </w:rPr>
        <w:id w:val="1569689933"/>
        <w:docPartObj>
          <w:docPartGallery w:val="Table of Contents"/>
          <w:docPartUnique/>
        </w:docPartObj>
      </w:sdtPr>
      <w:sdtEndPr/>
      <w:sdtContent>
        <w:p w14:paraId="4D0F65C4" w14:textId="77777777" w:rsidR="00E03465" w:rsidRPr="00E03465" w:rsidRDefault="00E109CA" w:rsidP="00CD0848">
          <w:pPr>
            <w:pStyle w:val="TtuloTDC"/>
            <w:spacing w:before="0" w:line="240" w:lineRule="auto"/>
            <w:jc w:val="center"/>
            <w:rPr>
              <w:noProof/>
            </w:rPr>
          </w:pPr>
          <w:r w:rsidRPr="00303F1D">
            <w:rPr>
              <w:rFonts w:ascii="Times New Roman" w:hAnsi="Times New Roman" w:cs="Times New Roman"/>
              <w:color w:val="auto"/>
              <w:sz w:val="24"/>
              <w:lang w:val="es-ES"/>
            </w:rPr>
            <w:t>Contenido</w:t>
          </w:r>
          <w:r w:rsidRPr="00E03465">
            <w:fldChar w:fldCharType="begin"/>
          </w:r>
          <w:r w:rsidRPr="00E03465">
            <w:instrText xml:space="preserve"> TOC \o "1-3" \h \z \u </w:instrText>
          </w:r>
          <w:r w:rsidRPr="00E03465">
            <w:fldChar w:fldCharType="separate"/>
          </w:r>
        </w:p>
        <w:p w14:paraId="62BFF308" w14:textId="5C8E8AE0" w:rsidR="00E03465" w:rsidRPr="00E03465" w:rsidRDefault="00844849" w:rsidP="00E03465">
          <w:pPr>
            <w:pStyle w:val="TDC1"/>
            <w:rPr>
              <w:rFonts w:asciiTheme="minorHAnsi" w:eastAsiaTheme="minorEastAsia" w:hAnsiTheme="minorHAnsi" w:cstheme="minorBidi"/>
              <w:sz w:val="22"/>
              <w:szCs w:val="22"/>
              <w:lang w:eastAsia="es-GT"/>
            </w:rPr>
          </w:pPr>
          <w:hyperlink w:anchor="_Toc114495232" w:history="1">
            <w:r w:rsidR="00E03465" w:rsidRPr="00E03465">
              <w:rPr>
                <w:rStyle w:val="Hipervnculo"/>
                <w:u w:val="none"/>
              </w:rPr>
              <w:t>1.</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Riesgos Macroeconómicos</w:t>
            </w:r>
            <w:r w:rsidR="00E03465" w:rsidRPr="00E03465">
              <w:rPr>
                <w:webHidden/>
              </w:rPr>
              <w:tab/>
            </w:r>
            <w:r w:rsidR="00E03465" w:rsidRPr="00E03465">
              <w:rPr>
                <w:webHidden/>
              </w:rPr>
              <w:fldChar w:fldCharType="begin"/>
            </w:r>
            <w:r w:rsidR="00E03465" w:rsidRPr="00E03465">
              <w:rPr>
                <w:webHidden/>
              </w:rPr>
              <w:instrText xml:space="preserve"> PAGEREF _Toc114495232 \h </w:instrText>
            </w:r>
            <w:r w:rsidR="00E03465" w:rsidRPr="00E03465">
              <w:rPr>
                <w:webHidden/>
              </w:rPr>
            </w:r>
            <w:r w:rsidR="00E03465" w:rsidRPr="00E03465">
              <w:rPr>
                <w:webHidden/>
              </w:rPr>
              <w:fldChar w:fldCharType="separate"/>
            </w:r>
            <w:r w:rsidR="002E7809">
              <w:rPr>
                <w:webHidden/>
              </w:rPr>
              <w:t>7</w:t>
            </w:r>
            <w:r w:rsidR="00E03465" w:rsidRPr="00E03465">
              <w:rPr>
                <w:webHidden/>
              </w:rPr>
              <w:fldChar w:fldCharType="end"/>
            </w:r>
          </w:hyperlink>
        </w:p>
        <w:p w14:paraId="78DB6A25" w14:textId="391C76ED" w:rsidR="00E03465" w:rsidRPr="00E03465" w:rsidRDefault="00844849">
          <w:pPr>
            <w:pStyle w:val="TDC2"/>
            <w:rPr>
              <w:rFonts w:asciiTheme="minorHAnsi" w:eastAsiaTheme="minorEastAsia" w:hAnsiTheme="minorHAnsi" w:cstheme="minorBidi"/>
              <w:noProof/>
              <w:sz w:val="22"/>
              <w:szCs w:val="22"/>
              <w:lang w:eastAsia="es-GT"/>
            </w:rPr>
          </w:pPr>
          <w:hyperlink w:anchor="_Toc114495233" w:history="1">
            <w:r w:rsidR="00E03465" w:rsidRPr="00E03465">
              <w:rPr>
                <w:rStyle w:val="Hipervnculo"/>
                <w:bCs/>
                <w:noProof/>
                <w:u w:val="none"/>
              </w:rPr>
              <w:t>1.1.</w:t>
            </w:r>
            <w:r w:rsidR="00E03465" w:rsidRPr="00E03465">
              <w:rPr>
                <w:rFonts w:asciiTheme="minorHAnsi" w:eastAsiaTheme="minorEastAsia" w:hAnsiTheme="minorHAnsi" w:cstheme="minorBidi"/>
                <w:noProof/>
                <w:sz w:val="22"/>
                <w:szCs w:val="22"/>
                <w:lang w:eastAsia="es-GT"/>
              </w:rPr>
              <w:t xml:space="preserve">  </w:t>
            </w:r>
            <w:r w:rsidR="00E03465" w:rsidRPr="00E03465">
              <w:rPr>
                <w:rStyle w:val="Hipervnculo"/>
                <w:noProof/>
                <w:u w:val="none"/>
              </w:rPr>
              <w:t>Riesgos en el sector externo. Desviaciones en los pronósticos de la economía mundial</w:t>
            </w:r>
            <w:r w:rsidR="00E03465" w:rsidRPr="00E03465">
              <w:rPr>
                <w:noProof/>
                <w:webHidden/>
              </w:rPr>
              <w:tab/>
            </w:r>
            <w:r w:rsidR="00E03465" w:rsidRPr="00E03465">
              <w:rPr>
                <w:noProof/>
                <w:webHidden/>
              </w:rPr>
              <w:fldChar w:fldCharType="begin"/>
            </w:r>
            <w:r w:rsidR="00E03465" w:rsidRPr="00E03465">
              <w:rPr>
                <w:noProof/>
                <w:webHidden/>
              </w:rPr>
              <w:instrText xml:space="preserve"> PAGEREF _Toc114495233 \h </w:instrText>
            </w:r>
            <w:r w:rsidR="00E03465" w:rsidRPr="00E03465">
              <w:rPr>
                <w:noProof/>
                <w:webHidden/>
              </w:rPr>
            </w:r>
            <w:r w:rsidR="00E03465" w:rsidRPr="00E03465">
              <w:rPr>
                <w:noProof/>
                <w:webHidden/>
              </w:rPr>
              <w:fldChar w:fldCharType="separate"/>
            </w:r>
            <w:r w:rsidR="002E7809">
              <w:rPr>
                <w:noProof/>
                <w:webHidden/>
              </w:rPr>
              <w:t>7</w:t>
            </w:r>
            <w:r w:rsidR="00E03465" w:rsidRPr="00E03465">
              <w:rPr>
                <w:noProof/>
                <w:webHidden/>
              </w:rPr>
              <w:fldChar w:fldCharType="end"/>
            </w:r>
          </w:hyperlink>
        </w:p>
        <w:p w14:paraId="14841165" w14:textId="0D5ABF9F" w:rsidR="00E03465" w:rsidRPr="00E03465" w:rsidRDefault="00E03465" w:rsidP="00E03465">
          <w:pPr>
            <w:pStyle w:val="TDC3"/>
            <w:spacing w:after="0"/>
            <w:rPr>
              <w:rFonts w:asciiTheme="minorHAnsi" w:eastAsiaTheme="minorEastAsia" w:hAnsiTheme="minorHAnsi" w:cstheme="minorBidi"/>
              <w:noProof/>
              <w:sz w:val="22"/>
              <w:szCs w:val="22"/>
              <w:lang w:eastAsia="es-GT"/>
            </w:rPr>
          </w:pPr>
          <w:r w:rsidRPr="00E03465">
            <w:rPr>
              <w:rStyle w:val="Hipervnculo"/>
              <w:noProof/>
              <w:u w:val="none"/>
            </w:rPr>
            <w:t xml:space="preserve">          </w:t>
          </w:r>
          <w:hyperlink w:anchor="_Toc114495234" w:history="1">
            <w:r w:rsidRPr="00E03465">
              <w:rPr>
                <w:rStyle w:val="Hipervnculo"/>
                <w:noProof/>
                <w:u w:val="none"/>
              </w:rPr>
              <w:t>1.1.1</w:t>
            </w:r>
            <w:r w:rsidRPr="00E03465">
              <w:rPr>
                <w:rFonts w:asciiTheme="minorHAnsi" w:eastAsiaTheme="minorEastAsia" w:hAnsiTheme="minorHAnsi" w:cstheme="minorBidi"/>
                <w:noProof/>
                <w:sz w:val="22"/>
                <w:szCs w:val="22"/>
                <w:lang w:eastAsia="es-GT"/>
              </w:rPr>
              <w:t xml:space="preserve">.  </w:t>
            </w:r>
            <w:r w:rsidRPr="00E03465">
              <w:rPr>
                <w:rStyle w:val="Hipervnculo"/>
                <w:noProof/>
                <w:u w:val="none"/>
              </w:rPr>
              <w:t>Volatilidad en los precios de las materias primas</w:t>
            </w:r>
            <w:r w:rsidRPr="00E03465">
              <w:rPr>
                <w:noProof/>
                <w:webHidden/>
              </w:rPr>
              <w:tab/>
            </w:r>
            <w:r w:rsidRPr="00E03465">
              <w:rPr>
                <w:noProof/>
                <w:webHidden/>
              </w:rPr>
              <w:fldChar w:fldCharType="begin"/>
            </w:r>
            <w:r w:rsidRPr="00E03465">
              <w:rPr>
                <w:noProof/>
                <w:webHidden/>
              </w:rPr>
              <w:instrText xml:space="preserve"> PAGEREF _Toc114495234 \h </w:instrText>
            </w:r>
            <w:r w:rsidRPr="00E03465">
              <w:rPr>
                <w:noProof/>
                <w:webHidden/>
              </w:rPr>
            </w:r>
            <w:r w:rsidRPr="00E03465">
              <w:rPr>
                <w:noProof/>
                <w:webHidden/>
              </w:rPr>
              <w:fldChar w:fldCharType="separate"/>
            </w:r>
            <w:r w:rsidR="002E7809">
              <w:rPr>
                <w:noProof/>
                <w:webHidden/>
              </w:rPr>
              <w:t>9</w:t>
            </w:r>
            <w:r w:rsidRPr="00E03465">
              <w:rPr>
                <w:noProof/>
                <w:webHidden/>
              </w:rPr>
              <w:fldChar w:fldCharType="end"/>
            </w:r>
          </w:hyperlink>
        </w:p>
        <w:p w14:paraId="299BFE39" w14:textId="62261B1F" w:rsidR="00E03465" w:rsidRPr="00E03465" w:rsidRDefault="00E03465" w:rsidP="00E03465">
          <w:pPr>
            <w:pStyle w:val="TDC3"/>
            <w:spacing w:after="0"/>
            <w:rPr>
              <w:rFonts w:asciiTheme="minorHAnsi" w:eastAsiaTheme="minorEastAsia" w:hAnsiTheme="minorHAnsi" w:cstheme="minorBidi"/>
              <w:noProof/>
              <w:sz w:val="22"/>
              <w:szCs w:val="22"/>
              <w:lang w:eastAsia="es-GT"/>
            </w:rPr>
          </w:pPr>
          <w:r w:rsidRPr="00E03465">
            <w:rPr>
              <w:rStyle w:val="Hipervnculo"/>
              <w:noProof/>
              <w:u w:val="none"/>
            </w:rPr>
            <w:t xml:space="preserve">          </w:t>
          </w:r>
          <w:hyperlink w:anchor="_Toc114495235" w:history="1">
            <w:r w:rsidRPr="00E03465">
              <w:rPr>
                <w:rStyle w:val="Hipervnculo"/>
                <w:noProof/>
                <w:u w:val="none"/>
              </w:rPr>
              <w:t>1.1.2</w:t>
            </w:r>
            <w:r w:rsidRPr="00E03465">
              <w:rPr>
                <w:rFonts w:asciiTheme="minorHAnsi" w:eastAsiaTheme="minorEastAsia" w:hAnsiTheme="minorHAnsi" w:cstheme="minorBidi"/>
                <w:noProof/>
                <w:sz w:val="22"/>
                <w:szCs w:val="22"/>
                <w:lang w:eastAsia="es-GT"/>
              </w:rPr>
              <w:t xml:space="preserve">.  </w:t>
            </w:r>
            <w:r w:rsidRPr="00E03465">
              <w:rPr>
                <w:rStyle w:val="Hipervnculo"/>
                <w:noProof/>
                <w:u w:val="none"/>
              </w:rPr>
              <w:t>Alta volatilidad en los mercados financieros</w:t>
            </w:r>
            <w:r w:rsidRPr="00E03465">
              <w:rPr>
                <w:noProof/>
                <w:webHidden/>
              </w:rPr>
              <w:tab/>
            </w:r>
            <w:r w:rsidRPr="00E03465">
              <w:rPr>
                <w:noProof/>
                <w:webHidden/>
              </w:rPr>
              <w:fldChar w:fldCharType="begin"/>
            </w:r>
            <w:r w:rsidRPr="00E03465">
              <w:rPr>
                <w:noProof/>
                <w:webHidden/>
              </w:rPr>
              <w:instrText xml:space="preserve"> PAGEREF _Toc114495235 \h </w:instrText>
            </w:r>
            <w:r w:rsidRPr="00E03465">
              <w:rPr>
                <w:noProof/>
                <w:webHidden/>
              </w:rPr>
            </w:r>
            <w:r w:rsidRPr="00E03465">
              <w:rPr>
                <w:noProof/>
                <w:webHidden/>
              </w:rPr>
              <w:fldChar w:fldCharType="separate"/>
            </w:r>
            <w:r w:rsidR="002E7809">
              <w:rPr>
                <w:noProof/>
                <w:webHidden/>
              </w:rPr>
              <w:t>11</w:t>
            </w:r>
            <w:r w:rsidRPr="00E03465">
              <w:rPr>
                <w:noProof/>
                <w:webHidden/>
              </w:rPr>
              <w:fldChar w:fldCharType="end"/>
            </w:r>
          </w:hyperlink>
        </w:p>
        <w:p w14:paraId="6074A2D4" w14:textId="60EF03CE" w:rsidR="00E03465" w:rsidRPr="00E03465" w:rsidRDefault="00E03465" w:rsidP="00E03465">
          <w:pPr>
            <w:pStyle w:val="TDC3"/>
            <w:spacing w:after="0"/>
            <w:rPr>
              <w:rFonts w:asciiTheme="minorHAnsi" w:eastAsiaTheme="minorEastAsia" w:hAnsiTheme="minorHAnsi" w:cstheme="minorBidi"/>
              <w:noProof/>
              <w:sz w:val="22"/>
              <w:szCs w:val="22"/>
              <w:lang w:eastAsia="es-GT"/>
            </w:rPr>
          </w:pPr>
          <w:r w:rsidRPr="00E03465">
            <w:rPr>
              <w:rStyle w:val="Hipervnculo"/>
              <w:noProof/>
              <w:u w:val="none"/>
            </w:rPr>
            <w:t xml:space="preserve">          </w:t>
          </w:r>
          <w:hyperlink w:anchor="_Toc114495236" w:history="1">
            <w:r w:rsidRPr="00E03465">
              <w:rPr>
                <w:rStyle w:val="Hipervnculo"/>
                <w:noProof/>
                <w:u w:val="none"/>
              </w:rPr>
              <w:t>1.1.3</w:t>
            </w:r>
            <w:r w:rsidRPr="00E03465">
              <w:rPr>
                <w:rFonts w:asciiTheme="minorHAnsi" w:eastAsiaTheme="minorEastAsia" w:hAnsiTheme="minorHAnsi" w:cstheme="minorBidi"/>
                <w:noProof/>
                <w:sz w:val="22"/>
                <w:szCs w:val="22"/>
                <w:lang w:eastAsia="es-GT"/>
              </w:rPr>
              <w:t xml:space="preserve">.  </w:t>
            </w:r>
            <w:r w:rsidRPr="00E03465">
              <w:rPr>
                <w:rStyle w:val="Hipervnculo"/>
                <w:noProof/>
                <w:u w:val="none"/>
              </w:rPr>
              <w:t>La guerra en Ucrania y sus consecuencias</w:t>
            </w:r>
            <w:r w:rsidRPr="00E03465">
              <w:rPr>
                <w:noProof/>
                <w:webHidden/>
              </w:rPr>
              <w:tab/>
            </w:r>
            <w:r w:rsidRPr="00E03465">
              <w:rPr>
                <w:noProof/>
                <w:webHidden/>
              </w:rPr>
              <w:fldChar w:fldCharType="begin"/>
            </w:r>
            <w:r w:rsidRPr="00E03465">
              <w:rPr>
                <w:noProof/>
                <w:webHidden/>
              </w:rPr>
              <w:instrText xml:space="preserve"> PAGEREF _Toc114495236 \h </w:instrText>
            </w:r>
            <w:r w:rsidRPr="00E03465">
              <w:rPr>
                <w:noProof/>
                <w:webHidden/>
              </w:rPr>
            </w:r>
            <w:r w:rsidRPr="00E03465">
              <w:rPr>
                <w:noProof/>
                <w:webHidden/>
              </w:rPr>
              <w:fldChar w:fldCharType="separate"/>
            </w:r>
            <w:r w:rsidR="002E7809">
              <w:rPr>
                <w:noProof/>
                <w:webHidden/>
              </w:rPr>
              <w:t>11</w:t>
            </w:r>
            <w:r w:rsidRPr="00E03465">
              <w:rPr>
                <w:noProof/>
                <w:webHidden/>
              </w:rPr>
              <w:fldChar w:fldCharType="end"/>
            </w:r>
          </w:hyperlink>
        </w:p>
        <w:p w14:paraId="75977BD9" w14:textId="46B46073" w:rsidR="00E03465" w:rsidRPr="00E03465" w:rsidRDefault="00844849">
          <w:pPr>
            <w:pStyle w:val="TDC2"/>
            <w:rPr>
              <w:rFonts w:asciiTheme="minorHAnsi" w:eastAsiaTheme="minorEastAsia" w:hAnsiTheme="minorHAnsi" w:cstheme="minorBidi"/>
              <w:noProof/>
              <w:sz w:val="22"/>
              <w:szCs w:val="22"/>
              <w:lang w:eastAsia="es-GT"/>
            </w:rPr>
          </w:pPr>
          <w:hyperlink w:anchor="_Toc114495237" w:history="1">
            <w:r w:rsidR="00E03465" w:rsidRPr="00E03465">
              <w:rPr>
                <w:rStyle w:val="Hipervnculo"/>
                <w:bCs/>
                <w:noProof/>
                <w:u w:val="none"/>
              </w:rPr>
              <w:t>1.2.</w:t>
            </w:r>
            <w:r w:rsidR="00E03465" w:rsidRPr="00E03465">
              <w:rPr>
                <w:rFonts w:asciiTheme="minorHAnsi" w:eastAsiaTheme="minorEastAsia" w:hAnsiTheme="minorHAnsi" w:cstheme="minorBidi"/>
                <w:noProof/>
                <w:sz w:val="22"/>
                <w:szCs w:val="22"/>
                <w:lang w:eastAsia="es-GT"/>
              </w:rPr>
              <w:t xml:space="preserve">  </w:t>
            </w:r>
            <w:r w:rsidR="00E03465" w:rsidRPr="00E03465">
              <w:rPr>
                <w:rStyle w:val="Hipervnculo"/>
                <w:noProof/>
                <w:u w:val="none"/>
              </w:rPr>
              <w:t>Riesgos en el sector externo. Desviaciones de los pronósticos macroeconómicos</w:t>
            </w:r>
            <w:r w:rsidR="00E03465" w:rsidRPr="00E03465">
              <w:rPr>
                <w:noProof/>
                <w:webHidden/>
              </w:rPr>
              <w:tab/>
            </w:r>
            <w:r w:rsidR="00E03465" w:rsidRPr="00E03465">
              <w:rPr>
                <w:noProof/>
                <w:webHidden/>
              </w:rPr>
              <w:fldChar w:fldCharType="begin"/>
            </w:r>
            <w:r w:rsidR="00E03465" w:rsidRPr="00E03465">
              <w:rPr>
                <w:noProof/>
                <w:webHidden/>
              </w:rPr>
              <w:instrText xml:space="preserve"> PAGEREF _Toc114495237 \h </w:instrText>
            </w:r>
            <w:r w:rsidR="00E03465" w:rsidRPr="00E03465">
              <w:rPr>
                <w:noProof/>
                <w:webHidden/>
              </w:rPr>
            </w:r>
            <w:r w:rsidR="00E03465" w:rsidRPr="00E03465">
              <w:rPr>
                <w:noProof/>
                <w:webHidden/>
              </w:rPr>
              <w:fldChar w:fldCharType="separate"/>
            </w:r>
            <w:r w:rsidR="002E7809">
              <w:rPr>
                <w:noProof/>
                <w:webHidden/>
              </w:rPr>
              <w:t>12</w:t>
            </w:r>
            <w:r w:rsidR="00E03465" w:rsidRPr="00E03465">
              <w:rPr>
                <w:noProof/>
                <w:webHidden/>
              </w:rPr>
              <w:fldChar w:fldCharType="end"/>
            </w:r>
          </w:hyperlink>
        </w:p>
        <w:p w14:paraId="4F77360F" w14:textId="3995CCBF" w:rsidR="00E03465" w:rsidRPr="00E03465" w:rsidRDefault="00844849">
          <w:pPr>
            <w:pStyle w:val="TDC2"/>
            <w:rPr>
              <w:rFonts w:asciiTheme="minorHAnsi" w:eastAsiaTheme="minorEastAsia" w:hAnsiTheme="minorHAnsi" w:cstheme="minorBidi"/>
              <w:noProof/>
              <w:sz w:val="22"/>
              <w:szCs w:val="22"/>
              <w:lang w:eastAsia="es-GT"/>
            </w:rPr>
          </w:pPr>
          <w:hyperlink w:anchor="_Toc114495238" w:history="1">
            <w:r w:rsidR="00E03465" w:rsidRPr="00E03465">
              <w:rPr>
                <w:rStyle w:val="Hipervnculo"/>
                <w:bCs/>
                <w:noProof/>
                <w:u w:val="none"/>
              </w:rPr>
              <w:t>1.3.</w:t>
            </w:r>
            <w:r w:rsidR="00E03465" w:rsidRPr="00E03465">
              <w:rPr>
                <w:rFonts w:asciiTheme="minorHAnsi" w:eastAsiaTheme="minorEastAsia" w:hAnsiTheme="minorHAnsi" w:cstheme="minorBidi"/>
                <w:noProof/>
                <w:sz w:val="22"/>
                <w:szCs w:val="22"/>
                <w:lang w:eastAsia="es-GT"/>
              </w:rPr>
              <w:t xml:space="preserve">  </w:t>
            </w:r>
            <w:r w:rsidR="00E03465" w:rsidRPr="00E03465">
              <w:rPr>
                <w:rStyle w:val="Hipervnculo"/>
                <w:noProof/>
                <w:u w:val="none"/>
              </w:rPr>
              <w:t>Riegos asociados a las variaciones en los precios internacionales del petróleo</w:t>
            </w:r>
            <w:r w:rsidR="00E03465" w:rsidRPr="00E03465">
              <w:rPr>
                <w:noProof/>
                <w:webHidden/>
              </w:rPr>
              <w:tab/>
            </w:r>
            <w:r w:rsidR="00E03465" w:rsidRPr="00E03465">
              <w:rPr>
                <w:noProof/>
                <w:webHidden/>
              </w:rPr>
              <w:fldChar w:fldCharType="begin"/>
            </w:r>
            <w:r w:rsidR="00E03465" w:rsidRPr="00E03465">
              <w:rPr>
                <w:noProof/>
                <w:webHidden/>
              </w:rPr>
              <w:instrText xml:space="preserve"> PAGEREF _Toc114495238 \h </w:instrText>
            </w:r>
            <w:r w:rsidR="00E03465" w:rsidRPr="00E03465">
              <w:rPr>
                <w:noProof/>
                <w:webHidden/>
              </w:rPr>
            </w:r>
            <w:r w:rsidR="00E03465" w:rsidRPr="00E03465">
              <w:rPr>
                <w:noProof/>
                <w:webHidden/>
              </w:rPr>
              <w:fldChar w:fldCharType="separate"/>
            </w:r>
            <w:r w:rsidR="002E7809">
              <w:rPr>
                <w:noProof/>
                <w:webHidden/>
              </w:rPr>
              <w:t>19</w:t>
            </w:r>
            <w:r w:rsidR="00E03465" w:rsidRPr="00E03465">
              <w:rPr>
                <w:noProof/>
                <w:webHidden/>
              </w:rPr>
              <w:fldChar w:fldCharType="end"/>
            </w:r>
          </w:hyperlink>
        </w:p>
        <w:p w14:paraId="2B61AB9A" w14:textId="208CC3D1" w:rsidR="00E03465" w:rsidRPr="00E03465" w:rsidRDefault="00E03465" w:rsidP="00E03465">
          <w:pPr>
            <w:pStyle w:val="TDC3"/>
            <w:spacing w:after="0"/>
            <w:rPr>
              <w:rFonts w:asciiTheme="minorHAnsi" w:eastAsiaTheme="minorEastAsia" w:hAnsiTheme="minorHAnsi" w:cstheme="minorBidi"/>
              <w:noProof/>
              <w:sz w:val="22"/>
              <w:szCs w:val="22"/>
              <w:lang w:eastAsia="es-GT"/>
            </w:rPr>
          </w:pPr>
          <w:r w:rsidRPr="00E03465">
            <w:rPr>
              <w:rStyle w:val="Hipervnculo"/>
              <w:noProof/>
              <w:u w:val="none"/>
            </w:rPr>
            <w:t xml:space="preserve">          </w:t>
          </w:r>
          <w:hyperlink w:anchor="_Toc114495243" w:history="1">
            <w:r w:rsidRPr="00E03465">
              <w:rPr>
                <w:rStyle w:val="Hipervnculo"/>
                <w:bCs/>
                <w:noProof/>
                <w:u w:val="none"/>
              </w:rPr>
              <w:t>1.3.1.</w:t>
            </w:r>
            <w:r w:rsidRPr="00E03465">
              <w:rPr>
                <w:rFonts w:asciiTheme="minorHAnsi" w:eastAsiaTheme="minorEastAsia" w:hAnsiTheme="minorHAnsi" w:cstheme="minorBidi"/>
                <w:noProof/>
                <w:sz w:val="22"/>
                <w:szCs w:val="22"/>
                <w:lang w:eastAsia="es-GT"/>
              </w:rPr>
              <w:t xml:space="preserve">  </w:t>
            </w:r>
            <w:r w:rsidRPr="00E03465">
              <w:rPr>
                <w:rStyle w:val="Hipervnculo"/>
                <w:bCs/>
                <w:noProof/>
                <w:u w:val="none"/>
              </w:rPr>
              <w:t>Impacto en las finanzas públicas por alza en los precios del petróleo</w:t>
            </w:r>
            <w:r w:rsidRPr="00E03465">
              <w:rPr>
                <w:noProof/>
                <w:webHidden/>
              </w:rPr>
              <w:tab/>
            </w:r>
            <w:r w:rsidRPr="00E03465">
              <w:rPr>
                <w:noProof/>
                <w:webHidden/>
              </w:rPr>
              <w:fldChar w:fldCharType="begin"/>
            </w:r>
            <w:r w:rsidRPr="00E03465">
              <w:rPr>
                <w:noProof/>
                <w:webHidden/>
              </w:rPr>
              <w:instrText xml:space="preserve"> PAGEREF _Toc114495243 \h </w:instrText>
            </w:r>
            <w:r w:rsidRPr="00E03465">
              <w:rPr>
                <w:noProof/>
                <w:webHidden/>
              </w:rPr>
            </w:r>
            <w:r w:rsidRPr="00E03465">
              <w:rPr>
                <w:noProof/>
                <w:webHidden/>
              </w:rPr>
              <w:fldChar w:fldCharType="separate"/>
            </w:r>
            <w:r w:rsidR="002E7809">
              <w:rPr>
                <w:noProof/>
                <w:webHidden/>
              </w:rPr>
              <w:t>20</w:t>
            </w:r>
            <w:r w:rsidRPr="00E03465">
              <w:rPr>
                <w:noProof/>
                <w:webHidden/>
              </w:rPr>
              <w:fldChar w:fldCharType="end"/>
            </w:r>
          </w:hyperlink>
        </w:p>
        <w:p w14:paraId="5D00F7BA" w14:textId="7DF1C372" w:rsidR="00E03465" w:rsidRPr="00E03465" w:rsidRDefault="00E03465" w:rsidP="00E03465">
          <w:pPr>
            <w:pStyle w:val="TDC3"/>
            <w:spacing w:after="0"/>
            <w:rPr>
              <w:rFonts w:asciiTheme="minorHAnsi" w:eastAsiaTheme="minorEastAsia" w:hAnsiTheme="minorHAnsi" w:cstheme="minorBidi"/>
              <w:noProof/>
              <w:sz w:val="22"/>
              <w:szCs w:val="22"/>
              <w:lang w:eastAsia="es-GT"/>
            </w:rPr>
          </w:pPr>
          <w:r w:rsidRPr="00E03465">
            <w:rPr>
              <w:rStyle w:val="Hipervnculo"/>
              <w:noProof/>
              <w:u w:val="none"/>
            </w:rPr>
            <w:t xml:space="preserve">          </w:t>
          </w:r>
          <w:hyperlink w:anchor="_Toc114495244" w:history="1">
            <w:r w:rsidRPr="00E03465">
              <w:rPr>
                <w:rStyle w:val="Hipervnculo"/>
                <w:bCs/>
                <w:noProof/>
                <w:u w:val="none"/>
              </w:rPr>
              <w:t>1.3.2.</w:t>
            </w:r>
            <w:r w:rsidRPr="00E03465">
              <w:rPr>
                <w:rFonts w:asciiTheme="minorHAnsi" w:eastAsiaTheme="minorEastAsia" w:hAnsiTheme="minorHAnsi" w:cstheme="minorBidi"/>
                <w:noProof/>
                <w:sz w:val="22"/>
                <w:szCs w:val="22"/>
                <w:lang w:eastAsia="es-GT"/>
              </w:rPr>
              <w:t xml:space="preserve">  </w:t>
            </w:r>
            <w:r w:rsidRPr="00E03465">
              <w:rPr>
                <w:rStyle w:val="Hipervnculo"/>
                <w:bCs/>
                <w:noProof/>
                <w:u w:val="none"/>
              </w:rPr>
              <w:t>Impacto fiscal por una disminución en los precios del petróleo</w:t>
            </w:r>
            <w:r w:rsidRPr="00E03465">
              <w:rPr>
                <w:noProof/>
                <w:webHidden/>
              </w:rPr>
              <w:tab/>
            </w:r>
            <w:r w:rsidRPr="00E03465">
              <w:rPr>
                <w:noProof/>
                <w:webHidden/>
              </w:rPr>
              <w:fldChar w:fldCharType="begin"/>
            </w:r>
            <w:r w:rsidRPr="00E03465">
              <w:rPr>
                <w:noProof/>
                <w:webHidden/>
              </w:rPr>
              <w:instrText xml:space="preserve"> PAGEREF _Toc114495244 \h </w:instrText>
            </w:r>
            <w:r w:rsidRPr="00E03465">
              <w:rPr>
                <w:noProof/>
                <w:webHidden/>
              </w:rPr>
            </w:r>
            <w:r w:rsidRPr="00E03465">
              <w:rPr>
                <w:noProof/>
                <w:webHidden/>
              </w:rPr>
              <w:fldChar w:fldCharType="separate"/>
            </w:r>
            <w:r w:rsidR="002E7809">
              <w:rPr>
                <w:noProof/>
                <w:webHidden/>
              </w:rPr>
              <w:t>22</w:t>
            </w:r>
            <w:r w:rsidRPr="00E03465">
              <w:rPr>
                <w:noProof/>
                <w:webHidden/>
              </w:rPr>
              <w:fldChar w:fldCharType="end"/>
            </w:r>
          </w:hyperlink>
        </w:p>
        <w:p w14:paraId="092C9109" w14:textId="4583E2FA" w:rsidR="00E03465" w:rsidRPr="00E03465" w:rsidRDefault="00844849">
          <w:pPr>
            <w:pStyle w:val="TDC2"/>
            <w:rPr>
              <w:rFonts w:asciiTheme="minorHAnsi" w:eastAsiaTheme="minorEastAsia" w:hAnsiTheme="minorHAnsi" w:cstheme="minorBidi"/>
              <w:noProof/>
              <w:sz w:val="22"/>
              <w:szCs w:val="22"/>
              <w:lang w:eastAsia="es-GT"/>
            </w:rPr>
          </w:pPr>
          <w:hyperlink w:anchor="_Toc114495245" w:history="1">
            <w:r w:rsidR="00E03465" w:rsidRPr="00E03465">
              <w:rPr>
                <w:rStyle w:val="Hipervnculo"/>
                <w:bCs/>
                <w:noProof/>
                <w:u w:val="none"/>
              </w:rPr>
              <w:t>1.4.</w:t>
            </w:r>
            <w:r w:rsidR="00E03465" w:rsidRPr="00E03465">
              <w:rPr>
                <w:rFonts w:asciiTheme="minorHAnsi" w:eastAsiaTheme="minorEastAsia" w:hAnsiTheme="minorHAnsi" w:cstheme="minorBidi"/>
                <w:noProof/>
                <w:sz w:val="22"/>
                <w:szCs w:val="22"/>
                <w:lang w:eastAsia="es-GT"/>
              </w:rPr>
              <w:t xml:space="preserve">  </w:t>
            </w:r>
            <w:r w:rsidR="00E03465" w:rsidRPr="00E03465">
              <w:rPr>
                <w:rStyle w:val="Hipervnculo"/>
                <w:noProof/>
                <w:u w:val="none"/>
              </w:rPr>
              <w:t>Riesgos fiscales asociados al surgimiento de las variantes del COVID-19</w:t>
            </w:r>
            <w:r w:rsidR="00E03465" w:rsidRPr="00E03465">
              <w:rPr>
                <w:noProof/>
                <w:webHidden/>
              </w:rPr>
              <w:tab/>
            </w:r>
            <w:r w:rsidR="00E03465" w:rsidRPr="00E03465">
              <w:rPr>
                <w:noProof/>
                <w:webHidden/>
              </w:rPr>
              <w:fldChar w:fldCharType="begin"/>
            </w:r>
            <w:r w:rsidR="00E03465" w:rsidRPr="00E03465">
              <w:rPr>
                <w:noProof/>
                <w:webHidden/>
              </w:rPr>
              <w:instrText xml:space="preserve"> PAGEREF _Toc114495245 \h </w:instrText>
            </w:r>
            <w:r w:rsidR="00E03465" w:rsidRPr="00E03465">
              <w:rPr>
                <w:noProof/>
                <w:webHidden/>
              </w:rPr>
            </w:r>
            <w:r w:rsidR="00E03465" w:rsidRPr="00E03465">
              <w:rPr>
                <w:noProof/>
                <w:webHidden/>
              </w:rPr>
              <w:fldChar w:fldCharType="separate"/>
            </w:r>
            <w:r w:rsidR="002E7809">
              <w:rPr>
                <w:noProof/>
                <w:webHidden/>
              </w:rPr>
              <w:t>24</w:t>
            </w:r>
            <w:r w:rsidR="00E03465" w:rsidRPr="00E03465">
              <w:rPr>
                <w:noProof/>
                <w:webHidden/>
              </w:rPr>
              <w:fldChar w:fldCharType="end"/>
            </w:r>
          </w:hyperlink>
        </w:p>
        <w:p w14:paraId="0DC4C06B" w14:textId="062C3621" w:rsidR="00E03465" w:rsidRPr="00E03465" w:rsidRDefault="00844849" w:rsidP="00E03465">
          <w:pPr>
            <w:pStyle w:val="TDC1"/>
            <w:rPr>
              <w:rFonts w:asciiTheme="minorHAnsi" w:eastAsiaTheme="minorEastAsia" w:hAnsiTheme="minorHAnsi" w:cstheme="minorBidi"/>
              <w:sz w:val="22"/>
              <w:szCs w:val="22"/>
              <w:lang w:eastAsia="es-GT"/>
            </w:rPr>
          </w:pPr>
          <w:hyperlink w:anchor="_Toc114495246" w:history="1">
            <w:r w:rsidR="00E03465" w:rsidRPr="00E03465">
              <w:rPr>
                <w:rStyle w:val="Hipervnculo"/>
                <w:u w:val="none"/>
              </w:rPr>
              <w:t>2.</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Riesgos Fiscales de la Deuda Pública de Guatemala</w:t>
            </w:r>
            <w:r w:rsidR="00E03465" w:rsidRPr="00E03465">
              <w:rPr>
                <w:webHidden/>
              </w:rPr>
              <w:tab/>
            </w:r>
            <w:r w:rsidR="00E03465" w:rsidRPr="00E03465">
              <w:rPr>
                <w:webHidden/>
              </w:rPr>
              <w:fldChar w:fldCharType="begin"/>
            </w:r>
            <w:r w:rsidR="00E03465" w:rsidRPr="00E03465">
              <w:rPr>
                <w:webHidden/>
              </w:rPr>
              <w:instrText xml:space="preserve"> PAGEREF _Toc114495246 \h </w:instrText>
            </w:r>
            <w:r w:rsidR="00E03465" w:rsidRPr="00E03465">
              <w:rPr>
                <w:webHidden/>
              </w:rPr>
            </w:r>
            <w:r w:rsidR="00E03465" w:rsidRPr="00E03465">
              <w:rPr>
                <w:webHidden/>
              </w:rPr>
              <w:fldChar w:fldCharType="separate"/>
            </w:r>
            <w:r w:rsidR="002E7809">
              <w:rPr>
                <w:webHidden/>
              </w:rPr>
              <w:t>28</w:t>
            </w:r>
            <w:r w:rsidR="00E03465" w:rsidRPr="00E03465">
              <w:rPr>
                <w:webHidden/>
              </w:rPr>
              <w:fldChar w:fldCharType="end"/>
            </w:r>
          </w:hyperlink>
        </w:p>
        <w:p w14:paraId="50167A8C" w14:textId="55214355"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r>
            <w:rPr>
              <w:rStyle w:val="Hipervnculo"/>
              <w:u w:val="none"/>
            </w:rPr>
            <w:t xml:space="preserve">  </w:t>
          </w:r>
          <w:hyperlink w:anchor="_Toc114495249" w:history="1">
            <w:r w:rsidRPr="00E03465">
              <w:rPr>
                <w:rStyle w:val="Hipervnculo"/>
                <w:u w:val="none"/>
                <w:lang w:val="es-MX"/>
              </w:rPr>
              <w:t>2.1.</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Estándares internacionales para indicadores de riesgo de la deuda pública para los países con acceso al mercado de capitales</w:t>
            </w:r>
            <w:r w:rsidRPr="00E03465">
              <w:rPr>
                <w:webHidden/>
              </w:rPr>
              <w:tab/>
            </w:r>
            <w:r w:rsidRPr="00E03465">
              <w:rPr>
                <w:webHidden/>
              </w:rPr>
              <w:fldChar w:fldCharType="begin"/>
            </w:r>
            <w:r w:rsidRPr="00E03465">
              <w:rPr>
                <w:webHidden/>
              </w:rPr>
              <w:instrText xml:space="preserve"> PAGEREF _Toc114495249 \h </w:instrText>
            </w:r>
            <w:r w:rsidRPr="00E03465">
              <w:rPr>
                <w:webHidden/>
              </w:rPr>
            </w:r>
            <w:r w:rsidRPr="00E03465">
              <w:rPr>
                <w:webHidden/>
              </w:rPr>
              <w:fldChar w:fldCharType="separate"/>
            </w:r>
            <w:r w:rsidR="002E7809">
              <w:rPr>
                <w:webHidden/>
              </w:rPr>
              <w:t>30</w:t>
            </w:r>
            <w:r w:rsidRPr="00E03465">
              <w:rPr>
                <w:webHidden/>
              </w:rPr>
              <w:fldChar w:fldCharType="end"/>
            </w:r>
          </w:hyperlink>
        </w:p>
        <w:p w14:paraId="0968371D" w14:textId="252C5C69"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50" w:history="1">
            <w:r w:rsidRPr="00E03465">
              <w:rPr>
                <w:rStyle w:val="Hipervnculo"/>
                <w:u w:val="none"/>
                <w:lang w:val="es-MX"/>
              </w:rPr>
              <w:t>2.2.</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Indicadores de la deuda pública para Guatemala</w:t>
            </w:r>
            <w:r w:rsidRPr="00E03465">
              <w:rPr>
                <w:webHidden/>
              </w:rPr>
              <w:tab/>
            </w:r>
            <w:r w:rsidRPr="00E03465">
              <w:rPr>
                <w:webHidden/>
              </w:rPr>
              <w:fldChar w:fldCharType="begin"/>
            </w:r>
            <w:r w:rsidRPr="00E03465">
              <w:rPr>
                <w:webHidden/>
              </w:rPr>
              <w:instrText xml:space="preserve"> PAGEREF _Toc114495250 \h </w:instrText>
            </w:r>
            <w:r w:rsidRPr="00E03465">
              <w:rPr>
                <w:webHidden/>
              </w:rPr>
            </w:r>
            <w:r w:rsidRPr="00E03465">
              <w:rPr>
                <w:webHidden/>
              </w:rPr>
              <w:fldChar w:fldCharType="separate"/>
            </w:r>
            <w:r w:rsidR="002E7809">
              <w:rPr>
                <w:webHidden/>
              </w:rPr>
              <w:t>30</w:t>
            </w:r>
            <w:r w:rsidRPr="00E03465">
              <w:rPr>
                <w:webHidden/>
              </w:rPr>
              <w:fldChar w:fldCharType="end"/>
            </w:r>
          </w:hyperlink>
        </w:p>
        <w:p w14:paraId="7E16F660" w14:textId="438793D8"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51" w:history="1">
            <w:r w:rsidRPr="00E03465">
              <w:rPr>
                <w:rStyle w:val="Hipervnculo"/>
                <w:u w:val="none"/>
                <w:lang w:val="es-MX"/>
              </w:rPr>
              <w:t>2.3.</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Comparativo con otros países</w:t>
            </w:r>
            <w:r w:rsidRPr="00E03465">
              <w:rPr>
                <w:webHidden/>
              </w:rPr>
              <w:tab/>
            </w:r>
            <w:r w:rsidRPr="00E03465">
              <w:rPr>
                <w:webHidden/>
              </w:rPr>
              <w:fldChar w:fldCharType="begin"/>
            </w:r>
            <w:r w:rsidRPr="00E03465">
              <w:rPr>
                <w:webHidden/>
              </w:rPr>
              <w:instrText xml:space="preserve"> PAGEREF _Toc114495251 \h </w:instrText>
            </w:r>
            <w:r w:rsidRPr="00E03465">
              <w:rPr>
                <w:webHidden/>
              </w:rPr>
            </w:r>
            <w:r w:rsidRPr="00E03465">
              <w:rPr>
                <w:webHidden/>
              </w:rPr>
              <w:fldChar w:fldCharType="separate"/>
            </w:r>
            <w:r w:rsidR="002E7809">
              <w:rPr>
                <w:webHidden/>
              </w:rPr>
              <w:t>33</w:t>
            </w:r>
            <w:r w:rsidRPr="00E03465">
              <w:rPr>
                <w:webHidden/>
              </w:rPr>
              <w:fldChar w:fldCharType="end"/>
            </w:r>
          </w:hyperlink>
        </w:p>
        <w:p w14:paraId="51F6AC79" w14:textId="7A56B0CD" w:rsidR="00E03465" w:rsidRPr="00E03465" w:rsidRDefault="00844849" w:rsidP="00E03465">
          <w:pPr>
            <w:pStyle w:val="TDC1"/>
            <w:rPr>
              <w:rFonts w:asciiTheme="minorHAnsi" w:eastAsiaTheme="minorEastAsia" w:hAnsiTheme="minorHAnsi" w:cstheme="minorBidi"/>
              <w:sz w:val="22"/>
              <w:szCs w:val="22"/>
              <w:lang w:eastAsia="es-GT"/>
            </w:rPr>
          </w:pPr>
          <w:hyperlink w:anchor="_Toc114495252" w:history="1">
            <w:r w:rsidR="00E03465" w:rsidRPr="00E03465">
              <w:rPr>
                <w:rStyle w:val="Hipervnculo"/>
                <w:u w:val="none"/>
              </w:rPr>
              <w:t>3.</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Análisis de Sostenibilidad de la Deuda</w:t>
            </w:r>
            <w:r w:rsidR="00E03465" w:rsidRPr="00E03465">
              <w:rPr>
                <w:webHidden/>
              </w:rPr>
              <w:tab/>
            </w:r>
            <w:r w:rsidR="00E03465" w:rsidRPr="00E03465">
              <w:rPr>
                <w:webHidden/>
              </w:rPr>
              <w:fldChar w:fldCharType="begin"/>
            </w:r>
            <w:r w:rsidR="00E03465" w:rsidRPr="00E03465">
              <w:rPr>
                <w:webHidden/>
              </w:rPr>
              <w:instrText xml:space="preserve"> PAGEREF _Toc114495252 \h </w:instrText>
            </w:r>
            <w:r w:rsidR="00E03465" w:rsidRPr="00E03465">
              <w:rPr>
                <w:webHidden/>
              </w:rPr>
            </w:r>
            <w:r w:rsidR="00E03465" w:rsidRPr="00E03465">
              <w:rPr>
                <w:webHidden/>
              </w:rPr>
              <w:fldChar w:fldCharType="separate"/>
            </w:r>
            <w:r w:rsidR="002E7809">
              <w:rPr>
                <w:webHidden/>
              </w:rPr>
              <w:t>35</w:t>
            </w:r>
            <w:r w:rsidR="00E03465" w:rsidRPr="00E03465">
              <w:rPr>
                <w:webHidden/>
              </w:rPr>
              <w:fldChar w:fldCharType="end"/>
            </w:r>
          </w:hyperlink>
        </w:p>
        <w:p w14:paraId="7F437180" w14:textId="5278E7B3"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54" w:history="1">
            <w:r w:rsidRPr="00E03465">
              <w:rPr>
                <w:rStyle w:val="Hipervnculo"/>
                <w:u w:val="none"/>
                <w:lang w:val="es-MX"/>
              </w:rPr>
              <w:t>3.1.</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Análisis de Mediano Plazo</w:t>
            </w:r>
            <w:r w:rsidRPr="00E03465">
              <w:rPr>
                <w:webHidden/>
              </w:rPr>
              <w:tab/>
            </w:r>
            <w:r w:rsidRPr="00E03465">
              <w:rPr>
                <w:webHidden/>
              </w:rPr>
              <w:fldChar w:fldCharType="begin"/>
            </w:r>
            <w:r w:rsidRPr="00E03465">
              <w:rPr>
                <w:webHidden/>
              </w:rPr>
              <w:instrText xml:space="preserve"> PAGEREF _Toc114495254 \h </w:instrText>
            </w:r>
            <w:r w:rsidRPr="00E03465">
              <w:rPr>
                <w:webHidden/>
              </w:rPr>
            </w:r>
            <w:r w:rsidRPr="00E03465">
              <w:rPr>
                <w:webHidden/>
              </w:rPr>
              <w:fldChar w:fldCharType="separate"/>
            </w:r>
            <w:r w:rsidR="002E7809">
              <w:rPr>
                <w:webHidden/>
              </w:rPr>
              <w:t>35</w:t>
            </w:r>
            <w:r w:rsidRPr="00E03465">
              <w:rPr>
                <w:webHidden/>
              </w:rPr>
              <w:fldChar w:fldCharType="end"/>
            </w:r>
          </w:hyperlink>
        </w:p>
        <w:p w14:paraId="596629A5" w14:textId="3C74C4D5"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55" w:history="1">
            <w:r w:rsidRPr="00E03465">
              <w:rPr>
                <w:rStyle w:val="Hipervnculo"/>
                <w:u w:val="none"/>
                <w:lang w:val="es-MX"/>
              </w:rPr>
              <w:t>3.2.</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Análisis de Largo Plazo</w:t>
            </w:r>
            <w:r w:rsidRPr="00E03465">
              <w:rPr>
                <w:webHidden/>
              </w:rPr>
              <w:tab/>
            </w:r>
            <w:r w:rsidRPr="00E03465">
              <w:rPr>
                <w:webHidden/>
              </w:rPr>
              <w:fldChar w:fldCharType="begin"/>
            </w:r>
            <w:r w:rsidRPr="00E03465">
              <w:rPr>
                <w:webHidden/>
              </w:rPr>
              <w:instrText xml:space="preserve"> PAGEREF _Toc114495255 \h </w:instrText>
            </w:r>
            <w:r w:rsidRPr="00E03465">
              <w:rPr>
                <w:webHidden/>
              </w:rPr>
            </w:r>
            <w:r w:rsidRPr="00E03465">
              <w:rPr>
                <w:webHidden/>
              </w:rPr>
              <w:fldChar w:fldCharType="separate"/>
            </w:r>
            <w:r w:rsidR="002E7809">
              <w:rPr>
                <w:webHidden/>
              </w:rPr>
              <w:t>41</w:t>
            </w:r>
            <w:r w:rsidRPr="00E03465">
              <w:rPr>
                <w:webHidden/>
              </w:rPr>
              <w:fldChar w:fldCharType="end"/>
            </w:r>
          </w:hyperlink>
        </w:p>
        <w:p w14:paraId="3F587961" w14:textId="082C68B1" w:rsidR="00E03465" w:rsidRPr="00E03465" w:rsidRDefault="00844849" w:rsidP="00E03465">
          <w:pPr>
            <w:pStyle w:val="TDC1"/>
            <w:rPr>
              <w:rFonts w:asciiTheme="minorHAnsi" w:eastAsiaTheme="minorEastAsia" w:hAnsiTheme="minorHAnsi" w:cstheme="minorBidi"/>
              <w:sz w:val="22"/>
              <w:szCs w:val="22"/>
              <w:lang w:eastAsia="es-GT"/>
            </w:rPr>
          </w:pPr>
          <w:hyperlink w:anchor="_Toc114495256" w:history="1">
            <w:r w:rsidR="00E03465" w:rsidRPr="00E03465">
              <w:rPr>
                <w:rStyle w:val="Hipervnculo"/>
                <w:u w:val="none"/>
              </w:rPr>
              <w:t>4.</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Riesgos Fiscales asociados a las Municipalidades</w:t>
            </w:r>
            <w:r w:rsidR="00E03465" w:rsidRPr="00E03465">
              <w:rPr>
                <w:webHidden/>
              </w:rPr>
              <w:tab/>
            </w:r>
            <w:r w:rsidR="00E03465" w:rsidRPr="00E03465">
              <w:rPr>
                <w:webHidden/>
              </w:rPr>
              <w:fldChar w:fldCharType="begin"/>
            </w:r>
            <w:r w:rsidR="00E03465" w:rsidRPr="00E03465">
              <w:rPr>
                <w:webHidden/>
              </w:rPr>
              <w:instrText xml:space="preserve"> PAGEREF _Toc114495256 \h </w:instrText>
            </w:r>
            <w:r w:rsidR="00E03465" w:rsidRPr="00E03465">
              <w:rPr>
                <w:webHidden/>
              </w:rPr>
            </w:r>
            <w:r w:rsidR="00E03465" w:rsidRPr="00E03465">
              <w:rPr>
                <w:webHidden/>
              </w:rPr>
              <w:fldChar w:fldCharType="separate"/>
            </w:r>
            <w:r w:rsidR="002E7809">
              <w:rPr>
                <w:webHidden/>
              </w:rPr>
              <w:t>43</w:t>
            </w:r>
            <w:r w:rsidR="00E03465" w:rsidRPr="00E03465">
              <w:rPr>
                <w:webHidden/>
              </w:rPr>
              <w:fldChar w:fldCharType="end"/>
            </w:r>
          </w:hyperlink>
        </w:p>
        <w:p w14:paraId="4035614B" w14:textId="16D67D59"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58" w:history="1">
            <w:r w:rsidRPr="00E03465">
              <w:rPr>
                <w:rStyle w:val="Hipervnculo"/>
                <w:u w:val="none"/>
                <w:lang w:val="es-MX"/>
              </w:rPr>
              <w:t>4.1.</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Importancia del riesgo fiscal en las Municipalidades</w:t>
            </w:r>
            <w:r w:rsidRPr="00E03465">
              <w:rPr>
                <w:webHidden/>
              </w:rPr>
              <w:tab/>
            </w:r>
            <w:r w:rsidRPr="00E03465">
              <w:rPr>
                <w:webHidden/>
              </w:rPr>
              <w:fldChar w:fldCharType="begin"/>
            </w:r>
            <w:r w:rsidRPr="00E03465">
              <w:rPr>
                <w:webHidden/>
              </w:rPr>
              <w:instrText xml:space="preserve"> PAGEREF _Toc114495258 \h </w:instrText>
            </w:r>
            <w:r w:rsidRPr="00E03465">
              <w:rPr>
                <w:webHidden/>
              </w:rPr>
            </w:r>
            <w:r w:rsidRPr="00E03465">
              <w:rPr>
                <w:webHidden/>
              </w:rPr>
              <w:fldChar w:fldCharType="separate"/>
            </w:r>
            <w:r w:rsidR="002E7809">
              <w:rPr>
                <w:webHidden/>
              </w:rPr>
              <w:t>43</w:t>
            </w:r>
            <w:r w:rsidRPr="00E03465">
              <w:rPr>
                <w:webHidden/>
              </w:rPr>
              <w:fldChar w:fldCharType="end"/>
            </w:r>
          </w:hyperlink>
        </w:p>
        <w:p w14:paraId="5AE25907" w14:textId="5C8B822A"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59" w:history="1">
            <w:r w:rsidRPr="00E03465">
              <w:rPr>
                <w:rStyle w:val="Hipervnculo"/>
                <w:u w:val="none"/>
                <w:lang w:val="es-MX"/>
              </w:rPr>
              <w:t>4.2.</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Identificación y Evaluación</w:t>
            </w:r>
            <w:r w:rsidRPr="00E03465">
              <w:rPr>
                <w:webHidden/>
              </w:rPr>
              <w:tab/>
            </w:r>
            <w:r w:rsidRPr="00E03465">
              <w:rPr>
                <w:webHidden/>
              </w:rPr>
              <w:fldChar w:fldCharType="begin"/>
            </w:r>
            <w:r w:rsidRPr="00E03465">
              <w:rPr>
                <w:webHidden/>
              </w:rPr>
              <w:instrText xml:space="preserve"> PAGEREF _Toc114495259 \h </w:instrText>
            </w:r>
            <w:r w:rsidRPr="00E03465">
              <w:rPr>
                <w:webHidden/>
              </w:rPr>
            </w:r>
            <w:r w:rsidRPr="00E03465">
              <w:rPr>
                <w:webHidden/>
              </w:rPr>
              <w:fldChar w:fldCharType="separate"/>
            </w:r>
            <w:r w:rsidR="002E7809">
              <w:rPr>
                <w:webHidden/>
              </w:rPr>
              <w:t>43</w:t>
            </w:r>
            <w:r w:rsidRPr="00E03465">
              <w:rPr>
                <w:webHidden/>
              </w:rPr>
              <w:fldChar w:fldCharType="end"/>
            </w:r>
          </w:hyperlink>
        </w:p>
        <w:p w14:paraId="387E5921" w14:textId="6F620F9D"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0" w:history="1">
            <w:r w:rsidRPr="00E03465">
              <w:rPr>
                <w:rStyle w:val="Hipervnculo"/>
                <w:u w:val="none"/>
                <w:lang w:val="es-MX"/>
              </w:rPr>
              <w:t>4.3.</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Autonomía Financiera de las Municipalidades</w:t>
            </w:r>
            <w:r w:rsidRPr="00E03465">
              <w:rPr>
                <w:webHidden/>
              </w:rPr>
              <w:tab/>
            </w:r>
            <w:r w:rsidRPr="00E03465">
              <w:rPr>
                <w:webHidden/>
              </w:rPr>
              <w:fldChar w:fldCharType="begin"/>
            </w:r>
            <w:r w:rsidRPr="00E03465">
              <w:rPr>
                <w:webHidden/>
              </w:rPr>
              <w:instrText xml:space="preserve"> PAGEREF _Toc114495260 \h </w:instrText>
            </w:r>
            <w:r w:rsidRPr="00E03465">
              <w:rPr>
                <w:webHidden/>
              </w:rPr>
            </w:r>
            <w:r w:rsidRPr="00E03465">
              <w:rPr>
                <w:webHidden/>
              </w:rPr>
              <w:fldChar w:fldCharType="separate"/>
            </w:r>
            <w:r w:rsidR="002E7809">
              <w:rPr>
                <w:webHidden/>
              </w:rPr>
              <w:t>44</w:t>
            </w:r>
            <w:r w:rsidRPr="00E03465">
              <w:rPr>
                <w:webHidden/>
              </w:rPr>
              <w:fldChar w:fldCharType="end"/>
            </w:r>
          </w:hyperlink>
        </w:p>
        <w:p w14:paraId="622E1CEE" w14:textId="6AE66564"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1" w:history="1">
            <w:r w:rsidRPr="00E03465">
              <w:rPr>
                <w:rStyle w:val="Hipervnculo"/>
                <w:u w:val="none"/>
                <w:lang w:val="es-MX"/>
              </w:rPr>
              <w:t>4.4.</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Inversión Real Directa por habitante de las municipalidades</w:t>
            </w:r>
            <w:r w:rsidRPr="00E03465">
              <w:rPr>
                <w:webHidden/>
              </w:rPr>
              <w:tab/>
            </w:r>
            <w:r w:rsidRPr="00E03465">
              <w:rPr>
                <w:webHidden/>
              </w:rPr>
              <w:fldChar w:fldCharType="begin"/>
            </w:r>
            <w:r w:rsidRPr="00E03465">
              <w:rPr>
                <w:webHidden/>
              </w:rPr>
              <w:instrText xml:space="preserve"> PAGEREF _Toc114495261 \h </w:instrText>
            </w:r>
            <w:r w:rsidRPr="00E03465">
              <w:rPr>
                <w:webHidden/>
              </w:rPr>
            </w:r>
            <w:r w:rsidRPr="00E03465">
              <w:rPr>
                <w:webHidden/>
              </w:rPr>
              <w:fldChar w:fldCharType="separate"/>
            </w:r>
            <w:r w:rsidR="002E7809">
              <w:rPr>
                <w:webHidden/>
              </w:rPr>
              <w:t>45</w:t>
            </w:r>
            <w:r w:rsidRPr="00E03465">
              <w:rPr>
                <w:webHidden/>
              </w:rPr>
              <w:fldChar w:fldCharType="end"/>
            </w:r>
          </w:hyperlink>
        </w:p>
        <w:p w14:paraId="1E18BD6A" w14:textId="7C38C299"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2" w:history="1">
            <w:r w:rsidRPr="00E03465">
              <w:rPr>
                <w:rStyle w:val="Hipervnculo"/>
                <w:u w:val="none"/>
                <w:lang w:val="es-MX"/>
              </w:rPr>
              <w:t>4.5.</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Liquidez Financiera</w:t>
            </w:r>
            <w:r w:rsidRPr="00E03465">
              <w:rPr>
                <w:webHidden/>
              </w:rPr>
              <w:tab/>
            </w:r>
            <w:r w:rsidRPr="00E03465">
              <w:rPr>
                <w:webHidden/>
              </w:rPr>
              <w:fldChar w:fldCharType="begin"/>
            </w:r>
            <w:r w:rsidRPr="00E03465">
              <w:rPr>
                <w:webHidden/>
              </w:rPr>
              <w:instrText xml:space="preserve"> PAGEREF _Toc114495262 \h </w:instrText>
            </w:r>
            <w:r w:rsidRPr="00E03465">
              <w:rPr>
                <w:webHidden/>
              </w:rPr>
            </w:r>
            <w:r w:rsidRPr="00E03465">
              <w:rPr>
                <w:webHidden/>
              </w:rPr>
              <w:fldChar w:fldCharType="separate"/>
            </w:r>
            <w:r w:rsidR="002E7809">
              <w:rPr>
                <w:webHidden/>
              </w:rPr>
              <w:t>47</w:t>
            </w:r>
            <w:r w:rsidRPr="00E03465">
              <w:rPr>
                <w:webHidden/>
              </w:rPr>
              <w:fldChar w:fldCharType="end"/>
            </w:r>
          </w:hyperlink>
        </w:p>
        <w:p w14:paraId="36275503" w14:textId="79D1801B"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3" w:history="1">
            <w:r w:rsidRPr="00E03465">
              <w:rPr>
                <w:rStyle w:val="Hipervnculo"/>
                <w:u w:val="none"/>
                <w:lang w:val="es-MX"/>
              </w:rPr>
              <w:t>4.6.</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Obligaciones Financieras por Pagar de las Municipalidades</w:t>
            </w:r>
            <w:r w:rsidRPr="00E03465">
              <w:rPr>
                <w:webHidden/>
              </w:rPr>
              <w:tab/>
            </w:r>
            <w:r w:rsidRPr="00E03465">
              <w:rPr>
                <w:webHidden/>
              </w:rPr>
              <w:fldChar w:fldCharType="begin"/>
            </w:r>
            <w:r w:rsidRPr="00E03465">
              <w:rPr>
                <w:webHidden/>
              </w:rPr>
              <w:instrText xml:space="preserve"> PAGEREF _Toc114495263 \h </w:instrText>
            </w:r>
            <w:r w:rsidRPr="00E03465">
              <w:rPr>
                <w:webHidden/>
              </w:rPr>
            </w:r>
            <w:r w:rsidRPr="00E03465">
              <w:rPr>
                <w:webHidden/>
              </w:rPr>
              <w:fldChar w:fldCharType="separate"/>
            </w:r>
            <w:r w:rsidR="002E7809">
              <w:rPr>
                <w:webHidden/>
              </w:rPr>
              <w:t>49</w:t>
            </w:r>
            <w:r w:rsidRPr="00E03465">
              <w:rPr>
                <w:webHidden/>
              </w:rPr>
              <w:fldChar w:fldCharType="end"/>
            </w:r>
          </w:hyperlink>
        </w:p>
        <w:p w14:paraId="1DF53533" w14:textId="486BC7C4"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4" w:history="1">
            <w:r w:rsidRPr="00E03465">
              <w:rPr>
                <w:rStyle w:val="Hipervnculo"/>
                <w:u w:val="none"/>
                <w:lang w:val="es-MX"/>
              </w:rPr>
              <w:t>4.7.</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Obligaciones financieras respecto al PIB</w:t>
            </w:r>
            <w:r w:rsidRPr="00E03465">
              <w:rPr>
                <w:webHidden/>
              </w:rPr>
              <w:tab/>
            </w:r>
            <w:r w:rsidRPr="00E03465">
              <w:rPr>
                <w:webHidden/>
              </w:rPr>
              <w:fldChar w:fldCharType="begin"/>
            </w:r>
            <w:r w:rsidRPr="00E03465">
              <w:rPr>
                <w:webHidden/>
              </w:rPr>
              <w:instrText xml:space="preserve"> PAGEREF _Toc114495264 \h </w:instrText>
            </w:r>
            <w:r w:rsidRPr="00E03465">
              <w:rPr>
                <w:webHidden/>
              </w:rPr>
            </w:r>
            <w:r w:rsidRPr="00E03465">
              <w:rPr>
                <w:webHidden/>
              </w:rPr>
              <w:fldChar w:fldCharType="separate"/>
            </w:r>
            <w:r w:rsidR="002E7809">
              <w:rPr>
                <w:webHidden/>
              </w:rPr>
              <w:t>51</w:t>
            </w:r>
            <w:r w:rsidRPr="00E03465">
              <w:rPr>
                <w:webHidden/>
              </w:rPr>
              <w:fldChar w:fldCharType="end"/>
            </w:r>
          </w:hyperlink>
        </w:p>
        <w:p w14:paraId="6306A896" w14:textId="25AA6891"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5" w:history="1">
            <w:r w:rsidRPr="00E03465">
              <w:rPr>
                <w:rStyle w:val="Hipervnculo"/>
                <w:u w:val="none"/>
                <w:lang w:val="es-MX"/>
              </w:rPr>
              <w:t>4.8.</w:t>
            </w:r>
            <w:r w:rsidRPr="00E03465">
              <w:rPr>
                <w:rFonts w:asciiTheme="minorHAnsi" w:eastAsiaTheme="minorEastAsia" w:hAnsiTheme="minorHAnsi" w:cstheme="minorBidi"/>
                <w:sz w:val="22"/>
                <w:szCs w:val="22"/>
                <w:lang w:eastAsia="es-GT"/>
              </w:rPr>
              <w:t xml:space="preserve">  </w:t>
            </w:r>
            <w:r w:rsidRPr="00E03465">
              <w:rPr>
                <w:rStyle w:val="Hipervnculo"/>
                <w:u w:val="none"/>
                <w:lang w:val="es-MX"/>
              </w:rPr>
              <w:t>Acciones realizadas para mitigar el riesgo</w:t>
            </w:r>
            <w:r w:rsidRPr="00E03465">
              <w:rPr>
                <w:webHidden/>
              </w:rPr>
              <w:tab/>
            </w:r>
            <w:r w:rsidRPr="00E03465">
              <w:rPr>
                <w:webHidden/>
              </w:rPr>
              <w:fldChar w:fldCharType="begin"/>
            </w:r>
            <w:r w:rsidRPr="00E03465">
              <w:rPr>
                <w:webHidden/>
              </w:rPr>
              <w:instrText xml:space="preserve"> PAGEREF _Toc114495265 \h </w:instrText>
            </w:r>
            <w:r w:rsidRPr="00E03465">
              <w:rPr>
                <w:webHidden/>
              </w:rPr>
            </w:r>
            <w:r w:rsidRPr="00E03465">
              <w:rPr>
                <w:webHidden/>
              </w:rPr>
              <w:fldChar w:fldCharType="separate"/>
            </w:r>
            <w:r w:rsidR="002E7809">
              <w:rPr>
                <w:webHidden/>
              </w:rPr>
              <w:t>51</w:t>
            </w:r>
            <w:r w:rsidRPr="00E03465">
              <w:rPr>
                <w:webHidden/>
              </w:rPr>
              <w:fldChar w:fldCharType="end"/>
            </w:r>
          </w:hyperlink>
        </w:p>
        <w:p w14:paraId="117E7223" w14:textId="0ED7ECAF" w:rsidR="00E03465" w:rsidRPr="00E03465" w:rsidRDefault="00844849" w:rsidP="00E03465">
          <w:pPr>
            <w:pStyle w:val="TDC1"/>
            <w:rPr>
              <w:rFonts w:asciiTheme="minorHAnsi" w:eastAsiaTheme="minorEastAsia" w:hAnsiTheme="minorHAnsi" w:cstheme="minorBidi"/>
              <w:sz w:val="22"/>
              <w:szCs w:val="22"/>
              <w:lang w:eastAsia="es-GT"/>
            </w:rPr>
          </w:pPr>
          <w:hyperlink w:anchor="_Toc114495266" w:history="1">
            <w:r w:rsidR="00E03465" w:rsidRPr="00E03465">
              <w:rPr>
                <w:rStyle w:val="Hipervnculo"/>
                <w:u w:val="none"/>
              </w:rPr>
              <w:t>5.</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Riesgos Fiscales asociados a las empresas públicas no financieras nacionales y municipales</w:t>
            </w:r>
            <w:r w:rsidR="00E03465" w:rsidRPr="00E03465">
              <w:rPr>
                <w:webHidden/>
              </w:rPr>
              <w:tab/>
            </w:r>
            <w:r w:rsidR="00E03465" w:rsidRPr="00E03465">
              <w:rPr>
                <w:webHidden/>
              </w:rPr>
              <w:fldChar w:fldCharType="begin"/>
            </w:r>
            <w:r w:rsidR="00E03465" w:rsidRPr="00E03465">
              <w:rPr>
                <w:webHidden/>
              </w:rPr>
              <w:instrText xml:space="preserve"> PAGEREF _Toc114495266 \h </w:instrText>
            </w:r>
            <w:r w:rsidR="00E03465" w:rsidRPr="00E03465">
              <w:rPr>
                <w:webHidden/>
              </w:rPr>
            </w:r>
            <w:r w:rsidR="00E03465" w:rsidRPr="00E03465">
              <w:rPr>
                <w:webHidden/>
              </w:rPr>
              <w:fldChar w:fldCharType="separate"/>
            </w:r>
            <w:r w:rsidR="002E7809">
              <w:rPr>
                <w:webHidden/>
              </w:rPr>
              <w:t>53</w:t>
            </w:r>
            <w:r w:rsidR="00E03465" w:rsidRPr="00E03465">
              <w:rPr>
                <w:webHidden/>
              </w:rPr>
              <w:fldChar w:fldCharType="end"/>
            </w:r>
          </w:hyperlink>
        </w:p>
        <w:p w14:paraId="3AED74EB" w14:textId="669D8CF1"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7" w:history="1">
            <w:r w:rsidRPr="00E03465">
              <w:rPr>
                <w:rStyle w:val="Hipervnculo"/>
                <w:u w:val="none"/>
              </w:rPr>
              <w:t>5.1.  Rentabilidad de las Empresas como grupo institucional</w:t>
            </w:r>
            <w:r w:rsidRPr="00E03465">
              <w:rPr>
                <w:webHidden/>
              </w:rPr>
              <w:tab/>
            </w:r>
            <w:r w:rsidRPr="00E03465">
              <w:rPr>
                <w:webHidden/>
              </w:rPr>
              <w:fldChar w:fldCharType="begin"/>
            </w:r>
            <w:r w:rsidRPr="00E03465">
              <w:rPr>
                <w:webHidden/>
              </w:rPr>
              <w:instrText xml:space="preserve"> PAGEREF _Toc114495267 \h </w:instrText>
            </w:r>
            <w:r w:rsidRPr="00E03465">
              <w:rPr>
                <w:webHidden/>
              </w:rPr>
            </w:r>
            <w:r w:rsidRPr="00E03465">
              <w:rPr>
                <w:webHidden/>
              </w:rPr>
              <w:fldChar w:fldCharType="separate"/>
            </w:r>
            <w:r w:rsidR="002E7809">
              <w:rPr>
                <w:webHidden/>
              </w:rPr>
              <w:t>55</w:t>
            </w:r>
            <w:r w:rsidRPr="00E03465">
              <w:rPr>
                <w:webHidden/>
              </w:rPr>
              <w:fldChar w:fldCharType="end"/>
            </w:r>
          </w:hyperlink>
        </w:p>
        <w:p w14:paraId="42AB2ACC" w14:textId="18A99D77"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8" w:history="1">
            <w:r w:rsidRPr="00E03465">
              <w:rPr>
                <w:rStyle w:val="Hipervnculo"/>
                <w:u w:val="none"/>
              </w:rPr>
              <w:t>5.1.1.</w:t>
            </w:r>
            <w:r w:rsidRPr="00E03465">
              <w:rPr>
                <w:rFonts w:asciiTheme="minorHAnsi" w:eastAsiaTheme="minorEastAsia" w:hAnsiTheme="minorHAnsi" w:cstheme="minorBidi"/>
                <w:sz w:val="22"/>
                <w:szCs w:val="22"/>
                <w:lang w:eastAsia="es-GT"/>
              </w:rPr>
              <w:t xml:space="preserve">  </w:t>
            </w:r>
            <w:r w:rsidRPr="00E03465">
              <w:rPr>
                <w:rStyle w:val="Hipervnculo"/>
                <w:u w:val="none"/>
              </w:rPr>
              <w:t>Rentabilidad de las Empresas de forma individual</w:t>
            </w:r>
            <w:r w:rsidRPr="00E03465">
              <w:rPr>
                <w:webHidden/>
              </w:rPr>
              <w:tab/>
            </w:r>
            <w:r w:rsidRPr="00E03465">
              <w:rPr>
                <w:webHidden/>
              </w:rPr>
              <w:fldChar w:fldCharType="begin"/>
            </w:r>
            <w:r w:rsidRPr="00E03465">
              <w:rPr>
                <w:webHidden/>
              </w:rPr>
              <w:instrText xml:space="preserve"> PAGEREF _Toc114495268 \h </w:instrText>
            </w:r>
            <w:r w:rsidRPr="00E03465">
              <w:rPr>
                <w:webHidden/>
              </w:rPr>
            </w:r>
            <w:r w:rsidRPr="00E03465">
              <w:rPr>
                <w:webHidden/>
              </w:rPr>
              <w:fldChar w:fldCharType="separate"/>
            </w:r>
            <w:r w:rsidR="002E7809">
              <w:rPr>
                <w:webHidden/>
              </w:rPr>
              <w:t>56</w:t>
            </w:r>
            <w:r w:rsidRPr="00E03465">
              <w:rPr>
                <w:webHidden/>
              </w:rPr>
              <w:fldChar w:fldCharType="end"/>
            </w:r>
          </w:hyperlink>
        </w:p>
        <w:p w14:paraId="3B959C44" w14:textId="39088175"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69" w:history="1">
            <w:r w:rsidRPr="00E03465">
              <w:rPr>
                <w:rStyle w:val="Hipervnculo"/>
                <w:u w:val="none"/>
              </w:rPr>
              <w:t>5.2.  Obligaciones Financieras por Pagar de las Empresas Públicas</w:t>
            </w:r>
            <w:r w:rsidRPr="00E03465">
              <w:rPr>
                <w:webHidden/>
              </w:rPr>
              <w:tab/>
            </w:r>
            <w:r w:rsidRPr="00E03465">
              <w:rPr>
                <w:webHidden/>
              </w:rPr>
              <w:fldChar w:fldCharType="begin"/>
            </w:r>
            <w:r w:rsidRPr="00E03465">
              <w:rPr>
                <w:webHidden/>
              </w:rPr>
              <w:instrText xml:space="preserve"> PAGEREF _Toc114495269 \h </w:instrText>
            </w:r>
            <w:r w:rsidRPr="00E03465">
              <w:rPr>
                <w:webHidden/>
              </w:rPr>
            </w:r>
            <w:r w:rsidRPr="00E03465">
              <w:rPr>
                <w:webHidden/>
              </w:rPr>
              <w:fldChar w:fldCharType="separate"/>
            </w:r>
            <w:r w:rsidR="002E7809">
              <w:rPr>
                <w:webHidden/>
              </w:rPr>
              <w:t>57</w:t>
            </w:r>
            <w:r w:rsidRPr="00E03465">
              <w:rPr>
                <w:webHidden/>
              </w:rPr>
              <w:fldChar w:fldCharType="end"/>
            </w:r>
          </w:hyperlink>
        </w:p>
        <w:p w14:paraId="7598B378" w14:textId="452CA98E"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0" w:history="1">
            <w:r w:rsidRPr="00E03465">
              <w:rPr>
                <w:rStyle w:val="Hipervnculo"/>
                <w:u w:val="none"/>
              </w:rPr>
              <w:t>5.3.</w:t>
            </w:r>
            <w:r w:rsidRPr="00E03465">
              <w:rPr>
                <w:rFonts w:asciiTheme="minorHAnsi" w:eastAsiaTheme="minorEastAsia" w:hAnsiTheme="minorHAnsi" w:cstheme="minorBidi"/>
                <w:sz w:val="22"/>
                <w:szCs w:val="22"/>
                <w:lang w:eastAsia="es-GT"/>
              </w:rPr>
              <w:t xml:space="preserve">  </w:t>
            </w:r>
            <w:r w:rsidRPr="00E03465">
              <w:rPr>
                <w:rStyle w:val="Hipervnculo"/>
                <w:u w:val="none"/>
              </w:rPr>
              <w:t>Obligaciones Financieras por Empresa Pública</w:t>
            </w:r>
            <w:r w:rsidRPr="00E03465">
              <w:rPr>
                <w:webHidden/>
              </w:rPr>
              <w:tab/>
            </w:r>
            <w:r w:rsidRPr="00E03465">
              <w:rPr>
                <w:webHidden/>
              </w:rPr>
              <w:fldChar w:fldCharType="begin"/>
            </w:r>
            <w:r w:rsidRPr="00E03465">
              <w:rPr>
                <w:webHidden/>
              </w:rPr>
              <w:instrText xml:space="preserve"> PAGEREF _Toc114495270 \h </w:instrText>
            </w:r>
            <w:r w:rsidRPr="00E03465">
              <w:rPr>
                <w:webHidden/>
              </w:rPr>
            </w:r>
            <w:r w:rsidRPr="00E03465">
              <w:rPr>
                <w:webHidden/>
              </w:rPr>
              <w:fldChar w:fldCharType="separate"/>
            </w:r>
            <w:r w:rsidR="002E7809">
              <w:rPr>
                <w:webHidden/>
              </w:rPr>
              <w:t>59</w:t>
            </w:r>
            <w:r w:rsidRPr="00E03465">
              <w:rPr>
                <w:webHidden/>
              </w:rPr>
              <w:fldChar w:fldCharType="end"/>
            </w:r>
          </w:hyperlink>
        </w:p>
        <w:p w14:paraId="7E29E978" w14:textId="67A6509D"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1" w:history="1">
            <w:r w:rsidRPr="00E03465">
              <w:rPr>
                <w:rStyle w:val="Hipervnculo"/>
                <w:u w:val="none"/>
              </w:rPr>
              <w:t>5.4.</w:t>
            </w:r>
            <w:r w:rsidRPr="00E03465">
              <w:rPr>
                <w:rFonts w:asciiTheme="minorHAnsi" w:eastAsiaTheme="minorEastAsia" w:hAnsiTheme="minorHAnsi" w:cstheme="minorBidi"/>
                <w:sz w:val="22"/>
                <w:szCs w:val="22"/>
                <w:lang w:eastAsia="es-GT"/>
              </w:rPr>
              <w:t xml:space="preserve">  </w:t>
            </w:r>
            <w:r w:rsidRPr="00E03465">
              <w:rPr>
                <w:rStyle w:val="Hipervnculo"/>
                <w:u w:val="none"/>
              </w:rPr>
              <w:t>Liquidez Financiera</w:t>
            </w:r>
            <w:r w:rsidRPr="00E03465">
              <w:rPr>
                <w:webHidden/>
              </w:rPr>
              <w:tab/>
            </w:r>
            <w:r w:rsidRPr="00E03465">
              <w:rPr>
                <w:webHidden/>
              </w:rPr>
              <w:fldChar w:fldCharType="begin"/>
            </w:r>
            <w:r w:rsidRPr="00E03465">
              <w:rPr>
                <w:webHidden/>
              </w:rPr>
              <w:instrText xml:space="preserve"> PAGEREF _Toc114495271 \h </w:instrText>
            </w:r>
            <w:r w:rsidRPr="00E03465">
              <w:rPr>
                <w:webHidden/>
              </w:rPr>
            </w:r>
            <w:r w:rsidRPr="00E03465">
              <w:rPr>
                <w:webHidden/>
              </w:rPr>
              <w:fldChar w:fldCharType="separate"/>
            </w:r>
            <w:r w:rsidR="002E7809">
              <w:rPr>
                <w:webHidden/>
              </w:rPr>
              <w:t>60</w:t>
            </w:r>
            <w:r w:rsidRPr="00E03465">
              <w:rPr>
                <w:webHidden/>
              </w:rPr>
              <w:fldChar w:fldCharType="end"/>
            </w:r>
          </w:hyperlink>
        </w:p>
        <w:p w14:paraId="28EE8992" w14:textId="38FC4B08"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2" w:history="1">
            <w:r w:rsidRPr="00E03465">
              <w:rPr>
                <w:rStyle w:val="Hipervnculo"/>
                <w:u w:val="none"/>
              </w:rPr>
              <w:t>5.5.</w:t>
            </w:r>
            <w:r w:rsidRPr="00E03465">
              <w:rPr>
                <w:rFonts w:asciiTheme="minorHAnsi" w:eastAsiaTheme="minorEastAsia" w:hAnsiTheme="minorHAnsi" w:cstheme="minorBidi"/>
                <w:sz w:val="22"/>
                <w:szCs w:val="22"/>
                <w:lang w:eastAsia="es-GT"/>
              </w:rPr>
              <w:t xml:space="preserve">  </w:t>
            </w:r>
            <w:r w:rsidRPr="00E03465">
              <w:rPr>
                <w:rStyle w:val="Hipervnculo"/>
                <w:u w:val="none"/>
              </w:rPr>
              <w:t>Obligaciones financieras respecto al PIB</w:t>
            </w:r>
            <w:r w:rsidRPr="00E03465">
              <w:rPr>
                <w:webHidden/>
              </w:rPr>
              <w:tab/>
            </w:r>
            <w:r w:rsidRPr="00E03465">
              <w:rPr>
                <w:webHidden/>
              </w:rPr>
              <w:fldChar w:fldCharType="begin"/>
            </w:r>
            <w:r w:rsidRPr="00E03465">
              <w:rPr>
                <w:webHidden/>
              </w:rPr>
              <w:instrText xml:space="preserve"> PAGEREF _Toc114495272 \h </w:instrText>
            </w:r>
            <w:r w:rsidRPr="00E03465">
              <w:rPr>
                <w:webHidden/>
              </w:rPr>
            </w:r>
            <w:r w:rsidRPr="00E03465">
              <w:rPr>
                <w:webHidden/>
              </w:rPr>
              <w:fldChar w:fldCharType="separate"/>
            </w:r>
            <w:r w:rsidR="002E7809">
              <w:rPr>
                <w:webHidden/>
              </w:rPr>
              <w:t>62</w:t>
            </w:r>
            <w:r w:rsidRPr="00E03465">
              <w:rPr>
                <w:webHidden/>
              </w:rPr>
              <w:fldChar w:fldCharType="end"/>
            </w:r>
          </w:hyperlink>
        </w:p>
        <w:p w14:paraId="62206BF2" w14:textId="77A4DC8B" w:rsidR="00E03465" w:rsidRPr="00E03465" w:rsidRDefault="00844849" w:rsidP="00E03465">
          <w:pPr>
            <w:pStyle w:val="TDC1"/>
            <w:rPr>
              <w:rFonts w:asciiTheme="minorHAnsi" w:eastAsiaTheme="minorEastAsia" w:hAnsiTheme="minorHAnsi" w:cstheme="minorBidi"/>
              <w:sz w:val="22"/>
              <w:szCs w:val="22"/>
              <w:lang w:eastAsia="es-GT"/>
            </w:rPr>
          </w:pPr>
          <w:hyperlink w:anchor="_Toc114495273" w:history="1">
            <w:r w:rsidR="00E03465" w:rsidRPr="00E03465">
              <w:rPr>
                <w:rStyle w:val="Hipervnculo"/>
                <w:u w:val="none"/>
              </w:rPr>
              <w:t>6.</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Riesgos asociados a los sistemas previsionales</w:t>
            </w:r>
            <w:r w:rsidR="00E03465" w:rsidRPr="00E03465">
              <w:rPr>
                <w:webHidden/>
              </w:rPr>
              <w:tab/>
            </w:r>
            <w:r w:rsidR="00E03465" w:rsidRPr="00E03465">
              <w:rPr>
                <w:webHidden/>
              </w:rPr>
              <w:fldChar w:fldCharType="begin"/>
            </w:r>
            <w:r w:rsidR="00E03465" w:rsidRPr="00E03465">
              <w:rPr>
                <w:webHidden/>
              </w:rPr>
              <w:instrText xml:space="preserve"> PAGEREF _Toc114495273 \h </w:instrText>
            </w:r>
            <w:r w:rsidR="00E03465" w:rsidRPr="00E03465">
              <w:rPr>
                <w:webHidden/>
              </w:rPr>
            </w:r>
            <w:r w:rsidR="00E03465" w:rsidRPr="00E03465">
              <w:rPr>
                <w:webHidden/>
              </w:rPr>
              <w:fldChar w:fldCharType="separate"/>
            </w:r>
            <w:r w:rsidR="002E7809">
              <w:rPr>
                <w:webHidden/>
              </w:rPr>
              <w:t>63</w:t>
            </w:r>
            <w:r w:rsidR="00E03465" w:rsidRPr="00E03465">
              <w:rPr>
                <w:webHidden/>
              </w:rPr>
              <w:fldChar w:fldCharType="end"/>
            </w:r>
          </w:hyperlink>
        </w:p>
        <w:p w14:paraId="10DA0ED0" w14:textId="467028A7"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4" w:history="1">
            <w:r w:rsidRPr="00E03465">
              <w:rPr>
                <w:rStyle w:val="Hipervnculo"/>
                <w:u w:val="none"/>
              </w:rPr>
              <w:t>6.1.</w:t>
            </w:r>
            <w:r w:rsidRPr="00E03465">
              <w:rPr>
                <w:rFonts w:asciiTheme="minorHAnsi" w:eastAsiaTheme="minorEastAsia" w:hAnsiTheme="minorHAnsi" w:cstheme="minorBidi"/>
                <w:sz w:val="22"/>
                <w:szCs w:val="22"/>
                <w:lang w:eastAsia="es-GT"/>
              </w:rPr>
              <w:t xml:space="preserve">  </w:t>
            </w:r>
            <w:r w:rsidRPr="00E03465">
              <w:rPr>
                <w:rStyle w:val="Hipervnculo"/>
                <w:u w:val="none"/>
              </w:rPr>
              <w:t>Régimen de Clases Pasivas del Estado</w:t>
            </w:r>
            <w:r w:rsidRPr="00E03465">
              <w:rPr>
                <w:webHidden/>
              </w:rPr>
              <w:tab/>
            </w:r>
            <w:r w:rsidRPr="00E03465">
              <w:rPr>
                <w:webHidden/>
              </w:rPr>
              <w:fldChar w:fldCharType="begin"/>
            </w:r>
            <w:r w:rsidRPr="00E03465">
              <w:rPr>
                <w:webHidden/>
              </w:rPr>
              <w:instrText xml:space="preserve"> PAGEREF _Toc114495274 \h </w:instrText>
            </w:r>
            <w:r w:rsidRPr="00E03465">
              <w:rPr>
                <w:webHidden/>
              </w:rPr>
            </w:r>
            <w:r w:rsidRPr="00E03465">
              <w:rPr>
                <w:webHidden/>
              </w:rPr>
              <w:fldChar w:fldCharType="separate"/>
            </w:r>
            <w:r w:rsidR="002E7809">
              <w:rPr>
                <w:webHidden/>
              </w:rPr>
              <w:t>63</w:t>
            </w:r>
            <w:r w:rsidRPr="00E03465">
              <w:rPr>
                <w:webHidden/>
              </w:rPr>
              <w:fldChar w:fldCharType="end"/>
            </w:r>
          </w:hyperlink>
        </w:p>
        <w:p w14:paraId="18770A9F" w14:textId="0CFBDAE8"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5" w:history="1">
            <w:r w:rsidRPr="00E03465">
              <w:rPr>
                <w:rStyle w:val="Hipervnculo"/>
                <w:u w:val="none"/>
              </w:rPr>
              <w:t>6.1.1.  Afiliados y beneficiarios del Régimen</w:t>
            </w:r>
            <w:r w:rsidRPr="00E03465">
              <w:rPr>
                <w:webHidden/>
              </w:rPr>
              <w:tab/>
            </w:r>
            <w:r w:rsidRPr="00E03465">
              <w:rPr>
                <w:webHidden/>
              </w:rPr>
              <w:fldChar w:fldCharType="begin"/>
            </w:r>
            <w:r w:rsidRPr="00E03465">
              <w:rPr>
                <w:webHidden/>
              </w:rPr>
              <w:instrText xml:space="preserve"> PAGEREF _Toc114495275 \h </w:instrText>
            </w:r>
            <w:r w:rsidRPr="00E03465">
              <w:rPr>
                <w:webHidden/>
              </w:rPr>
            </w:r>
            <w:r w:rsidRPr="00E03465">
              <w:rPr>
                <w:webHidden/>
              </w:rPr>
              <w:fldChar w:fldCharType="separate"/>
            </w:r>
            <w:r w:rsidR="002E7809">
              <w:rPr>
                <w:webHidden/>
              </w:rPr>
              <w:t>64</w:t>
            </w:r>
            <w:r w:rsidRPr="00E03465">
              <w:rPr>
                <w:webHidden/>
              </w:rPr>
              <w:fldChar w:fldCharType="end"/>
            </w:r>
          </w:hyperlink>
        </w:p>
        <w:p w14:paraId="29DF2D0F" w14:textId="5109CEE5"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6" w:history="1">
            <w:r w:rsidRPr="00E03465">
              <w:rPr>
                <w:rStyle w:val="Hipervnculo"/>
                <w:u w:val="none"/>
              </w:rPr>
              <w:t>6.1.2.</w:t>
            </w:r>
            <w:r w:rsidRPr="00E03465">
              <w:rPr>
                <w:rFonts w:asciiTheme="minorHAnsi" w:eastAsiaTheme="minorEastAsia" w:hAnsiTheme="minorHAnsi" w:cstheme="minorBidi"/>
                <w:sz w:val="22"/>
                <w:szCs w:val="22"/>
                <w:lang w:eastAsia="es-GT"/>
              </w:rPr>
              <w:t xml:space="preserve">  </w:t>
            </w:r>
            <w:r w:rsidRPr="00E03465">
              <w:rPr>
                <w:rStyle w:val="Hipervnculo"/>
                <w:u w:val="none"/>
              </w:rPr>
              <w:t>Proyecciones de ingresos y egresos del régimen</w:t>
            </w:r>
            <w:r w:rsidRPr="00E03465">
              <w:rPr>
                <w:webHidden/>
              </w:rPr>
              <w:tab/>
            </w:r>
            <w:r w:rsidRPr="00E03465">
              <w:rPr>
                <w:webHidden/>
              </w:rPr>
              <w:fldChar w:fldCharType="begin"/>
            </w:r>
            <w:r w:rsidRPr="00E03465">
              <w:rPr>
                <w:webHidden/>
              </w:rPr>
              <w:instrText xml:space="preserve"> PAGEREF _Toc114495276 \h </w:instrText>
            </w:r>
            <w:r w:rsidRPr="00E03465">
              <w:rPr>
                <w:webHidden/>
              </w:rPr>
            </w:r>
            <w:r w:rsidRPr="00E03465">
              <w:rPr>
                <w:webHidden/>
              </w:rPr>
              <w:fldChar w:fldCharType="separate"/>
            </w:r>
            <w:r w:rsidR="002E7809">
              <w:rPr>
                <w:webHidden/>
              </w:rPr>
              <w:t>66</w:t>
            </w:r>
            <w:r w:rsidRPr="00E03465">
              <w:rPr>
                <w:webHidden/>
              </w:rPr>
              <w:fldChar w:fldCharType="end"/>
            </w:r>
          </w:hyperlink>
        </w:p>
        <w:p w14:paraId="71D0743C" w14:textId="0C66B58E"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7" w:history="1">
            <w:r w:rsidRPr="00E03465">
              <w:rPr>
                <w:rStyle w:val="Hipervnculo"/>
                <w:u w:val="none"/>
              </w:rPr>
              <w:t>6.2.  Valuación actuarial del Instituto Guatema</w:t>
            </w:r>
            <w:r>
              <w:rPr>
                <w:rStyle w:val="Hipervnculo"/>
                <w:u w:val="none"/>
              </w:rPr>
              <w:t>lteco de Seguridad Social</w:t>
            </w:r>
            <w:r w:rsidRPr="00E03465">
              <w:rPr>
                <w:webHidden/>
              </w:rPr>
              <w:tab/>
            </w:r>
            <w:r w:rsidRPr="00E03465">
              <w:rPr>
                <w:webHidden/>
              </w:rPr>
              <w:fldChar w:fldCharType="begin"/>
            </w:r>
            <w:r w:rsidRPr="00E03465">
              <w:rPr>
                <w:webHidden/>
              </w:rPr>
              <w:instrText xml:space="preserve"> PAGEREF _Toc114495277 \h </w:instrText>
            </w:r>
            <w:r w:rsidRPr="00E03465">
              <w:rPr>
                <w:webHidden/>
              </w:rPr>
            </w:r>
            <w:r w:rsidRPr="00E03465">
              <w:rPr>
                <w:webHidden/>
              </w:rPr>
              <w:fldChar w:fldCharType="separate"/>
            </w:r>
            <w:r w:rsidR="002E7809">
              <w:rPr>
                <w:webHidden/>
              </w:rPr>
              <w:t>67</w:t>
            </w:r>
            <w:r w:rsidRPr="00E03465">
              <w:rPr>
                <w:webHidden/>
              </w:rPr>
              <w:fldChar w:fldCharType="end"/>
            </w:r>
          </w:hyperlink>
        </w:p>
        <w:p w14:paraId="65080F31" w14:textId="1CEBB1FE"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8" w:history="1">
            <w:r w:rsidRPr="00E03465">
              <w:rPr>
                <w:rStyle w:val="Hipervnculo"/>
                <w:u w:val="none"/>
              </w:rPr>
              <w:t>6.2.1.  Programa sobre Protección relativa a Inval</w:t>
            </w:r>
            <w:r>
              <w:rPr>
                <w:rStyle w:val="Hipervnculo"/>
                <w:u w:val="none"/>
              </w:rPr>
              <w:t>idez, Vejez y Sobrevivencia</w:t>
            </w:r>
            <w:r w:rsidRPr="00E03465">
              <w:rPr>
                <w:webHidden/>
              </w:rPr>
              <w:tab/>
            </w:r>
            <w:r w:rsidRPr="00E03465">
              <w:rPr>
                <w:webHidden/>
              </w:rPr>
              <w:fldChar w:fldCharType="begin"/>
            </w:r>
            <w:r w:rsidRPr="00E03465">
              <w:rPr>
                <w:webHidden/>
              </w:rPr>
              <w:instrText xml:space="preserve"> PAGEREF _Toc114495278 \h </w:instrText>
            </w:r>
            <w:r w:rsidRPr="00E03465">
              <w:rPr>
                <w:webHidden/>
              </w:rPr>
            </w:r>
            <w:r w:rsidRPr="00E03465">
              <w:rPr>
                <w:webHidden/>
              </w:rPr>
              <w:fldChar w:fldCharType="separate"/>
            </w:r>
            <w:r w:rsidR="002E7809">
              <w:rPr>
                <w:webHidden/>
              </w:rPr>
              <w:t>67</w:t>
            </w:r>
            <w:r w:rsidRPr="00E03465">
              <w:rPr>
                <w:webHidden/>
              </w:rPr>
              <w:fldChar w:fldCharType="end"/>
            </w:r>
          </w:hyperlink>
        </w:p>
        <w:p w14:paraId="013BAC23" w14:textId="4E91A187"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79" w:history="1">
            <w:r w:rsidRPr="00E03465">
              <w:rPr>
                <w:rStyle w:val="Hipervnculo"/>
                <w:u w:val="none"/>
              </w:rPr>
              <w:t>6.2.2.  Ingresos Gastos y Reserva</w:t>
            </w:r>
            <w:r w:rsidRPr="00E03465">
              <w:rPr>
                <w:webHidden/>
              </w:rPr>
              <w:tab/>
            </w:r>
            <w:r w:rsidRPr="00E03465">
              <w:rPr>
                <w:webHidden/>
              </w:rPr>
              <w:fldChar w:fldCharType="begin"/>
            </w:r>
            <w:r w:rsidRPr="00E03465">
              <w:rPr>
                <w:webHidden/>
              </w:rPr>
              <w:instrText xml:space="preserve"> PAGEREF _Toc114495279 \h </w:instrText>
            </w:r>
            <w:r w:rsidRPr="00E03465">
              <w:rPr>
                <w:webHidden/>
              </w:rPr>
            </w:r>
            <w:r w:rsidRPr="00E03465">
              <w:rPr>
                <w:webHidden/>
              </w:rPr>
              <w:fldChar w:fldCharType="separate"/>
            </w:r>
            <w:r w:rsidR="002E7809">
              <w:rPr>
                <w:webHidden/>
              </w:rPr>
              <w:t>69</w:t>
            </w:r>
            <w:r w:rsidRPr="00E03465">
              <w:rPr>
                <w:webHidden/>
              </w:rPr>
              <w:fldChar w:fldCharType="end"/>
            </w:r>
          </w:hyperlink>
        </w:p>
        <w:p w14:paraId="69476C51" w14:textId="35535AC3"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80" w:history="1">
            <w:r w:rsidRPr="00E03465">
              <w:rPr>
                <w:rStyle w:val="Hipervnculo"/>
                <w:u w:val="none"/>
              </w:rPr>
              <w:t>6.2.3.</w:t>
            </w:r>
            <w:r w:rsidRPr="00E03465">
              <w:rPr>
                <w:rFonts w:asciiTheme="minorHAnsi" w:eastAsiaTheme="minorEastAsia" w:hAnsiTheme="minorHAnsi" w:cstheme="minorBidi"/>
                <w:sz w:val="22"/>
                <w:szCs w:val="22"/>
                <w:lang w:eastAsia="es-GT"/>
              </w:rPr>
              <w:t xml:space="preserve">  </w:t>
            </w:r>
            <w:r w:rsidRPr="00E03465">
              <w:rPr>
                <w:rStyle w:val="Hipervnculo"/>
                <w:u w:val="none"/>
              </w:rPr>
              <w:t>Programa de Enfermeda</w:t>
            </w:r>
            <w:r>
              <w:rPr>
                <w:rStyle w:val="Hipervnculo"/>
                <w:u w:val="none"/>
              </w:rPr>
              <w:t>d, Maternidad y Accidentes</w:t>
            </w:r>
            <w:r w:rsidRPr="00E03465">
              <w:rPr>
                <w:rStyle w:val="Hipervnculo"/>
                <w:u w:val="none"/>
              </w:rPr>
              <w:t xml:space="preserve"> 2020</w:t>
            </w:r>
            <w:r w:rsidRPr="00E03465">
              <w:rPr>
                <w:webHidden/>
              </w:rPr>
              <w:tab/>
            </w:r>
            <w:r w:rsidRPr="00E03465">
              <w:rPr>
                <w:webHidden/>
              </w:rPr>
              <w:fldChar w:fldCharType="begin"/>
            </w:r>
            <w:r w:rsidRPr="00E03465">
              <w:rPr>
                <w:webHidden/>
              </w:rPr>
              <w:instrText xml:space="preserve"> PAGEREF _Toc114495280 \h </w:instrText>
            </w:r>
            <w:r w:rsidRPr="00E03465">
              <w:rPr>
                <w:webHidden/>
              </w:rPr>
            </w:r>
            <w:r w:rsidRPr="00E03465">
              <w:rPr>
                <w:webHidden/>
              </w:rPr>
              <w:fldChar w:fldCharType="separate"/>
            </w:r>
            <w:r w:rsidR="002E7809">
              <w:rPr>
                <w:webHidden/>
              </w:rPr>
              <w:t>71</w:t>
            </w:r>
            <w:r w:rsidRPr="00E03465">
              <w:rPr>
                <w:webHidden/>
              </w:rPr>
              <w:fldChar w:fldCharType="end"/>
            </w:r>
          </w:hyperlink>
        </w:p>
        <w:p w14:paraId="741342B4" w14:textId="447B0A58" w:rsidR="00E03465" w:rsidRPr="00E03465" w:rsidRDefault="00844849" w:rsidP="00E03465">
          <w:pPr>
            <w:pStyle w:val="TDC1"/>
            <w:rPr>
              <w:rFonts w:asciiTheme="minorHAnsi" w:eastAsiaTheme="minorEastAsia" w:hAnsiTheme="minorHAnsi" w:cstheme="minorBidi"/>
              <w:sz w:val="22"/>
              <w:szCs w:val="22"/>
              <w:lang w:eastAsia="es-GT"/>
            </w:rPr>
          </w:pPr>
          <w:hyperlink w:anchor="_Toc114495281" w:history="1">
            <w:r w:rsidR="00E03465" w:rsidRPr="00E03465">
              <w:rPr>
                <w:rStyle w:val="Hipervnculo"/>
                <w:u w:val="none"/>
              </w:rPr>
              <w:t>7.</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Pasivos contingentes por Demandas Judiciales contra el Estado</w:t>
            </w:r>
            <w:r w:rsidR="00E03465" w:rsidRPr="00E03465">
              <w:rPr>
                <w:webHidden/>
              </w:rPr>
              <w:tab/>
            </w:r>
            <w:r w:rsidR="00E03465" w:rsidRPr="00E03465">
              <w:rPr>
                <w:webHidden/>
              </w:rPr>
              <w:fldChar w:fldCharType="begin"/>
            </w:r>
            <w:r w:rsidR="00E03465" w:rsidRPr="00E03465">
              <w:rPr>
                <w:webHidden/>
              </w:rPr>
              <w:instrText xml:space="preserve"> PAGEREF _Toc114495281 \h </w:instrText>
            </w:r>
            <w:r w:rsidR="00E03465" w:rsidRPr="00E03465">
              <w:rPr>
                <w:webHidden/>
              </w:rPr>
            </w:r>
            <w:r w:rsidR="00E03465" w:rsidRPr="00E03465">
              <w:rPr>
                <w:webHidden/>
              </w:rPr>
              <w:fldChar w:fldCharType="separate"/>
            </w:r>
            <w:r w:rsidR="002E7809">
              <w:rPr>
                <w:webHidden/>
              </w:rPr>
              <w:t>72</w:t>
            </w:r>
            <w:r w:rsidR="00E03465" w:rsidRPr="00E03465">
              <w:rPr>
                <w:webHidden/>
              </w:rPr>
              <w:fldChar w:fldCharType="end"/>
            </w:r>
          </w:hyperlink>
        </w:p>
        <w:p w14:paraId="21F2F28C" w14:textId="5F05B7A0"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89" w:history="1">
            <w:r w:rsidRPr="00E03465">
              <w:rPr>
                <w:rStyle w:val="Hipervnculo"/>
                <w:u w:val="none"/>
              </w:rPr>
              <w:t>7.1.</w:t>
            </w:r>
            <w:r w:rsidRPr="00E03465">
              <w:rPr>
                <w:rFonts w:asciiTheme="minorHAnsi" w:eastAsiaTheme="minorEastAsia" w:hAnsiTheme="minorHAnsi" w:cstheme="minorBidi"/>
                <w:sz w:val="22"/>
                <w:szCs w:val="22"/>
                <w:lang w:eastAsia="es-GT"/>
              </w:rPr>
              <w:t xml:space="preserve">  </w:t>
            </w:r>
            <w:r w:rsidRPr="00E03465">
              <w:rPr>
                <w:rStyle w:val="Hipervnculo"/>
                <w:u w:val="none"/>
              </w:rPr>
              <w:t>Aspectos generales</w:t>
            </w:r>
            <w:r w:rsidRPr="00E03465">
              <w:rPr>
                <w:webHidden/>
              </w:rPr>
              <w:tab/>
            </w:r>
            <w:r w:rsidRPr="00E03465">
              <w:rPr>
                <w:webHidden/>
              </w:rPr>
              <w:fldChar w:fldCharType="begin"/>
            </w:r>
            <w:r w:rsidRPr="00E03465">
              <w:rPr>
                <w:webHidden/>
              </w:rPr>
              <w:instrText xml:space="preserve"> PAGEREF _Toc114495289 \h </w:instrText>
            </w:r>
            <w:r w:rsidRPr="00E03465">
              <w:rPr>
                <w:webHidden/>
              </w:rPr>
            </w:r>
            <w:r w:rsidRPr="00E03465">
              <w:rPr>
                <w:webHidden/>
              </w:rPr>
              <w:fldChar w:fldCharType="separate"/>
            </w:r>
            <w:r w:rsidR="002E7809">
              <w:rPr>
                <w:webHidden/>
              </w:rPr>
              <w:t>72</w:t>
            </w:r>
            <w:r w:rsidRPr="00E03465">
              <w:rPr>
                <w:webHidden/>
              </w:rPr>
              <w:fldChar w:fldCharType="end"/>
            </w:r>
          </w:hyperlink>
        </w:p>
        <w:p w14:paraId="004FA1C8" w14:textId="4BA189B8"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90" w:history="1">
            <w:r w:rsidRPr="00E03465">
              <w:rPr>
                <w:rStyle w:val="Hipervnculo"/>
                <w:u w:val="none"/>
              </w:rPr>
              <w:t>7.2.</w:t>
            </w:r>
            <w:r w:rsidRPr="00E03465">
              <w:rPr>
                <w:rFonts w:asciiTheme="minorHAnsi" w:eastAsiaTheme="minorEastAsia" w:hAnsiTheme="minorHAnsi" w:cstheme="minorBidi"/>
                <w:sz w:val="22"/>
                <w:szCs w:val="22"/>
                <w:lang w:eastAsia="es-GT"/>
              </w:rPr>
              <w:t xml:space="preserve">  </w:t>
            </w:r>
            <w:r w:rsidRPr="00E03465">
              <w:rPr>
                <w:rStyle w:val="Hipervnculo"/>
                <w:u w:val="none"/>
              </w:rPr>
              <w:t>Evolución del gasto en sentencias judiciales</w:t>
            </w:r>
            <w:r w:rsidRPr="00E03465">
              <w:rPr>
                <w:webHidden/>
              </w:rPr>
              <w:tab/>
            </w:r>
            <w:r w:rsidRPr="00E03465">
              <w:rPr>
                <w:webHidden/>
              </w:rPr>
              <w:fldChar w:fldCharType="begin"/>
            </w:r>
            <w:r w:rsidRPr="00E03465">
              <w:rPr>
                <w:webHidden/>
              </w:rPr>
              <w:instrText xml:space="preserve"> PAGEREF _Toc114495290 \h </w:instrText>
            </w:r>
            <w:r w:rsidRPr="00E03465">
              <w:rPr>
                <w:webHidden/>
              </w:rPr>
            </w:r>
            <w:r w:rsidRPr="00E03465">
              <w:rPr>
                <w:webHidden/>
              </w:rPr>
              <w:fldChar w:fldCharType="separate"/>
            </w:r>
            <w:r w:rsidR="002E7809">
              <w:rPr>
                <w:webHidden/>
              </w:rPr>
              <w:t>73</w:t>
            </w:r>
            <w:r w:rsidRPr="00E03465">
              <w:rPr>
                <w:webHidden/>
              </w:rPr>
              <w:fldChar w:fldCharType="end"/>
            </w:r>
          </w:hyperlink>
        </w:p>
        <w:p w14:paraId="09FE1C9F" w14:textId="5741B0EE"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91" w:history="1">
            <w:r w:rsidRPr="00E03465">
              <w:rPr>
                <w:rStyle w:val="Hipervnculo"/>
                <w:u w:val="none"/>
              </w:rPr>
              <w:t>7.3.</w:t>
            </w:r>
            <w:r w:rsidRPr="00E03465">
              <w:rPr>
                <w:rFonts w:asciiTheme="minorHAnsi" w:eastAsiaTheme="minorEastAsia" w:hAnsiTheme="minorHAnsi" w:cstheme="minorBidi"/>
                <w:sz w:val="22"/>
                <w:szCs w:val="22"/>
                <w:lang w:eastAsia="es-GT"/>
              </w:rPr>
              <w:t xml:space="preserve">  </w:t>
            </w:r>
            <w:r w:rsidRPr="00E03465">
              <w:rPr>
                <w:rStyle w:val="Hipervnculo"/>
                <w:u w:val="none"/>
              </w:rPr>
              <w:t>Arbitraje internacional</w:t>
            </w:r>
            <w:r w:rsidRPr="00E03465">
              <w:rPr>
                <w:webHidden/>
              </w:rPr>
              <w:tab/>
            </w:r>
            <w:r w:rsidRPr="00E03465">
              <w:rPr>
                <w:webHidden/>
              </w:rPr>
              <w:fldChar w:fldCharType="begin"/>
            </w:r>
            <w:r w:rsidRPr="00E03465">
              <w:rPr>
                <w:webHidden/>
              </w:rPr>
              <w:instrText xml:space="preserve"> PAGEREF _Toc114495291 \h </w:instrText>
            </w:r>
            <w:r w:rsidRPr="00E03465">
              <w:rPr>
                <w:webHidden/>
              </w:rPr>
            </w:r>
            <w:r w:rsidRPr="00E03465">
              <w:rPr>
                <w:webHidden/>
              </w:rPr>
              <w:fldChar w:fldCharType="separate"/>
            </w:r>
            <w:r w:rsidR="002E7809">
              <w:rPr>
                <w:webHidden/>
              </w:rPr>
              <w:t>74</w:t>
            </w:r>
            <w:r w:rsidRPr="00E03465">
              <w:rPr>
                <w:webHidden/>
              </w:rPr>
              <w:fldChar w:fldCharType="end"/>
            </w:r>
          </w:hyperlink>
        </w:p>
        <w:p w14:paraId="749CC49F" w14:textId="02BC29AA"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92" w:history="1">
            <w:r w:rsidRPr="00E03465">
              <w:rPr>
                <w:rStyle w:val="Hipervnculo"/>
                <w:u w:val="none"/>
              </w:rPr>
              <w:t>7.4.</w:t>
            </w:r>
            <w:r w:rsidRPr="00E03465">
              <w:rPr>
                <w:rFonts w:asciiTheme="minorHAnsi" w:eastAsiaTheme="minorEastAsia" w:hAnsiTheme="minorHAnsi" w:cstheme="minorBidi"/>
                <w:sz w:val="22"/>
                <w:szCs w:val="22"/>
                <w:lang w:eastAsia="es-GT"/>
              </w:rPr>
              <w:t xml:space="preserve">  </w:t>
            </w:r>
            <w:r w:rsidRPr="00E03465">
              <w:rPr>
                <w:rStyle w:val="Hipervnculo"/>
                <w:u w:val="none"/>
              </w:rPr>
              <w:t>Cuantificación del pasivo contingente por demandas judiciales</w:t>
            </w:r>
            <w:r w:rsidRPr="00E03465">
              <w:rPr>
                <w:webHidden/>
              </w:rPr>
              <w:tab/>
            </w:r>
            <w:r w:rsidRPr="00E03465">
              <w:rPr>
                <w:webHidden/>
              </w:rPr>
              <w:fldChar w:fldCharType="begin"/>
            </w:r>
            <w:r w:rsidRPr="00E03465">
              <w:rPr>
                <w:webHidden/>
              </w:rPr>
              <w:instrText xml:space="preserve"> PAGEREF _Toc114495292 \h </w:instrText>
            </w:r>
            <w:r w:rsidRPr="00E03465">
              <w:rPr>
                <w:webHidden/>
              </w:rPr>
            </w:r>
            <w:r w:rsidRPr="00E03465">
              <w:rPr>
                <w:webHidden/>
              </w:rPr>
              <w:fldChar w:fldCharType="separate"/>
            </w:r>
            <w:r w:rsidR="002E7809">
              <w:rPr>
                <w:webHidden/>
              </w:rPr>
              <w:t>76</w:t>
            </w:r>
            <w:r w:rsidRPr="00E03465">
              <w:rPr>
                <w:webHidden/>
              </w:rPr>
              <w:fldChar w:fldCharType="end"/>
            </w:r>
          </w:hyperlink>
        </w:p>
        <w:p w14:paraId="3D2FED35" w14:textId="4810EB94" w:rsidR="00E03465" w:rsidRPr="00E03465" w:rsidRDefault="00844849" w:rsidP="00E03465">
          <w:pPr>
            <w:pStyle w:val="TDC1"/>
            <w:rPr>
              <w:rFonts w:asciiTheme="minorHAnsi" w:eastAsiaTheme="minorEastAsia" w:hAnsiTheme="minorHAnsi" w:cstheme="minorBidi"/>
              <w:sz w:val="22"/>
              <w:szCs w:val="22"/>
              <w:lang w:eastAsia="es-GT"/>
            </w:rPr>
          </w:pPr>
          <w:hyperlink w:anchor="_Toc114495293" w:history="1">
            <w:r w:rsidR="00E03465" w:rsidRPr="00E03465">
              <w:rPr>
                <w:rStyle w:val="Hipervnculo"/>
                <w:u w:val="none"/>
              </w:rPr>
              <w:t>8.</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Riesgos de desastres provocados por fenómenos naturales</w:t>
            </w:r>
            <w:r w:rsidR="00E03465" w:rsidRPr="00E03465">
              <w:rPr>
                <w:webHidden/>
              </w:rPr>
              <w:tab/>
            </w:r>
            <w:r w:rsidR="00E03465" w:rsidRPr="00E03465">
              <w:rPr>
                <w:webHidden/>
              </w:rPr>
              <w:fldChar w:fldCharType="begin"/>
            </w:r>
            <w:r w:rsidR="00E03465" w:rsidRPr="00E03465">
              <w:rPr>
                <w:webHidden/>
              </w:rPr>
              <w:instrText xml:space="preserve"> PAGEREF _Toc114495293 \h </w:instrText>
            </w:r>
            <w:r w:rsidR="00E03465" w:rsidRPr="00E03465">
              <w:rPr>
                <w:webHidden/>
              </w:rPr>
            </w:r>
            <w:r w:rsidR="00E03465" w:rsidRPr="00E03465">
              <w:rPr>
                <w:webHidden/>
              </w:rPr>
              <w:fldChar w:fldCharType="separate"/>
            </w:r>
            <w:r w:rsidR="002E7809">
              <w:rPr>
                <w:webHidden/>
              </w:rPr>
              <w:t>77</w:t>
            </w:r>
            <w:r w:rsidR="00E03465" w:rsidRPr="00E03465">
              <w:rPr>
                <w:webHidden/>
              </w:rPr>
              <w:fldChar w:fldCharType="end"/>
            </w:r>
          </w:hyperlink>
        </w:p>
        <w:p w14:paraId="72ABD2B5" w14:textId="0F89B6AC"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95" w:history="1">
            <w:r w:rsidRPr="00E03465">
              <w:rPr>
                <w:rStyle w:val="Hipervnculo"/>
                <w:u w:val="none"/>
              </w:rPr>
              <w:t>8.1.</w:t>
            </w:r>
            <w:r w:rsidRPr="00E03465">
              <w:rPr>
                <w:rFonts w:asciiTheme="minorHAnsi" w:eastAsiaTheme="minorEastAsia" w:hAnsiTheme="minorHAnsi" w:cstheme="minorBidi"/>
                <w:sz w:val="22"/>
                <w:szCs w:val="22"/>
                <w:lang w:eastAsia="es-GT"/>
              </w:rPr>
              <w:t xml:space="preserve">  </w:t>
            </w:r>
            <w:r w:rsidRPr="00E03465">
              <w:rPr>
                <w:rStyle w:val="Hipervnculo"/>
                <w:u w:val="none"/>
              </w:rPr>
              <w:t>Desastres provocados por fenómenos naturales en Guatemala</w:t>
            </w:r>
            <w:r w:rsidRPr="00E03465">
              <w:rPr>
                <w:webHidden/>
              </w:rPr>
              <w:tab/>
            </w:r>
            <w:r w:rsidRPr="00E03465">
              <w:rPr>
                <w:webHidden/>
              </w:rPr>
              <w:fldChar w:fldCharType="begin"/>
            </w:r>
            <w:r w:rsidRPr="00E03465">
              <w:rPr>
                <w:webHidden/>
              </w:rPr>
              <w:instrText xml:space="preserve"> PAGEREF _Toc114495295 \h </w:instrText>
            </w:r>
            <w:r w:rsidRPr="00E03465">
              <w:rPr>
                <w:webHidden/>
              </w:rPr>
            </w:r>
            <w:r w:rsidRPr="00E03465">
              <w:rPr>
                <w:webHidden/>
              </w:rPr>
              <w:fldChar w:fldCharType="separate"/>
            </w:r>
            <w:r w:rsidR="002E7809">
              <w:rPr>
                <w:webHidden/>
              </w:rPr>
              <w:t>80</w:t>
            </w:r>
            <w:r w:rsidRPr="00E03465">
              <w:rPr>
                <w:webHidden/>
              </w:rPr>
              <w:fldChar w:fldCharType="end"/>
            </w:r>
          </w:hyperlink>
        </w:p>
        <w:p w14:paraId="44BF5C65" w14:textId="59378C2A" w:rsidR="00E03465" w:rsidRPr="00E03465" w:rsidRDefault="00E03465" w:rsidP="00E03465">
          <w:pPr>
            <w:pStyle w:val="TDC1"/>
            <w:rPr>
              <w:rFonts w:asciiTheme="minorHAnsi" w:eastAsiaTheme="minorEastAsia" w:hAnsiTheme="minorHAnsi" w:cstheme="minorBidi"/>
              <w:sz w:val="22"/>
              <w:szCs w:val="22"/>
              <w:lang w:eastAsia="es-GT"/>
            </w:rPr>
          </w:pPr>
          <w:r w:rsidRPr="00E03465">
            <w:rPr>
              <w:rStyle w:val="Hipervnculo"/>
              <w:u w:val="none"/>
            </w:rPr>
            <w:t xml:space="preserve">     </w:t>
          </w:r>
          <w:hyperlink w:anchor="_Toc114495296" w:history="1">
            <w:r w:rsidRPr="00E03465">
              <w:rPr>
                <w:rStyle w:val="Hipervnculo"/>
                <w:u w:val="none"/>
              </w:rPr>
              <w:t>8.2.</w:t>
            </w:r>
            <w:r w:rsidRPr="00E03465">
              <w:rPr>
                <w:rFonts w:asciiTheme="minorHAnsi" w:eastAsiaTheme="minorEastAsia" w:hAnsiTheme="minorHAnsi" w:cstheme="minorBidi"/>
                <w:sz w:val="22"/>
                <w:szCs w:val="22"/>
                <w:lang w:eastAsia="es-GT"/>
              </w:rPr>
              <w:t xml:space="preserve">  </w:t>
            </w:r>
            <w:r w:rsidRPr="00E03465">
              <w:rPr>
                <w:rStyle w:val="Hipervnculo"/>
                <w:u w:val="none"/>
              </w:rPr>
              <w:t>Estrategia Financiera ante el riesgo de desastres</w:t>
            </w:r>
            <w:r w:rsidRPr="00E03465">
              <w:rPr>
                <w:webHidden/>
              </w:rPr>
              <w:tab/>
            </w:r>
            <w:r w:rsidRPr="00E03465">
              <w:rPr>
                <w:webHidden/>
              </w:rPr>
              <w:fldChar w:fldCharType="begin"/>
            </w:r>
            <w:r w:rsidRPr="00E03465">
              <w:rPr>
                <w:webHidden/>
              </w:rPr>
              <w:instrText xml:space="preserve"> PAGEREF _Toc114495296 \h </w:instrText>
            </w:r>
            <w:r w:rsidRPr="00E03465">
              <w:rPr>
                <w:webHidden/>
              </w:rPr>
            </w:r>
            <w:r w:rsidRPr="00E03465">
              <w:rPr>
                <w:webHidden/>
              </w:rPr>
              <w:fldChar w:fldCharType="separate"/>
            </w:r>
            <w:r w:rsidR="002E7809">
              <w:rPr>
                <w:webHidden/>
              </w:rPr>
              <w:t>83</w:t>
            </w:r>
            <w:r w:rsidRPr="00E03465">
              <w:rPr>
                <w:webHidden/>
              </w:rPr>
              <w:fldChar w:fldCharType="end"/>
            </w:r>
          </w:hyperlink>
        </w:p>
        <w:p w14:paraId="7C48653B" w14:textId="4C7BC23E" w:rsidR="00E03465" w:rsidRPr="00E03465" w:rsidRDefault="00844849" w:rsidP="00E03465">
          <w:pPr>
            <w:pStyle w:val="TDC1"/>
            <w:rPr>
              <w:rFonts w:asciiTheme="minorHAnsi" w:eastAsiaTheme="minorEastAsia" w:hAnsiTheme="minorHAnsi" w:cstheme="minorBidi"/>
              <w:sz w:val="22"/>
              <w:szCs w:val="22"/>
              <w:lang w:eastAsia="es-GT"/>
            </w:rPr>
          </w:pPr>
          <w:hyperlink w:anchor="_Toc114495297" w:history="1">
            <w:r w:rsidR="00E03465" w:rsidRPr="00E03465">
              <w:rPr>
                <w:rStyle w:val="Hipervnculo"/>
                <w:u w:val="none"/>
              </w:rPr>
              <w:t>9.</w:t>
            </w:r>
            <w:r w:rsidR="00E03465" w:rsidRPr="00E03465">
              <w:rPr>
                <w:rFonts w:asciiTheme="minorHAnsi" w:eastAsiaTheme="minorEastAsia" w:hAnsiTheme="minorHAnsi" w:cstheme="minorBidi"/>
                <w:sz w:val="22"/>
                <w:szCs w:val="22"/>
                <w:lang w:eastAsia="es-GT"/>
              </w:rPr>
              <w:t xml:space="preserve">  </w:t>
            </w:r>
            <w:r w:rsidR="00E03465" w:rsidRPr="00E03465">
              <w:rPr>
                <w:rStyle w:val="Hipervnculo"/>
                <w:u w:val="none"/>
              </w:rPr>
              <w:t>Riesgos fiscales por Recursos Naturales</w:t>
            </w:r>
            <w:r w:rsidR="00E03465" w:rsidRPr="00E03465">
              <w:rPr>
                <w:webHidden/>
              </w:rPr>
              <w:tab/>
            </w:r>
            <w:r w:rsidR="00E03465" w:rsidRPr="00E03465">
              <w:rPr>
                <w:webHidden/>
              </w:rPr>
              <w:fldChar w:fldCharType="begin"/>
            </w:r>
            <w:r w:rsidR="00E03465" w:rsidRPr="00E03465">
              <w:rPr>
                <w:webHidden/>
              </w:rPr>
              <w:instrText xml:space="preserve"> PAGEREF _Toc114495297 \h </w:instrText>
            </w:r>
            <w:r w:rsidR="00E03465" w:rsidRPr="00E03465">
              <w:rPr>
                <w:webHidden/>
              </w:rPr>
            </w:r>
            <w:r w:rsidR="00E03465" w:rsidRPr="00E03465">
              <w:rPr>
                <w:webHidden/>
              </w:rPr>
              <w:fldChar w:fldCharType="separate"/>
            </w:r>
            <w:r w:rsidR="002E7809">
              <w:rPr>
                <w:webHidden/>
              </w:rPr>
              <w:t>85</w:t>
            </w:r>
            <w:r w:rsidR="00E03465" w:rsidRPr="00E03465">
              <w:rPr>
                <w:webHidden/>
              </w:rPr>
              <w:fldChar w:fldCharType="end"/>
            </w:r>
          </w:hyperlink>
        </w:p>
        <w:p w14:paraId="04B2DCBA" w14:textId="487ADE47" w:rsidR="00E109CA" w:rsidRPr="00E03465" w:rsidRDefault="00E109CA" w:rsidP="00303F1D">
          <w:r w:rsidRPr="00E03465">
            <w:rPr>
              <w:b/>
              <w:bCs/>
              <w:lang w:val="es-ES"/>
            </w:rPr>
            <w:fldChar w:fldCharType="end"/>
          </w:r>
        </w:p>
      </w:sdtContent>
    </w:sdt>
    <w:p w14:paraId="6E7EA259" w14:textId="6CD608FA" w:rsidR="00E109CA" w:rsidRDefault="00E109CA" w:rsidP="00303F1D">
      <w:pPr>
        <w:rPr>
          <w:noProof/>
          <w:lang w:eastAsia="es-GT"/>
        </w:rPr>
      </w:pPr>
    </w:p>
    <w:p w14:paraId="6A235F18" w14:textId="7F400410" w:rsidR="00A9708A" w:rsidRPr="00A9708A" w:rsidRDefault="00A9708A" w:rsidP="00A9708A">
      <w:pPr>
        <w:jc w:val="center"/>
        <w:rPr>
          <w:b/>
          <w:noProof/>
          <w:lang w:eastAsia="es-GT"/>
        </w:rPr>
      </w:pPr>
      <w:r>
        <w:rPr>
          <w:b/>
          <w:noProof/>
          <w:lang w:eastAsia="es-GT"/>
        </w:rPr>
        <w:t>Contenido en</w:t>
      </w:r>
      <w:r w:rsidRPr="00A9708A">
        <w:rPr>
          <w:b/>
          <w:noProof/>
          <w:lang w:eastAsia="es-GT"/>
        </w:rPr>
        <w:t xml:space="preserve"> Gráficos</w:t>
      </w:r>
    </w:p>
    <w:p w14:paraId="70D20EF6" w14:textId="179E89E5" w:rsidR="00397876" w:rsidRPr="00E03465" w:rsidRDefault="00E109CA" w:rsidP="00397876">
      <w:pPr>
        <w:pStyle w:val="Tabladeilustraciones"/>
        <w:tabs>
          <w:tab w:val="right" w:leader="dot" w:pos="8828"/>
        </w:tabs>
        <w:spacing w:after="0"/>
        <w:rPr>
          <w:rFonts w:asciiTheme="minorHAnsi" w:hAnsiTheme="minorHAnsi" w:cstheme="minorBidi"/>
          <w:noProof/>
          <w:sz w:val="22"/>
          <w:szCs w:val="22"/>
          <w:lang w:eastAsia="es-GT"/>
        </w:rPr>
      </w:pPr>
      <w:r>
        <w:rPr>
          <w:noProof/>
          <w:lang w:eastAsia="es-GT"/>
        </w:rPr>
        <w:fldChar w:fldCharType="begin"/>
      </w:r>
      <w:r>
        <w:rPr>
          <w:noProof/>
          <w:lang w:eastAsia="es-GT"/>
        </w:rPr>
        <w:instrText xml:space="preserve"> TOC \h \z \c "Gráfico" </w:instrText>
      </w:r>
      <w:r>
        <w:rPr>
          <w:noProof/>
          <w:lang w:eastAsia="es-GT"/>
        </w:rPr>
        <w:fldChar w:fldCharType="separate"/>
      </w:r>
      <w:hyperlink w:anchor="_Toc114493843" w:history="1">
        <w:r w:rsidR="00397876" w:rsidRPr="00E03465">
          <w:rPr>
            <w:rStyle w:val="Hipervnculo"/>
            <w:noProof/>
          </w:rPr>
          <w:t>Gráfico 1.  Panorama del crecimiento inflacionario mundial 2022-2023</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_Toc114493843 \h </w:instrText>
        </w:r>
        <w:r w:rsidR="00397876" w:rsidRPr="00E03465">
          <w:rPr>
            <w:noProof/>
            <w:webHidden/>
          </w:rPr>
        </w:r>
        <w:r w:rsidR="00397876" w:rsidRPr="00E03465">
          <w:rPr>
            <w:noProof/>
            <w:webHidden/>
          </w:rPr>
          <w:fldChar w:fldCharType="separate"/>
        </w:r>
        <w:r w:rsidR="002E7809">
          <w:rPr>
            <w:noProof/>
            <w:webHidden/>
          </w:rPr>
          <w:t>8</w:t>
        </w:r>
        <w:r w:rsidR="00397876" w:rsidRPr="00E03465">
          <w:rPr>
            <w:noProof/>
            <w:webHidden/>
          </w:rPr>
          <w:fldChar w:fldCharType="end"/>
        </w:r>
      </w:hyperlink>
    </w:p>
    <w:p w14:paraId="4594F96A" w14:textId="4579BF63"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44" w:history="1">
        <w:r w:rsidR="00397876" w:rsidRPr="00E03465">
          <w:rPr>
            <w:rStyle w:val="Hipervnculo"/>
            <w:noProof/>
          </w:rPr>
          <w:t xml:space="preserve">Gráfico 2.  </w:t>
        </w:r>
        <w:r w:rsidR="00397876" w:rsidRPr="00E03465">
          <w:rPr>
            <w:rStyle w:val="Hipervnculo"/>
            <w:bCs/>
            <w:noProof/>
          </w:rPr>
          <w:t>Comportamiento de los índices de precios de materias primas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_Toc114493844 \h </w:instrText>
        </w:r>
        <w:r w:rsidR="00397876" w:rsidRPr="00E03465">
          <w:rPr>
            <w:noProof/>
            <w:webHidden/>
          </w:rPr>
        </w:r>
        <w:r w:rsidR="00397876" w:rsidRPr="00E03465">
          <w:rPr>
            <w:noProof/>
            <w:webHidden/>
          </w:rPr>
          <w:fldChar w:fldCharType="separate"/>
        </w:r>
        <w:r w:rsidR="002E7809">
          <w:rPr>
            <w:noProof/>
            <w:webHidden/>
          </w:rPr>
          <w:t>10</w:t>
        </w:r>
        <w:r w:rsidR="00397876" w:rsidRPr="00E03465">
          <w:rPr>
            <w:noProof/>
            <w:webHidden/>
          </w:rPr>
          <w:fldChar w:fldCharType="end"/>
        </w:r>
      </w:hyperlink>
    </w:p>
    <w:p w14:paraId="7F312FB2" w14:textId="7D3078A3"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45" w:history="1">
        <w:r w:rsidR="00397876" w:rsidRPr="00E03465">
          <w:rPr>
            <w:rStyle w:val="Hipervnculo"/>
            <w:noProof/>
          </w:rPr>
          <w:t xml:space="preserve">Gráfico 3.  </w:t>
        </w:r>
        <w:r w:rsidR="00397876" w:rsidRPr="00E03465">
          <w:rPr>
            <w:rStyle w:val="Hipervnculo"/>
            <w:bCs/>
            <w:noProof/>
          </w:rPr>
          <w:t>Comportamiento del valor del WTI</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_Toc114493845 \h </w:instrText>
        </w:r>
        <w:r w:rsidR="00397876" w:rsidRPr="00E03465">
          <w:rPr>
            <w:noProof/>
            <w:webHidden/>
          </w:rPr>
        </w:r>
        <w:r w:rsidR="00397876" w:rsidRPr="00E03465">
          <w:rPr>
            <w:noProof/>
            <w:webHidden/>
          </w:rPr>
          <w:fldChar w:fldCharType="separate"/>
        </w:r>
        <w:r w:rsidR="002E7809">
          <w:rPr>
            <w:noProof/>
            <w:webHidden/>
          </w:rPr>
          <w:t>10</w:t>
        </w:r>
        <w:r w:rsidR="00397876" w:rsidRPr="00E03465">
          <w:rPr>
            <w:noProof/>
            <w:webHidden/>
          </w:rPr>
          <w:fldChar w:fldCharType="end"/>
        </w:r>
      </w:hyperlink>
    </w:p>
    <w:p w14:paraId="1CFFB7DA" w14:textId="21A38A62"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46" w:history="1">
        <w:r w:rsidR="00397876" w:rsidRPr="00E03465">
          <w:rPr>
            <w:rStyle w:val="Hipervnculo"/>
            <w:noProof/>
          </w:rPr>
          <w:t xml:space="preserve">Gráfico 4.  </w:t>
        </w:r>
        <w:r w:rsidR="00397876" w:rsidRPr="00E03465">
          <w:rPr>
            <w:rStyle w:val="Hipervnculo"/>
            <w:noProof/>
            <w:lang w:val="es-MX"/>
          </w:rPr>
          <w:t>Índice VIX 2005 – 2021</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_Toc114493846 \h </w:instrText>
        </w:r>
        <w:r w:rsidR="00397876" w:rsidRPr="00E03465">
          <w:rPr>
            <w:noProof/>
            <w:webHidden/>
          </w:rPr>
        </w:r>
        <w:r w:rsidR="00397876" w:rsidRPr="00E03465">
          <w:rPr>
            <w:noProof/>
            <w:webHidden/>
          </w:rPr>
          <w:fldChar w:fldCharType="separate"/>
        </w:r>
        <w:r w:rsidR="002E7809">
          <w:rPr>
            <w:noProof/>
            <w:webHidden/>
          </w:rPr>
          <w:t>11</w:t>
        </w:r>
        <w:r w:rsidR="00397876" w:rsidRPr="00E03465">
          <w:rPr>
            <w:noProof/>
            <w:webHidden/>
          </w:rPr>
          <w:fldChar w:fldCharType="end"/>
        </w:r>
      </w:hyperlink>
    </w:p>
    <w:p w14:paraId="193CE729" w14:textId="211DC084"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47" w:history="1">
        <w:r w:rsidR="00397876" w:rsidRPr="00E03465">
          <w:rPr>
            <w:rStyle w:val="Hipervnculo"/>
            <w:noProof/>
          </w:rPr>
          <w:t xml:space="preserve">Gráfico 5.  </w:t>
        </w:r>
        <w:r w:rsidR="00397876" w:rsidRPr="00E03465">
          <w:rPr>
            <w:rStyle w:val="Hipervnculo"/>
            <w:bCs/>
            <w:noProof/>
            <w:lang w:val="es-ES_tradnl" w:eastAsia="es-ES"/>
          </w:rPr>
          <w:t>Incertidumbres y riesgos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_Toc114493847 \h </w:instrText>
        </w:r>
        <w:r w:rsidR="00397876" w:rsidRPr="00E03465">
          <w:rPr>
            <w:noProof/>
            <w:webHidden/>
          </w:rPr>
        </w:r>
        <w:r w:rsidR="00397876" w:rsidRPr="00E03465">
          <w:rPr>
            <w:noProof/>
            <w:webHidden/>
          </w:rPr>
          <w:fldChar w:fldCharType="separate"/>
        </w:r>
        <w:r w:rsidR="002E7809">
          <w:rPr>
            <w:noProof/>
            <w:webHidden/>
          </w:rPr>
          <w:t>12</w:t>
        </w:r>
        <w:r w:rsidR="00397876" w:rsidRPr="00E03465">
          <w:rPr>
            <w:noProof/>
            <w:webHidden/>
          </w:rPr>
          <w:fldChar w:fldCharType="end"/>
        </w:r>
      </w:hyperlink>
    </w:p>
    <w:p w14:paraId="507CD5E0" w14:textId="03EAE73A"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48" w:history="1">
        <w:r w:rsidR="00397876" w:rsidRPr="00E03465">
          <w:rPr>
            <w:rStyle w:val="Hipervnculo"/>
            <w:noProof/>
          </w:rPr>
          <w:t xml:space="preserve">Gráfico 6.  </w:t>
        </w:r>
        <w:r w:rsidR="00397876" w:rsidRPr="00E03465">
          <w:rPr>
            <w:rStyle w:val="Hipervnculo"/>
            <w:noProof/>
            <w:lang w:val="es-ES_tradnl" w:eastAsia="es-ES"/>
          </w:rPr>
          <w:t>PIB real</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_Toc114493848 \h </w:instrText>
        </w:r>
        <w:r w:rsidR="00397876" w:rsidRPr="00E03465">
          <w:rPr>
            <w:noProof/>
            <w:webHidden/>
          </w:rPr>
        </w:r>
        <w:r w:rsidR="00397876" w:rsidRPr="00E03465">
          <w:rPr>
            <w:noProof/>
            <w:webHidden/>
          </w:rPr>
          <w:fldChar w:fldCharType="separate"/>
        </w:r>
        <w:r w:rsidR="002E7809">
          <w:rPr>
            <w:noProof/>
            <w:webHidden/>
          </w:rPr>
          <w:t>13</w:t>
        </w:r>
        <w:r w:rsidR="00397876" w:rsidRPr="00E03465">
          <w:rPr>
            <w:noProof/>
            <w:webHidden/>
          </w:rPr>
          <w:fldChar w:fldCharType="end"/>
        </w:r>
      </w:hyperlink>
    </w:p>
    <w:p w14:paraId="6025E53D" w14:textId="758EB87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49" w:history="1">
        <w:r w:rsidR="00397876" w:rsidRPr="00E03465">
          <w:rPr>
            <w:rStyle w:val="Hipervnculo"/>
            <w:noProof/>
          </w:rPr>
          <w:t xml:space="preserve">Gráfico 7.  </w:t>
        </w:r>
        <w:r w:rsidR="00397876" w:rsidRPr="00E03465">
          <w:rPr>
            <w:rStyle w:val="Hipervnculo"/>
            <w:noProof/>
            <w:lang w:val="es-ES_tradnl" w:eastAsia="es-ES"/>
          </w:rPr>
          <w:t>PIB nominal</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_Toc114493849 \h </w:instrText>
        </w:r>
        <w:r w:rsidR="00397876" w:rsidRPr="00E03465">
          <w:rPr>
            <w:noProof/>
            <w:webHidden/>
          </w:rPr>
        </w:r>
        <w:r w:rsidR="00397876" w:rsidRPr="00E03465">
          <w:rPr>
            <w:noProof/>
            <w:webHidden/>
          </w:rPr>
          <w:fldChar w:fldCharType="separate"/>
        </w:r>
        <w:r w:rsidR="002E7809">
          <w:rPr>
            <w:noProof/>
            <w:webHidden/>
          </w:rPr>
          <w:t>13</w:t>
        </w:r>
        <w:r w:rsidR="00397876" w:rsidRPr="00E03465">
          <w:rPr>
            <w:noProof/>
            <w:webHidden/>
          </w:rPr>
          <w:fldChar w:fldCharType="end"/>
        </w:r>
      </w:hyperlink>
    </w:p>
    <w:p w14:paraId="28D84076" w14:textId="1CB8B234"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0" w:history="1">
        <w:r w:rsidR="00397876" w:rsidRPr="00E03465">
          <w:rPr>
            <w:rStyle w:val="Hipervnculo"/>
            <w:noProof/>
          </w:rPr>
          <w:t xml:space="preserve">Gráfico 8.  </w:t>
        </w:r>
        <w:r w:rsidR="00397876" w:rsidRPr="00E03465">
          <w:rPr>
            <w:rStyle w:val="Hipervnculo"/>
            <w:noProof/>
            <w:lang w:val="es-ES_tradnl" w:eastAsia="es-ES"/>
          </w:rPr>
          <w:t>Exportaciones FOB</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_Toc114493850 \h </w:instrText>
        </w:r>
        <w:r w:rsidR="00397876" w:rsidRPr="00E03465">
          <w:rPr>
            <w:noProof/>
            <w:webHidden/>
          </w:rPr>
        </w:r>
        <w:r w:rsidR="00397876" w:rsidRPr="00E03465">
          <w:rPr>
            <w:noProof/>
            <w:webHidden/>
          </w:rPr>
          <w:fldChar w:fldCharType="separate"/>
        </w:r>
        <w:r w:rsidR="002E7809">
          <w:rPr>
            <w:noProof/>
            <w:webHidden/>
          </w:rPr>
          <w:t>14</w:t>
        </w:r>
        <w:r w:rsidR="00397876" w:rsidRPr="00E03465">
          <w:rPr>
            <w:noProof/>
            <w:webHidden/>
          </w:rPr>
          <w:fldChar w:fldCharType="end"/>
        </w:r>
      </w:hyperlink>
    </w:p>
    <w:p w14:paraId="0B2DA68B" w14:textId="34B3D88B"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1" w:history="1">
        <w:r w:rsidR="00397876" w:rsidRPr="00E03465">
          <w:rPr>
            <w:rStyle w:val="Hipervnculo"/>
            <w:noProof/>
          </w:rPr>
          <w:t xml:space="preserve">Gráfico 9.  </w:t>
        </w:r>
        <w:r w:rsidR="00397876" w:rsidRPr="00E03465">
          <w:rPr>
            <w:rStyle w:val="Hipervnculo"/>
            <w:noProof/>
            <w:lang w:val="es-ES_tradnl" w:eastAsia="es-ES"/>
          </w:rPr>
          <w:t>Importaciones CIF</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_Toc114493851 \h </w:instrText>
        </w:r>
        <w:r w:rsidR="00397876" w:rsidRPr="00E03465">
          <w:rPr>
            <w:noProof/>
            <w:webHidden/>
          </w:rPr>
        </w:r>
        <w:r w:rsidR="00397876" w:rsidRPr="00E03465">
          <w:rPr>
            <w:noProof/>
            <w:webHidden/>
          </w:rPr>
          <w:fldChar w:fldCharType="separate"/>
        </w:r>
        <w:r w:rsidR="002E7809">
          <w:rPr>
            <w:noProof/>
            <w:webHidden/>
          </w:rPr>
          <w:t>14</w:t>
        </w:r>
        <w:r w:rsidR="00397876" w:rsidRPr="00E03465">
          <w:rPr>
            <w:noProof/>
            <w:webHidden/>
          </w:rPr>
          <w:fldChar w:fldCharType="end"/>
        </w:r>
      </w:hyperlink>
    </w:p>
    <w:p w14:paraId="715AD465" w14:textId="43DC99A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2" w:history="1">
        <w:r w:rsidR="00397876" w:rsidRPr="00E03465">
          <w:rPr>
            <w:rStyle w:val="Hipervnculo"/>
            <w:noProof/>
          </w:rPr>
          <w:t xml:space="preserve">Gráfico 10.  </w:t>
        </w:r>
        <w:r w:rsidR="00397876" w:rsidRPr="00E03465">
          <w:rPr>
            <w:rStyle w:val="Hipervnculo"/>
            <w:noProof/>
            <w:lang w:val="es-ES_tradnl" w:eastAsia="es-ES"/>
          </w:rPr>
          <w:t>Pronóstico del PIB real de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_Toc114493852 \h </w:instrText>
        </w:r>
        <w:r w:rsidR="00397876" w:rsidRPr="00E03465">
          <w:rPr>
            <w:noProof/>
            <w:webHidden/>
          </w:rPr>
        </w:r>
        <w:r w:rsidR="00397876" w:rsidRPr="00E03465">
          <w:rPr>
            <w:noProof/>
            <w:webHidden/>
          </w:rPr>
          <w:fldChar w:fldCharType="separate"/>
        </w:r>
        <w:r w:rsidR="002E7809">
          <w:rPr>
            <w:noProof/>
            <w:webHidden/>
          </w:rPr>
          <w:t>14</w:t>
        </w:r>
        <w:r w:rsidR="00397876" w:rsidRPr="00E03465">
          <w:rPr>
            <w:noProof/>
            <w:webHidden/>
          </w:rPr>
          <w:fldChar w:fldCharType="end"/>
        </w:r>
      </w:hyperlink>
    </w:p>
    <w:p w14:paraId="449325D8" w14:textId="0534C757"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3" w:history="1">
        <w:r w:rsidR="00397876" w:rsidRPr="00E03465">
          <w:rPr>
            <w:rStyle w:val="Hipervnculo"/>
            <w:noProof/>
          </w:rPr>
          <w:t xml:space="preserve">Gráfico 11.  </w:t>
        </w:r>
        <w:r w:rsidR="00397876" w:rsidRPr="00E03465">
          <w:rPr>
            <w:rStyle w:val="Hipervnculo"/>
            <w:noProof/>
            <w:lang w:val="es-ES_tradnl" w:eastAsia="es-ES"/>
          </w:rPr>
          <w:t>Pronóstico del PIB nominal de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_Toc114493853 \h </w:instrText>
        </w:r>
        <w:r w:rsidR="00397876" w:rsidRPr="00E03465">
          <w:rPr>
            <w:noProof/>
            <w:webHidden/>
          </w:rPr>
        </w:r>
        <w:r w:rsidR="00397876" w:rsidRPr="00E03465">
          <w:rPr>
            <w:noProof/>
            <w:webHidden/>
          </w:rPr>
          <w:fldChar w:fldCharType="separate"/>
        </w:r>
        <w:r w:rsidR="002E7809">
          <w:rPr>
            <w:noProof/>
            <w:webHidden/>
          </w:rPr>
          <w:t>14</w:t>
        </w:r>
        <w:r w:rsidR="00397876" w:rsidRPr="00E03465">
          <w:rPr>
            <w:noProof/>
            <w:webHidden/>
          </w:rPr>
          <w:fldChar w:fldCharType="end"/>
        </w:r>
      </w:hyperlink>
    </w:p>
    <w:p w14:paraId="5C1FB2BF" w14:textId="496046FE"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4" w:history="1">
        <w:r w:rsidR="00397876" w:rsidRPr="00E03465">
          <w:rPr>
            <w:rStyle w:val="Hipervnculo"/>
            <w:noProof/>
          </w:rPr>
          <w:t xml:space="preserve">Gráfico 12.  </w:t>
        </w:r>
        <w:r w:rsidR="00397876" w:rsidRPr="00E03465">
          <w:rPr>
            <w:rStyle w:val="Hipervnculo"/>
            <w:bCs/>
            <w:iCs/>
            <w:noProof/>
          </w:rPr>
          <w:t>Fanchart de la proyección del crecimiento económico</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_Toc114493854 \h </w:instrText>
        </w:r>
        <w:r w:rsidR="00397876" w:rsidRPr="00E03465">
          <w:rPr>
            <w:noProof/>
            <w:webHidden/>
          </w:rPr>
        </w:r>
        <w:r w:rsidR="00397876" w:rsidRPr="00E03465">
          <w:rPr>
            <w:noProof/>
            <w:webHidden/>
          </w:rPr>
          <w:fldChar w:fldCharType="separate"/>
        </w:r>
        <w:r w:rsidR="002E7809">
          <w:rPr>
            <w:noProof/>
            <w:webHidden/>
          </w:rPr>
          <w:t>16</w:t>
        </w:r>
        <w:r w:rsidR="00397876" w:rsidRPr="00E03465">
          <w:rPr>
            <w:noProof/>
            <w:webHidden/>
          </w:rPr>
          <w:fldChar w:fldCharType="end"/>
        </w:r>
      </w:hyperlink>
    </w:p>
    <w:p w14:paraId="47193D13" w14:textId="73357D5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5" w:history="1">
        <w:r w:rsidR="00397876" w:rsidRPr="00E03465">
          <w:rPr>
            <w:rStyle w:val="Hipervnculo"/>
            <w:noProof/>
          </w:rPr>
          <w:t xml:space="preserve">Gráfico 13.  </w:t>
        </w:r>
        <w:r w:rsidR="00397876" w:rsidRPr="00E03465">
          <w:rPr>
            <w:rStyle w:val="Hipervnculo"/>
            <w:noProof/>
            <w:lang w:val="es-ES_tradnl" w:eastAsia="es-ES"/>
          </w:rPr>
          <w:t>Pronóstico de exportaciones de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_Toc114493855 \h </w:instrText>
        </w:r>
        <w:r w:rsidR="00397876" w:rsidRPr="00E03465">
          <w:rPr>
            <w:noProof/>
            <w:webHidden/>
          </w:rPr>
        </w:r>
        <w:r w:rsidR="00397876" w:rsidRPr="00E03465">
          <w:rPr>
            <w:noProof/>
            <w:webHidden/>
          </w:rPr>
          <w:fldChar w:fldCharType="separate"/>
        </w:r>
        <w:r w:rsidR="002E7809">
          <w:rPr>
            <w:noProof/>
            <w:webHidden/>
          </w:rPr>
          <w:t>17</w:t>
        </w:r>
        <w:r w:rsidR="00397876" w:rsidRPr="00E03465">
          <w:rPr>
            <w:noProof/>
            <w:webHidden/>
          </w:rPr>
          <w:fldChar w:fldCharType="end"/>
        </w:r>
      </w:hyperlink>
    </w:p>
    <w:p w14:paraId="2E48ED20" w14:textId="2622D1AA"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6" w:history="1">
        <w:r w:rsidR="00397876" w:rsidRPr="00E03465">
          <w:rPr>
            <w:rStyle w:val="Hipervnculo"/>
            <w:noProof/>
          </w:rPr>
          <w:t xml:space="preserve">Gráfico 14.  </w:t>
        </w:r>
        <w:r w:rsidR="00397876" w:rsidRPr="00E03465">
          <w:rPr>
            <w:rStyle w:val="Hipervnculo"/>
            <w:noProof/>
            <w:lang w:val="es-ES_tradnl" w:eastAsia="es-ES"/>
          </w:rPr>
          <w:t>Pronóstico de importaciones de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_Toc114493856 \h </w:instrText>
        </w:r>
        <w:r w:rsidR="00397876" w:rsidRPr="00E03465">
          <w:rPr>
            <w:noProof/>
            <w:webHidden/>
          </w:rPr>
        </w:r>
        <w:r w:rsidR="00397876" w:rsidRPr="00E03465">
          <w:rPr>
            <w:noProof/>
            <w:webHidden/>
          </w:rPr>
          <w:fldChar w:fldCharType="separate"/>
        </w:r>
        <w:r w:rsidR="002E7809">
          <w:rPr>
            <w:noProof/>
            <w:webHidden/>
          </w:rPr>
          <w:t>17</w:t>
        </w:r>
        <w:r w:rsidR="00397876" w:rsidRPr="00E03465">
          <w:rPr>
            <w:noProof/>
            <w:webHidden/>
          </w:rPr>
          <w:fldChar w:fldCharType="end"/>
        </w:r>
      </w:hyperlink>
    </w:p>
    <w:p w14:paraId="3EBDBBB1" w14:textId="37CC5B64"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7" w:history="1">
        <w:r w:rsidR="00397876" w:rsidRPr="00E03465">
          <w:rPr>
            <w:rStyle w:val="Hipervnculo"/>
            <w:noProof/>
          </w:rPr>
          <w:t xml:space="preserve">Gráfico 15.  </w:t>
        </w:r>
        <w:r w:rsidR="00397876" w:rsidRPr="00E03465">
          <w:rPr>
            <w:rStyle w:val="Hipervnculo"/>
            <w:rFonts w:eastAsia="Times New Roman"/>
            <w:bCs/>
            <w:noProof/>
            <w:lang w:val="es-MX"/>
          </w:rPr>
          <w:t>Variables fiscales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_Toc114493857 \h </w:instrText>
        </w:r>
        <w:r w:rsidR="00397876" w:rsidRPr="00E03465">
          <w:rPr>
            <w:noProof/>
            <w:webHidden/>
          </w:rPr>
        </w:r>
        <w:r w:rsidR="00397876" w:rsidRPr="00E03465">
          <w:rPr>
            <w:noProof/>
            <w:webHidden/>
          </w:rPr>
          <w:fldChar w:fldCharType="separate"/>
        </w:r>
        <w:r w:rsidR="002E7809">
          <w:rPr>
            <w:noProof/>
            <w:webHidden/>
          </w:rPr>
          <w:t>18</w:t>
        </w:r>
        <w:r w:rsidR="00397876" w:rsidRPr="00E03465">
          <w:rPr>
            <w:noProof/>
            <w:webHidden/>
          </w:rPr>
          <w:fldChar w:fldCharType="end"/>
        </w:r>
      </w:hyperlink>
    </w:p>
    <w:p w14:paraId="0FD651B1" w14:textId="293D584E"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8" w:history="1">
        <w:r w:rsidR="00397876" w:rsidRPr="00E03465">
          <w:rPr>
            <w:rStyle w:val="Hipervnculo"/>
            <w:noProof/>
          </w:rPr>
          <w:t xml:space="preserve">Gráfico 16.  </w:t>
        </w:r>
        <w:r w:rsidR="00397876" w:rsidRPr="00E03465">
          <w:rPr>
            <w:rStyle w:val="Hipervnculo"/>
            <w:bCs/>
            <w:noProof/>
            <w:lang w:eastAsia="es-GT"/>
          </w:rPr>
          <w:t>Desviaciones fiscales con respecto al PIB en 2021</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_Toc114493858 \h </w:instrText>
        </w:r>
        <w:r w:rsidR="00397876" w:rsidRPr="00E03465">
          <w:rPr>
            <w:noProof/>
            <w:webHidden/>
          </w:rPr>
        </w:r>
        <w:r w:rsidR="00397876" w:rsidRPr="00E03465">
          <w:rPr>
            <w:noProof/>
            <w:webHidden/>
          </w:rPr>
          <w:fldChar w:fldCharType="separate"/>
        </w:r>
        <w:r w:rsidR="002E7809">
          <w:rPr>
            <w:noProof/>
            <w:webHidden/>
          </w:rPr>
          <w:t>18</w:t>
        </w:r>
        <w:r w:rsidR="00397876" w:rsidRPr="00E03465">
          <w:rPr>
            <w:noProof/>
            <w:webHidden/>
          </w:rPr>
          <w:fldChar w:fldCharType="end"/>
        </w:r>
      </w:hyperlink>
    </w:p>
    <w:p w14:paraId="2C08A55B" w14:textId="66B09727"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59" w:history="1">
        <w:r w:rsidR="00397876" w:rsidRPr="00E03465">
          <w:rPr>
            <w:rStyle w:val="Hipervnculo"/>
            <w:noProof/>
          </w:rPr>
          <w:t xml:space="preserve">Gráfico 17.  </w:t>
        </w:r>
        <w:r w:rsidR="00397876" w:rsidRPr="00E03465">
          <w:rPr>
            <w:rStyle w:val="Hipervnculo"/>
            <w:noProof/>
            <w:lang w:eastAsia="es-GT"/>
          </w:rPr>
          <w:t>Variables fiscales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_Toc114493859 \h </w:instrText>
        </w:r>
        <w:r w:rsidR="00397876" w:rsidRPr="00E03465">
          <w:rPr>
            <w:noProof/>
            <w:webHidden/>
          </w:rPr>
        </w:r>
        <w:r w:rsidR="00397876" w:rsidRPr="00E03465">
          <w:rPr>
            <w:noProof/>
            <w:webHidden/>
          </w:rPr>
          <w:fldChar w:fldCharType="separate"/>
        </w:r>
        <w:r w:rsidR="002E7809">
          <w:rPr>
            <w:noProof/>
            <w:webHidden/>
          </w:rPr>
          <w:t>19</w:t>
        </w:r>
        <w:r w:rsidR="00397876" w:rsidRPr="00E03465">
          <w:rPr>
            <w:noProof/>
            <w:webHidden/>
          </w:rPr>
          <w:fldChar w:fldCharType="end"/>
        </w:r>
      </w:hyperlink>
    </w:p>
    <w:p w14:paraId="62BC546C" w14:textId="632597B6"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0" w:history="1">
        <w:r w:rsidR="00397876" w:rsidRPr="00E03465">
          <w:rPr>
            <w:rStyle w:val="Hipervnculo"/>
            <w:noProof/>
          </w:rPr>
          <w:t xml:space="preserve">Gráfico 18.  </w:t>
        </w:r>
        <w:r w:rsidR="00397876" w:rsidRPr="00E03465">
          <w:rPr>
            <w:rStyle w:val="Hipervnculo"/>
            <w:bCs/>
            <w:noProof/>
            <w:lang w:eastAsia="es-GT"/>
          </w:rPr>
          <w:t>Desviaciones fiscales con respecto al PIB en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_Toc114493860 \h </w:instrText>
        </w:r>
        <w:r w:rsidR="00397876" w:rsidRPr="00E03465">
          <w:rPr>
            <w:noProof/>
            <w:webHidden/>
          </w:rPr>
        </w:r>
        <w:r w:rsidR="00397876" w:rsidRPr="00E03465">
          <w:rPr>
            <w:noProof/>
            <w:webHidden/>
          </w:rPr>
          <w:fldChar w:fldCharType="separate"/>
        </w:r>
        <w:r w:rsidR="002E7809">
          <w:rPr>
            <w:noProof/>
            <w:webHidden/>
          </w:rPr>
          <w:t>19</w:t>
        </w:r>
        <w:r w:rsidR="00397876" w:rsidRPr="00E03465">
          <w:rPr>
            <w:noProof/>
            <w:webHidden/>
          </w:rPr>
          <w:fldChar w:fldCharType="end"/>
        </w:r>
      </w:hyperlink>
    </w:p>
    <w:p w14:paraId="6DFF8E32" w14:textId="33374E51"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1" w:history="1">
        <w:r w:rsidR="00397876" w:rsidRPr="00E03465">
          <w:rPr>
            <w:rStyle w:val="Hipervnculo"/>
            <w:noProof/>
          </w:rPr>
          <w:t xml:space="preserve">Gráfico 19.  </w:t>
        </w:r>
        <w:r w:rsidR="00397876" w:rsidRPr="00E03465">
          <w:rPr>
            <w:rStyle w:val="Hipervnculo"/>
            <w:bCs/>
            <w:noProof/>
          </w:rPr>
          <w:t>Precios proyectados del crudo y de combustibles nacionales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_Toc114493861 \h </w:instrText>
        </w:r>
        <w:r w:rsidR="00397876" w:rsidRPr="00E03465">
          <w:rPr>
            <w:noProof/>
            <w:webHidden/>
          </w:rPr>
        </w:r>
        <w:r w:rsidR="00397876" w:rsidRPr="00E03465">
          <w:rPr>
            <w:noProof/>
            <w:webHidden/>
          </w:rPr>
          <w:fldChar w:fldCharType="separate"/>
        </w:r>
        <w:r w:rsidR="002E7809">
          <w:rPr>
            <w:noProof/>
            <w:webHidden/>
          </w:rPr>
          <w:t>22</w:t>
        </w:r>
        <w:r w:rsidR="00397876" w:rsidRPr="00E03465">
          <w:rPr>
            <w:noProof/>
            <w:webHidden/>
          </w:rPr>
          <w:fldChar w:fldCharType="end"/>
        </w:r>
      </w:hyperlink>
    </w:p>
    <w:p w14:paraId="7FFF01A1" w14:textId="668CFFEF"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2" w:history="1">
        <w:r w:rsidR="00397876" w:rsidRPr="00E03465">
          <w:rPr>
            <w:rStyle w:val="Hipervnculo"/>
            <w:noProof/>
          </w:rPr>
          <w:t xml:space="preserve">Gráfico 20.  </w:t>
        </w:r>
        <w:r w:rsidR="00397876" w:rsidRPr="00E03465">
          <w:rPr>
            <w:rStyle w:val="Hipervnculo"/>
            <w:bCs/>
            <w:noProof/>
          </w:rPr>
          <w:t>Variación interanual del WTI y</w:t>
        </w:r>
        <w:r w:rsidR="00E03465">
          <w:rPr>
            <w:rStyle w:val="Hipervnculo"/>
            <w:bCs/>
            <w:noProof/>
          </w:rPr>
          <w:t xml:space="preserve"> el precio medio</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_Toc114493862 \h </w:instrText>
        </w:r>
        <w:r w:rsidR="00397876" w:rsidRPr="00E03465">
          <w:rPr>
            <w:noProof/>
            <w:webHidden/>
          </w:rPr>
        </w:r>
        <w:r w:rsidR="00397876" w:rsidRPr="00E03465">
          <w:rPr>
            <w:noProof/>
            <w:webHidden/>
          </w:rPr>
          <w:fldChar w:fldCharType="separate"/>
        </w:r>
        <w:r w:rsidR="002E7809">
          <w:rPr>
            <w:noProof/>
            <w:webHidden/>
          </w:rPr>
          <w:t>23</w:t>
        </w:r>
        <w:r w:rsidR="00397876" w:rsidRPr="00E03465">
          <w:rPr>
            <w:noProof/>
            <w:webHidden/>
          </w:rPr>
          <w:fldChar w:fldCharType="end"/>
        </w:r>
      </w:hyperlink>
    </w:p>
    <w:p w14:paraId="74EE8C39" w14:textId="13E1BA9B"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3" w:history="1">
        <w:r w:rsidR="00397876" w:rsidRPr="00E03465">
          <w:rPr>
            <w:rStyle w:val="Hipervnculo"/>
            <w:noProof/>
          </w:rPr>
          <w:t xml:space="preserve">Gráfico 21.  </w:t>
        </w:r>
        <w:r w:rsidR="00397876" w:rsidRPr="00E03465">
          <w:rPr>
            <w:rStyle w:val="Hipervnculo"/>
            <w:bCs/>
            <w:noProof/>
          </w:rPr>
          <w:t>Variación interanual del predio de WTI y el total del I</w:t>
        </w:r>
        <w:r w:rsidR="00E03465">
          <w:rPr>
            <w:rStyle w:val="Hipervnculo"/>
            <w:bCs/>
            <w:noProof/>
          </w:rPr>
          <w:t>VA importaciones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_Toc114493863 \h </w:instrText>
        </w:r>
        <w:r w:rsidR="00397876" w:rsidRPr="00E03465">
          <w:rPr>
            <w:noProof/>
            <w:webHidden/>
          </w:rPr>
        </w:r>
        <w:r w:rsidR="00397876" w:rsidRPr="00E03465">
          <w:rPr>
            <w:noProof/>
            <w:webHidden/>
          </w:rPr>
          <w:fldChar w:fldCharType="separate"/>
        </w:r>
        <w:r w:rsidR="002E7809">
          <w:rPr>
            <w:noProof/>
            <w:webHidden/>
          </w:rPr>
          <w:t>23</w:t>
        </w:r>
        <w:r w:rsidR="00397876" w:rsidRPr="00E03465">
          <w:rPr>
            <w:noProof/>
            <w:webHidden/>
          </w:rPr>
          <w:fldChar w:fldCharType="end"/>
        </w:r>
      </w:hyperlink>
    </w:p>
    <w:p w14:paraId="7E8667F4" w14:textId="53F05F54"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4" w:history="1">
        <w:r w:rsidR="00397876" w:rsidRPr="00E03465">
          <w:rPr>
            <w:rStyle w:val="Hipervnculo"/>
            <w:noProof/>
          </w:rPr>
          <w:t xml:space="preserve">Gráfico 22.  </w:t>
        </w:r>
        <w:r w:rsidR="00397876" w:rsidRPr="00E03465">
          <w:rPr>
            <w:rStyle w:val="Hipervnculo"/>
            <w:bCs/>
            <w:noProof/>
          </w:rPr>
          <w:t>Población vacunada con primera dosis como proporción del total.</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_Toc114493864 \h </w:instrText>
        </w:r>
        <w:r w:rsidR="00397876" w:rsidRPr="00E03465">
          <w:rPr>
            <w:noProof/>
            <w:webHidden/>
          </w:rPr>
        </w:r>
        <w:r w:rsidR="00397876" w:rsidRPr="00E03465">
          <w:rPr>
            <w:noProof/>
            <w:webHidden/>
          </w:rPr>
          <w:fldChar w:fldCharType="separate"/>
        </w:r>
        <w:r w:rsidR="002E7809">
          <w:rPr>
            <w:noProof/>
            <w:webHidden/>
          </w:rPr>
          <w:t>24</w:t>
        </w:r>
        <w:r w:rsidR="00397876" w:rsidRPr="00E03465">
          <w:rPr>
            <w:noProof/>
            <w:webHidden/>
          </w:rPr>
          <w:fldChar w:fldCharType="end"/>
        </w:r>
      </w:hyperlink>
    </w:p>
    <w:p w14:paraId="054F0896" w14:textId="7C9B9046"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5" w:history="1">
        <w:r w:rsidR="00397876" w:rsidRPr="00E03465">
          <w:rPr>
            <w:rStyle w:val="Hipervnculo"/>
            <w:noProof/>
          </w:rPr>
          <w:t xml:space="preserve">Gráfico 23.  </w:t>
        </w:r>
        <w:r w:rsidR="00397876" w:rsidRPr="00E03465">
          <w:rPr>
            <w:rStyle w:val="Hipervnculo"/>
            <w:bCs/>
            <w:noProof/>
          </w:rPr>
          <w:t>Casos nuevos confirmados de COVID-19</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_Toc114493865 \h </w:instrText>
        </w:r>
        <w:r w:rsidR="00397876" w:rsidRPr="00E03465">
          <w:rPr>
            <w:noProof/>
            <w:webHidden/>
          </w:rPr>
        </w:r>
        <w:r w:rsidR="00397876" w:rsidRPr="00E03465">
          <w:rPr>
            <w:noProof/>
            <w:webHidden/>
          </w:rPr>
          <w:fldChar w:fldCharType="separate"/>
        </w:r>
        <w:r w:rsidR="002E7809">
          <w:rPr>
            <w:noProof/>
            <w:webHidden/>
          </w:rPr>
          <w:t>24</w:t>
        </w:r>
        <w:r w:rsidR="00397876" w:rsidRPr="00E03465">
          <w:rPr>
            <w:noProof/>
            <w:webHidden/>
          </w:rPr>
          <w:fldChar w:fldCharType="end"/>
        </w:r>
      </w:hyperlink>
    </w:p>
    <w:p w14:paraId="4409093B" w14:textId="0E145896"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6" w:history="1">
        <w:r w:rsidR="00397876" w:rsidRPr="00E03465">
          <w:rPr>
            <w:rStyle w:val="Hipervnculo"/>
            <w:noProof/>
          </w:rPr>
          <w:t xml:space="preserve">Gráfico 24.  </w:t>
        </w:r>
        <w:r w:rsidR="00397876" w:rsidRPr="00E03465">
          <w:rPr>
            <w:rStyle w:val="Hipervnculo"/>
            <w:noProof/>
            <w:lang w:val="es-MX"/>
          </w:rPr>
          <w:t>Crecimiento económico en 2020 e índice de rig</w:t>
        </w:r>
        <w:r w:rsidR="00E03465">
          <w:rPr>
            <w:rStyle w:val="Hipervnculo"/>
            <w:noProof/>
            <w:lang w:val="es-MX"/>
          </w:rPr>
          <w:t>or promedio</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_Toc114493866 \h </w:instrText>
        </w:r>
        <w:r w:rsidR="00397876" w:rsidRPr="00E03465">
          <w:rPr>
            <w:noProof/>
            <w:webHidden/>
          </w:rPr>
        </w:r>
        <w:r w:rsidR="00397876" w:rsidRPr="00E03465">
          <w:rPr>
            <w:noProof/>
            <w:webHidden/>
          </w:rPr>
          <w:fldChar w:fldCharType="separate"/>
        </w:r>
        <w:r w:rsidR="002E7809">
          <w:rPr>
            <w:noProof/>
            <w:webHidden/>
          </w:rPr>
          <w:t>25</w:t>
        </w:r>
        <w:r w:rsidR="00397876" w:rsidRPr="00E03465">
          <w:rPr>
            <w:noProof/>
            <w:webHidden/>
          </w:rPr>
          <w:fldChar w:fldCharType="end"/>
        </w:r>
      </w:hyperlink>
    </w:p>
    <w:p w14:paraId="29B3F2C1" w14:textId="6A702E93"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7" w:history="1">
        <w:r w:rsidR="00397876" w:rsidRPr="00E03465">
          <w:rPr>
            <w:rStyle w:val="Hipervnculo"/>
            <w:noProof/>
          </w:rPr>
          <w:t xml:space="preserve">Gráfico 25.  </w:t>
        </w:r>
        <w:r w:rsidR="00397876" w:rsidRPr="00E03465">
          <w:rPr>
            <w:rStyle w:val="Hipervnculo"/>
            <w:noProof/>
            <w:lang w:val="es-MX"/>
          </w:rPr>
          <w:t>Índice de rigor para Guatemala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_Toc114493867 \h </w:instrText>
        </w:r>
        <w:r w:rsidR="00397876" w:rsidRPr="00E03465">
          <w:rPr>
            <w:noProof/>
            <w:webHidden/>
          </w:rPr>
        </w:r>
        <w:r w:rsidR="00397876" w:rsidRPr="00E03465">
          <w:rPr>
            <w:noProof/>
            <w:webHidden/>
          </w:rPr>
          <w:fldChar w:fldCharType="separate"/>
        </w:r>
        <w:r w:rsidR="002E7809">
          <w:rPr>
            <w:noProof/>
            <w:webHidden/>
          </w:rPr>
          <w:t>25</w:t>
        </w:r>
        <w:r w:rsidR="00397876" w:rsidRPr="00E03465">
          <w:rPr>
            <w:noProof/>
            <w:webHidden/>
          </w:rPr>
          <w:fldChar w:fldCharType="end"/>
        </w:r>
      </w:hyperlink>
    </w:p>
    <w:p w14:paraId="7774932D" w14:textId="5D06569B"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8" w:history="1">
        <w:r w:rsidR="00397876" w:rsidRPr="00E03465">
          <w:rPr>
            <w:rStyle w:val="Hipervnculo"/>
            <w:noProof/>
          </w:rPr>
          <w:t xml:space="preserve">Gráfico 26.  </w:t>
        </w:r>
        <w:r w:rsidR="00397876" w:rsidRPr="00E03465">
          <w:rPr>
            <w:rStyle w:val="Hipervnculo"/>
            <w:noProof/>
            <w:lang w:val="es-MX"/>
          </w:rPr>
          <w:t>Escenarios de las tasas de crecimiento de las variables macroeconómicas ante un rebrote de Pandemia en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_Toc114493868 \h </w:instrText>
        </w:r>
        <w:r w:rsidR="00397876" w:rsidRPr="00E03465">
          <w:rPr>
            <w:noProof/>
            <w:webHidden/>
          </w:rPr>
        </w:r>
        <w:r w:rsidR="00397876" w:rsidRPr="00E03465">
          <w:rPr>
            <w:noProof/>
            <w:webHidden/>
          </w:rPr>
          <w:fldChar w:fldCharType="separate"/>
        </w:r>
        <w:r w:rsidR="002E7809">
          <w:rPr>
            <w:noProof/>
            <w:webHidden/>
          </w:rPr>
          <w:t>27</w:t>
        </w:r>
        <w:r w:rsidR="00397876" w:rsidRPr="00E03465">
          <w:rPr>
            <w:noProof/>
            <w:webHidden/>
          </w:rPr>
          <w:fldChar w:fldCharType="end"/>
        </w:r>
      </w:hyperlink>
    </w:p>
    <w:p w14:paraId="4E3F26F9" w14:textId="332A52A7"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69" w:history="1">
        <w:r w:rsidR="00397876" w:rsidRPr="00E03465">
          <w:rPr>
            <w:rStyle w:val="Hipervnculo"/>
            <w:noProof/>
          </w:rPr>
          <w:t xml:space="preserve">Gráfico 27.  </w:t>
        </w:r>
        <w:r w:rsidR="00397876" w:rsidRPr="00E03465">
          <w:rPr>
            <w:rStyle w:val="Hipervnculo"/>
            <w:noProof/>
            <w:lang w:val="es-MX"/>
          </w:rPr>
          <w:t>Carga tributaria de 2023 para distintos valores del índice de rigor dado la propagación de nuevas cepas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_Toc114493869 \h </w:instrText>
        </w:r>
        <w:r w:rsidR="00397876" w:rsidRPr="00E03465">
          <w:rPr>
            <w:noProof/>
            <w:webHidden/>
          </w:rPr>
        </w:r>
        <w:r w:rsidR="00397876" w:rsidRPr="00E03465">
          <w:rPr>
            <w:noProof/>
            <w:webHidden/>
          </w:rPr>
          <w:fldChar w:fldCharType="separate"/>
        </w:r>
        <w:r w:rsidR="002E7809">
          <w:rPr>
            <w:noProof/>
            <w:webHidden/>
          </w:rPr>
          <w:t>28</w:t>
        </w:r>
        <w:r w:rsidR="00397876" w:rsidRPr="00E03465">
          <w:rPr>
            <w:noProof/>
            <w:webHidden/>
          </w:rPr>
          <w:fldChar w:fldCharType="end"/>
        </w:r>
      </w:hyperlink>
    </w:p>
    <w:p w14:paraId="67C70196" w14:textId="2BCAFE3C"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0" w:history="1">
        <w:r w:rsidR="00397876" w:rsidRPr="00E03465">
          <w:rPr>
            <w:rStyle w:val="Hipervnculo"/>
            <w:noProof/>
          </w:rPr>
          <w:t xml:space="preserve">Gráfico 28.  </w:t>
        </w:r>
        <w:r w:rsidR="00397876" w:rsidRPr="00E03465">
          <w:rPr>
            <w:rStyle w:val="Hipervnculo"/>
            <w:noProof/>
            <w:lang w:val="es-ES_tradnl" w:eastAsia="es-ES"/>
          </w:rPr>
          <w:t>INB bruto per cápita se</w:t>
        </w:r>
        <w:r w:rsidR="000C354F">
          <w:rPr>
            <w:rStyle w:val="Hipervnculo"/>
            <w:noProof/>
            <w:lang w:val="es-ES_tradnl" w:eastAsia="es-ES"/>
          </w:rPr>
          <w:t>gún metodología Atlas para 2021</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_Toc114493870 \h </w:instrText>
        </w:r>
        <w:r w:rsidR="00397876" w:rsidRPr="00E03465">
          <w:rPr>
            <w:noProof/>
            <w:webHidden/>
          </w:rPr>
        </w:r>
        <w:r w:rsidR="00397876" w:rsidRPr="00E03465">
          <w:rPr>
            <w:noProof/>
            <w:webHidden/>
          </w:rPr>
          <w:fldChar w:fldCharType="separate"/>
        </w:r>
        <w:r w:rsidR="002E7809">
          <w:rPr>
            <w:noProof/>
            <w:webHidden/>
          </w:rPr>
          <w:t>29</w:t>
        </w:r>
        <w:r w:rsidR="00397876" w:rsidRPr="00E03465">
          <w:rPr>
            <w:noProof/>
            <w:webHidden/>
          </w:rPr>
          <w:fldChar w:fldCharType="end"/>
        </w:r>
      </w:hyperlink>
    </w:p>
    <w:p w14:paraId="5894BD3E" w14:textId="6DE675E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1" w:history="1">
        <w:r w:rsidR="00397876" w:rsidRPr="00E03465">
          <w:rPr>
            <w:rStyle w:val="Hipervnculo"/>
            <w:noProof/>
          </w:rPr>
          <w:t>Gráfico 29.  Indicadores de deuda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_Toc114493871 \h </w:instrText>
        </w:r>
        <w:r w:rsidR="00397876" w:rsidRPr="00E03465">
          <w:rPr>
            <w:noProof/>
            <w:webHidden/>
          </w:rPr>
        </w:r>
        <w:r w:rsidR="00397876" w:rsidRPr="00E03465">
          <w:rPr>
            <w:noProof/>
            <w:webHidden/>
          </w:rPr>
          <w:fldChar w:fldCharType="separate"/>
        </w:r>
        <w:r w:rsidR="002E7809">
          <w:rPr>
            <w:noProof/>
            <w:webHidden/>
          </w:rPr>
          <w:t>31</w:t>
        </w:r>
        <w:r w:rsidR="00397876" w:rsidRPr="00E03465">
          <w:rPr>
            <w:noProof/>
            <w:webHidden/>
          </w:rPr>
          <w:fldChar w:fldCharType="end"/>
        </w:r>
      </w:hyperlink>
    </w:p>
    <w:p w14:paraId="5D2CE6FD" w14:textId="64369FAC"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2" w:history="1">
        <w:r w:rsidR="00397876" w:rsidRPr="00E03465">
          <w:rPr>
            <w:rStyle w:val="Hipervnculo"/>
            <w:noProof/>
          </w:rPr>
          <w:t>Gráfico 30.  Indicadores del servicio de deuda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_Toc114493872 \h </w:instrText>
        </w:r>
        <w:r w:rsidR="00397876" w:rsidRPr="00E03465">
          <w:rPr>
            <w:noProof/>
            <w:webHidden/>
          </w:rPr>
        </w:r>
        <w:r w:rsidR="00397876" w:rsidRPr="00E03465">
          <w:rPr>
            <w:noProof/>
            <w:webHidden/>
          </w:rPr>
          <w:fldChar w:fldCharType="separate"/>
        </w:r>
        <w:r w:rsidR="002E7809">
          <w:rPr>
            <w:noProof/>
            <w:webHidden/>
          </w:rPr>
          <w:t>31</w:t>
        </w:r>
        <w:r w:rsidR="00397876" w:rsidRPr="00E03465">
          <w:rPr>
            <w:noProof/>
            <w:webHidden/>
          </w:rPr>
          <w:fldChar w:fldCharType="end"/>
        </w:r>
      </w:hyperlink>
    </w:p>
    <w:p w14:paraId="1EA64E3B" w14:textId="59FE781A"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3" w:history="1">
        <w:r w:rsidR="00397876" w:rsidRPr="00E03465">
          <w:rPr>
            <w:rStyle w:val="Hipervnculo"/>
            <w:noProof/>
          </w:rPr>
          <w:t>Gráfico 31.  Indicadores de intereses e indicador reservas/deuda externa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_Toc114493873 \h </w:instrText>
        </w:r>
        <w:r w:rsidR="00397876" w:rsidRPr="00E03465">
          <w:rPr>
            <w:noProof/>
            <w:webHidden/>
          </w:rPr>
        </w:r>
        <w:r w:rsidR="00397876" w:rsidRPr="00E03465">
          <w:rPr>
            <w:noProof/>
            <w:webHidden/>
          </w:rPr>
          <w:fldChar w:fldCharType="separate"/>
        </w:r>
        <w:r w:rsidR="002E7809">
          <w:rPr>
            <w:noProof/>
            <w:webHidden/>
          </w:rPr>
          <w:t>32</w:t>
        </w:r>
        <w:r w:rsidR="00397876" w:rsidRPr="00E03465">
          <w:rPr>
            <w:noProof/>
            <w:webHidden/>
          </w:rPr>
          <w:fldChar w:fldCharType="end"/>
        </w:r>
      </w:hyperlink>
    </w:p>
    <w:p w14:paraId="6D13EA7F" w14:textId="00944786"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4" w:history="1">
        <w:r w:rsidR="00397876" w:rsidRPr="00E03465">
          <w:rPr>
            <w:rStyle w:val="Hipervnculo"/>
            <w:noProof/>
          </w:rPr>
          <w:t>Gráfico 32.  Vulnerabilidad del Perfil de la Deuda Pública de Guatemala para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_Toc114493874 \h </w:instrText>
        </w:r>
        <w:r w:rsidR="00397876" w:rsidRPr="00E03465">
          <w:rPr>
            <w:noProof/>
            <w:webHidden/>
          </w:rPr>
        </w:r>
        <w:r w:rsidR="00397876" w:rsidRPr="00E03465">
          <w:rPr>
            <w:noProof/>
            <w:webHidden/>
          </w:rPr>
          <w:fldChar w:fldCharType="separate"/>
        </w:r>
        <w:r w:rsidR="002E7809">
          <w:rPr>
            <w:noProof/>
            <w:webHidden/>
          </w:rPr>
          <w:t>33</w:t>
        </w:r>
        <w:r w:rsidR="00397876" w:rsidRPr="00E03465">
          <w:rPr>
            <w:noProof/>
            <w:webHidden/>
          </w:rPr>
          <w:fldChar w:fldCharType="end"/>
        </w:r>
      </w:hyperlink>
    </w:p>
    <w:p w14:paraId="30180BC4" w14:textId="3BDAFC2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5" w:history="1">
        <w:r w:rsidR="00397876" w:rsidRPr="00E03465">
          <w:rPr>
            <w:rStyle w:val="Hipervnculo"/>
            <w:noProof/>
          </w:rPr>
          <w:t>Gráfico 33.  Indicador Deuda /PIB para países seleccionados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_Toc114493875 \h </w:instrText>
        </w:r>
        <w:r w:rsidR="00397876" w:rsidRPr="00E03465">
          <w:rPr>
            <w:noProof/>
            <w:webHidden/>
          </w:rPr>
        </w:r>
        <w:r w:rsidR="00397876" w:rsidRPr="00E03465">
          <w:rPr>
            <w:noProof/>
            <w:webHidden/>
          </w:rPr>
          <w:fldChar w:fldCharType="separate"/>
        </w:r>
        <w:r w:rsidR="002E7809">
          <w:rPr>
            <w:noProof/>
            <w:webHidden/>
          </w:rPr>
          <w:t>33</w:t>
        </w:r>
        <w:r w:rsidR="00397876" w:rsidRPr="00E03465">
          <w:rPr>
            <w:noProof/>
            <w:webHidden/>
          </w:rPr>
          <w:fldChar w:fldCharType="end"/>
        </w:r>
      </w:hyperlink>
    </w:p>
    <w:p w14:paraId="25881AF9" w14:textId="07CCA1FA"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6" w:history="1">
        <w:r w:rsidR="00397876" w:rsidRPr="00E03465">
          <w:rPr>
            <w:rStyle w:val="Hipervnculo"/>
            <w:noProof/>
          </w:rPr>
          <w:t>Gráfico 34.  Indicadores de deuda para Latinoamérica para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_Toc114493876 \h </w:instrText>
        </w:r>
        <w:r w:rsidR="00397876" w:rsidRPr="00E03465">
          <w:rPr>
            <w:noProof/>
            <w:webHidden/>
          </w:rPr>
        </w:r>
        <w:r w:rsidR="00397876" w:rsidRPr="00E03465">
          <w:rPr>
            <w:noProof/>
            <w:webHidden/>
          </w:rPr>
          <w:fldChar w:fldCharType="separate"/>
        </w:r>
        <w:r w:rsidR="002E7809">
          <w:rPr>
            <w:noProof/>
            <w:webHidden/>
          </w:rPr>
          <w:t>34</w:t>
        </w:r>
        <w:r w:rsidR="00397876" w:rsidRPr="00E03465">
          <w:rPr>
            <w:noProof/>
            <w:webHidden/>
          </w:rPr>
          <w:fldChar w:fldCharType="end"/>
        </w:r>
      </w:hyperlink>
    </w:p>
    <w:p w14:paraId="717F81D8" w14:textId="40261F81"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7" w:history="1">
        <w:r w:rsidR="00397876" w:rsidRPr="00E03465">
          <w:rPr>
            <w:rStyle w:val="Hipervnculo"/>
            <w:noProof/>
          </w:rPr>
          <w:t>Gráfico 35.  Indicadores de intereses para Latinoamérica para 2020</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_Toc114493877 \h </w:instrText>
        </w:r>
        <w:r w:rsidR="00397876" w:rsidRPr="00E03465">
          <w:rPr>
            <w:noProof/>
            <w:webHidden/>
          </w:rPr>
        </w:r>
        <w:r w:rsidR="00397876" w:rsidRPr="00E03465">
          <w:rPr>
            <w:noProof/>
            <w:webHidden/>
          </w:rPr>
          <w:fldChar w:fldCharType="separate"/>
        </w:r>
        <w:r w:rsidR="002E7809">
          <w:rPr>
            <w:noProof/>
            <w:webHidden/>
          </w:rPr>
          <w:t>34</w:t>
        </w:r>
        <w:r w:rsidR="00397876" w:rsidRPr="00E03465">
          <w:rPr>
            <w:noProof/>
            <w:webHidden/>
          </w:rPr>
          <w:fldChar w:fldCharType="end"/>
        </w:r>
      </w:hyperlink>
    </w:p>
    <w:p w14:paraId="43A52EEF" w14:textId="6277C14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8" w:history="1">
        <w:r w:rsidR="00397876" w:rsidRPr="00E03465">
          <w:rPr>
            <w:rStyle w:val="Hipervnculo"/>
            <w:noProof/>
          </w:rPr>
          <w:t>Gráfico 36.  EMBI Calculado para Países de América Latina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_Toc114493878 \h </w:instrText>
        </w:r>
        <w:r w:rsidR="00397876" w:rsidRPr="00E03465">
          <w:rPr>
            <w:noProof/>
            <w:webHidden/>
          </w:rPr>
        </w:r>
        <w:r w:rsidR="00397876" w:rsidRPr="00E03465">
          <w:rPr>
            <w:noProof/>
            <w:webHidden/>
          </w:rPr>
          <w:fldChar w:fldCharType="separate"/>
        </w:r>
        <w:r w:rsidR="002E7809">
          <w:rPr>
            <w:noProof/>
            <w:webHidden/>
          </w:rPr>
          <w:t>35</w:t>
        </w:r>
        <w:r w:rsidR="00397876" w:rsidRPr="00E03465">
          <w:rPr>
            <w:noProof/>
            <w:webHidden/>
          </w:rPr>
          <w:fldChar w:fldCharType="end"/>
        </w:r>
      </w:hyperlink>
    </w:p>
    <w:p w14:paraId="33065D38" w14:textId="4AB637C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79" w:history="1">
        <w:r w:rsidR="00397876" w:rsidRPr="00E03465">
          <w:rPr>
            <w:rStyle w:val="Hipervnculo"/>
            <w:noProof/>
          </w:rPr>
          <w:t>Gráfico 37.  Flujos creados de Deuda Pública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_Toc114493879 \h </w:instrText>
        </w:r>
        <w:r w:rsidR="00397876" w:rsidRPr="00E03465">
          <w:rPr>
            <w:noProof/>
            <w:webHidden/>
          </w:rPr>
        </w:r>
        <w:r w:rsidR="00397876" w:rsidRPr="00E03465">
          <w:rPr>
            <w:noProof/>
            <w:webHidden/>
          </w:rPr>
          <w:fldChar w:fldCharType="separate"/>
        </w:r>
        <w:r w:rsidR="002E7809">
          <w:rPr>
            <w:noProof/>
            <w:webHidden/>
          </w:rPr>
          <w:t>37</w:t>
        </w:r>
        <w:r w:rsidR="00397876" w:rsidRPr="00E03465">
          <w:rPr>
            <w:noProof/>
            <w:webHidden/>
          </w:rPr>
          <w:fldChar w:fldCharType="end"/>
        </w:r>
      </w:hyperlink>
    </w:p>
    <w:p w14:paraId="1632F162" w14:textId="2D02682E"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0" w:history="1">
        <w:r w:rsidR="00397876" w:rsidRPr="00E03465">
          <w:rPr>
            <w:rStyle w:val="Hipervnculo"/>
            <w:noProof/>
          </w:rPr>
          <w:t>Gráfico 38.  Pruebas de tensión para el Análisis de Sostenibilidad de la Deuda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_Toc114493880 \h </w:instrText>
        </w:r>
        <w:r w:rsidR="00397876" w:rsidRPr="00E03465">
          <w:rPr>
            <w:noProof/>
            <w:webHidden/>
          </w:rPr>
        </w:r>
        <w:r w:rsidR="00397876" w:rsidRPr="00E03465">
          <w:rPr>
            <w:noProof/>
            <w:webHidden/>
          </w:rPr>
          <w:fldChar w:fldCharType="separate"/>
        </w:r>
        <w:r w:rsidR="002E7809">
          <w:rPr>
            <w:noProof/>
            <w:webHidden/>
          </w:rPr>
          <w:t>39</w:t>
        </w:r>
        <w:r w:rsidR="00397876" w:rsidRPr="00E03465">
          <w:rPr>
            <w:noProof/>
            <w:webHidden/>
          </w:rPr>
          <w:fldChar w:fldCharType="end"/>
        </w:r>
      </w:hyperlink>
    </w:p>
    <w:p w14:paraId="3B62ED61" w14:textId="13E5EFA4"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1" w:history="1">
        <w:r w:rsidR="00397876" w:rsidRPr="00E03465">
          <w:rPr>
            <w:rStyle w:val="Hipervnculo"/>
            <w:noProof/>
          </w:rPr>
          <w:t>Gráfico 39.  Trayectoria de la Deuda Pública (Fan chart)</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_Toc114493881 \h </w:instrText>
        </w:r>
        <w:r w:rsidR="00397876" w:rsidRPr="00E03465">
          <w:rPr>
            <w:noProof/>
            <w:webHidden/>
          </w:rPr>
        </w:r>
        <w:r w:rsidR="00397876" w:rsidRPr="00E03465">
          <w:rPr>
            <w:noProof/>
            <w:webHidden/>
          </w:rPr>
          <w:fldChar w:fldCharType="separate"/>
        </w:r>
        <w:r w:rsidR="002E7809">
          <w:rPr>
            <w:noProof/>
            <w:webHidden/>
          </w:rPr>
          <w:t>40</w:t>
        </w:r>
        <w:r w:rsidR="00397876" w:rsidRPr="00E03465">
          <w:rPr>
            <w:noProof/>
            <w:webHidden/>
          </w:rPr>
          <w:fldChar w:fldCharType="end"/>
        </w:r>
      </w:hyperlink>
    </w:p>
    <w:p w14:paraId="5D398597" w14:textId="33784D3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2" w:history="1">
        <w:r w:rsidR="00397876" w:rsidRPr="00E03465">
          <w:rPr>
            <w:rStyle w:val="Hipervnculo"/>
            <w:noProof/>
          </w:rPr>
          <w:t>Gráfico 40.  Escenarios del comportamiento de la Deuda Pública en el Largo Plazo</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_Toc114493882 \h </w:instrText>
        </w:r>
        <w:r w:rsidR="00397876" w:rsidRPr="00E03465">
          <w:rPr>
            <w:noProof/>
            <w:webHidden/>
          </w:rPr>
        </w:r>
        <w:r w:rsidR="00397876" w:rsidRPr="00E03465">
          <w:rPr>
            <w:noProof/>
            <w:webHidden/>
          </w:rPr>
          <w:fldChar w:fldCharType="separate"/>
        </w:r>
        <w:r w:rsidR="002E7809">
          <w:rPr>
            <w:noProof/>
            <w:webHidden/>
          </w:rPr>
          <w:t>42</w:t>
        </w:r>
        <w:r w:rsidR="00397876" w:rsidRPr="00E03465">
          <w:rPr>
            <w:noProof/>
            <w:webHidden/>
          </w:rPr>
          <w:fldChar w:fldCharType="end"/>
        </w:r>
      </w:hyperlink>
    </w:p>
    <w:p w14:paraId="02C6EC84" w14:textId="63A105F2"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3" w:history="1">
        <w:r w:rsidR="00397876" w:rsidRPr="00E03465">
          <w:rPr>
            <w:rStyle w:val="Hipervnculo"/>
            <w:noProof/>
          </w:rPr>
          <w:t>Gráfico 41.  Escenarios de Ajuste Fiscal para Atenuar Choques Adversos en la Deuda Pública de Largo Plazo</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_Toc114493883 \h </w:instrText>
        </w:r>
        <w:r w:rsidR="00397876" w:rsidRPr="00E03465">
          <w:rPr>
            <w:noProof/>
            <w:webHidden/>
          </w:rPr>
        </w:r>
        <w:r w:rsidR="00397876" w:rsidRPr="00E03465">
          <w:rPr>
            <w:noProof/>
            <w:webHidden/>
          </w:rPr>
          <w:fldChar w:fldCharType="separate"/>
        </w:r>
        <w:r w:rsidR="002E7809">
          <w:rPr>
            <w:noProof/>
            <w:webHidden/>
          </w:rPr>
          <w:t>42</w:t>
        </w:r>
        <w:r w:rsidR="00397876" w:rsidRPr="00E03465">
          <w:rPr>
            <w:noProof/>
            <w:webHidden/>
          </w:rPr>
          <w:fldChar w:fldCharType="end"/>
        </w:r>
      </w:hyperlink>
    </w:p>
    <w:p w14:paraId="246C44B1" w14:textId="1DBD5925"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4" w:history="1">
        <w:r w:rsidR="00397876" w:rsidRPr="00E03465">
          <w:rPr>
            <w:rStyle w:val="Hipervnculo"/>
            <w:noProof/>
          </w:rPr>
          <w:t xml:space="preserve">Gráfico 42.  </w:t>
        </w:r>
        <w:r w:rsidR="00397876" w:rsidRPr="00E03465">
          <w:rPr>
            <w:rStyle w:val="Hipervnculo"/>
            <w:bCs/>
            <w:noProof/>
            <w:lang w:val="es-MX"/>
          </w:rPr>
          <w:t>Autonomía Financiera de las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_Toc114493884 \h </w:instrText>
        </w:r>
        <w:r w:rsidR="00397876" w:rsidRPr="00E03465">
          <w:rPr>
            <w:noProof/>
            <w:webHidden/>
          </w:rPr>
        </w:r>
        <w:r w:rsidR="00397876" w:rsidRPr="00E03465">
          <w:rPr>
            <w:noProof/>
            <w:webHidden/>
          </w:rPr>
          <w:fldChar w:fldCharType="separate"/>
        </w:r>
        <w:r w:rsidR="002E7809">
          <w:rPr>
            <w:noProof/>
            <w:webHidden/>
          </w:rPr>
          <w:t>44</w:t>
        </w:r>
        <w:r w:rsidR="00397876" w:rsidRPr="00E03465">
          <w:rPr>
            <w:noProof/>
            <w:webHidden/>
          </w:rPr>
          <w:fldChar w:fldCharType="end"/>
        </w:r>
      </w:hyperlink>
    </w:p>
    <w:p w14:paraId="689411BE" w14:textId="36553724"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5" w:history="1">
        <w:r w:rsidR="00397876" w:rsidRPr="00E03465">
          <w:rPr>
            <w:rStyle w:val="Hipervnculo"/>
            <w:noProof/>
          </w:rPr>
          <w:t xml:space="preserve">Gráfico 43.  </w:t>
        </w:r>
        <w:r w:rsidR="00397876" w:rsidRPr="00E03465">
          <w:rPr>
            <w:rStyle w:val="Hipervnculo"/>
            <w:bCs/>
            <w:noProof/>
          </w:rPr>
          <w:t>Principales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_Toc114493885 \h </w:instrText>
        </w:r>
        <w:r w:rsidR="00397876" w:rsidRPr="00E03465">
          <w:rPr>
            <w:noProof/>
            <w:webHidden/>
          </w:rPr>
        </w:r>
        <w:r w:rsidR="00397876" w:rsidRPr="00E03465">
          <w:rPr>
            <w:noProof/>
            <w:webHidden/>
          </w:rPr>
          <w:fldChar w:fldCharType="separate"/>
        </w:r>
        <w:r w:rsidR="002E7809">
          <w:rPr>
            <w:noProof/>
            <w:webHidden/>
          </w:rPr>
          <w:t>45</w:t>
        </w:r>
        <w:r w:rsidR="00397876" w:rsidRPr="00E03465">
          <w:rPr>
            <w:noProof/>
            <w:webHidden/>
          </w:rPr>
          <w:fldChar w:fldCharType="end"/>
        </w:r>
      </w:hyperlink>
    </w:p>
    <w:p w14:paraId="137995E5" w14:textId="3FEF9068"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6" w:history="1">
        <w:r w:rsidR="00397876" w:rsidRPr="00E03465">
          <w:rPr>
            <w:rStyle w:val="Hipervnculo"/>
            <w:noProof/>
          </w:rPr>
          <w:t xml:space="preserve">Gráfico 44.  </w:t>
        </w:r>
        <w:r w:rsidR="00397876" w:rsidRPr="00E03465">
          <w:rPr>
            <w:rStyle w:val="Hipervnculo"/>
            <w:bCs/>
            <w:noProof/>
          </w:rPr>
          <w:t>Inversión por Habitantes de las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_Toc114493886 \h </w:instrText>
        </w:r>
        <w:r w:rsidR="00397876" w:rsidRPr="00E03465">
          <w:rPr>
            <w:noProof/>
            <w:webHidden/>
          </w:rPr>
        </w:r>
        <w:r w:rsidR="00397876" w:rsidRPr="00E03465">
          <w:rPr>
            <w:noProof/>
            <w:webHidden/>
          </w:rPr>
          <w:fldChar w:fldCharType="separate"/>
        </w:r>
        <w:r w:rsidR="002E7809">
          <w:rPr>
            <w:noProof/>
            <w:webHidden/>
          </w:rPr>
          <w:t>46</w:t>
        </w:r>
        <w:r w:rsidR="00397876" w:rsidRPr="00E03465">
          <w:rPr>
            <w:noProof/>
            <w:webHidden/>
          </w:rPr>
          <w:fldChar w:fldCharType="end"/>
        </w:r>
      </w:hyperlink>
    </w:p>
    <w:p w14:paraId="3A782CF0" w14:textId="2EBF7866"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7" w:history="1">
        <w:r w:rsidR="00397876" w:rsidRPr="00E03465">
          <w:rPr>
            <w:rStyle w:val="Hipervnculo"/>
            <w:noProof/>
          </w:rPr>
          <w:t xml:space="preserve">Gráfico 45.  </w:t>
        </w:r>
        <w:r w:rsidR="00397876" w:rsidRPr="00E03465">
          <w:rPr>
            <w:rStyle w:val="Hipervnculo"/>
            <w:bCs/>
            <w:noProof/>
          </w:rPr>
          <w:t>Principales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_Toc114493887 \h </w:instrText>
        </w:r>
        <w:r w:rsidR="00397876" w:rsidRPr="00E03465">
          <w:rPr>
            <w:noProof/>
            <w:webHidden/>
          </w:rPr>
        </w:r>
        <w:r w:rsidR="00397876" w:rsidRPr="00E03465">
          <w:rPr>
            <w:noProof/>
            <w:webHidden/>
          </w:rPr>
          <w:fldChar w:fldCharType="separate"/>
        </w:r>
        <w:r w:rsidR="002E7809">
          <w:rPr>
            <w:noProof/>
            <w:webHidden/>
          </w:rPr>
          <w:t>47</w:t>
        </w:r>
        <w:r w:rsidR="00397876" w:rsidRPr="00E03465">
          <w:rPr>
            <w:noProof/>
            <w:webHidden/>
          </w:rPr>
          <w:fldChar w:fldCharType="end"/>
        </w:r>
      </w:hyperlink>
    </w:p>
    <w:p w14:paraId="2F60B640" w14:textId="37780AD9"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8" w:history="1">
        <w:r w:rsidR="00397876" w:rsidRPr="00E03465">
          <w:rPr>
            <w:rStyle w:val="Hipervnculo"/>
            <w:noProof/>
          </w:rPr>
          <w:t xml:space="preserve">Gráfico 46.  </w:t>
        </w:r>
        <w:r w:rsidR="00397876" w:rsidRPr="00E03465">
          <w:rPr>
            <w:rStyle w:val="Hipervnculo"/>
            <w:noProof/>
            <w:lang w:val="es-MX"/>
          </w:rPr>
          <w:t>Liquidez Financiera de las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_Toc114493888 \h </w:instrText>
        </w:r>
        <w:r w:rsidR="00397876" w:rsidRPr="00E03465">
          <w:rPr>
            <w:noProof/>
            <w:webHidden/>
          </w:rPr>
        </w:r>
        <w:r w:rsidR="00397876" w:rsidRPr="00E03465">
          <w:rPr>
            <w:noProof/>
            <w:webHidden/>
          </w:rPr>
          <w:fldChar w:fldCharType="separate"/>
        </w:r>
        <w:r w:rsidR="002E7809">
          <w:rPr>
            <w:noProof/>
            <w:webHidden/>
          </w:rPr>
          <w:t>47</w:t>
        </w:r>
        <w:r w:rsidR="00397876" w:rsidRPr="00E03465">
          <w:rPr>
            <w:noProof/>
            <w:webHidden/>
          </w:rPr>
          <w:fldChar w:fldCharType="end"/>
        </w:r>
      </w:hyperlink>
    </w:p>
    <w:p w14:paraId="2C3C7E88" w14:textId="5AA79E9B"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89" w:history="1">
        <w:r w:rsidR="00397876" w:rsidRPr="00E03465">
          <w:rPr>
            <w:rStyle w:val="Hipervnculo"/>
            <w:noProof/>
          </w:rPr>
          <w:t xml:space="preserve">Gráfico 47.  </w:t>
        </w:r>
        <w:r w:rsidR="00397876" w:rsidRPr="00E03465">
          <w:rPr>
            <w:rStyle w:val="Hipervnculo"/>
            <w:bCs/>
            <w:noProof/>
          </w:rPr>
          <w:t>Liquidez Financiera de la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_Toc114493889 \h </w:instrText>
        </w:r>
        <w:r w:rsidR="00397876" w:rsidRPr="00E03465">
          <w:rPr>
            <w:noProof/>
            <w:webHidden/>
          </w:rPr>
        </w:r>
        <w:r w:rsidR="00397876" w:rsidRPr="00E03465">
          <w:rPr>
            <w:noProof/>
            <w:webHidden/>
          </w:rPr>
          <w:fldChar w:fldCharType="separate"/>
        </w:r>
        <w:r w:rsidR="002E7809">
          <w:rPr>
            <w:noProof/>
            <w:webHidden/>
          </w:rPr>
          <w:t>48</w:t>
        </w:r>
        <w:r w:rsidR="00397876" w:rsidRPr="00E03465">
          <w:rPr>
            <w:noProof/>
            <w:webHidden/>
          </w:rPr>
          <w:fldChar w:fldCharType="end"/>
        </w:r>
      </w:hyperlink>
    </w:p>
    <w:p w14:paraId="27CEF39C" w14:textId="2169B559"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0" w:history="1">
        <w:r w:rsidR="00397876" w:rsidRPr="00E03465">
          <w:rPr>
            <w:rStyle w:val="Hipervnculo"/>
            <w:noProof/>
          </w:rPr>
          <w:t xml:space="preserve">Gráfico 48.  </w:t>
        </w:r>
        <w:r w:rsidR="00397876" w:rsidRPr="00E03465">
          <w:rPr>
            <w:rStyle w:val="Hipervnculo"/>
            <w:bCs/>
            <w:noProof/>
          </w:rPr>
          <w:t>Principales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_Toc114493890 \h </w:instrText>
        </w:r>
        <w:r w:rsidR="00397876" w:rsidRPr="00E03465">
          <w:rPr>
            <w:noProof/>
            <w:webHidden/>
          </w:rPr>
        </w:r>
        <w:r w:rsidR="00397876" w:rsidRPr="00E03465">
          <w:rPr>
            <w:noProof/>
            <w:webHidden/>
          </w:rPr>
          <w:fldChar w:fldCharType="separate"/>
        </w:r>
        <w:r w:rsidR="002E7809">
          <w:rPr>
            <w:noProof/>
            <w:webHidden/>
          </w:rPr>
          <w:t>48</w:t>
        </w:r>
        <w:r w:rsidR="00397876" w:rsidRPr="00E03465">
          <w:rPr>
            <w:noProof/>
            <w:webHidden/>
          </w:rPr>
          <w:fldChar w:fldCharType="end"/>
        </w:r>
      </w:hyperlink>
    </w:p>
    <w:p w14:paraId="49647718" w14:textId="27AA7E6B"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1" w:history="1">
        <w:r w:rsidR="00397876" w:rsidRPr="00E03465">
          <w:rPr>
            <w:rStyle w:val="Hipervnculo"/>
            <w:noProof/>
          </w:rPr>
          <w:t xml:space="preserve">Gráfico 49.  </w:t>
        </w:r>
        <w:r w:rsidR="00397876" w:rsidRPr="00E03465">
          <w:rPr>
            <w:rStyle w:val="Hipervnculo"/>
            <w:bCs/>
            <w:noProof/>
            <w:lang w:val="es-MX"/>
          </w:rPr>
          <w:t>Obligaciones financieras de las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_Toc114493891 \h </w:instrText>
        </w:r>
        <w:r w:rsidR="00397876" w:rsidRPr="00E03465">
          <w:rPr>
            <w:noProof/>
            <w:webHidden/>
          </w:rPr>
        </w:r>
        <w:r w:rsidR="00397876" w:rsidRPr="00E03465">
          <w:rPr>
            <w:noProof/>
            <w:webHidden/>
          </w:rPr>
          <w:fldChar w:fldCharType="separate"/>
        </w:r>
        <w:r w:rsidR="002E7809">
          <w:rPr>
            <w:noProof/>
            <w:webHidden/>
          </w:rPr>
          <w:t>49</w:t>
        </w:r>
        <w:r w:rsidR="00397876" w:rsidRPr="00E03465">
          <w:rPr>
            <w:noProof/>
            <w:webHidden/>
          </w:rPr>
          <w:fldChar w:fldCharType="end"/>
        </w:r>
      </w:hyperlink>
    </w:p>
    <w:p w14:paraId="2E39C23D" w14:textId="40D94509"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2" w:history="1">
        <w:r w:rsidR="00397876" w:rsidRPr="00E03465">
          <w:rPr>
            <w:rStyle w:val="Hipervnculo"/>
            <w:noProof/>
          </w:rPr>
          <w:t xml:space="preserve">Gráfico 50.  </w:t>
        </w:r>
        <w:r w:rsidR="00397876" w:rsidRPr="00E03465">
          <w:rPr>
            <w:rStyle w:val="Hipervnculo"/>
            <w:bCs/>
            <w:noProof/>
            <w:lang w:val="es-MX"/>
          </w:rPr>
          <w:t>Municipalidades según sus niveles de Obligaciones Financieras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_Toc114493892 \h </w:instrText>
        </w:r>
        <w:r w:rsidR="00397876" w:rsidRPr="00E03465">
          <w:rPr>
            <w:noProof/>
            <w:webHidden/>
          </w:rPr>
        </w:r>
        <w:r w:rsidR="00397876" w:rsidRPr="00E03465">
          <w:rPr>
            <w:noProof/>
            <w:webHidden/>
          </w:rPr>
          <w:fldChar w:fldCharType="separate"/>
        </w:r>
        <w:r w:rsidR="002E7809">
          <w:rPr>
            <w:noProof/>
            <w:webHidden/>
          </w:rPr>
          <w:t>49</w:t>
        </w:r>
        <w:r w:rsidR="00397876" w:rsidRPr="00E03465">
          <w:rPr>
            <w:noProof/>
            <w:webHidden/>
          </w:rPr>
          <w:fldChar w:fldCharType="end"/>
        </w:r>
      </w:hyperlink>
    </w:p>
    <w:p w14:paraId="78DD74ED" w14:textId="57E67CC2"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3" w:history="1">
        <w:r w:rsidR="00397876" w:rsidRPr="00E03465">
          <w:rPr>
            <w:rStyle w:val="Hipervnculo"/>
            <w:noProof/>
          </w:rPr>
          <w:t xml:space="preserve">Gráfico 51.  </w:t>
        </w:r>
        <w:r w:rsidR="00397876" w:rsidRPr="00E03465">
          <w:rPr>
            <w:rStyle w:val="Hipervnculo"/>
            <w:bCs/>
            <w:noProof/>
          </w:rPr>
          <w:t>Principales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_Toc114493893 \h </w:instrText>
        </w:r>
        <w:r w:rsidR="00397876" w:rsidRPr="00E03465">
          <w:rPr>
            <w:noProof/>
            <w:webHidden/>
          </w:rPr>
        </w:r>
        <w:r w:rsidR="00397876" w:rsidRPr="00E03465">
          <w:rPr>
            <w:noProof/>
            <w:webHidden/>
          </w:rPr>
          <w:fldChar w:fldCharType="separate"/>
        </w:r>
        <w:r w:rsidR="002E7809">
          <w:rPr>
            <w:noProof/>
            <w:webHidden/>
          </w:rPr>
          <w:t>50</w:t>
        </w:r>
        <w:r w:rsidR="00397876" w:rsidRPr="00E03465">
          <w:rPr>
            <w:noProof/>
            <w:webHidden/>
          </w:rPr>
          <w:fldChar w:fldCharType="end"/>
        </w:r>
      </w:hyperlink>
    </w:p>
    <w:p w14:paraId="62DB8EF9" w14:textId="64468871"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4" w:history="1">
        <w:r w:rsidR="00397876" w:rsidRPr="00E03465">
          <w:rPr>
            <w:rStyle w:val="Hipervnculo"/>
            <w:noProof/>
          </w:rPr>
          <w:t xml:space="preserve">Gráfico 52.  </w:t>
        </w:r>
        <w:r w:rsidR="00397876" w:rsidRPr="00E03465">
          <w:rPr>
            <w:rStyle w:val="Hipervnculo"/>
            <w:rFonts w:eastAsia="Times New Roman"/>
            <w:noProof/>
            <w:lang w:eastAsia="es-GT"/>
          </w:rPr>
          <w:t>Obligaciones financieras de las Municipalidades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_Toc114493894 \h </w:instrText>
        </w:r>
        <w:r w:rsidR="00397876" w:rsidRPr="00E03465">
          <w:rPr>
            <w:noProof/>
            <w:webHidden/>
          </w:rPr>
        </w:r>
        <w:r w:rsidR="00397876" w:rsidRPr="00E03465">
          <w:rPr>
            <w:noProof/>
            <w:webHidden/>
          </w:rPr>
          <w:fldChar w:fldCharType="separate"/>
        </w:r>
        <w:r w:rsidR="002E7809">
          <w:rPr>
            <w:noProof/>
            <w:webHidden/>
          </w:rPr>
          <w:t>51</w:t>
        </w:r>
        <w:r w:rsidR="00397876" w:rsidRPr="00E03465">
          <w:rPr>
            <w:noProof/>
            <w:webHidden/>
          </w:rPr>
          <w:fldChar w:fldCharType="end"/>
        </w:r>
      </w:hyperlink>
    </w:p>
    <w:p w14:paraId="1C08CF6F" w14:textId="272BA47C"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5" w:history="1">
        <w:r w:rsidR="00397876" w:rsidRPr="00E03465">
          <w:rPr>
            <w:rStyle w:val="Hipervnculo"/>
            <w:noProof/>
          </w:rPr>
          <w:t xml:space="preserve">Gráfico 53.  </w:t>
        </w:r>
        <w:r w:rsidR="00397876" w:rsidRPr="00E03465">
          <w:rPr>
            <w:rStyle w:val="Hipervnculo"/>
            <w:rFonts w:eastAsia="Calibri"/>
            <w:noProof/>
          </w:rPr>
          <w:t>Resultado Presupuestario de las Empresas Públicas Nacionales y Municipales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_Toc114493895 \h </w:instrText>
        </w:r>
        <w:r w:rsidR="00397876" w:rsidRPr="00E03465">
          <w:rPr>
            <w:noProof/>
            <w:webHidden/>
          </w:rPr>
        </w:r>
        <w:r w:rsidR="00397876" w:rsidRPr="00E03465">
          <w:rPr>
            <w:noProof/>
            <w:webHidden/>
          </w:rPr>
          <w:fldChar w:fldCharType="separate"/>
        </w:r>
        <w:r w:rsidR="002E7809">
          <w:rPr>
            <w:noProof/>
            <w:webHidden/>
          </w:rPr>
          <w:t>55</w:t>
        </w:r>
        <w:r w:rsidR="00397876" w:rsidRPr="00E03465">
          <w:rPr>
            <w:noProof/>
            <w:webHidden/>
          </w:rPr>
          <w:fldChar w:fldCharType="end"/>
        </w:r>
      </w:hyperlink>
    </w:p>
    <w:p w14:paraId="190A9B29" w14:textId="7168C820"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6" w:history="1">
        <w:r w:rsidR="00397876" w:rsidRPr="00E03465">
          <w:rPr>
            <w:rStyle w:val="Hipervnculo"/>
            <w:noProof/>
          </w:rPr>
          <w:t xml:space="preserve">Gráfico 54.  </w:t>
        </w:r>
        <w:r w:rsidR="00397876" w:rsidRPr="00E03465">
          <w:rPr>
            <w:rStyle w:val="Hipervnculo"/>
            <w:rFonts w:eastAsia="Calibri"/>
            <w:noProof/>
          </w:rPr>
          <w:t>Resultado Presupuestario para el 2021 de las Empresas Públicas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_Toc114493896 \h </w:instrText>
        </w:r>
        <w:r w:rsidR="00397876" w:rsidRPr="00E03465">
          <w:rPr>
            <w:noProof/>
            <w:webHidden/>
          </w:rPr>
        </w:r>
        <w:r w:rsidR="00397876" w:rsidRPr="00E03465">
          <w:rPr>
            <w:noProof/>
            <w:webHidden/>
          </w:rPr>
          <w:fldChar w:fldCharType="separate"/>
        </w:r>
        <w:r w:rsidR="002E7809">
          <w:rPr>
            <w:noProof/>
            <w:webHidden/>
          </w:rPr>
          <w:t>56</w:t>
        </w:r>
        <w:r w:rsidR="00397876" w:rsidRPr="00E03465">
          <w:rPr>
            <w:noProof/>
            <w:webHidden/>
          </w:rPr>
          <w:fldChar w:fldCharType="end"/>
        </w:r>
      </w:hyperlink>
    </w:p>
    <w:p w14:paraId="46EF3276" w14:textId="2FCCEA91"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7" w:history="1">
        <w:r w:rsidR="00397876" w:rsidRPr="00E03465">
          <w:rPr>
            <w:rStyle w:val="Hipervnculo"/>
            <w:noProof/>
          </w:rPr>
          <w:t xml:space="preserve">Gráfico 55.  </w:t>
        </w:r>
        <w:r w:rsidR="00397876" w:rsidRPr="00E03465">
          <w:rPr>
            <w:rStyle w:val="Hipervnculo"/>
            <w:rFonts w:eastAsia="Calibri"/>
            <w:noProof/>
          </w:rPr>
          <w:t>Resultado Presupuestario para el 2021 de las Empresas Públicas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_Toc114493897 \h </w:instrText>
        </w:r>
        <w:r w:rsidR="00397876" w:rsidRPr="00E03465">
          <w:rPr>
            <w:noProof/>
            <w:webHidden/>
          </w:rPr>
        </w:r>
        <w:r w:rsidR="00397876" w:rsidRPr="00E03465">
          <w:rPr>
            <w:noProof/>
            <w:webHidden/>
          </w:rPr>
          <w:fldChar w:fldCharType="separate"/>
        </w:r>
        <w:r w:rsidR="002E7809">
          <w:rPr>
            <w:noProof/>
            <w:webHidden/>
          </w:rPr>
          <w:t>57</w:t>
        </w:r>
        <w:r w:rsidR="00397876" w:rsidRPr="00E03465">
          <w:rPr>
            <w:noProof/>
            <w:webHidden/>
          </w:rPr>
          <w:fldChar w:fldCharType="end"/>
        </w:r>
      </w:hyperlink>
    </w:p>
    <w:p w14:paraId="616FA60B" w14:textId="7B126861"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8" w:history="1">
        <w:r w:rsidR="00397876" w:rsidRPr="00E03465">
          <w:rPr>
            <w:rStyle w:val="Hipervnculo"/>
            <w:noProof/>
          </w:rPr>
          <w:t xml:space="preserve">Gráfico 56.  </w:t>
        </w:r>
        <w:r w:rsidR="00397876" w:rsidRPr="00E03465">
          <w:rPr>
            <w:rStyle w:val="Hipervnculo"/>
            <w:bCs/>
            <w:noProof/>
            <w:lang w:val="es-MX"/>
          </w:rPr>
          <w:t>Obligaciones financieras de las Empresas Públicas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_Toc114493898 \h </w:instrText>
        </w:r>
        <w:r w:rsidR="00397876" w:rsidRPr="00E03465">
          <w:rPr>
            <w:noProof/>
            <w:webHidden/>
          </w:rPr>
        </w:r>
        <w:r w:rsidR="00397876" w:rsidRPr="00E03465">
          <w:rPr>
            <w:noProof/>
            <w:webHidden/>
          </w:rPr>
          <w:fldChar w:fldCharType="separate"/>
        </w:r>
        <w:r w:rsidR="002E7809">
          <w:rPr>
            <w:noProof/>
            <w:webHidden/>
          </w:rPr>
          <w:t>58</w:t>
        </w:r>
        <w:r w:rsidR="00397876" w:rsidRPr="00E03465">
          <w:rPr>
            <w:noProof/>
            <w:webHidden/>
          </w:rPr>
          <w:fldChar w:fldCharType="end"/>
        </w:r>
      </w:hyperlink>
    </w:p>
    <w:p w14:paraId="1341D149" w14:textId="57BC2FBC"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899" w:history="1">
        <w:r w:rsidR="00397876" w:rsidRPr="00E03465">
          <w:rPr>
            <w:rStyle w:val="Hipervnculo"/>
            <w:noProof/>
          </w:rPr>
          <w:t xml:space="preserve">Gráfico 57.  </w:t>
        </w:r>
        <w:r w:rsidR="00397876" w:rsidRPr="00E03465">
          <w:rPr>
            <w:rStyle w:val="Hipervnculo"/>
            <w:bCs/>
            <w:noProof/>
            <w:lang w:val="es-MX"/>
          </w:rPr>
          <w:t>Obligaciones financieras de las Empresas Públicas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_Toc114493899 \h </w:instrText>
        </w:r>
        <w:r w:rsidR="00397876" w:rsidRPr="00E03465">
          <w:rPr>
            <w:noProof/>
            <w:webHidden/>
          </w:rPr>
        </w:r>
        <w:r w:rsidR="00397876" w:rsidRPr="00E03465">
          <w:rPr>
            <w:noProof/>
            <w:webHidden/>
          </w:rPr>
          <w:fldChar w:fldCharType="separate"/>
        </w:r>
        <w:r w:rsidR="002E7809">
          <w:rPr>
            <w:noProof/>
            <w:webHidden/>
          </w:rPr>
          <w:t>59</w:t>
        </w:r>
        <w:r w:rsidR="00397876" w:rsidRPr="00E03465">
          <w:rPr>
            <w:noProof/>
            <w:webHidden/>
          </w:rPr>
          <w:fldChar w:fldCharType="end"/>
        </w:r>
      </w:hyperlink>
    </w:p>
    <w:p w14:paraId="5F069677" w14:textId="73B2B57A"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0" w:history="1">
        <w:r w:rsidR="00397876" w:rsidRPr="00E03465">
          <w:rPr>
            <w:rStyle w:val="Hipervnculo"/>
            <w:noProof/>
          </w:rPr>
          <w:t xml:space="preserve">Gráfico 58.  </w:t>
        </w:r>
        <w:r w:rsidR="00397876" w:rsidRPr="00E03465">
          <w:rPr>
            <w:rStyle w:val="Hipervnculo"/>
            <w:bCs/>
            <w:noProof/>
            <w:lang w:val="es-MX"/>
          </w:rPr>
          <w:t>Liquidez Financiera Empresas Públicas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_Toc114493900 \h </w:instrText>
        </w:r>
        <w:r w:rsidR="00397876" w:rsidRPr="00E03465">
          <w:rPr>
            <w:noProof/>
            <w:webHidden/>
          </w:rPr>
        </w:r>
        <w:r w:rsidR="00397876" w:rsidRPr="00E03465">
          <w:rPr>
            <w:noProof/>
            <w:webHidden/>
          </w:rPr>
          <w:fldChar w:fldCharType="separate"/>
        </w:r>
        <w:r w:rsidR="002E7809">
          <w:rPr>
            <w:noProof/>
            <w:webHidden/>
          </w:rPr>
          <w:t>60</w:t>
        </w:r>
        <w:r w:rsidR="00397876" w:rsidRPr="00E03465">
          <w:rPr>
            <w:noProof/>
            <w:webHidden/>
          </w:rPr>
          <w:fldChar w:fldCharType="end"/>
        </w:r>
      </w:hyperlink>
    </w:p>
    <w:p w14:paraId="1AC72EDF" w14:textId="6AD49A39"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1" w:history="1">
        <w:r w:rsidR="00397876" w:rsidRPr="00E03465">
          <w:rPr>
            <w:rStyle w:val="Hipervnculo"/>
            <w:noProof/>
          </w:rPr>
          <w:t xml:space="preserve">Gráfico 59.  </w:t>
        </w:r>
        <w:r w:rsidR="00397876" w:rsidRPr="00E03465">
          <w:rPr>
            <w:rStyle w:val="Hipervnculo"/>
            <w:bCs/>
            <w:noProof/>
          </w:rPr>
          <w:t>Liquidez Financiera para el año 2021 De las Empresas Públicas No Financieras Nacionales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_Toc114493901 \h </w:instrText>
        </w:r>
        <w:r w:rsidR="00397876" w:rsidRPr="00E03465">
          <w:rPr>
            <w:noProof/>
            <w:webHidden/>
          </w:rPr>
        </w:r>
        <w:r w:rsidR="00397876" w:rsidRPr="00E03465">
          <w:rPr>
            <w:noProof/>
            <w:webHidden/>
          </w:rPr>
          <w:fldChar w:fldCharType="separate"/>
        </w:r>
        <w:r w:rsidR="002E7809">
          <w:rPr>
            <w:noProof/>
            <w:webHidden/>
          </w:rPr>
          <w:t>61</w:t>
        </w:r>
        <w:r w:rsidR="00397876" w:rsidRPr="00E03465">
          <w:rPr>
            <w:noProof/>
            <w:webHidden/>
          </w:rPr>
          <w:fldChar w:fldCharType="end"/>
        </w:r>
      </w:hyperlink>
    </w:p>
    <w:p w14:paraId="665DDA1B" w14:textId="5D55140C"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2" w:history="1">
        <w:r w:rsidR="00397876" w:rsidRPr="00E03465">
          <w:rPr>
            <w:rStyle w:val="Hipervnculo"/>
            <w:noProof/>
          </w:rPr>
          <w:t xml:space="preserve">Gráfico 60.  </w:t>
        </w:r>
        <w:r w:rsidR="00397876" w:rsidRPr="00E03465">
          <w:rPr>
            <w:rStyle w:val="Hipervnculo"/>
            <w:bCs/>
            <w:noProof/>
          </w:rPr>
          <w:t>Liquidez Financiera para el año 2021 De las Empresas Públicas No Financieras Municipales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_Toc114493902 \h </w:instrText>
        </w:r>
        <w:r w:rsidR="00397876" w:rsidRPr="00E03465">
          <w:rPr>
            <w:noProof/>
            <w:webHidden/>
          </w:rPr>
        </w:r>
        <w:r w:rsidR="00397876" w:rsidRPr="00E03465">
          <w:rPr>
            <w:noProof/>
            <w:webHidden/>
          </w:rPr>
          <w:fldChar w:fldCharType="separate"/>
        </w:r>
        <w:r w:rsidR="002E7809">
          <w:rPr>
            <w:noProof/>
            <w:webHidden/>
          </w:rPr>
          <w:t>62</w:t>
        </w:r>
        <w:r w:rsidR="00397876" w:rsidRPr="00E03465">
          <w:rPr>
            <w:noProof/>
            <w:webHidden/>
          </w:rPr>
          <w:fldChar w:fldCharType="end"/>
        </w:r>
      </w:hyperlink>
    </w:p>
    <w:p w14:paraId="39852762" w14:textId="22CBD379"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3" w:history="1">
        <w:r w:rsidR="00397876" w:rsidRPr="00E03465">
          <w:rPr>
            <w:rStyle w:val="Hipervnculo"/>
            <w:noProof/>
          </w:rPr>
          <w:t xml:space="preserve">Gráfico 61.  </w:t>
        </w:r>
        <w:r w:rsidR="00397876" w:rsidRPr="00E03465">
          <w:rPr>
            <w:rStyle w:val="Hipervnculo"/>
            <w:noProof/>
            <w:lang w:val="es-MX"/>
          </w:rPr>
          <w:t>Obligaciones financieras respecto al PIB</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_Toc114493903 \h </w:instrText>
        </w:r>
        <w:r w:rsidR="00397876" w:rsidRPr="00E03465">
          <w:rPr>
            <w:noProof/>
            <w:webHidden/>
          </w:rPr>
        </w:r>
        <w:r w:rsidR="00397876" w:rsidRPr="00E03465">
          <w:rPr>
            <w:noProof/>
            <w:webHidden/>
          </w:rPr>
          <w:fldChar w:fldCharType="separate"/>
        </w:r>
        <w:r w:rsidR="002E7809">
          <w:rPr>
            <w:noProof/>
            <w:webHidden/>
          </w:rPr>
          <w:t>62</w:t>
        </w:r>
        <w:r w:rsidR="00397876" w:rsidRPr="00E03465">
          <w:rPr>
            <w:noProof/>
            <w:webHidden/>
          </w:rPr>
          <w:fldChar w:fldCharType="end"/>
        </w:r>
      </w:hyperlink>
    </w:p>
    <w:p w14:paraId="4444B1D1" w14:textId="4581A02F"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4" w:history="1">
        <w:r w:rsidR="00397876" w:rsidRPr="00E03465">
          <w:rPr>
            <w:rStyle w:val="Hipervnculo"/>
            <w:noProof/>
          </w:rPr>
          <w:t xml:space="preserve">Gráfico 62.  </w:t>
        </w:r>
        <w:r w:rsidR="00397876" w:rsidRPr="00E03465">
          <w:rPr>
            <w:rStyle w:val="Hipervnculo"/>
            <w:bCs/>
            <w:noProof/>
          </w:rPr>
          <w:t>Perspectivas de la estructura porcentual de la población por grupo etario.</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_Toc114493904 \h </w:instrText>
        </w:r>
        <w:r w:rsidR="00397876" w:rsidRPr="00E03465">
          <w:rPr>
            <w:noProof/>
            <w:webHidden/>
          </w:rPr>
        </w:r>
        <w:r w:rsidR="00397876" w:rsidRPr="00E03465">
          <w:rPr>
            <w:noProof/>
            <w:webHidden/>
          </w:rPr>
          <w:fldChar w:fldCharType="separate"/>
        </w:r>
        <w:r w:rsidR="002E7809">
          <w:rPr>
            <w:noProof/>
            <w:webHidden/>
          </w:rPr>
          <w:t>63</w:t>
        </w:r>
        <w:r w:rsidR="00397876" w:rsidRPr="00E03465">
          <w:rPr>
            <w:noProof/>
            <w:webHidden/>
          </w:rPr>
          <w:fldChar w:fldCharType="end"/>
        </w:r>
      </w:hyperlink>
    </w:p>
    <w:p w14:paraId="1A668940" w14:textId="08A47F1E"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5" w:history="1">
        <w:r w:rsidR="00397876" w:rsidRPr="00E03465">
          <w:rPr>
            <w:rStyle w:val="Hipervnculo"/>
            <w:noProof/>
          </w:rPr>
          <w:t xml:space="preserve">Gráfico 63.  </w:t>
        </w:r>
        <w:r w:rsidR="00397876" w:rsidRPr="00E03465">
          <w:rPr>
            <w:rStyle w:val="Hipervnculo"/>
            <w:bCs/>
            <w:noProof/>
          </w:rPr>
          <w:t>Afiliados al Régimen de Clases Pasivas en 2021</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_Toc114493905 \h </w:instrText>
        </w:r>
        <w:r w:rsidR="00397876" w:rsidRPr="00E03465">
          <w:rPr>
            <w:noProof/>
            <w:webHidden/>
          </w:rPr>
        </w:r>
        <w:r w:rsidR="00397876" w:rsidRPr="00E03465">
          <w:rPr>
            <w:noProof/>
            <w:webHidden/>
          </w:rPr>
          <w:fldChar w:fldCharType="separate"/>
        </w:r>
        <w:r w:rsidR="002E7809">
          <w:rPr>
            <w:noProof/>
            <w:webHidden/>
          </w:rPr>
          <w:t>64</w:t>
        </w:r>
        <w:r w:rsidR="00397876" w:rsidRPr="00E03465">
          <w:rPr>
            <w:noProof/>
            <w:webHidden/>
          </w:rPr>
          <w:fldChar w:fldCharType="end"/>
        </w:r>
      </w:hyperlink>
    </w:p>
    <w:p w14:paraId="6AAC2C6C" w14:textId="78C84005"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6" w:history="1">
        <w:r w:rsidR="00397876" w:rsidRPr="00E03465">
          <w:rPr>
            <w:rStyle w:val="Hipervnculo"/>
            <w:noProof/>
          </w:rPr>
          <w:t xml:space="preserve">Gráfico 64.  </w:t>
        </w:r>
        <w:r w:rsidR="00397876" w:rsidRPr="00E03465">
          <w:rPr>
            <w:rStyle w:val="Hipervnculo"/>
            <w:bCs/>
            <w:noProof/>
          </w:rPr>
          <w:t>Beneficiarios del Régimen de Clases Pasivas en 2021</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_Toc114493906 \h </w:instrText>
        </w:r>
        <w:r w:rsidR="00397876" w:rsidRPr="00E03465">
          <w:rPr>
            <w:noProof/>
            <w:webHidden/>
          </w:rPr>
        </w:r>
        <w:r w:rsidR="00397876" w:rsidRPr="00E03465">
          <w:rPr>
            <w:noProof/>
            <w:webHidden/>
          </w:rPr>
          <w:fldChar w:fldCharType="separate"/>
        </w:r>
        <w:r w:rsidR="002E7809">
          <w:rPr>
            <w:noProof/>
            <w:webHidden/>
          </w:rPr>
          <w:t>65</w:t>
        </w:r>
        <w:r w:rsidR="00397876" w:rsidRPr="00E03465">
          <w:rPr>
            <w:noProof/>
            <w:webHidden/>
          </w:rPr>
          <w:fldChar w:fldCharType="end"/>
        </w:r>
      </w:hyperlink>
    </w:p>
    <w:p w14:paraId="6A3112B5" w14:textId="643D860D"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7" w:history="1">
        <w:r w:rsidR="00397876" w:rsidRPr="00E03465">
          <w:rPr>
            <w:rStyle w:val="Hipervnculo"/>
            <w:noProof/>
          </w:rPr>
          <w:t xml:space="preserve">Gráfico 65.  </w:t>
        </w:r>
        <w:r w:rsidR="00397876" w:rsidRPr="00E03465">
          <w:rPr>
            <w:rStyle w:val="Hipervnculo"/>
            <w:bCs/>
            <w:noProof/>
          </w:rPr>
          <w:t>Financiamiento del régi</w:t>
        </w:r>
        <w:r w:rsidR="000C354F">
          <w:rPr>
            <w:rStyle w:val="Hipervnculo"/>
            <w:bCs/>
            <w:noProof/>
          </w:rPr>
          <w:t>men</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_Toc114493907 \h </w:instrText>
        </w:r>
        <w:r w:rsidR="00397876" w:rsidRPr="00E03465">
          <w:rPr>
            <w:noProof/>
            <w:webHidden/>
          </w:rPr>
        </w:r>
        <w:r w:rsidR="00397876" w:rsidRPr="00E03465">
          <w:rPr>
            <w:noProof/>
            <w:webHidden/>
          </w:rPr>
          <w:fldChar w:fldCharType="separate"/>
        </w:r>
        <w:r w:rsidR="002E7809">
          <w:rPr>
            <w:noProof/>
            <w:webHidden/>
          </w:rPr>
          <w:t>65</w:t>
        </w:r>
        <w:r w:rsidR="00397876" w:rsidRPr="00E03465">
          <w:rPr>
            <w:noProof/>
            <w:webHidden/>
          </w:rPr>
          <w:fldChar w:fldCharType="end"/>
        </w:r>
      </w:hyperlink>
    </w:p>
    <w:p w14:paraId="77A7A409" w14:textId="3C6B5375"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8" w:history="1">
        <w:r w:rsidR="00397876" w:rsidRPr="00E03465">
          <w:rPr>
            <w:rStyle w:val="Hipervnculo"/>
            <w:noProof/>
          </w:rPr>
          <w:t xml:space="preserve">Gráfico 66.  </w:t>
        </w:r>
        <w:r w:rsidR="00397876" w:rsidRPr="00E03465">
          <w:rPr>
            <w:rStyle w:val="Hipervnculo"/>
            <w:bCs/>
            <w:noProof/>
          </w:rPr>
          <w:t>Tasa promedio ponderada en base</w:t>
        </w:r>
        <w:r w:rsidR="000C354F">
          <w:rPr>
            <w:rStyle w:val="Hipervnculo"/>
            <w:bCs/>
            <w:noProof/>
          </w:rPr>
          <w:t xml:space="preserve"> a la masa salarial</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_Toc114493908 \h </w:instrText>
        </w:r>
        <w:r w:rsidR="00397876" w:rsidRPr="00E03465">
          <w:rPr>
            <w:noProof/>
            <w:webHidden/>
          </w:rPr>
        </w:r>
        <w:r w:rsidR="00397876" w:rsidRPr="00E03465">
          <w:rPr>
            <w:noProof/>
            <w:webHidden/>
          </w:rPr>
          <w:fldChar w:fldCharType="separate"/>
        </w:r>
        <w:r w:rsidR="002E7809">
          <w:rPr>
            <w:noProof/>
            <w:webHidden/>
          </w:rPr>
          <w:t>65</w:t>
        </w:r>
        <w:r w:rsidR="00397876" w:rsidRPr="00E03465">
          <w:rPr>
            <w:noProof/>
            <w:webHidden/>
          </w:rPr>
          <w:fldChar w:fldCharType="end"/>
        </w:r>
      </w:hyperlink>
    </w:p>
    <w:p w14:paraId="754CD7E4" w14:textId="128B1783"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09" w:history="1">
        <w:r w:rsidR="00397876" w:rsidRPr="00E03465">
          <w:rPr>
            <w:rStyle w:val="Hipervnculo"/>
            <w:noProof/>
          </w:rPr>
          <w:t xml:space="preserve">Gráfico 67.  </w:t>
        </w:r>
        <w:r w:rsidR="00397876" w:rsidRPr="00E03465">
          <w:rPr>
            <w:rStyle w:val="Hipervnculo"/>
            <w:bCs/>
            <w:noProof/>
          </w:rPr>
          <w:t>Frecuencia de la edad de los activos actuales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_Toc114493909 \h </w:instrText>
        </w:r>
        <w:r w:rsidR="00397876" w:rsidRPr="00E03465">
          <w:rPr>
            <w:noProof/>
            <w:webHidden/>
          </w:rPr>
        </w:r>
        <w:r w:rsidR="00397876" w:rsidRPr="00E03465">
          <w:rPr>
            <w:noProof/>
            <w:webHidden/>
          </w:rPr>
          <w:fldChar w:fldCharType="separate"/>
        </w:r>
        <w:r w:rsidR="002E7809">
          <w:rPr>
            <w:noProof/>
            <w:webHidden/>
          </w:rPr>
          <w:t>66</w:t>
        </w:r>
        <w:r w:rsidR="00397876" w:rsidRPr="00E03465">
          <w:rPr>
            <w:noProof/>
            <w:webHidden/>
          </w:rPr>
          <w:fldChar w:fldCharType="end"/>
        </w:r>
      </w:hyperlink>
    </w:p>
    <w:p w14:paraId="200331F4" w14:textId="2D0931EA"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0" w:history="1">
        <w:r w:rsidR="00397876" w:rsidRPr="00E03465">
          <w:rPr>
            <w:rStyle w:val="Hipervnculo"/>
            <w:noProof/>
          </w:rPr>
          <w:t xml:space="preserve">Gráfico 68.  </w:t>
        </w:r>
        <w:r w:rsidR="00397876" w:rsidRPr="00E03465">
          <w:rPr>
            <w:rStyle w:val="Hipervnculo"/>
            <w:bCs/>
            <w:noProof/>
          </w:rPr>
          <w:t>Cantidad de activos que ingresan al régimen y pasivos que fallecen.</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_Toc114493910 \h </w:instrText>
        </w:r>
        <w:r w:rsidR="00397876" w:rsidRPr="00E03465">
          <w:rPr>
            <w:noProof/>
            <w:webHidden/>
          </w:rPr>
        </w:r>
        <w:r w:rsidR="00397876" w:rsidRPr="00E03465">
          <w:rPr>
            <w:noProof/>
            <w:webHidden/>
          </w:rPr>
          <w:fldChar w:fldCharType="separate"/>
        </w:r>
        <w:r w:rsidR="002E7809">
          <w:rPr>
            <w:noProof/>
            <w:webHidden/>
          </w:rPr>
          <w:t>66</w:t>
        </w:r>
        <w:r w:rsidR="00397876" w:rsidRPr="00E03465">
          <w:rPr>
            <w:noProof/>
            <w:webHidden/>
          </w:rPr>
          <w:fldChar w:fldCharType="end"/>
        </w:r>
      </w:hyperlink>
    </w:p>
    <w:p w14:paraId="35A01550" w14:textId="4B7F5F78"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1" w:history="1">
        <w:r w:rsidR="00397876" w:rsidRPr="00E03465">
          <w:rPr>
            <w:rStyle w:val="Hipervnculo"/>
            <w:noProof/>
          </w:rPr>
          <w:t xml:space="preserve">Gráfico 69.  </w:t>
        </w:r>
        <w:r w:rsidR="00397876" w:rsidRPr="00E03465">
          <w:rPr>
            <w:rStyle w:val="Hipervnculo"/>
            <w:bCs/>
            <w:noProof/>
          </w:rPr>
          <w:t>Proyección del financiamiento del régimen</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_Toc114493911 \h </w:instrText>
        </w:r>
        <w:r w:rsidR="00397876" w:rsidRPr="00E03465">
          <w:rPr>
            <w:noProof/>
            <w:webHidden/>
          </w:rPr>
        </w:r>
        <w:r w:rsidR="00397876" w:rsidRPr="00E03465">
          <w:rPr>
            <w:noProof/>
            <w:webHidden/>
          </w:rPr>
          <w:fldChar w:fldCharType="separate"/>
        </w:r>
        <w:r w:rsidR="002E7809">
          <w:rPr>
            <w:noProof/>
            <w:webHidden/>
          </w:rPr>
          <w:t>67</w:t>
        </w:r>
        <w:r w:rsidR="00397876" w:rsidRPr="00E03465">
          <w:rPr>
            <w:noProof/>
            <w:webHidden/>
          </w:rPr>
          <w:fldChar w:fldCharType="end"/>
        </w:r>
      </w:hyperlink>
    </w:p>
    <w:p w14:paraId="595E7654" w14:textId="3D7784F1"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2" w:history="1">
        <w:r w:rsidR="00397876" w:rsidRPr="00E03465">
          <w:rPr>
            <w:rStyle w:val="Hipervnculo"/>
            <w:noProof/>
          </w:rPr>
          <w:t xml:space="preserve">Gráfico 70.  </w:t>
        </w:r>
        <w:r w:rsidR="00397876" w:rsidRPr="00E03465">
          <w:rPr>
            <w:rStyle w:val="Hipervnculo"/>
            <w:bCs/>
            <w:noProof/>
          </w:rPr>
          <w:t>Proyección de las tasas promedio pondera</w:t>
        </w:r>
        <w:r w:rsidR="000C354F">
          <w:rPr>
            <w:rStyle w:val="Hipervnculo"/>
            <w:bCs/>
            <w:noProof/>
          </w:rPr>
          <w:t>das de contribución</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_Toc114493912 \h </w:instrText>
        </w:r>
        <w:r w:rsidR="00397876" w:rsidRPr="00E03465">
          <w:rPr>
            <w:noProof/>
            <w:webHidden/>
          </w:rPr>
        </w:r>
        <w:r w:rsidR="00397876" w:rsidRPr="00E03465">
          <w:rPr>
            <w:noProof/>
            <w:webHidden/>
          </w:rPr>
          <w:fldChar w:fldCharType="separate"/>
        </w:r>
        <w:r w:rsidR="002E7809">
          <w:rPr>
            <w:noProof/>
            <w:webHidden/>
          </w:rPr>
          <w:t>67</w:t>
        </w:r>
        <w:r w:rsidR="00397876" w:rsidRPr="00E03465">
          <w:rPr>
            <w:noProof/>
            <w:webHidden/>
          </w:rPr>
          <w:fldChar w:fldCharType="end"/>
        </w:r>
      </w:hyperlink>
    </w:p>
    <w:p w14:paraId="17EE4D4F" w14:textId="393F4B01"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3" w:history="1">
        <w:r w:rsidR="00397876" w:rsidRPr="00E03465">
          <w:rPr>
            <w:rStyle w:val="Hipervnculo"/>
            <w:noProof/>
          </w:rPr>
          <w:t xml:space="preserve">Gráfico 71.  </w:t>
        </w:r>
        <w:r w:rsidR="00397876" w:rsidRPr="00E03465">
          <w:rPr>
            <w:rStyle w:val="Hipervnculo"/>
            <w:noProof/>
            <w:lang w:val="es-MX"/>
          </w:rPr>
          <w:t>Afiliados al Programa IVS por sexo y grupo de edad, año 2021</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_Toc114493913 \h </w:instrText>
        </w:r>
        <w:r w:rsidR="00397876" w:rsidRPr="00E03465">
          <w:rPr>
            <w:noProof/>
            <w:webHidden/>
          </w:rPr>
        </w:r>
        <w:r w:rsidR="00397876" w:rsidRPr="00E03465">
          <w:rPr>
            <w:noProof/>
            <w:webHidden/>
          </w:rPr>
          <w:fldChar w:fldCharType="separate"/>
        </w:r>
        <w:r w:rsidR="002E7809">
          <w:rPr>
            <w:noProof/>
            <w:webHidden/>
          </w:rPr>
          <w:t>69</w:t>
        </w:r>
        <w:r w:rsidR="00397876" w:rsidRPr="00E03465">
          <w:rPr>
            <w:noProof/>
            <w:webHidden/>
          </w:rPr>
          <w:fldChar w:fldCharType="end"/>
        </w:r>
      </w:hyperlink>
    </w:p>
    <w:p w14:paraId="2C188C8B" w14:textId="7E5A4582"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4" w:history="1">
        <w:r w:rsidR="00397876" w:rsidRPr="00E03465">
          <w:rPr>
            <w:rStyle w:val="Hipervnculo"/>
            <w:noProof/>
          </w:rPr>
          <w:t xml:space="preserve">Gráfico 72.  </w:t>
        </w:r>
        <w:r w:rsidR="000C354F">
          <w:rPr>
            <w:rStyle w:val="Hipervnculo"/>
            <w:noProof/>
            <w:lang w:val="es-MX"/>
          </w:rPr>
          <w:t xml:space="preserve">Pensionados al Programa </w:t>
        </w:r>
        <w:r w:rsidR="00397876" w:rsidRPr="00E03465">
          <w:rPr>
            <w:rStyle w:val="Hipervnculo"/>
            <w:noProof/>
            <w:lang w:val="es-MX"/>
          </w:rPr>
          <w:t>IVS por riesgo y vari</w:t>
        </w:r>
        <w:r w:rsidR="000C354F">
          <w:rPr>
            <w:rStyle w:val="Hipervnculo"/>
            <w:noProof/>
            <w:lang w:val="es-MX"/>
          </w:rPr>
          <w:t>ación interanual</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_Toc114493914 \h </w:instrText>
        </w:r>
        <w:r w:rsidR="00397876" w:rsidRPr="00E03465">
          <w:rPr>
            <w:noProof/>
            <w:webHidden/>
          </w:rPr>
        </w:r>
        <w:r w:rsidR="00397876" w:rsidRPr="00E03465">
          <w:rPr>
            <w:noProof/>
            <w:webHidden/>
          </w:rPr>
          <w:fldChar w:fldCharType="separate"/>
        </w:r>
        <w:r w:rsidR="002E7809">
          <w:rPr>
            <w:noProof/>
            <w:webHidden/>
          </w:rPr>
          <w:t>69</w:t>
        </w:r>
        <w:r w:rsidR="00397876" w:rsidRPr="00E03465">
          <w:rPr>
            <w:noProof/>
            <w:webHidden/>
          </w:rPr>
          <w:fldChar w:fldCharType="end"/>
        </w:r>
      </w:hyperlink>
    </w:p>
    <w:p w14:paraId="44D476DB" w14:textId="1C95AE5E"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5" w:history="1">
        <w:r w:rsidR="00397876" w:rsidRPr="00E03465">
          <w:rPr>
            <w:rStyle w:val="Hipervnculo"/>
            <w:noProof/>
          </w:rPr>
          <w:t xml:space="preserve">Gráfico 73.  </w:t>
        </w:r>
        <w:r w:rsidR="00397876" w:rsidRPr="00E03465">
          <w:rPr>
            <w:rStyle w:val="Hipervnculo"/>
            <w:noProof/>
            <w:lang w:val="es-MX"/>
          </w:rPr>
          <w:t>Proyección de ingresos, gast</w:t>
        </w:r>
        <w:r w:rsidR="000C354F">
          <w:rPr>
            <w:rStyle w:val="Hipervnculo"/>
            <w:noProof/>
            <w:lang w:val="es-MX"/>
          </w:rPr>
          <w:t>os y reservas del Programa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_Toc114493915 \h </w:instrText>
        </w:r>
        <w:r w:rsidR="00397876" w:rsidRPr="00E03465">
          <w:rPr>
            <w:noProof/>
            <w:webHidden/>
          </w:rPr>
        </w:r>
        <w:r w:rsidR="00397876" w:rsidRPr="00E03465">
          <w:rPr>
            <w:noProof/>
            <w:webHidden/>
          </w:rPr>
          <w:fldChar w:fldCharType="separate"/>
        </w:r>
        <w:r w:rsidR="002E7809">
          <w:rPr>
            <w:noProof/>
            <w:webHidden/>
          </w:rPr>
          <w:t>70</w:t>
        </w:r>
        <w:r w:rsidR="00397876" w:rsidRPr="00E03465">
          <w:rPr>
            <w:noProof/>
            <w:webHidden/>
          </w:rPr>
          <w:fldChar w:fldCharType="end"/>
        </w:r>
      </w:hyperlink>
    </w:p>
    <w:p w14:paraId="25E0788A" w14:textId="32E80C57"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6" w:history="1">
        <w:r w:rsidR="00397876" w:rsidRPr="00E03465">
          <w:rPr>
            <w:rStyle w:val="Hipervnculo"/>
            <w:noProof/>
          </w:rPr>
          <w:t xml:space="preserve">Gráfico 74.  </w:t>
        </w:r>
        <w:r w:rsidR="00397876" w:rsidRPr="00E03465">
          <w:rPr>
            <w:rStyle w:val="Hipervnculo"/>
            <w:noProof/>
            <w:lang w:val="es-MX"/>
          </w:rPr>
          <w:t>Tasa de crecimiento de los dos principales riesgos (vejez y so</w:t>
        </w:r>
        <w:r w:rsidR="000C354F">
          <w:rPr>
            <w:rStyle w:val="Hipervnculo"/>
            <w:noProof/>
            <w:lang w:val="es-MX"/>
          </w:rPr>
          <w:t>brevivencia)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_Toc114493916 \h </w:instrText>
        </w:r>
        <w:r w:rsidR="00397876" w:rsidRPr="00E03465">
          <w:rPr>
            <w:noProof/>
            <w:webHidden/>
          </w:rPr>
        </w:r>
        <w:r w:rsidR="00397876" w:rsidRPr="00E03465">
          <w:rPr>
            <w:noProof/>
            <w:webHidden/>
          </w:rPr>
          <w:fldChar w:fldCharType="separate"/>
        </w:r>
        <w:r w:rsidR="002E7809">
          <w:rPr>
            <w:noProof/>
            <w:webHidden/>
          </w:rPr>
          <w:t>71</w:t>
        </w:r>
        <w:r w:rsidR="00397876" w:rsidRPr="00E03465">
          <w:rPr>
            <w:noProof/>
            <w:webHidden/>
          </w:rPr>
          <w:fldChar w:fldCharType="end"/>
        </w:r>
      </w:hyperlink>
    </w:p>
    <w:p w14:paraId="2F7D1CD4" w14:textId="07F72D95"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7" w:history="1">
        <w:r w:rsidR="00397876" w:rsidRPr="00E03465">
          <w:rPr>
            <w:rStyle w:val="Hipervnculo"/>
            <w:noProof/>
          </w:rPr>
          <w:t xml:space="preserve">Gráfico 75.  </w:t>
        </w:r>
        <w:r w:rsidR="00397876" w:rsidRPr="00E03465">
          <w:rPr>
            <w:rStyle w:val="Hipervnculo"/>
            <w:noProof/>
            <w:lang w:val="es-MX"/>
          </w:rPr>
          <w:t>Sostenibilidad financiera de aportes de los</w:t>
        </w:r>
        <w:r w:rsidR="000C354F">
          <w:rPr>
            <w:rStyle w:val="Hipervnculo"/>
            <w:noProof/>
            <w:lang w:val="es-MX"/>
          </w:rPr>
          <w:t xml:space="preserve"> Programas EMA</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_Toc114493917 \h </w:instrText>
        </w:r>
        <w:r w:rsidR="00397876" w:rsidRPr="00E03465">
          <w:rPr>
            <w:noProof/>
            <w:webHidden/>
          </w:rPr>
        </w:r>
        <w:r w:rsidR="00397876" w:rsidRPr="00E03465">
          <w:rPr>
            <w:noProof/>
            <w:webHidden/>
          </w:rPr>
          <w:fldChar w:fldCharType="separate"/>
        </w:r>
        <w:r w:rsidR="002E7809">
          <w:rPr>
            <w:noProof/>
            <w:webHidden/>
          </w:rPr>
          <w:t>72</w:t>
        </w:r>
        <w:r w:rsidR="00397876" w:rsidRPr="00E03465">
          <w:rPr>
            <w:noProof/>
            <w:webHidden/>
          </w:rPr>
          <w:fldChar w:fldCharType="end"/>
        </w:r>
      </w:hyperlink>
    </w:p>
    <w:p w14:paraId="6DC7AA8F" w14:textId="798F1359"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8" w:history="1">
        <w:r w:rsidR="00397876" w:rsidRPr="00E03465">
          <w:rPr>
            <w:rStyle w:val="Hipervnculo"/>
            <w:noProof/>
          </w:rPr>
          <w:t>Gráfico 76.  Gasto en Sentencias Judiciales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_Toc114493918 \h </w:instrText>
        </w:r>
        <w:r w:rsidR="00397876" w:rsidRPr="00E03465">
          <w:rPr>
            <w:noProof/>
            <w:webHidden/>
          </w:rPr>
        </w:r>
        <w:r w:rsidR="00397876" w:rsidRPr="00E03465">
          <w:rPr>
            <w:noProof/>
            <w:webHidden/>
          </w:rPr>
          <w:fldChar w:fldCharType="separate"/>
        </w:r>
        <w:r w:rsidR="002E7809">
          <w:rPr>
            <w:noProof/>
            <w:webHidden/>
          </w:rPr>
          <w:t>73</w:t>
        </w:r>
        <w:r w:rsidR="00397876" w:rsidRPr="00E03465">
          <w:rPr>
            <w:noProof/>
            <w:webHidden/>
          </w:rPr>
          <w:fldChar w:fldCharType="end"/>
        </w:r>
      </w:hyperlink>
    </w:p>
    <w:p w14:paraId="1FE71CF9" w14:textId="1C775B13"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19" w:history="1">
        <w:r w:rsidR="00397876" w:rsidRPr="00E03465">
          <w:rPr>
            <w:rStyle w:val="Hipervnculo"/>
            <w:noProof/>
          </w:rPr>
          <w:t>Gráfico 77.  Gastos del Ministerio de Economía en temas de controversias</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_Toc114493919 \h </w:instrText>
        </w:r>
        <w:r w:rsidR="00397876" w:rsidRPr="00E03465">
          <w:rPr>
            <w:noProof/>
            <w:webHidden/>
          </w:rPr>
        </w:r>
        <w:r w:rsidR="00397876" w:rsidRPr="00E03465">
          <w:rPr>
            <w:noProof/>
            <w:webHidden/>
          </w:rPr>
          <w:fldChar w:fldCharType="separate"/>
        </w:r>
        <w:r w:rsidR="002E7809">
          <w:rPr>
            <w:noProof/>
            <w:webHidden/>
          </w:rPr>
          <w:t>75</w:t>
        </w:r>
        <w:r w:rsidR="00397876" w:rsidRPr="00E03465">
          <w:rPr>
            <w:noProof/>
            <w:webHidden/>
          </w:rPr>
          <w:fldChar w:fldCharType="end"/>
        </w:r>
      </w:hyperlink>
    </w:p>
    <w:p w14:paraId="004F3B07" w14:textId="1AA85E56"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0" w:history="1">
        <w:r w:rsidR="00397876" w:rsidRPr="00E03465">
          <w:rPr>
            <w:rStyle w:val="Hipervnculo"/>
            <w:noProof/>
          </w:rPr>
          <w:t xml:space="preserve">Gráfico 78.  </w:t>
        </w:r>
        <w:r w:rsidR="00397876" w:rsidRPr="00E03465">
          <w:rPr>
            <w:rStyle w:val="Hipervnculo"/>
            <w:rFonts w:eastAsia="Times New Roman"/>
            <w:bCs/>
            <w:noProof/>
            <w:lang w:val="es-ES"/>
          </w:rPr>
          <w:t>Costo Económico de Eventos Naturales desde 1994 al 2020</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_Toc114493920 \h </w:instrText>
        </w:r>
        <w:r w:rsidR="00397876" w:rsidRPr="00E03465">
          <w:rPr>
            <w:noProof/>
            <w:webHidden/>
          </w:rPr>
        </w:r>
        <w:r w:rsidR="00397876" w:rsidRPr="00E03465">
          <w:rPr>
            <w:noProof/>
            <w:webHidden/>
          </w:rPr>
          <w:fldChar w:fldCharType="separate"/>
        </w:r>
        <w:r w:rsidR="002E7809">
          <w:rPr>
            <w:noProof/>
            <w:webHidden/>
          </w:rPr>
          <w:t>82</w:t>
        </w:r>
        <w:r w:rsidR="00397876" w:rsidRPr="00E03465">
          <w:rPr>
            <w:noProof/>
            <w:webHidden/>
          </w:rPr>
          <w:fldChar w:fldCharType="end"/>
        </w:r>
      </w:hyperlink>
    </w:p>
    <w:p w14:paraId="7A98225A" w14:textId="21CEECB9"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1" w:history="1">
        <w:r w:rsidR="00397876" w:rsidRPr="00E03465">
          <w:rPr>
            <w:rStyle w:val="Hipervnculo"/>
            <w:noProof/>
          </w:rPr>
          <w:t xml:space="preserve">Gráfico 79.  </w:t>
        </w:r>
        <w:r w:rsidR="00397876" w:rsidRPr="00E03465">
          <w:rPr>
            <w:rStyle w:val="Hipervnculo"/>
            <w:rFonts w:eastAsia="Times New Roman"/>
            <w:bCs/>
            <w:noProof/>
            <w:lang w:val="es-ES"/>
          </w:rPr>
          <w:t>Regalías Mineras como % del PIB 2008 a junio 2022</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_Toc114493921 \h </w:instrText>
        </w:r>
        <w:r w:rsidR="00397876" w:rsidRPr="00E03465">
          <w:rPr>
            <w:noProof/>
            <w:webHidden/>
          </w:rPr>
        </w:r>
        <w:r w:rsidR="00397876" w:rsidRPr="00E03465">
          <w:rPr>
            <w:noProof/>
            <w:webHidden/>
          </w:rPr>
          <w:fldChar w:fldCharType="separate"/>
        </w:r>
        <w:r w:rsidR="002E7809">
          <w:rPr>
            <w:noProof/>
            <w:webHidden/>
          </w:rPr>
          <w:t>90</w:t>
        </w:r>
        <w:r w:rsidR="00397876" w:rsidRPr="00E03465">
          <w:rPr>
            <w:noProof/>
            <w:webHidden/>
          </w:rPr>
          <w:fldChar w:fldCharType="end"/>
        </w:r>
      </w:hyperlink>
    </w:p>
    <w:p w14:paraId="396ADA59" w14:textId="5F409456" w:rsidR="00397876" w:rsidRPr="00E03465"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2" w:history="1">
        <w:r w:rsidR="00397876" w:rsidRPr="00E03465">
          <w:rPr>
            <w:rStyle w:val="Hipervnculo"/>
            <w:noProof/>
          </w:rPr>
          <w:t xml:space="preserve">Gráfico 80.  </w:t>
        </w:r>
        <w:r w:rsidR="00397876" w:rsidRPr="00E03465">
          <w:rPr>
            <w:rStyle w:val="Hipervnculo"/>
            <w:rFonts w:eastAsia="Times New Roman"/>
            <w:bCs/>
            <w:noProof/>
            <w:lang w:val="es-ES"/>
          </w:rPr>
          <w:t>Producción Petrolera Anual 2015-2021</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_Toc114493922 \h </w:instrText>
        </w:r>
        <w:r w:rsidR="00397876" w:rsidRPr="00E03465">
          <w:rPr>
            <w:noProof/>
            <w:webHidden/>
          </w:rPr>
        </w:r>
        <w:r w:rsidR="00397876" w:rsidRPr="00E03465">
          <w:rPr>
            <w:noProof/>
            <w:webHidden/>
          </w:rPr>
          <w:fldChar w:fldCharType="separate"/>
        </w:r>
        <w:r w:rsidR="002E7809">
          <w:rPr>
            <w:noProof/>
            <w:webHidden/>
          </w:rPr>
          <w:t>91</w:t>
        </w:r>
        <w:r w:rsidR="00397876" w:rsidRPr="00E03465">
          <w:rPr>
            <w:noProof/>
            <w:webHidden/>
          </w:rPr>
          <w:fldChar w:fldCharType="end"/>
        </w:r>
      </w:hyperlink>
    </w:p>
    <w:p w14:paraId="53474FBD" w14:textId="2A3E9F7B"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3" w:history="1">
        <w:r w:rsidR="00397876" w:rsidRPr="00E03465">
          <w:rPr>
            <w:rStyle w:val="Hipervnculo"/>
            <w:noProof/>
          </w:rPr>
          <w:t xml:space="preserve">Gráfico 81.  </w:t>
        </w:r>
        <w:r w:rsidR="00397876" w:rsidRPr="00E03465">
          <w:rPr>
            <w:rStyle w:val="Hipervnculo"/>
            <w:rFonts w:eastAsia="Times New Roman"/>
            <w:bCs/>
            <w:noProof/>
            <w:lang w:val="es-ES"/>
          </w:rPr>
          <w:t>Mapa de ubicación de los contratos de operaciones petroleras de exploración y explotación vigentes a junio de 2021.</w:t>
        </w:r>
        <w:r w:rsidR="00397876" w:rsidRPr="00E03465">
          <w:rPr>
            <w:noProof/>
            <w:webHidden/>
          </w:rPr>
          <w:tab/>
        </w:r>
        <w:r w:rsidR="00397876" w:rsidRPr="00E03465">
          <w:rPr>
            <w:noProof/>
            <w:webHidden/>
          </w:rPr>
          <w:fldChar w:fldCharType="begin"/>
        </w:r>
        <w:r w:rsidR="00397876" w:rsidRPr="00E03465">
          <w:rPr>
            <w:noProof/>
            <w:webHidden/>
          </w:rPr>
          <w:instrText xml:space="preserve"> PAGEREF _Toc114493923 \h </w:instrText>
        </w:r>
        <w:r w:rsidR="00397876" w:rsidRPr="00E03465">
          <w:rPr>
            <w:noProof/>
            <w:webHidden/>
          </w:rPr>
        </w:r>
        <w:r w:rsidR="00397876" w:rsidRPr="00E03465">
          <w:rPr>
            <w:noProof/>
            <w:webHidden/>
          </w:rPr>
          <w:fldChar w:fldCharType="separate"/>
        </w:r>
        <w:r w:rsidR="002E7809">
          <w:rPr>
            <w:noProof/>
            <w:webHidden/>
          </w:rPr>
          <w:t>92</w:t>
        </w:r>
        <w:r w:rsidR="00397876" w:rsidRPr="00E03465">
          <w:rPr>
            <w:noProof/>
            <w:webHidden/>
          </w:rPr>
          <w:fldChar w:fldCharType="end"/>
        </w:r>
      </w:hyperlink>
    </w:p>
    <w:p w14:paraId="48CC03AE" w14:textId="71CAE378" w:rsidR="00ED483A" w:rsidRDefault="00E109CA" w:rsidP="00303F1D">
      <w:pPr>
        <w:rPr>
          <w:noProof/>
          <w:lang w:eastAsia="es-GT"/>
        </w:rPr>
      </w:pPr>
      <w:r>
        <w:rPr>
          <w:noProof/>
          <w:lang w:eastAsia="es-GT"/>
        </w:rPr>
        <w:fldChar w:fldCharType="end"/>
      </w:r>
    </w:p>
    <w:p w14:paraId="255E7C46" w14:textId="34D246A6" w:rsidR="000E3A47" w:rsidRDefault="000E3A47" w:rsidP="00ED483A">
      <w:pPr>
        <w:rPr>
          <w:noProof/>
          <w:lang w:eastAsia="es-GT"/>
        </w:rPr>
      </w:pPr>
    </w:p>
    <w:p w14:paraId="4F22C5DF" w14:textId="1B7DF746" w:rsidR="00A9708A" w:rsidRPr="00A9708A" w:rsidRDefault="00A9708A" w:rsidP="00A9708A">
      <w:pPr>
        <w:jc w:val="center"/>
        <w:rPr>
          <w:b/>
          <w:noProof/>
          <w:lang w:eastAsia="es-GT"/>
        </w:rPr>
      </w:pPr>
      <w:r>
        <w:rPr>
          <w:b/>
          <w:noProof/>
          <w:lang w:eastAsia="es-GT"/>
        </w:rPr>
        <w:t>Contenido en Tablas</w:t>
      </w:r>
    </w:p>
    <w:p w14:paraId="41C112E5" w14:textId="24168EEA" w:rsidR="000E3A47" w:rsidRDefault="000E3A47" w:rsidP="00ED483A">
      <w:pPr>
        <w:rPr>
          <w:noProof/>
          <w:lang w:eastAsia="es-GT"/>
        </w:rPr>
      </w:pPr>
    </w:p>
    <w:p w14:paraId="11385842" w14:textId="1FF899A8" w:rsidR="00397876" w:rsidRDefault="00A9708A" w:rsidP="00397876">
      <w:pPr>
        <w:pStyle w:val="Tabladeilustraciones"/>
        <w:tabs>
          <w:tab w:val="right" w:leader="dot" w:pos="8828"/>
        </w:tabs>
        <w:spacing w:after="0"/>
        <w:rPr>
          <w:rFonts w:asciiTheme="minorHAnsi" w:hAnsiTheme="minorHAnsi" w:cstheme="minorBidi"/>
          <w:noProof/>
          <w:sz w:val="22"/>
          <w:szCs w:val="22"/>
          <w:lang w:eastAsia="es-GT"/>
        </w:rPr>
      </w:pPr>
      <w:r>
        <w:rPr>
          <w:noProof/>
          <w:lang w:eastAsia="es-GT"/>
        </w:rPr>
        <w:fldChar w:fldCharType="begin"/>
      </w:r>
      <w:r>
        <w:rPr>
          <w:noProof/>
          <w:lang w:eastAsia="es-GT"/>
        </w:rPr>
        <w:instrText xml:space="preserve"> TOC \h \z \c "Tabla" </w:instrText>
      </w:r>
      <w:r>
        <w:rPr>
          <w:noProof/>
          <w:lang w:eastAsia="es-GT"/>
        </w:rPr>
        <w:fldChar w:fldCharType="separate"/>
      </w:r>
      <w:hyperlink w:anchor="_Toc114493924" w:history="1">
        <w:r w:rsidR="00397876" w:rsidRPr="00C44C3B">
          <w:rPr>
            <w:rStyle w:val="Hipervnculo"/>
            <w:noProof/>
          </w:rPr>
          <w:t>Tabla 1.  Evolución de proyecciones de crecimiento económico para 2022</w:t>
        </w:r>
        <w:r w:rsidR="00397876">
          <w:rPr>
            <w:noProof/>
            <w:webHidden/>
          </w:rPr>
          <w:tab/>
        </w:r>
        <w:r w:rsidR="00397876">
          <w:rPr>
            <w:noProof/>
            <w:webHidden/>
          </w:rPr>
          <w:fldChar w:fldCharType="begin"/>
        </w:r>
        <w:r w:rsidR="00397876">
          <w:rPr>
            <w:noProof/>
            <w:webHidden/>
          </w:rPr>
          <w:instrText xml:space="preserve"> PAGEREF _Toc114493924 \h </w:instrText>
        </w:r>
        <w:r w:rsidR="00397876">
          <w:rPr>
            <w:noProof/>
            <w:webHidden/>
          </w:rPr>
        </w:r>
        <w:r w:rsidR="00397876">
          <w:rPr>
            <w:noProof/>
            <w:webHidden/>
          </w:rPr>
          <w:fldChar w:fldCharType="separate"/>
        </w:r>
        <w:r w:rsidR="002E7809">
          <w:rPr>
            <w:noProof/>
            <w:webHidden/>
          </w:rPr>
          <w:t>7</w:t>
        </w:r>
        <w:r w:rsidR="00397876">
          <w:rPr>
            <w:noProof/>
            <w:webHidden/>
          </w:rPr>
          <w:fldChar w:fldCharType="end"/>
        </w:r>
      </w:hyperlink>
    </w:p>
    <w:p w14:paraId="399EA987" w14:textId="662FF562"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5" w:history="1">
        <w:r w:rsidR="00397876" w:rsidRPr="00C44C3B">
          <w:rPr>
            <w:rStyle w:val="Hipervnculo"/>
            <w:noProof/>
          </w:rPr>
          <w:t xml:space="preserve">Tabla 2.  </w:t>
        </w:r>
        <w:r w:rsidR="00397876" w:rsidRPr="00C44C3B">
          <w:rPr>
            <w:rStyle w:val="Hipervnculo"/>
            <w:noProof/>
            <w:lang w:val="es-ES_tradnl" w:eastAsia="es-ES"/>
          </w:rPr>
          <w:t>Panorama del crecimiento de la economía mundial 2022-2023</w:t>
        </w:r>
        <w:r w:rsidR="00397876">
          <w:rPr>
            <w:noProof/>
            <w:webHidden/>
          </w:rPr>
          <w:tab/>
        </w:r>
        <w:r w:rsidR="00397876">
          <w:rPr>
            <w:noProof/>
            <w:webHidden/>
          </w:rPr>
          <w:fldChar w:fldCharType="begin"/>
        </w:r>
        <w:r w:rsidR="00397876">
          <w:rPr>
            <w:noProof/>
            <w:webHidden/>
          </w:rPr>
          <w:instrText xml:space="preserve"> PAGEREF _Toc114493925 \h </w:instrText>
        </w:r>
        <w:r w:rsidR="00397876">
          <w:rPr>
            <w:noProof/>
            <w:webHidden/>
          </w:rPr>
        </w:r>
        <w:r w:rsidR="00397876">
          <w:rPr>
            <w:noProof/>
            <w:webHidden/>
          </w:rPr>
          <w:fldChar w:fldCharType="separate"/>
        </w:r>
        <w:r w:rsidR="002E7809">
          <w:rPr>
            <w:noProof/>
            <w:webHidden/>
          </w:rPr>
          <w:t>8</w:t>
        </w:r>
        <w:r w:rsidR="00397876">
          <w:rPr>
            <w:noProof/>
            <w:webHidden/>
          </w:rPr>
          <w:fldChar w:fldCharType="end"/>
        </w:r>
      </w:hyperlink>
    </w:p>
    <w:p w14:paraId="16DA79CF" w14:textId="793EFFBF"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6" w:history="1">
        <w:r w:rsidR="00397876" w:rsidRPr="00C44C3B">
          <w:rPr>
            <w:rStyle w:val="Hipervnculo"/>
            <w:noProof/>
          </w:rPr>
          <w:t xml:space="preserve">Tabla 3.  </w:t>
        </w:r>
        <w:r w:rsidR="00397876" w:rsidRPr="00C44C3B">
          <w:rPr>
            <w:rStyle w:val="Hipervnculo"/>
            <w:bCs/>
            <w:noProof/>
          </w:rPr>
          <w:t>Estimación de los coeficientes del precio de los combustibles.</w:t>
        </w:r>
        <w:r w:rsidR="00397876">
          <w:rPr>
            <w:noProof/>
            <w:webHidden/>
          </w:rPr>
          <w:tab/>
        </w:r>
        <w:r w:rsidR="00397876">
          <w:rPr>
            <w:noProof/>
            <w:webHidden/>
          </w:rPr>
          <w:fldChar w:fldCharType="begin"/>
        </w:r>
        <w:r w:rsidR="00397876">
          <w:rPr>
            <w:noProof/>
            <w:webHidden/>
          </w:rPr>
          <w:instrText xml:space="preserve"> PAGEREF _Toc114493926 \h </w:instrText>
        </w:r>
        <w:r w:rsidR="00397876">
          <w:rPr>
            <w:noProof/>
            <w:webHidden/>
          </w:rPr>
        </w:r>
        <w:r w:rsidR="00397876">
          <w:rPr>
            <w:noProof/>
            <w:webHidden/>
          </w:rPr>
          <w:fldChar w:fldCharType="separate"/>
        </w:r>
        <w:r w:rsidR="002E7809">
          <w:rPr>
            <w:noProof/>
            <w:webHidden/>
          </w:rPr>
          <w:t>21</w:t>
        </w:r>
        <w:r w:rsidR="00397876">
          <w:rPr>
            <w:noProof/>
            <w:webHidden/>
          </w:rPr>
          <w:fldChar w:fldCharType="end"/>
        </w:r>
      </w:hyperlink>
    </w:p>
    <w:p w14:paraId="567FC4E7" w14:textId="19CF6C79"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7" w:history="1">
        <w:r w:rsidR="00397876" w:rsidRPr="00C44C3B">
          <w:rPr>
            <w:rStyle w:val="Hipervnculo"/>
            <w:noProof/>
          </w:rPr>
          <w:t xml:space="preserve">Tabla 4.  </w:t>
        </w:r>
        <w:r w:rsidR="00397876" w:rsidRPr="00C44C3B">
          <w:rPr>
            <w:rStyle w:val="Hipervnculo"/>
            <w:bCs/>
            <w:noProof/>
          </w:rPr>
          <w:t>Estimación de los coeficientes del consumo de combustibles</w:t>
        </w:r>
        <w:r w:rsidR="00397876">
          <w:rPr>
            <w:noProof/>
            <w:webHidden/>
          </w:rPr>
          <w:tab/>
        </w:r>
        <w:r w:rsidR="00397876">
          <w:rPr>
            <w:noProof/>
            <w:webHidden/>
          </w:rPr>
          <w:fldChar w:fldCharType="begin"/>
        </w:r>
        <w:r w:rsidR="00397876">
          <w:rPr>
            <w:noProof/>
            <w:webHidden/>
          </w:rPr>
          <w:instrText xml:space="preserve"> PAGEREF _Toc114493927 \h </w:instrText>
        </w:r>
        <w:r w:rsidR="00397876">
          <w:rPr>
            <w:noProof/>
            <w:webHidden/>
          </w:rPr>
        </w:r>
        <w:r w:rsidR="00397876">
          <w:rPr>
            <w:noProof/>
            <w:webHidden/>
          </w:rPr>
          <w:fldChar w:fldCharType="separate"/>
        </w:r>
        <w:r w:rsidR="002E7809">
          <w:rPr>
            <w:noProof/>
            <w:webHidden/>
          </w:rPr>
          <w:t>21</w:t>
        </w:r>
        <w:r w:rsidR="00397876">
          <w:rPr>
            <w:noProof/>
            <w:webHidden/>
          </w:rPr>
          <w:fldChar w:fldCharType="end"/>
        </w:r>
      </w:hyperlink>
    </w:p>
    <w:p w14:paraId="7EB1AF6D" w14:textId="068629F9"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8" w:history="1">
        <w:r w:rsidR="00397876" w:rsidRPr="00C44C3B">
          <w:rPr>
            <w:rStyle w:val="Hipervnculo"/>
            <w:noProof/>
          </w:rPr>
          <w:t xml:space="preserve">Tabla 5.  </w:t>
        </w:r>
        <w:r w:rsidR="00397876" w:rsidRPr="00C44C3B">
          <w:rPr>
            <w:rStyle w:val="Hipervnculo"/>
            <w:bCs/>
            <w:noProof/>
          </w:rPr>
          <w:t>Costo fiscal del subsidio en millones de quetzales en 2023</w:t>
        </w:r>
        <w:r w:rsidR="00397876">
          <w:rPr>
            <w:noProof/>
            <w:webHidden/>
          </w:rPr>
          <w:tab/>
        </w:r>
        <w:r w:rsidR="00397876">
          <w:rPr>
            <w:noProof/>
            <w:webHidden/>
          </w:rPr>
          <w:fldChar w:fldCharType="begin"/>
        </w:r>
        <w:r w:rsidR="00397876">
          <w:rPr>
            <w:noProof/>
            <w:webHidden/>
          </w:rPr>
          <w:instrText xml:space="preserve"> PAGEREF _Toc114493928 \h </w:instrText>
        </w:r>
        <w:r w:rsidR="00397876">
          <w:rPr>
            <w:noProof/>
            <w:webHidden/>
          </w:rPr>
        </w:r>
        <w:r w:rsidR="00397876">
          <w:rPr>
            <w:noProof/>
            <w:webHidden/>
          </w:rPr>
          <w:fldChar w:fldCharType="separate"/>
        </w:r>
        <w:r w:rsidR="002E7809">
          <w:rPr>
            <w:noProof/>
            <w:webHidden/>
          </w:rPr>
          <w:t>22</w:t>
        </w:r>
        <w:r w:rsidR="00397876">
          <w:rPr>
            <w:noProof/>
            <w:webHidden/>
          </w:rPr>
          <w:fldChar w:fldCharType="end"/>
        </w:r>
      </w:hyperlink>
    </w:p>
    <w:p w14:paraId="01A3DCD1" w14:textId="299FDF10"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29" w:history="1">
        <w:r w:rsidR="00397876" w:rsidRPr="00C44C3B">
          <w:rPr>
            <w:rStyle w:val="Hipervnculo"/>
            <w:noProof/>
          </w:rPr>
          <w:t xml:space="preserve">Tabla 6.  </w:t>
        </w:r>
        <w:r w:rsidR="00397876" w:rsidRPr="00C44C3B">
          <w:rPr>
            <w:rStyle w:val="Hipervnculo"/>
            <w:bCs/>
            <w:noProof/>
          </w:rPr>
          <w:t>Impacto</w:t>
        </w:r>
        <w:r w:rsidR="000C354F">
          <w:rPr>
            <w:rStyle w:val="Hipervnculo"/>
            <w:bCs/>
            <w:noProof/>
          </w:rPr>
          <w:t xml:space="preserve"> en la recaudación</w:t>
        </w:r>
        <w:r w:rsidR="00397876" w:rsidRPr="00C44C3B">
          <w:rPr>
            <w:rStyle w:val="Hipervnculo"/>
            <w:bCs/>
            <w:noProof/>
          </w:rPr>
          <w:t xml:space="preserve"> por una disminución del precio del WTI en 2023</w:t>
        </w:r>
        <w:r w:rsidR="00397876">
          <w:rPr>
            <w:noProof/>
            <w:webHidden/>
          </w:rPr>
          <w:tab/>
        </w:r>
        <w:r w:rsidR="00397876">
          <w:rPr>
            <w:noProof/>
            <w:webHidden/>
          </w:rPr>
          <w:fldChar w:fldCharType="begin"/>
        </w:r>
        <w:r w:rsidR="00397876">
          <w:rPr>
            <w:noProof/>
            <w:webHidden/>
          </w:rPr>
          <w:instrText xml:space="preserve"> PAGEREF _Toc114493929 \h </w:instrText>
        </w:r>
        <w:r w:rsidR="00397876">
          <w:rPr>
            <w:noProof/>
            <w:webHidden/>
          </w:rPr>
        </w:r>
        <w:r w:rsidR="00397876">
          <w:rPr>
            <w:noProof/>
            <w:webHidden/>
          </w:rPr>
          <w:fldChar w:fldCharType="separate"/>
        </w:r>
        <w:r w:rsidR="002E7809">
          <w:rPr>
            <w:noProof/>
            <w:webHidden/>
          </w:rPr>
          <w:t>23</w:t>
        </w:r>
        <w:r w:rsidR="00397876">
          <w:rPr>
            <w:noProof/>
            <w:webHidden/>
          </w:rPr>
          <w:fldChar w:fldCharType="end"/>
        </w:r>
      </w:hyperlink>
    </w:p>
    <w:p w14:paraId="065AE6EA" w14:textId="44D7B007"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0" w:history="1">
        <w:r w:rsidR="00397876" w:rsidRPr="00C44C3B">
          <w:rPr>
            <w:rStyle w:val="Hipervnculo"/>
            <w:noProof/>
          </w:rPr>
          <w:t xml:space="preserve">Tabla 7.  </w:t>
        </w:r>
        <w:r w:rsidR="00397876" w:rsidRPr="00C44C3B">
          <w:rPr>
            <w:rStyle w:val="Hipervnculo"/>
            <w:noProof/>
            <w:lang w:val="es-MX"/>
          </w:rPr>
          <w:t>Respuesta de las actividades económica en base al índice de rigor en 2023</w:t>
        </w:r>
        <w:r w:rsidR="00397876">
          <w:rPr>
            <w:noProof/>
            <w:webHidden/>
          </w:rPr>
          <w:tab/>
        </w:r>
        <w:r w:rsidR="00397876">
          <w:rPr>
            <w:noProof/>
            <w:webHidden/>
          </w:rPr>
          <w:fldChar w:fldCharType="begin"/>
        </w:r>
        <w:r w:rsidR="00397876">
          <w:rPr>
            <w:noProof/>
            <w:webHidden/>
          </w:rPr>
          <w:instrText xml:space="preserve"> PAGEREF _Toc114493930 \h </w:instrText>
        </w:r>
        <w:r w:rsidR="00397876">
          <w:rPr>
            <w:noProof/>
            <w:webHidden/>
          </w:rPr>
        </w:r>
        <w:r w:rsidR="00397876">
          <w:rPr>
            <w:noProof/>
            <w:webHidden/>
          </w:rPr>
          <w:fldChar w:fldCharType="separate"/>
        </w:r>
        <w:r w:rsidR="002E7809">
          <w:rPr>
            <w:noProof/>
            <w:webHidden/>
          </w:rPr>
          <w:t>26</w:t>
        </w:r>
        <w:r w:rsidR="00397876">
          <w:rPr>
            <w:noProof/>
            <w:webHidden/>
          </w:rPr>
          <w:fldChar w:fldCharType="end"/>
        </w:r>
      </w:hyperlink>
    </w:p>
    <w:p w14:paraId="68596032" w14:textId="1AE87004"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1" w:history="1">
        <w:r w:rsidR="00397876" w:rsidRPr="00C44C3B">
          <w:rPr>
            <w:rStyle w:val="Hipervnculo"/>
            <w:noProof/>
          </w:rPr>
          <w:t xml:space="preserve">Tabla 8.  </w:t>
        </w:r>
        <w:r w:rsidR="00397876" w:rsidRPr="00C44C3B">
          <w:rPr>
            <w:rStyle w:val="Hipervnculo"/>
            <w:noProof/>
            <w:lang w:val="es-ES_tradnl" w:eastAsia="es-ES"/>
          </w:rPr>
          <w:t>Categorías de ingresos para los países</w:t>
        </w:r>
        <w:r w:rsidR="00397876">
          <w:rPr>
            <w:noProof/>
            <w:webHidden/>
          </w:rPr>
          <w:tab/>
        </w:r>
        <w:r w:rsidR="00397876">
          <w:rPr>
            <w:noProof/>
            <w:webHidden/>
          </w:rPr>
          <w:fldChar w:fldCharType="begin"/>
        </w:r>
        <w:r w:rsidR="00397876">
          <w:rPr>
            <w:noProof/>
            <w:webHidden/>
          </w:rPr>
          <w:instrText xml:space="preserve"> PAGEREF _Toc114493931 \h </w:instrText>
        </w:r>
        <w:r w:rsidR="00397876">
          <w:rPr>
            <w:noProof/>
            <w:webHidden/>
          </w:rPr>
        </w:r>
        <w:r w:rsidR="00397876">
          <w:rPr>
            <w:noProof/>
            <w:webHidden/>
          </w:rPr>
          <w:fldChar w:fldCharType="separate"/>
        </w:r>
        <w:r w:rsidR="002E7809">
          <w:rPr>
            <w:noProof/>
            <w:webHidden/>
          </w:rPr>
          <w:t>29</w:t>
        </w:r>
        <w:r w:rsidR="00397876">
          <w:rPr>
            <w:noProof/>
            <w:webHidden/>
          </w:rPr>
          <w:fldChar w:fldCharType="end"/>
        </w:r>
      </w:hyperlink>
    </w:p>
    <w:p w14:paraId="47CC448C" w14:textId="3548F371"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2" w:history="1">
        <w:r w:rsidR="00397876" w:rsidRPr="00C44C3B">
          <w:rPr>
            <w:rStyle w:val="Hipervnculo"/>
            <w:noProof/>
          </w:rPr>
          <w:t xml:space="preserve">Tabla 9.  </w:t>
        </w:r>
        <w:r w:rsidR="00397876" w:rsidRPr="00C44C3B">
          <w:rPr>
            <w:rStyle w:val="Hipervnculo"/>
            <w:rFonts w:eastAsia="Times New Roman"/>
            <w:noProof/>
            <w:lang w:val="es-ES_tradnl" w:eastAsia="es-ES"/>
          </w:rPr>
          <w:t>Puntos de referencia para los indicadores de Deuda</w:t>
        </w:r>
        <w:r w:rsidR="00397876">
          <w:rPr>
            <w:noProof/>
            <w:webHidden/>
          </w:rPr>
          <w:tab/>
        </w:r>
        <w:r w:rsidR="00397876">
          <w:rPr>
            <w:noProof/>
            <w:webHidden/>
          </w:rPr>
          <w:fldChar w:fldCharType="begin"/>
        </w:r>
        <w:r w:rsidR="00397876">
          <w:rPr>
            <w:noProof/>
            <w:webHidden/>
          </w:rPr>
          <w:instrText xml:space="preserve"> PAGEREF _Toc114493932 \h </w:instrText>
        </w:r>
        <w:r w:rsidR="00397876">
          <w:rPr>
            <w:noProof/>
            <w:webHidden/>
          </w:rPr>
        </w:r>
        <w:r w:rsidR="00397876">
          <w:rPr>
            <w:noProof/>
            <w:webHidden/>
          </w:rPr>
          <w:fldChar w:fldCharType="separate"/>
        </w:r>
        <w:r w:rsidR="002E7809">
          <w:rPr>
            <w:noProof/>
            <w:webHidden/>
          </w:rPr>
          <w:t>30</w:t>
        </w:r>
        <w:r w:rsidR="00397876">
          <w:rPr>
            <w:noProof/>
            <w:webHidden/>
          </w:rPr>
          <w:fldChar w:fldCharType="end"/>
        </w:r>
      </w:hyperlink>
    </w:p>
    <w:p w14:paraId="026E9C69" w14:textId="5E393CB1"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3" w:history="1">
        <w:r w:rsidR="00397876" w:rsidRPr="00C44C3B">
          <w:rPr>
            <w:rStyle w:val="Hipervnculo"/>
            <w:noProof/>
          </w:rPr>
          <w:t>Tabla 10.  Resultados del riesgo de la deuda pública en el medio plazo</w:t>
        </w:r>
        <w:r w:rsidR="00397876">
          <w:rPr>
            <w:noProof/>
            <w:webHidden/>
          </w:rPr>
          <w:tab/>
        </w:r>
        <w:r w:rsidR="00397876">
          <w:rPr>
            <w:noProof/>
            <w:webHidden/>
          </w:rPr>
          <w:fldChar w:fldCharType="begin"/>
        </w:r>
        <w:r w:rsidR="00397876">
          <w:rPr>
            <w:noProof/>
            <w:webHidden/>
          </w:rPr>
          <w:instrText xml:space="preserve"> PAGEREF _Toc114493933 \h </w:instrText>
        </w:r>
        <w:r w:rsidR="00397876">
          <w:rPr>
            <w:noProof/>
            <w:webHidden/>
          </w:rPr>
        </w:r>
        <w:r w:rsidR="00397876">
          <w:rPr>
            <w:noProof/>
            <w:webHidden/>
          </w:rPr>
          <w:fldChar w:fldCharType="separate"/>
        </w:r>
        <w:r w:rsidR="002E7809">
          <w:rPr>
            <w:noProof/>
            <w:webHidden/>
          </w:rPr>
          <w:t>41</w:t>
        </w:r>
        <w:r w:rsidR="00397876">
          <w:rPr>
            <w:noProof/>
            <w:webHidden/>
          </w:rPr>
          <w:fldChar w:fldCharType="end"/>
        </w:r>
      </w:hyperlink>
    </w:p>
    <w:p w14:paraId="68730AAF" w14:textId="508BB65F"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4" w:history="1">
        <w:r w:rsidR="00397876" w:rsidRPr="00C44C3B">
          <w:rPr>
            <w:rStyle w:val="Hipervnculo"/>
            <w:noProof/>
          </w:rPr>
          <w:t xml:space="preserve">Tabla 11.  </w:t>
        </w:r>
        <w:r w:rsidR="00397876" w:rsidRPr="00C44C3B">
          <w:rPr>
            <w:rStyle w:val="Hipervnculo"/>
            <w:rFonts w:eastAsia="Calibri"/>
            <w:noProof/>
          </w:rPr>
          <w:t>Lista de entidades consideradas para analizar sus riesgos financieros</w:t>
        </w:r>
        <w:r w:rsidR="00397876">
          <w:rPr>
            <w:noProof/>
            <w:webHidden/>
          </w:rPr>
          <w:tab/>
        </w:r>
        <w:r w:rsidR="00397876">
          <w:rPr>
            <w:noProof/>
            <w:webHidden/>
          </w:rPr>
          <w:fldChar w:fldCharType="begin"/>
        </w:r>
        <w:r w:rsidR="00397876">
          <w:rPr>
            <w:noProof/>
            <w:webHidden/>
          </w:rPr>
          <w:instrText xml:space="preserve"> PAGEREF _Toc114493934 \h </w:instrText>
        </w:r>
        <w:r w:rsidR="00397876">
          <w:rPr>
            <w:noProof/>
            <w:webHidden/>
          </w:rPr>
        </w:r>
        <w:r w:rsidR="00397876">
          <w:rPr>
            <w:noProof/>
            <w:webHidden/>
          </w:rPr>
          <w:fldChar w:fldCharType="separate"/>
        </w:r>
        <w:r w:rsidR="002E7809">
          <w:rPr>
            <w:noProof/>
            <w:webHidden/>
          </w:rPr>
          <w:t>54</w:t>
        </w:r>
        <w:r w:rsidR="00397876">
          <w:rPr>
            <w:noProof/>
            <w:webHidden/>
          </w:rPr>
          <w:fldChar w:fldCharType="end"/>
        </w:r>
      </w:hyperlink>
    </w:p>
    <w:p w14:paraId="206DD1AA" w14:textId="263F72A1"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5" w:history="1">
        <w:r w:rsidR="00397876" w:rsidRPr="00C44C3B">
          <w:rPr>
            <w:rStyle w:val="Hipervnculo"/>
            <w:noProof/>
          </w:rPr>
          <w:t xml:space="preserve">Tabla 12.  </w:t>
        </w:r>
        <w:r w:rsidR="00397876" w:rsidRPr="00C44C3B">
          <w:rPr>
            <w:rStyle w:val="Hipervnculo"/>
            <w:rFonts w:eastAsia="Calibri"/>
            <w:bCs/>
            <w:noProof/>
          </w:rPr>
          <w:t>Préstamos Garantizados por el Gobierno</w:t>
        </w:r>
        <w:r w:rsidR="00397876">
          <w:rPr>
            <w:noProof/>
            <w:webHidden/>
          </w:rPr>
          <w:tab/>
        </w:r>
        <w:r w:rsidR="00397876">
          <w:rPr>
            <w:noProof/>
            <w:webHidden/>
          </w:rPr>
          <w:fldChar w:fldCharType="begin"/>
        </w:r>
        <w:r w:rsidR="00397876">
          <w:rPr>
            <w:noProof/>
            <w:webHidden/>
          </w:rPr>
          <w:instrText xml:space="preserve"> PAGEREF _Toc114493935 \h </w:instrText>
        </w:r>
        <w:r w:rsidR="00397876">
          <w:rPr>
            <w:noProof/>
            <w:webHidden/>
          </w:rPr>
        </w:r>
        <w:r w:rsidR="00397876">
          <w:rPr>
            <w:noProof/>
            <w:webHidden/>
          </w:rPr>
          <w:fldChar w:fldCharType="separate"/>
        </w:r>
        <w:r w:rsidR="002E7809">
          <w:rPr>
            <w:noProof/>
            <w:webHidden/>
          </w:rPr>
          <w:t>58</w:t>
        </w:r>
        <w:r w:rsidR="00397876">
          <w:rPr>
            <w:noProof/>
            <w:webHidden/>
          </w:rPr>
          <w:fldChar w:fldCharType="end"/>
        </w:r>
      </w:hyperlink>
    </w:p>
    <w:p w14:paraId="30113B6E" w14:textId="5D09F0F3"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6" w:history="1">
        <w:r w:rsidR="00397876" w:rsidRPr="00C44C3B">
          <w:rPr>
            <w:rStyle w:val="Hipervnculo"/>
            <w:noProof/>
          </w:rPr>
          <w:t xml:space="preserve">Tabla 13.  </w:t>
        </w:r>
        <w:r w:rsidR="00397876" w:rsidRPr="00C44C3B">
          <w:rPr>
            <w:rStyle w:val="Hipervnculo"/>
            <w:noProof/>
            <w:lang w:val="es-MX"/>
          </w:rPr>
          <w:t>Ingresos, gastos y Fondo de Reserva del P</w:t>
        </w:r>
        <w:r w:rsidR="000C354F">
          <w:rPr>
            <w:rStyle w:val="Hipervnculo"/>
            <w:noProof/>
            <w:lang w:val="es-MX"/>
          </w:rPr>
          <w:t>rograma IVS, periodo 2016-2021</w:t>
        </w:r>
        <w:r w:rsidR="00397876">
          <w:rPr>
            <w:noProof/>
            <w:webHidden/>
          </w:rPr>
          <w:tab/>
        </w:r>
        <w:r w:rsidR="00397876">
          <w:rPr>
            <w:noProof/>
            <w:webHidden/>
          </w:rPr>
          <w:fldChar w:fldCharType="begin"/>
        </w:r>
        <w:r w:rsidR="00397876">
          <w:rPr>
            <w:noProof/>
            <w:webHidden/>
          </w:rPr>
          <w:instrText xml:space="preserve"> PAGEREF _Toc114493936 \h </w:instrText>
        </w:r>
        <w:r w:rsidR="00397876">
          <w:rPr>
            <w:noProof/>
            <w:webHidden/>
          </w:rPr>
        </w:r>
        <w:r w:rsidR="00397876">
          <w:rPr>
            <w:noProof/>
            <w:webHidden/>
          </w:rPr>
          <w:fldChar w:fldCharType="separate"/>
        </w:r>
        <w:r w:rsidR="002E7809">
          <w:rPr>
            <w:noProof/>
            <w:webHidden/>
          </w:rPr>
          <w:t>70</w:t>
        </w:r>
        <w:r w:rsidR="00397876">
          <w:rPr>
            <w:noProof/>
            <w:webHidden/>
          </w:rPr>
          <w:fldChar w:fldCharType="end"/>
        </w:r>
      </w:hyperlink>
    </w:p>
    <w:p w14:paraId="2021A82E" w14:textId="43C3BE41"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7" w:history="1">
        <w:r w:rsidR="00397876" w:rsidRPr="00C44C3B">
          <w:rPr>
            <w:rStyle w:val="Hipervnculo"/>
            <w:noProof/>
          </w:rPr>
          <w:t xml:space="preserve">Tabla 14.  </w:t>
        </w:r>
        <w:r w:rsidR="00397876" w:rsidRPr="00C44C3B">
          <w:rPr>
            <w:rStyle w:val="Hipervnculo"/>
            <w:bCs/>
            <w:noProof/>
            <w:lang w:val="es-MX"/>
          </w:rPr>
          <w:t>Arbitrajes internacional activos</w:t>
        </w:r>
        <w:r w:rsidR="00397876">
          <w:rPr>
            <w:noProof/>
            <w:webHidden/>
          </w:rPr>
          <w:tab/>
        </w:r>
        <w:r w:rsidR="00397876">
          <w:rPr>
            <w:noProof/>
            <w:webHidden/>
          </w:rPr>
          <w:fldChar w:fldCharType="begin"/>
        </w:r>
        <w:r w:rsidR="00397876">
          <w:rPr>
            <w:noProof/>
            <w:webHidden/>
          </w:rPr>
          <w:instrText xml:space="preserve"> PAGEREF _Toc114493937 \h </w:instrText>
        </w:r>
        <w:r w:rsidR="00397876">
          <w:rPr>
            <w:noProof/>
            <w:webHidden/>
          </w:rPr>
        </w:r>
        <w:r w:rsidR="00397876">
          <w:rPr>
            <w:noProof/>
            <w:webHidden/>
          </w:rPr>
          <w:fldChar w:fldCharType="separate"/>
        </w:r>
        <w:r w:rsidR="002E7809">
          <w:rPr>
            <w:noProof/>
            <w:webHidden/>
          </w:rPr>
          <w:t>75</w:t>
        </w:r>
        <w:r w:rsidR="00397876">
          <w:rPr>
            <w:noProof/>
            <w:webHidden/>
          </w:rPr>
          <w:fldChar w:fldCharType="end"/>
        </w:r>
      </w:hyperlink>
    </w:p>
    <w:p w14:paraId="463DAF8C" w14:textId="45F58559"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8" w:history="1">
        <w:r w:rsidR="00397876" w:rsidRPr="00C44C3B">
          <w:rPr>
            <w:rStyle w:val="Hipervnculo"/>
            <w:noProof/>
          </w:rPr>
          <w:t xml:space="preserve">Tabla 15.  </w:t>
        </w:r>
        <w:r w:rsidR="00397876" w:rsidRPr="00C44C3B">
          <w:rPr>
            <w:rStyle w:val="Hipervnculo"/>
            <w:bCs/>
            <w:noProof/>
          </w:rPr>
          <w:t>Demandas Judiciales en Contra del Estado de Guatemala</w:t>
        </w:r>
        <w:r w:rsidR="00397876">
          <w:rPr>
            <w:noProof/>
            <w:webHidden/>
          </w:rPr>
          <w:tab/>
        </w:r>
        <w:r w:rsidR="00397876">
          <w:rPr>
            <w:noProof/>
            <w:webHidden/>
          </w:rPr>
          <w:fldChar w:fldCharType="begin"/>
        </w:r>
        <w:r w:rsidR="00397876">
          <w:rPr>
            <w:noProof/>
            <w:webHidden/>
          </w:rPr>
          <w:instrText xml:space="preserve"> PAGEREF _Toc114493938 \h </w:instrText>
        </w:r>
        <w:r w:rsidR="00397876">
          <w:rPr>
            <w:noProof/>
            <w:webHidden/>
          </w:rPr>
        </w:r>
        <w:r w:rsidR="00397876">
          <w:rPr>
            <w:noProof/>
            <w:webHidden/>
          </w:rPr>
          <w:fldChar w:fldCharType="separate"/>
        </w:r>
        <w:r w:rsidR="002E7809">
          <w:rPr>
            <w:noProof/>
            <w:webHidden/>
          </w:rPr>
          <w:t>77</w:t>
        </w:r>
        <w:r w:rsidR="00397876">
          <w:rPr>
            <w:noProof/>
            <w:webHidden/>
          </w:rPr>
          <w:fldChar w:fldCharType="end"/>
        </w:r>
      </w:hyperlink>
    </w:p>
    <w:p w14:paraId="47846899" w14:textId="4320417C"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39" w:history="1">
        <w:r w:rsidR="00397876" w:rsidRPr="00C44C3B">
          <w:rPr>
            <w:rStyle w:val="Hipervnculo"/>
            <w:noProof/>
          </w:rPr>
          <w:t xml:space="preserve">Tabla 16.  </w:t>
        </w:r>
        <w:r w:rsidR="00397876" w:rsidRPr="00C44C3B">
          <w:rPr>
            <w:rStyle w:val="Hipervnculo"/>
            <w:rFonts w:eastAsia="Times New Roman"/>
            <w:bCs/>
            <w:noProof/>
          </w:rPr>
          <w:t>Exposición ante amenazas climáticas por departamento en Guatemala</w:t>
        </w:r>
        <w:r w:rsidR="00397876">
          <w:rPr>
            <w:noProof/>
            <w:webHidden/>
          </w:rPr>
          <w:tab/>
        </w:r>
        <w:r w:rsidR="00397876">
          <w:rPr>
            <w:noProof/>
            <w:webHidden/>
          </w:rPr>
          <w:fldChar w:fldCharType="begin"/>
        </w:r>
        <w:r w:rsidR="00397876">
          <w:rPr>
            <w:noProof/>
            <w:webHidden/>
          </w:rPr>
          <w:instrText xml:space="preserve"> PAGEREF _Toc114493939 \h </w:instrText>
        </w:r>
        <w:r w:rsidR="00397876">
          <w:rPr>
            <w:noProof/>
            <w:webHidden/>
          </w:rPr>
        </w:r>
        <w:r w:rsidR="00397876">
          <w:rPr>
            <w:noProof/>
            <w:webHidden/>
          </w:rPr>
          <w:fldChar w:fldCharType="separate"/>
        </w:r>
        <w:r w:rsidR="002E7809">
          <w:rPr>
            <w:noProof/>
            <w:webHidden/>
          </w:rPr>
          <w:t>78</w:t>
        </w:r>
        <w:r w:rsidR="00397876">
          <w:rPr>
            <w:noProof/>
            <w:webHidden/>
          </w:rPr>
          <w:fldChar w:fldCharType="end"/>
        </w:r>
      </w:hyperlink>
    </w:p>
    <w:p w14:paraId="3DAD8E26" w14:textId="217D6950"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40" w:history="1">
        <w:r w:rsidR="00397876" w:rsidRPr="00C44C3B">
          <w:rPr>
            <w:rStyle w:val="Hipervnculo"/>
            <w:noProof/>
          </w:rPr>
          <w:t xml:space="preserve">Tabla 17.  </w:t>
        </w:r>
        <w:r w:rsidR="00397876" w:rsidRPr="00C44C3B">
          <w:rPr>
            <w:rStyle w:val="Hipervnculo"/>
            <w:rFonts w:eastAsia="Times New Roman"/>
            <w:bCs/>
            <w:noProof/>
            <w:lang w:val="es-ES"/>
          </w:rPr>
          <w:t>Índice de riesg</w:t>
        </w:r>
        <w:r w:rsidR="000C354F">
          <w:rPr>
            <w:rStyle w:val="Hipervnculo"/>
            <w:rFonts w:eastAsia="Times New Roman"/>
            <w:bCs/>
            <w:noProof/>
            <w:lang w:val="es-ES"/>
          </w:rPr>
          <w:t>o climático histórico para Centroamérica</w:t>
        </w:r>
        <w:r w:rsidR="00397876">
          <w:rPr>
            <w:noProof/>
            <w:webHidden/>
          </w:rPr>
          <w:tab/>
        </w:r>
        <w:r w:rsidR="00397876">
          <w:rPr>
            <w:noProof/>
            <w:webHidden/>
          </w:rPr>
          <w:fldChar w:fldCharType="begin"/>
        </w:r>
        <w:r w:rsidR="00397876">
          <w:rPr>
            <w:noProof/>
            <w:webHidden/>
          </w:rPr>
          <w:instrText xml:space="preserve"> PAGEREF _Toc114493940 \h </w:instrText>
        </w:r>
        <w:r w:rsidR="00397876">
          <w:rPr>
            <w:noProof/>
            <w:webHidden/>
          </w:rPr>
        </w:r>
        <w:r w:rsidR="00397876">
          <w:rPr>
            <w:noProof/>
            <w:webHidden/>
          </w:rPr>
          <w:fldChar w:fldCharType="separate"/>
        </w:r>
        <w:r w:rsidR="002E7809">
          <w:rPr>
            <w:noProof/>
            <w:webHidden/>
          </w:rPr>
          <w:t>80</w:t>
        </w:r>
        <w:r w:rsidR="00397876">
          <w:rPr>
            <w:noProof/>
            <w:webHidden/>
          </w:rPr>
          <w:fldChar w:fldCharType="end"/>
        </w:r>
      </w:hyperlink>
    </w:p>
    <w:p w14:paraId="4633161B" w14:textId="5A7FEF67"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41" w:history="1">
        <w:r w:rsidR="00397876" w:rsidRPr="00C44C3B">
          <w:rPr>
            <w:rStyle w:val="Hipervnculo"/>
            <w:noProof/>
          </w:rPr>
          <w:t xml:space="preserve">Tabla 18.  </w:t>
        </w:r>
        <w:r w:rsidR="00397876" w:rsidRPr="00C44C3B">
          <w:rPr>
            <w:rStyle w:val="Hipervnculo"/>
            <w:rFonts w:eastAsia="Times New Roman"/>
            <w:bCs/>
            <w:noProof/>
            <w:lang w:val="es-ES"/>
          </w:rPr>
          <w:t>Minerales metálicos y no metálicos Guatemala</w:t>
        </w:r>
        <w:r w:rsidR="00397876">
          <w:rPr>
            <w:noProof/>
            <w:webHidden/>
          </w:rPr>
          <w:tab/>
        </w:r>
        <w:r w:rsidR="00397876">
          <w:rPr>
            <w:noProof/>
            <w:webHidden/>
          </w:rPr>
          <w:fldChar w:fldCharType="begin"/>
        </w:r>
        <w:r w:rsidR="00397876">
          <w:rPr>
            <w:noProof/>
            <w:webHidden/>
          </w:rPr>
          <w:instrText xml:space="preserve"> PAGEREF _Toc114493941 \h </w:instrText>
        </w:r>
        <w:r w:rsidR="00397876">
          <w:rPr>
            <w:noProof/>
            <w:webHidden/>
          </w:rPr>
        </w:r>
        <w:r w:rsidR="00397876">
          <w:rPr>
            <w:noProof/>
            <w:webHidden/>
          </w:rPr>
          <w:fldChar w:fldCharType="separate"/>
        </w:r>
        <w:r w:rsidR="002E7809">
          <w:rPr>
            <w:noProof/>
            <w:webHidden/>
          </w:rPr>
          <w:t>86</w:t>
        </w:r>
        <w:r w:rsidR="00397876">
          <w:rPr>
            <w:noProof/>
            <w:webHidden/>
          </w:rPr>
          <w:fldChar w:fldCharType="end"/>
        </w:r>
      </w:hyperlink>
    </w:p>
    <w:p w14:paraId="30E3DC88" w14:textId="79D3E4C0" w:rsidR="00397876" w:rsidRDefault="00844849" w:rsidP="00397876">
      <w:pPr>
        <w:pStyle w:val="Tabladeilustraciones"/>
        <w:tabs>
          <w:tab w:val="right" w:leader="dot" w:pos="8828"/>
        </w:tabs>
        <w:spacing w:after="0"/>
        <w:rPr>
          <w:rFonts w:asciiTheme="minorHAnsi" w:hAnsiTheme="minorHAnsi" w:cstheme="minorBidi"/>
          <w:noProof/>
          <w:sz w:val="22"/>
          <w:szCs w:val="22"/>
          <w:lang w:eastAsia="es-GT"/>
        </w:rPr>
      </w:pPr>
      <w:hyperlink w:anchor="_Toc114493942" w:history="1">
        <w:r w:rsidR="00397876" w:rsidRPr="00C44C3B">
          <w:rPr>
            <w:rStyle w:val="Hipervnculo"/>
            <w:noProof/>
          </w:rPr>
          <w:t xml:space="preserve">Tabla 19.  </w:t>
        </w:r>
        <w:r w:rsidR="00397876" w:rsidRPr="00C44C3B">
          <w:rPr>
            <w:rStyle w:val="Hipervnculo"/>
            <w:rFonts w:eastAsia="Times New Roman"/>
            <w:bCs/>
            <w:noProof/>
            <w:lang w:val="es-ES"/>
          </w:rPr>
          <w:t>Los contratos de exploración de hidrocarburos vigentes a junio de 2021</w:t>
        </w:r>
        <w:r w:rsidR="00397876">
          <w:rPr>
            <w:noProof/>
            <w:webHidden/>
          </w:rPr>
          <w:tab/>
        </w:r>
        <w:r w:rsidR="00397876">
          <w:rPr>
            <w:noProof/>
            <w:webHidden/>
          </w:rPr>
          <w:fldChar w:fldCharType="begin"/>
        </w:r>
        <w:r w:rsidR="00397876">
          <w:rPr>
            <w:noProof/>
            <w:webHidden/>
          </w:rPr>
          <w:instrText xml:space="preserve"> PAGEREF _Toc114493942 \h </w:instrText>
        </w:r>
        <w:r w:rsidR="00397876">
          <w:rPr>
            <w:noProof/>
            <w:webHidden/>
          </w:rPr>
        </w:r>
        <w:r w:rsidR="00397876">
          <w:rPr>
            <w:noProof/>
            <w:webHidden/>
          </w:rPr>
          <w:fldChar w:fldCharType="separate"/>
        </w:r>
        <w:r w:rsidR="002E7809">
          <w:rPr>
            <w:noProof/>
            <w:webHidden/>
          </w:rPr>
          <w:t>91</w:t>
        </w:r>
        <w:r w:rsidR="00397876">
          <w:rPr>
            <w:noProof/>
            <w:webHidden/>
          </w:rPr>
          <w:fldChar w:fldCharType="end"/>
        </w:r>
      </w:hyperlink>
    </w:p>
    <w:p w14:paraId="207BFF8D" w14:textId="30901544" w:rsidR="000E3A47" w:rsidRDefault="00A9708A" w:rsidP="00E53B8E">
      <w:pPr>
        <w:rPr>
          <w:noProof/>
          <w:lang w:eastAsia="es-GT"/>
        </w:rPr>
      </w:pPr>
      <w:r>
        <w:rPr>
          <w:noProof/>
          <w:lang w:eastAsia="es-GT"/>
        </w:rPr>
        <w:fldChar w:fldCharType="end"/>
      </w:r>
    </w:p>
    <w:p w14:paraId="4CE638E7" w14:textId="1E1F5711" w:rsidR="000E3A47" w:rsidRDefault="000E3A47" w:rsidP="00ED483A">
      <w:pPr>
        <w:rPr>
          <w:noProof/>
          <w:lang w:eastAsia="es-GT"/>
        </w:rPr>
      </w:pPr>
    </w:p>
    <w:p w14:paraId="5CA6AF9F" w14:textId="6BB61F25" w:rsidR="00F97A9F" w:rsidRDefault="00F97A9F" w:rsidP="00F97A9F">
      <w:pPr>
        <w:jc w:val="center"/>
        <w:rPr>
          <w:b/>
          <w:noProof/>
          <w:lang w:eastAsia="es-GT"/>
        </w:rPr>
      </w:pPr>
      <w:r>
        <w:rPr>
          <w:b/>
          <w:noProof/>
          <w:lang w:eastAsia="es-GT"/>
        </w:rPr>
        <w:t>Contenido en Recuadros</w:t>
      </w:r>
    </w:p>
    <w:p w14:paraId="44D5CE45" w14:textId="77777777" w:rsidR="00F97A9F" w:rsidRDefault="00F97A9F" w:rsidP="00F97A9F">
      <w:pPr>
        <w:jc w:val="center"/>
        <w:rPr>
          <w:b/>
          <w:noProof/>
          <w:lang w:eastAsia="es-GT"/>
        </w:rPr>
      </w:pPr>
    </w:p>
    <w:p w14:paraId="3DE4AF2A" w14:textId="5CD593D6" w:rsidR="00F97A9F" w:rsidRDefault="00F97A9F" w:rsidP="00F97A9F">
      <w:pPr>
        <w:pStyle w:val="Tabladeilustraciones"/>
        <w:tabs>
          <w:tab w:val="right" w:leader="dot" w:pos="8828"/>
        </w:tabs>
        <w:spacing w:after="0"/>
        <w:rPr>
          <w:rFonts w:asciiTheme="minorHAnsi" w:hAnsiTheme="minorHAnsi" w:cstheme="minorBidi"/>
          <w:noProof/>
          <w:sz w:val="22"/>
          <w:szCs w:val="22"/>
          <w:lang w:eastAsia="es-GT"/>
        </w:rPr>
      </w:pPr>
      <w:r>
        <w:rPr>
          <w:b/>
          <w:noProof/>
          <w:lang w:eastAsia="es-GT"/>
        </w:rPr>
        <w:fldChar w:fldCharType="begin"/>
      </w:r>
      <w:r>
        <w:rPr>
          <w:b/>
          <w:noProof/>
          <w:lang w:eastAsia="es-GT"/>
        </w:rPr>
        <w:instrText xml:space="preserve"> TOC \h \z \c "Recuadro" </w:instrText>
      </w:r>
      <w:r>
        <w:rPr>
          <w:b/>
          <w:noProof/>
          <w:lang w:eastAsia="es-GT"/>
        </w:rPr>
        <w:fldChar w:fldCharType="separate"/>
      </w:r>
      <w:hyperlink w:anchor="_Toc114481728" w:history="1">
        <w:r w:rsidRPr="00BF333E">
          <w:rPr>
            <w:rStyle w:val="Hipervnculo"/>
            <w:noProof/>
          </w:rPr>
          <w:t>Recuadro 1.  Escenario medio de crecimiento económico bajo incertidumbre</w:t>
        </w:r>
        <w:r>
          <w:rPr>
            <w:noProof/>
            <w:webHidden/>
          </w:rPr>
          <w:tab/>
        </w:r>
        <w:r>
          <w:rPr>
            <w:noProof/>
            <w:webHidden/>
          </w:rPr>
          <w:fldChar w:fldCharType="begin"/>
        </w:r>
        <w:r>
          <w:rPr>
            <w:noProof/>
            <w:webHidden/>
          </w:rPr>
          <w:instrText xml:space="preserve"> PAGEREF _Toc114481728 \h </w:instrText>
        </w:r>
        <w:r>
          <w:rPr>
            <w:noProof/>
            <w:webHidden/>
          </w:rPr>
        </w:r>
        <w:r>
          <w:rPr>
            <w:noProof/>
            <w:webHidden/>
          </w:rPr>
          <w:fldChar w:fldCharType="separate"/>
        </w:r>
        <w:r w:rsidR="002E7809">
          <w:rPr>
            <w:noProof/>
            <w:webHidden/>
          </w:rPr>
          <w:t>15</w:t>
        </w:r>
        <w:r>
          <w:rPr>
            <w:noProof/>
            <w:webHidden/>
          </w:rPr>
          <w:fldChar w:fldCharType="end"/>
        </w:r>
      </w:hyperlink>
    </w:p>
    <w:p w14:paraId="0920B75A" w14:textId="682B5AA5" w:rsidR="00F97A9F" w:rsidRDefault="00844849" w:rsidP="00F97A9F">
      <w:pPr>
        <w:pStyle w:val="Tabladeilustraciones"/>
        <w:tabs>
          <w:tab w:val="right" w:leader="dot" w:pos="8828"/>
        </w:tabs>
        <w:spacing w:after="0"/>
        <w:rPr>
          <w:rFonts w:asciiTheme="minorHAnsi" w:hAnsiTheme="minorHAnsi" w:cstheme="minorBidi"/>
          <w:noProof/>
          <w:sz w:val="22"/>
          <w:szCs w:val="22"/>
          <w:lang w:eastAsia="es-GT"/>
        </w:rPr>
      </w:pPr>
      <w:hyperlink w:anchor="_Toc114481729" w:history="1">
        <w:r w:rsidR="00F97A9F" w:rsidRPr="00BF333E">
          <w:rPr>
            <w:rStyle w:val="Hipervnculo"/>
            <w:noProof/>
          </w:rPr>
          <w:t>Recuadro 2.  Guatemala un país de ingreso medio alto</w:t>
        </w:r>
        <w:r w:rsidR="00F97A9F">
          <w:rPr>
            <w:noProof/>
            <w:webHidden/>
          </w:rPr>
          <w:tab/>
        </w:r>
        <w:r w:rsidR="00F97A9F">
          <w:rPr>
            <w:noProof/>
            <w:webHidden/>
          </w:rPr>
          <w:fldChar w:fldCharType="begin"/>
        </w:r>
        <w:r w:rsidR="00F97A9F">
          <w:rPr>
            <w:noProof/>
            <w:webHidden/>
          </w:rPr>
          <w:instrText xml:space="preserve"> PAGEREF _Toc114481729 \h </w:instrText>
        </w:r>
        <w:r w:rsidR="00F97A9F">
          <w:rPr>
            <w:noProof/>
            <w:webHidden/>
          </w:rPr>
        </w:r>
        <w:r w:rsidR="00F97A9F">
          <w:rPr>
            <w:noProof/>
            <w:webHidden/>
          </w:rPr>
          <w:fldChar w:fldCharType="separate"/>
        </w:r>
        <w:r w:rsidR="002E7809">
          <w:rPr>
            <w:noProof/>
            <w:webHidden/>
          </w:rPr>
          <w:t>29</w:t>
        </w:r>
        <w:r w:rsidR="00F97A9F">
          <w:rPr>
            <w:noProof/>
            <w:webHidden/>
          </w:rPr>
          <w:fldChar w:fldCharType="end"/>
        </w:r>
      </w:hyperlink>
    </w:p>
    <w:p w14:paraId="28FA0596" w14:textId="3D414412" w:rsidR="00F97A9F" w:rsidRPr="00A9708A" w:rsidRDefault="00F97A9F" w:rsidP="00F97A9F">
      <w:pPr>
        <w:jc w:val="center"/>
        <w:rPr>
          <w:b/>
          <w:noProof/>
          <w:lang w:eastAsia="es-GT"/>
        </w:rPr>
      </w:pPr>
      <w:r>
        <w:rPr>
          <w:b/>
          <w:noProof/>
          <w:lang w:eastAsia="es-GT"/>
        </w:rPr>
        <w:fldChar w:fldCharType="end"/>
      </w:r>
    </w:p>
    <w:p w14:paraId="335BE106" w14:textId="6C711C87" w:rsidR="000E3A47" w:rsidRDefault="000E3A47" w:rsidP="00ED483A">
      <w:pPr>
        <w:rPr>
          <w:noProof/>
          <w:lang w:eastAsia="es-GT"/>
        </w:rPr>
      </w:pPr>
    </w:p>
    <w:p w14:paraId="4A604993" w14:textId="153DFAAE" w:rsidR="000E3A47" w:rsidRDefault="000E3A47" w:rsidP="00ED483A">
      <w:pPr>
        <w:rPr>
          <w:noProof/>
          <w:lang w:eastAsia="es-GT"/>
        </w:rPr>
      </w:pPr>
    </w:p>
    <w:p w14:paraId="05C6B34A" w14:textId="1DA3E09E" w:rsidR="000E3A47" w:rsidRDefault="000E3A47" w:rsidP="00ED483A">
      <w:pPr>
        <w:rPr>
          <w:noProof/>
          <w:lang w:eastAsia="es-GT"/>
        </w:rPr>
      </w:pPr>
    </w:p>
    <w:p w14:paraId="32ECDE19" w14:textId="2D6F3CF3" w:rsidR="000C354F" w:rsidRDefault="000C354F" w:rsidP="00ED483A">
      <w:pPr>
        <w:rPr>
          <w:noProof/>
          <w:lang w:eastAsia="es-GT"/>
        </w:rPr>
      </w:pPr>
    </w:p>
    <w:p w14:paraId="1F81F7C4" w14:textId="524A4FCD" w:rsidR="000C354F" w:rsidRDefault="000C354F" w:rsidP="00ED483A">
      <w:pPr>
        <w:rPr>
          <w:noProof/>
          <w:lang w:eastAsia="es-GT"/>
        </w:rPr>
      </w:pPr>
    </w:p>
    <w:p w14:paraId="07E44CCF" w14:textId="641ADBF2" w:rsidR="000C354F" w:rsidRDefault="000C354F" w:rsidP="00ED483A">
      <w:pPr>
        <w:rPr>
          <w:noProof/>
          <w:lang w:eastAsia="es-GT"/>
        </w:rPr>
      </w:pPr>
    </w:p>
    <w:p w14:paraId="7574AC9A" w14:textId="4E50A513" w:rsidR="000C354F" w:rsidRDefault="000C354F" w:rsidP="00ED483A">
      <w:pPr>
        <w:rPr>
          <w:noProof/>
          <w:lang w:eastAsia="es-GT"/>
        </w:rPr>
      </w:pPr>
    </w:p>
    <w:p w14:paraId="06D99AC1" w14:textId="052FC6A9" w:rsidR="000C354F" w:rsidRDefault="000C354F" w:rsidP="00ED483A">
      <w:pPr>
        <w:rPr>
          <w:noProof/>
          <w:lang w:eastAsia="es-GT"/>
        </w:rPr>
      </w:pPr>
    </w:p>
    <w:p w14:paraId="14E504C2" w14:textId="05526022" w:rsidR="000C354F" w:rsidRDefault="000C354F" w:rsidP="00ED483A">
      <w:pPr>
        <w:rPr>
          <w:noProof/>
          <w:lang w:eastAsia="es-GT"/>
        </w:rPr>
      </w:pPr>
    </w:p>
    <w:p w14:paraId="443EAA41" w14:textId="77777777" w:rsidR="000C354F" w:rsidRDefault="000C354F" w:rsidP="00ED483A">
      <w:pPr>
        <w:rPr>
          <w:noProof/>
          <w:lang w:eastAsia="es-GT"/>
        </w:rPr>
      </w:pPr>
    </w:p>
    <w:p w14:paraId="597D6844" w14:textId="775D2D22" w:rsidR="000E3A47" w:rsidRDefault="000E3A47" w:rsidP="00ED483A">
      <w:pPr>
        <w:rPr>
          <w:noProof/>
          <w:lang w:eastAsia="es-GT"/>
        </w:rPr>
      </w:pPr>
    </w:p>
    <w:p w14:paraId="4C995887" w14:textId="6C070467" w:rsidR="00E86257" w:rsidRDefault="00E86257" w:rsidP="00ED483A">
      <w:pPr>
        <w:rPr>
          <w:noProof/>
          <w:lang w:eastAsia="es-GT"/>
        </w:rPr>
      </w:pPr>
    </w:p>
    <w:p w14:paraId="5EE0ACAC" w14:textId="77777777" w:rsidR="0046218E" w:rsidRPr="00ED483A" w:rsidRDefault="0046218E" w:rsidP="00A9708A">
      <w:pPr>
        <w:pStyle w:val="Ttulo1"/>
        <w:numPr>
          <w:ilvl w:val="0"/>
          <w:numId w:val="28"/>
        </w:numPr>
        <w:ind w:left="284" w:hanging="284"/>
        <w:jc w:val="left"/>
        <w:rPr>
          <w:color w:val="auto"/>
          <w:sz w:val="24"/>
          <w:szCs w:val="28"/>
        </w:rPr>
      </w:pPr>
      <w:bookmarkStart w:id="2" w:name="_Toc83302152"/>
      <w:bookmarkStart w:id="3" w:name="_Toc114495232"/>
      <w:r w:rsidRPr="00ED483A">
        <w:rPr>
          <w:color w:val="auto"/>
          <w:sz w:val="24"/>
          <w:szCs w:val="28"/>
        </w:rPr>
        <w:t>Riesgos Macroeconómicos</w:t>
      </w:r>
      <w:bookmarkEnd w:id="2"/>
      <w:bookmarkEnd w:id="3"/>
    </w:p>
    <w:p w14:paraId="6C4D2ED4" w14:textId="77777777" w:rsidR="0046218E" w:rsidRDefault="0046218E" w:rsidP="0046218E">
      <w:pPr>
        <w:pStyle w:val="Prrafodelista"/>
        <w:ind w:left="0" w:right="49"/>
        <w:jc w:val="both"/>
        <w:rPr>
          <w:lang w:val="es-ES"/>
        </w:rPr>
      </w:pPr>
    </w:p>
    <w:p w14:paraId="680A6DE1" w14:textId="77777777" w:rsidR="0046218E" w:rsidRPr="00ED483A" w:rsidRDefault="0046218E" w:rsidP="000E4D7A">
      <w:pPr>
        <w:pStyle w:val="Prrafodelista"/>
        <w:ind w:left="0" w:right="49"/>
        <w:jc w:val="both"/>
        <w:rPr>
          <w:lang w:val="es-ES"/>
        </w:rPr>
      </w:pPr>
      <w:r w:rsidRPr="00ED483A">
        <w:rPr>
          <w:lang w:val="es-ES"/>
        </w:rPr>
        <w:t>Justo cuando los efectos de la pandemia COVID-19 estaban estabilizándose, surge el conflicto bélico entre Rusia y Ucrania, lo que ha provocado la persistencia en la incertidumbre a nivel mundial. Esta guerra en muchos países está provocando un costoso desplazamiento de refugiados y una erosión del capital humano, trastocando los mercados de materias primas y atizando la inflación. El encarecimiento de los alimentos y de la energía exacerban los riesgos de malestar social manifestados en disturbios que acrecientan la inestabilidad política. Dicha incertidumbre se traslada a nivel gobierno en escenarios de inflación fuerte y creciente, enfriamiento del crecimiento, deuda elevada y condiciones crediticias menos favorables, mientras las restricciones presupuestarias presionan con mayor fuerza, a medida que los bancos centrales suben las tasas de interés para combatir la inflación.</w:t>
      </w:r>
    </w:p>
    <w:p w14:paraId="037EA1FC" w14:textId="77777777" w:rsidR="00ED483A" w:rsidRDefault="00ED483A" w:rsidP="00ED483A">
      <w:bookmarkStart w:id="4" w:name="_Toc83302153"/>
    </w:p>
    <w:p w14:paraId="73263C1C" w14:textId="1944E7D5" w:rsidR="0046218E" w:rsidRPr="008177D8" w:rsidRDefault="0046218E" w:rsidP="00A9708A">
      <w:pPr>
        <w:pStyle w:val="Ttulo2"/>
        <w:numPr>
          <w:ilvl w:val="1"/>
          <w:numId w:val="32"/>
        </w:numPr>
        <w:ind w:left="567" w:hanging="283"/>
        <w:rPr>
          <w:b w:val="0"/>
          <w:color w:val="auto"/>
        </w:rPr>
      </w:pPr>
      <w:bookmarkStart w:id="5" w:name="_Toc114495233"/>
      <w:r w:rsidRPr="008177D8">
        <w:rPr>
          <w:color w:val="auto"/>
        </w:rPr>
        <w:t>Riesgos en el sector externo. Desviaciones en los pronósticos de la economía mundial</w:t>
      </w:r>
      <w:bookmarkEnd w:id="4"/>
      <w:bookmarkEnd w:id="5"/>
      <w:r w:rsidRPr="008177D8">
        <w:rPr>
          <w:color w:val="auto"/>
        </w:rPr>
        <w:t xml:space="preserve"> </w:t>
      </w:r>
    </w:p>
    <w:p w14:paraId="1CDCE32D" w14:textId="77777777" w:rsidR="0046218E" w:rsidRPr="00616E7C" w:rsidRDefault="0046218E" w:rsidP="0046218E">
      <w:pPr>
        <w:pStyle w:val="Sinespaciado"/>
        <w:ind w:left="708" w:right="49" w:hanging="141"/>
        <w:jc w:val="both"/>
        <w:rPr>
          <w:color w:val="FF0000"/>
          <w:sz w:val="14"/>
          <w:szCs w:val="14"/>
        </w:rPr>
      </w:pPr>
    </w:p>
    <w:p w14:paraId="6104097E" w14:textId="528930A4" w:rsidR="0046218E" w:rsidRDefault="0046218E" w:rsidP="000E4D7A">
      <w:pPr>
        <w:pStyle w:val="Prrafodelista"/>
        <w:ind w:left="0" w:right="49"/>
        <w:jc w:val="both"/>
        <w:rPr>
          <w:lang w:val="es-ES"/>
        </w:rPr>
      </w:pPr>
      <w:r>
        <w:rPr>
          <w:lang w:val="es-ES"/>
        </w:rPr>
        <w:t xml:space="preserve">La guerra entre </w:t>
      </w:r>
      <w:r w:rsidRPr="000F7E1B">
        <w:rPr>
          <w:lang w:val="es-ES"/>
        </w:rPr>
        <w:t xml:space="preserve">Rusia y Ucrania ha desatado una costosa crisis humanitaria que a su vez ha repercutido en un daño económico que ha desacelerado significativamente el crecimiento mundial para 2022. Los precios de los combustibles y los alimentos </w:t>
      </w:r>
      <w:r>
        <w:rPr>
          <w:lang w:val="es-ES"/>
        </w:rPr>
        <w:t>aumentan rápidamente</w:t>
      </w:r>
      <w:r w:rsidRPr="000F7E1B">
        <w:rPr>
          <w:lang w:val="es-ES"/>
        </w:rPr>
        <w:t xml:space="preserve">, </w:t>
      </w:r>
      <w:r>
        <w:rPr>
          <w:lang w:val="es-ES"/>
        </w:rPr>
        <w:t xml:space="preserve">teniendo mayor impacto en las poblaciones vulnerables en los países de bajo y medio ingreso. </w:t>
      </w:r>
      <w:r w:rsidRPr="000F7E1B">
        <w:rPr>
          <w:lang w:val="es-ES"/>
        </w:rPr>
        <w:t xml:space="preserve">Para el FMI, el crecimiento mundial sufrirá una desaceleración </w:t>
      </w:r>
      <w:r w:rsidR="00624569" w:rsidRPr="00624569">
        <w:rPr>
          <w:lang w:val="es-ES"/>
        </w:rPr>
        <w:t>del 6.1% estimado para 2021 a 3.2% en 2022 y 2.9% en 2023; es decir, 0.4 y 0.7 puntos porcentuales menos en 2022 y 2023 que lo previsto en enero. La inflación mundial se ha revisado al alza debido a los precios de los alimentos y la energía, así como a los persistentes desequilibrios entre la oferta y la demanda, y se prevé que alcance el 6</w:t>
      </w:r>
      <w:r w:rsidR="00624569">
        <w:rPr>
          <w:lang w:val="es-ES"/>
        </w:rPr>
        <w:t>.</w:t>
      </w:r>
      <w:r w:rsidR="00624569" w:rsidRPr="00624569">
        <w:rPr>
          <w:lang w:val="es-ES"/>
        </w:rPr>
        <w:t>6 % en las economías avanzadas y el 9</w:t>
      </w:r>
      <w:r w:rsidR="00624569">
        <w:rPr>
          <w:lang w:val="es-ES"/>
        </w:rPr>
        <w:t>.</w:t>
      </w:r>
      <w:r w:rsidR="00624569" w:rsidRPr="00624569">
        <w:rPr>
          <w:lang w:val="es-ES"/>
        </w:rPr>
        <w:t>5% en las economías de mercados emergentes y en desarrollo. En 2023, se espera que la política monetaria des</w:t>
      </w:r>
      <w:r w:rsidR="00624569">
        <w:rPr>
          <w:lang w:val="es-ES"/>
        </w:rPr>
        <w:t xml:space="preserve"> </w:t>
      </w:r>
      <w:r w:rsidR="00624569" w:rsidRPr="00624569">
        <w:rPr>
          <w:lang w:val="es-ES"/>
        </w:rPr>
        <w:t>inflacionaria haga efecto, con un crecimiento de la producción mundial de solo un 2.9%.</w:t>
      </w:r>
    </w:p>
    <w:p w14:paraId="72ECFFEF" w14:textId="77777777" w:rsidR="0046218E" w:rsidRDefault="0046218E" w:rsidP="0046218E">
      <w:pPr>
        <w:pStyle w:val="Prrafodelista"/>
        <w:ind w:left="0" w:right="49"/>
        <w:jc w:val="both"/>
        <w:rPr>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6218E" w14:paraId="31073834" w14:textId="77777777" w:rsidTr="00ED483A">
        <w:tc>
          <w:tcPr>
            <w:tcW w:w="5000" w:type="pct"/>
          </w:tcPr>
          <w:p w14:paraId="092379E0" w14:textId="2AB23F7F" w:rsidR="0046218E" w:rsidRPr="00ED483A" w:rsidRDefault="00ED483A" w:rsidP="00ED483A">
            <w:pPr>
              <w:pStyle w:val="Descripcin"/>
              <w:keepNext/>
              <w:rPr>
                <w:sz w:val="24"/>
              </w:rPr>
            </w:pPr>
            <w:bookmarkStart w:id="6" w:name="_Toc114493924"/>
            <w:r w:rsidRPr="00ED483A">
              <w:rPr>
                <w:color w:val="auto"/>
                <w:sz w:val="24"/>
              </w:rPr>
              <w:t xml:space="preserve">Tabla </w:t>
            </w:r>
            <w:r w:rsidRPr="00ED483A">
              <w:rPr>
                <w:color w:val="auto"/>
              </w:rPr>
              <w:fldChar w:fldCharType="begin"/>
            </w:r>
            <w:r w:rsidRPr="00ED483A">
              <w:rPr>
                <w:color w:val="auto"/>
                <w:sz w:val="24"/>
              </w:rPr>
              <w:instrText xml:space="preserve"> SEQ Tabla \* ARABIC </w:instrText>
            </w:r>
            <w:r w:rsidRPr="00ED483A">
              <w:rPr>
                <w:color w:val="auto"/>
              </w:rPr>
              <w:fldChar w:fldCharType="separate"/>
            </w:r>
            <w:r w:rsidR="002E7809">
              <w:rPr>
                <w:noProof/>
                <w:color w:val="auto"/>
                <w:sz w:val="24"/>
              </w:rPr>
              <w:t>1</w:t>
            </w:r>
            <w:r w:rsidRPr="00ED483A">
              <w:rPr>
                <w:color w:val="auto"/>
              </w:rPr>
              <w:fldChar w:fldCharType="end"/>
            </w:r>
            <w:r w:rsidRPr="00ED483A">
              <w:rPr>
                <w:color w:val="auto"/>
                <w:sz w:val="24"/>
              </w:rPr>
              <w:t xml:space="preserve">.  </w:t>
            </w:r>
            <w:r w:rsidR="0046218E" w:rsidRPr="00ED483A">
              <w:rPr>
                <w:color w:val="auto"/>
                <w:sz w:val="24"/>
                <w:szCs w:val="24"/>
              </w:rPr>
              <w:t>Evolución de proyecciones de crecimiento económico para 2022</w:t>
            </w:r>
            <w:bookmarkEnd w:id="6"/>
          </w:p>
        </w:tc>
      </w:tr>
      <w:tr w:rsidR="0046218E" w14:paraId="1BCFD172" w14:textId="77777777" w:rsidTr="00ED483A">
        <w:tc>
          <w:tcPr>
            <w:tcW w:w="5000" w:type="pct"/>
          </w:tcPr>
          <w:p w14:paraId="7D03F4B5" w14:textId="77777777" w:rsidR="0046218E" w:rsidRDefault="0046218E" w:rsidP="00ED483A">
            <w:pPr>
              <w:pStyle w:val="Sinespaciado"/>
              <w:ind w:right="49"/>
              <w:jc w:val="center"/>
              <w:rPr>
                <w:sz w:val="24"/>
                <w:szCs w:val="24"/>
              </w:rPr>
            </w:pPr>
            <w:r w:rsidRPr="005D360B">
              <w:t>Porcentajes</w:t>
            </w:r>
          </w:p>
        </w:tc>
      </w:tr>
      <w:tr w:rsidR="0046218E" w14:paraId="15F19D6E" w14:textId="77777777" w:rsidTr="00ED483A">
        <w:tc>
          <w:tcPr>
            <w:tcW w:w="5000" w:type="pct"/>
          </w:tcPr>
          <w:p w14:paraId="0EA2C87A" w14:textId="77777777" w:rsidR="0046218E" w:rsidRDefault="0046218E" w:rsidP="00ED483A">
            <w:pPr>
              <w:pStyle w:val="Sinespaciado"/>
              <w:ind w:right="49"/>
              <w:jc w:val="center"/>
              <w:rPr>
                <w:sz w:val="24"/>
                <w:szCs w:val="24"/>
              </w:rPr>
            </w:pPr>
            <w:r w:rsidRPr="005D360B">
              <w:t>Por fechas de revisión de proyecciones</w:t>
            </w:r>
          </w:p>
        </w:tc>
      </w:tr>
      <w:tr w:rsidR="0046218E" w14:paraId="051B7006" w14:textId="77777777" w:rsidTr="00886527">
        <w:trPr>
          <w:trHeight w:val="2163"/>
        </w:trPr>
        <w:tc>
          <w:tcPr>
            <w:tcW w:w="5000" w:type="pct"/>
          </w:tcPr>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9"/>
              <w:gridCol w:w="940"/>
              <w:gridCol w:w="936"/>
              <w:gridCol w:w="936"/>
              <w:gridCol w:w="936"/>
              <w:gridCol w:w="935"/>
            </w:tblGrid>
            <w:tr w:rsidR="00624569" w:rsidRPr="00624569" w14:paraId="779CE5CB" w14:textId="77777777" w:rsidTr="00E2711F">
              <w:trPr>
                <w:trHeight w:val="169"/>
                <w:jc w:val="center"/>
              </w:trPr>
              <w:tc>
                <w:tcPr>
                  <w:tcW w:w="2284" w:type="pct"/>
                  <w:vMerge w:val="restart"/>
                  <w:shd w:val="clear" w:color="auto" w:fill="B4C6E7"/>
                  <w:noWrap/>
                  <w:vAlign w:val="center"/>
                </w:tcPr>
                <w:p w14:paraId="564017C5" w14:textId="77777777" w:rsidR="00624569" w:rsidRPr="00624569" w:rsidRDefault="00624569" w:rsidP="00624569">
                  <w:pPr>
                    <w:widowControl/>
                    <w:jc w:val="center"/>
                    <w:rPr>
                      <w:rFonts w:eastAsia="Times New Roman"/>
                      <w:b/>
                      <w:bCs/>
                      <w:color w:val="000000"/>
                      <w:szCs w:val="22"/>
                      <w:lang w:eastAsia="es-GT"/>
                    </w:rPr>
                  </w:pPr>
                  <w:r w:rsidRPr="00624569">
                    <w:rPr>
                      <w:rFonts w:eastAsia="Times New Roman"/>
                      <w:b/>
                      <w:bCs/>
                      <w:color w:val="000000"/>
                      <w:szCs w:val="22"/>
                      <w:lang w:eastAsia="es-GT"/>
                    </w:rPr>
                    <w:t>Grupo</w:t>
                  </w:r>
                </w:p>
              </w:tc>
              <w:tc>
                <w:tcPr>
                  <w:tcW w:w="2716" w:type="pct"/>
                  <w:gridSpan w:val="5"/>
                  <w:shd w:val="clear" w:color="auto" w:fill="B4C6E7"/>
                </w:tcPr>
                <w:p w14:paraId="73DCC5CB" w14:textId="77777777" w:rsidR="00624569" w:rsidRPr="00624569" w:rsidRDefault="00624569" w:rsidP="00624569">
                  <w:pPr>
                    <w:widowControl/>
                    <w:jc w:val="center"/>
                    <w:rPr>
                      <w:rFonts w:eastAsia="Times New Roman"/>
                      <w:b/>
                      <w:bCs/>
                      <w:color w:val="000000"/>
                      <w:szCs w:val="22"/>
                      <w:lang w:eastAsia="es-GT"/>
                    </w:rPr>
                  </w:pPr>
                  <w:r w:rsidRPr="00624569">
                    <w:rPr>
                      <w:rFonts w:eastAsia="Times New Roman"/>
                      <w:b/>
                      <w:bCs/>
                      <w:color w:val="000000"/>
                      <w:szCs w:val="22"/>
                      <w:lang w:eastAsia="es-GT"/>
                    </w:rPr>
                    <w:t>WEO</w:t>
                  </w:r>
                </w:p>
              </w:tc>
            </w:tr>
            <w:tr w:rsidR="00624569" w:rsidRPr="00624569" w14:paraId="2503F451" w14:textId="77777777" w:rsidTr="00886527">
              <w:trPr>
                <w:trHeight w:val="158"/>
                <w:jc w:val="center"/>
              </w:trPr>
              <w:tc>
                <w:tcPr>
                  <w:tcW w:w="2284" w:type="pct"/>
                  <w:vMerge/>
                  <w:shd w:val="clear" w:color="auto" w:fill="B4C6E7"/>
                  <w:noWrap/>
                  <w:hideMark/>
                </w:tcPr>
                <w:p w14:paraId="5928900F" w14:textId="77777777" w:rsidR="00624569" w:rsidRPr="00624569" w:rsidRDefault="00624569" w:rsidP="00624569">
                  <w:pPr>
                    <w:widowControl/>
                    <w:jc w:val="center"/>
                    <w:rPr>
                      <w:rFonts w:eastAsia="Times New Roman"/>
                      <w:b/>
                      <w:bCs/>
                      <w:color w:val="000000"/>
                      <w:szCs w:val="22"/>
                      <w:lang w:eastAsia="es-GT"/>
                    </w:rPr>
                  </w:pPr>
                </w:p>
              </w:tc>
              <w:tc>
                <w:tcPr>
                  <w:tcW w:w="545" w:type="pct"/>
                  <w:shd w:val="clear" w:color="auto" w:fill="B4C6E7"/>
                  <w:noWrap/>
                  <w:hideMark/>
                </w:tcPr>
                <w:p w14:paraId="042B7E46" w14:textId="77777777" w:rsidR="00624569" w:rsidRPr="00624569" w:rsidRDefault="00624569" w:rsidP="00624569">
                  <w:pPr>
                    <w:widowControl/>
                    <w:jc w:val="center"/>
                    <w:rPr>
                      <w:rFonts w:eastAsia="Times New Roman"/>
                      <w:b/>
                      <w:bCs/>
                      <w:color w:val="000000"/>
                      <w:sz w:val="22"/>
                      <w:szCs w:val="20"/>
                      <w:lang w:eastAsia="es-GT"/>
                    </w:rPr>
                  </w:pPr>
                  <w:r w:rsidRPr="00624569">
                    <w:rPr>
                      <w:rFonts w:eastAsia="Times New Roman"/>
                      <w:b/>
                      <w:bCs/>
                      <w:color w:val="000000"/>
                      <w:sz w:val="22"/>
                      <w:szCs w:val="20"/>
                      <w:lang w:eastAsia="es-GT"/>
                    </w:rPr>
                    <w:t>10-2020</w:t>
                  </w:r>
                </w:p>
              </w:tc>
              <w:tc>
                <w:tcPr>
                  <w:tcW w:w="543" w:type="pct"/>
                  <w:shd w:val="clear" w:color="auto" w:fill="B4C6E7"/>
                  <w:noWrap/>
                  <w:hideMark/>
                </w:tcPr>
                <w:p w14:paraId="1397E959" w14:textId="77777777" w:rsidR="00624569" w:rsidRPr="00624569" w:rsidRDefault="00624569" w:rsidP="00624569">
                  <w:pPr>
                    <w:widowControl/>
                    <w:jc w:val="center"/>
                    <w:rPr>
                      <w:rFonts w:eastAsia="Times New Roman"/>
                      <w:b/>
                      <w:bCs/>
                      <w:color w:val="000000"/>
                      <w:sz w:val="22"/>
                      <w:szCs w:val="20"/>
                      <w:lang w:eastAsia="es-GT"/>
                    </w:rPr>
                  </w:pPr>
                  <w:r w:rsidRPr="00624569">
                    <w:rPr>
                      <w:rFonts w:eastAsia="Times New Roman"/>
                      <w:b/>
                      <w:bCs/>
                      <w:color w:val="000000"/>
                      <w:sz w:val="22"/>
                      <w:szCs w:val="20"/>
                      <w:lang w:eastAsia="es-GT"/>
                    </w:rPr>
                    <w:t>04-2021</w:t>
                  </w:r>
                </w:p>
              </w:tc>
              <w:tc>
                <w:tcPr>
                  <w:tcW w:w="543" w:type="pct"/>
                  <w:shd w:val="clear" w:color="auto" w:fill="B4C6E7"/>
                  <w:noWrap/>
                  <w:hideMark/>
                </w:tcPr>
                <w:p w14:paraId="45DFAB5C" w14:textId="77777777" w:rsidR="00624569" w:rsidRPr="00624569" w:rsidRDefault="00624569" w:rsidP="00624569">
                  <w:pPr>
                    <w:widowControl/>
                    <w:jc w:val="center"/>
                    <w:rPr>
                      <w:rFonts w:eastAsia="Times New Roman"/>
                      <w:b/>
                      <w:bCs/>
                      <w:color w:val="000000"/>
                      <w:sz w:val="22"/>
                      <w:szCs w:val="20"/>
                      <w:lang w:eastAsia="es-GT"/>
                    </w:rPr>
                  </w:pPr>
                  <w:r w:rsidRPr="00624569">
                    <w:rPr>
                      <w:rFonts w:eastAsia="Times New Roman"/>
                      <w:b/>
                      <w:bCs/>
                      <w:color w:val="000000"/>
                      <w:sz w:val="22"/>
                      <w:szCs w:val="20"/>
                      <w:lang w:eastAsia="es-GT"/>
                    </w:rPr>
                    <w:t>10-2021</w:t>
                  </w:r>
                </w:p>
              </w:tc>
              <w:tc>
                <w:tcPr>
                  <w:tcW w:w="543" w:type="pct"/>
                  <w:shd w:val="clear" w:color="auto" w:fill="B4C6E7"/>
                  <w:noWrap/>
                  <w:hideMark/>
                </w:tcPr>
                <w:p w14:paraId="30BDD2D2" w14:textId="77777777" w:rsidR="00624569" w:rsidRPr="00624569" w:rsidRDefault="00624569" w:rsidP="00624569">
                  <w:pPr>
                    <w:widowControl/>
                    <w:jc w:val="center"/>
                    <w:rPr>
                      <w:rFonts w:eastAsia="Times New Roman"/>
                      <w:b/>
                      <w:bCs/>
                      <w:color w:val="000000"/>
                      <w:sz w:val="22"/>
                      <w:szCs w:val="20"/>
                      <w:lang w:eastAsia="es-GT"/>
                    </w:rPr>
                  </w:pPr>
                  <w:r w:rsidRPr="00624569">
                    <w:rPr>
                      <w:rFonts w:eastAsia="Times New Roman"/>
                      <w:b/>
                      <w:bCs/>
                      <w:color w:val="000000"/>
                      <w:sz w:val="22"/>
                      <w:szCs w:val="20"/>
                      <w:lang w:eastAsia="es-GT"/>
                    </w:rPr>
                    <w:t>04-2022</w:t>
                  </w:r>
                </w:p>
              </w:tc>
              <w:tc>
                <w:tcPr>
                  <w:tcW w:w="542" w:type="pct"/>
                  <w:shd w:val="clear" w:color="auto" w:fill="B4C6E7"/>
                </w:tcPr>
                <w:p w14:paraId="7D4D996D" w14:textId="77777777" w:rsidR="00624569" w:rsidRPr="00624569" w:rsidRDefault="00624569" w:rsidP="00624569">
                  <w:pPr>
                    <w:widowControl/>
                    <w:jc w:val="center"/>
                    <w:rPr>
                      <w:rFonts w:eastAsia="Times New Roman"/>
                      <w:b/>
                      <w:bCs/>
                      <w:color w:val="000000"/>
                      <w:sz w:val="22"/>
                      <w:szCs w:val="20"/>
                      <w:lang w:val="en-US" w:eastAsia="es-GT"/>
                    </w:rPr>
                  </w:pPr>
                  <w:r w:rsidRPr="00624569">
                    <w:rPr>
                      <w:rFonts w:eastAsia="Times New Roman"/>
                      <w:b/>
                      <w:bCs/>
                      <w:color w:val="000000"/>
                      <w:sz w:val="22"/>
                      <w:szCs w:val="20"/>
                      <w:lang w:eastAsia="es-GT"/>
                    </w:rPr>
                    <w:t>06</w:t>
                  </w:r>
                  <w:r w:rsidRPr="00624569">
                    <w:rPr>
                      <w:rFonts w:eastAsia="Times New Roman"/>
                      <w:b/>
                      <w:bCs/>
                      <w:color w:val="000000"/>
                      <w:sz w:val="22"/>
                      <w:szCs w:val="20"/>
                      <w:lang w:val="en-US" w:eastAsia="es-GT"/>
                    </w:rPr>
                    <w:t>-2022</w:t>
                  </w:r>
                </w:p>
              </w:tc>
            </w:tr>
            <w:tr w:rsidR="00624569" w:rsidRPr="00624569" w14:paraId="0727FCC5" w14:textId="77777777" w:rsidTr="00E2711F">
              <w:trPr>
                <w:trHeight w:val="191"/>
                <w:jc w:val="center"/>
              </w:trPr>
              <w:tc>
                <w:tcPr>
                  <w:tcW w:w="2284" w:type="pct"/>
                  <w:noWrap/>
                  <w:hideMark/>
                </w:tcPr>
                <w:p w14:paraId="23C09BDF" w14:textId="77777777" w:rsidR="00624569" w:rsidRPr="00E2711F" w:rsidRDefault="00624569" w:rsidP="00624569">
                  <w:pPr>
                    <w:widowControl/>
                    <w:jc w:val="both"/>
                    <w:rPr>
                      <w:rFonts w:eastAsia="Times New Roman"/>
                      <w:b/>
                      <w:bCs/>
                      <w:color w:val="000000"/>
                      <w:sz w:val="20"/>
                      <w:szCs w:val="22"/>
                      <w:lang w:eastAsia="es-GT"/>
                    </w:rPr>
                  </w:pPr>
                  <w:r w:rsidRPr="00E2711F">
                    <w:rPr>
                      <w:rFonts w:eastAsia="Times New Roman"/>
                      <w:sz w:val="20"/>
                      <w:szCs w:val="22"/>
                      <w:lang w:eastAsia="es-GT"/>
                    </w:rPr>
                    <w:t>Mundo</w:t>
                  </w:r>
                </w:p>
              </w:tc>
              <w:tc>
                <w:tcPr>
                  <w:tcW w:w="545" w:type="pct"/>
                  <w:noWrap/>
                  <w:vAlign w:val="bottom"/>
                  <w:hideMark/>
                </w:tcPr>
                <w:p w14:paraId="2F2888B0"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4.2</w:t>
                  </w:r>
                </w:p>
              </w:tc>
              <w:tc>
                <w:tcPr>
                  <w:tcW w:w="543" w:type="pct"/>
                  <w:noWrap/>
                  <w:vAlign w:val="bottom"/>
                  <w:hideMark/>
                </w:tcPr>
                <w:p w14:paraId="41109723"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4.4</w:t>
                  </w:r>
                </w:p>
              </w:tc>
              <w:tc>
                <w:tcPr>
                  <w:tcW w:w="543" w:type="pct"/>
                  <w:noWrap/>
                  <w:vAlign w:val="bottom"/>
                  <w:hideMark/>
                </w:tcPr>
                <w:p w14:paraId="3482F355"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4.9</w:t>
                  </w:r>
                </w:p>
              </w:tc>
              <w:tc>
                <w:tcPr>
                  <w:tcW w:w="543" w:type="pct"/>
                  <w:noWrap/>
                  <w:vAlign w:val="bottom"/>
                  <w:hideMark/>
                </w:tcPr>
                <w:p w14:paraId="1EBDC0A6"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3.6</w:t>
                  </w:r>
                </w:p>
              </w:tc>
              <w:tc>
                <w:tcPr>
                  <w:tcW w:w="542" w:type="pct"/>
                </w:tcPr>
                <w:p w14:paraId="70945FB1"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3.2</w:t>
                  </w:r>
                </w:p>
              </w:tc>
            </w:tr>
            <w:tr w:rsidR="00624569" w:rsidRPr="00624569" w14:paraId="5753AF37" w14:textId="77777777" w:rsidTr="00E2711F">
              <w:trPr>
                <w:trHeight w:val="94"/>
                <w:jc w:val="center"/>
              </w:trPr>
              <w:tc>
                <w:tcPr>
                  <w:tcW w:w="2284" w:type="pct"/>
                  <w:noWrap/>
                  <w:hideMark/>
                </w:tcPr>
                <w:p w14:paraId="2418C199" w14:textId="77777777" w:rsidR="00624569" w:rsidRPr="00E2711F" w:rsidRDefault="00624569" w:rsidP="00624569">
                  <w:pPr>
                    <w:widowControl/>
                    <w:spacing w:line="259" w:lineRule="auto"/>
                    <w:ind w:right="49"/>
                    <w:jc w:val="both"/>
                    <w:rPr>
                      <w:rFonts w:eastAsia="Times New Roman"/>
                      <w:sz w:val="20"/>
                      <w:szCs w:val="22"/>
                      <w:lang w:eastAsia="es-GT"/>
                    </w:rPr>
                  </w:pPr>
                  <w:r w:rsidRPr="00E2711F">
                    <w:rPr>
                      <w:rFonts w:eastAsia="Times New Roman"/>
                      <w:sz w:val="20"/>
                      <w:szCs w:val="22"/>
                      <w:lang w:eastAsia="es-GT"/>
                    </w:rPr>
                    <w:t>Economías Avanzadas</w:t>
                  </w:r>
                </w:p>
              </w:tc>
              <w:tc>
                <w:tcPr>
                  <w:tcW w:w="545" w:type="pct"/>
                  <w:noWrap/>
                  <w:vAlign w:val="bottom"/>
                  <w:hideMark/>
                </w:tcPr>
                <w:p w14:paraId="64C7CE9D"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2.9</w:t>
                  </w:r>
                </w:p>
              </w:tc>
              <w:tc>
                <w:tcPr>
                  <w:tcW w:w="543" w:type="pct"/>
                  <w:noWrap/>
                  <w:vAlign w:val="bottom"/>
                  <w:hideMark/>
                </w:tcPr>
                <w:p w14:paraId="604E5A8A"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3.6</w:t>
                  </w:r>
                </w:p>
              </w:tc>
              <w:tc>
                <w:tcPr>
                  <w:tcW w:w="543" w:type="pct"/>
                  <w:noWrap/>
                  <w:vAlign w:val="bottom"/>
                  <w:hideMark/>
                </w:tcPr>
                <w:p w14:paraId="38F4437D"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4.5</w:t>
                  </w:r>
                </w:p>
              </w:tc>
              <w:tc>
                <w:tcPr>
                  <w:tcW w:w="543" w:type="pct"/>
                  <w:noWrap/>
                  <w:vAlign w:val="bottom"/>
                  <w:hideMark/>
                </w:tcPr>
                <w:p w14:paraId="0DCDE6B5"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3.3</w:t>
                  </w:r>
                </w:p>
              </w:tc>
              <w:tc>
                <w:tcPr>
                  <w:tcW w:w="542" w:type="pct"/>
                </w:tcPr>
                <w:p w14:paraId="2F186E7E"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2.5</w:t>
                  </w:r>
                </w:p>
              </w:tc>
            </w:tr>
            <w:tr w:rsidR="00624569" w:rsidRPr="00624569" w14:paraId="692D547C" w14:textId="77777777" w:rsidTr="00E2711F">
              <w:trPr>
                <w:trHeight w:val="113"/>
                <w:jc w:val="center"/>
              </w:trPr>
              <w:tc>
                <w:tcPr>
                  <w:tcW w:w="2284" w:type="pct"/>
                  <w:noWrap/>
                  <w:hideMark/>
                </w:tcPr>
                <w:p w14:paraId="4075A9D9" w14:textId="77777777" w:rsidR="00624569" w:rsidRPr="00E2711F" w:rsidRDefault="00624569" w:rsidP="00624569">
                  <w:pPr>
                    <w:widowControl/>
                    <w:jc w:val="both"/>
                    <w:rPr>
                      <w:rFonts w:eastAsia="Times New Roman"/>
                      <w:b/>
                      <w:bCs/>
                      <w:color w:val="000000"/>
                      <w:sz w:val="20"/>
                      <w:szCs w:val="22"/>
                      <w:lang w:eastAsia="es-GT"/>
                    </w:rPr>
                  </w:pPr>
                  <w:r w:rsidRPr="00E2711F">
                    <w:rPr>
                      <w:rFonts w:eastAsia="Times New Roman"/>
                      <w:sz w:val="20"/>
                      <w:szCs w:val="22"/>
                      <w:lang w:eastAsia="es-GT"/>
                    </w:rPr>
                    <w:t>Zona del Euro</w:t>
                  </w:r>
                </w:p>
              </w:tc>
              <w:tc>
                <w:tcPr>
                  <w:tcW w:w="545" w:type="pct"/>
                  <w:noWrap/>
                  <w:vAlign w:val="bottom"/>
                  <w:hideMark/>
                </w:tcPr>
                <w:p w14:paraId="7D01ADA4"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3.1</w:t>
                  </w:r>
                </w:p>
              </w:tc>
              <w:tc>
                <w:tcPr>
                  <w:tcW w:w="543" w:type="pct"/>
                  <w:noWrap/>
                  <w:vAlign w:val="bottom"/>
                  <w:hideMark/>
                </w:tcPr>
                <w:p w14:paraId="446F552E"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3.8</w:t>
                  </w:r>
                </w:p>
              </w:tc>
              <w:tc>
                <w:tcPr>
                  <w:tcW w:w="543" w:type="pct"/>
                  <w:noWrap/>
                  <w:vAlign w:val="bottom"/>
                  <w:hideMark/>
                </w:tcPr>
                <w:p w14:paraId="7E238F10"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4.3</w:t>
                  </w:r>
                </w:p>
              </w:tc>
              <w:tc>
                <w:tcPr>
                  <w:tcW w:w="543" w:type="pct"/>
                  <w:noWrap/>
                  <w:vAlign w:val="bottom"/>
                  <w:hideMark/>
                </w:tcPr>
                <w:p w14:paraId="35345259"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2.8</w:t>
                  </w:r>
                </w:p>
              </w:tc>
              <w:tc>
                <w:tcPr>
                  <w:tcW w:w="542" w:type="pct"/>
                </w:tcPr>
                <w:p w14:paraId="3347EBC9"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2.6</w:t>
                  </w:r>
                </w:p>
              </w:tc>
            </w:tr>
            <w:tr w:rsidR="00624569" w:rsidRPr="00624569" w14:paraId="4D90B4B2" w14:textId="77777777" w:rsidTr="00E2711F">
              <w:trPr>
                <w:trHeight w:val="158"/>
                <w:jc w:val="center"/>
              </w:trPr>
              <w:tc>
                <w:tcPr>
                  <w:tcW w:w="2284" w:type="pct"/>
                  <w:noWrap/>
                  <w:hideMark/>
                </w:tcPr>
                <w:p w14:paraId="0B0F0A6B" w14:textId="77777777" w:rsidR="00624569" w:rsidRPr="00E2711F" w:rsidRDefault="00624569" w:rsidP="00624569">
                  <w:pPr>
                    <w:widowControl/>
                    <w:jc w:val="both"/>
                    <w:rPr>
                      <w:rFonts w:eastAsia="Times New Roman"/>
                      <w:bCs/>
                      <w:color w:val="000000"/>
                      <w:sz w:val="20"/>
                      <w:szCs w:val="22"/>
                      <w:lang w:eastAsia="es-GT"/>
                    </w:rPr>
                  </w:pPr>
                  <w:r w:rsidRPr="00E2711F">
                    <w:rPr>
                      <w:rFonts w:eastAsia="Times New Roman"/>
                      <w:bCs/>
                      <w:color w:val="000000"/>
                      <w:sz w:val="20"/>
                      <w:szCs w:val="22"/>
                      <w:lang w:eastAsia="es-GT"/>
                    </w:rPr>
                    <w:t>Economías de G7</w:t>
                  </w:r>
                </w:p>
              </w:tc>
              <w:tc>
                <w:tcPr>
                  <w:tcW w:w="545" w:type="pct"/>
                  <w:noWrap/>
                  <w:vAlign w:val="bottom"/>
                  <w:hideMark/>
                </w:tcPr>
                <w:p w14:paraId="5B0F5787"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2.8</w:t>
                  </w:r>
                </w:p>
              </w:tc>
              <w:tc>
                <w:tcPr>
                  <w:tcW w:w="543" w:type="pct"/>
                  <w:noWrap/>
                  <w:vAlign w:val="bottom"/>
                  <w:hideMark/>
                </w:tcPr>
                <w:p w14:paraId="769DB9C5"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3.6</w:t>
                  </w:r>
                </w:p>
              </w:tc>
              <w:tc>
                <w:tcPr>
                  <w:tcW w:w="543" w:type="pct"/>
                  <w:noWrap/>
                  <w:vAlign w:val="bottom"/>
                  <w:hideMark/>
                </w:tcPr>
                <w:p w14:paraId="1BECB1B4"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4.7</w:t>
                  </w:r>
                </w:p>
              </w:tc>
              <w:tc>
                <w:tcPr>
                  <w:tcW w:w="543" w:type="pct"/>
                  <w:noWrap/>
                  <w:vAlign w:val="bottom"/>
                  <w:hideMark/>
                </w:tcPr>
                <w:p w14:paraId="626A1909"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3.2</w:t>
                  </w:r>
                </w:p>
              </w:tc>
              <w:tc>
                <w:tcPr>
                  <w:tcW w:w="542" w:type="pct"/>
                </w:tcPr>
                <w:p w14:paraId="1B4F5586"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2.4</w:t>
                  </w:r>
                </w:p>
              </w:tc>
            </w:tr>
            <w:tr w:rsidR="00624569" w:rsidRPr="00624569" w14:paraId="7E6F6BD7" w14:textId="77777777" w:rsidTr="00E2711F">
              <w:trPr>
                <w:trHeight w:val="64"/>
                <w:jc w:val="center"/>
              </w:trPr>
              <w:tc>
                <w:tcPr>
                  <w:tcW w:w="2284" w:type="pct"/>
                  <w:noWrap/>
                  <w:hideMark/>
                </w:tcPr>
                <w:p w14:paraId="4370E149" w14:textId="77777777" w:rsidR="00624569" w:rsidRPr="00E2711F" w:rsidRDefault="00624569" w:rsidP="00624569">
                  <w:pPr>
                    <w:widowControl/>
                    <w:jc w:val="both"/>
                    <w:rPr>
                      <w:rFonts w:eastAsia="Times New Roman"/>
                      <w:b/>
                      <w:bCs/>
                      <w:color w:val="000000"/>
                      <w:sz w:val="20"/>
                      <w:szCs w:val="22"/>
                      <w:lang w:eastAsia="es-GT"/>
                    </w:rPr>
                  </w:pPr>
                  <w:r w:rsidRPr="00E2711F">
                    <w:rPr>
                      <w:rFonts w:eastAsia="Times New Roman"/>
                      <w:sz w:val="20"/>
                      <w:szCs w:val="22"/>
                      <w:lang w:eastAsia="es-GT"/>
                    </w:rPr>
                    <w:t>Economías Emergentes y en Desarrollo</w:t>
                  </w:r>
                </w:p>
              </w:tc>
              <w:tc>
                <w:tcPr>
                  <w:tcW w:w="545" w:type="pct"/>
                  <w:noWrap/>
                  <w:vAlign w:val="bottom"/>
                  <w:hideMark/>
                </w:tcPr>
                <w:p w14:paraId="5C7F9871"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5.1</w:t>
                  </w:r>
                </w:p>
              </w:tc>
              <w:tc>
                <w:tcPr>
                  <w:tcW w:w="543" w:type="pct"/>
                  <w:noWrap/>
                  <w:vAlign w:val="bottom"/>
                  <w:hideMark/>
                </w:tcPr>
                <w:p w14:paraId="2608089C"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5</w:t>
                  </w:r>
                </w:p>
              </w:tc>
              <w:tc>
                <w:tcPr>
                  <w:tcW w:w="543" w:type="pct"/>
                  <w:noWrap/>
                  <w:vAlign w:val="bottom"/>
                  <w:hideMark/>
                </w:tcPr>
                <w:p w14:paraId="1D3F0F2F"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5.1</w:t>
                  </w:r>
                </w:p>
              </w:tc>
              <w:tc>
                <w:tcPr>
                  <w:tcW w:w="543" w:type="pct"/>
                  <w:noWrap/>
                  <w:vAlign w:val="bottom"/>
                  <w:hideMark/>
                </w:tcPr>
                <w:p w14:paraId="17362EA1"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3.8</w:t>
                  </w:r>
                </w:p>
              </w:tc>
              <w:tc>
                <w:tcPr>
                  <w:tcW w:w="542" w:type="pct"/>
                </w:tcPr>
                <w:p w14:paraId="14A7A4F1"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3.6</w:t>
                  </w:r>
                </w:p>
              </w:tc>
            </w:tr>
            <w:tr w:rsidR="00624569" w:rsidRPr="00624569" w14:paraId="32B95AE4" w14:textId="77777777" w:rsidTr="00E2711F">
              <w:trPr>
                <w:trHeight w:val="108"/>
                <w:jc w:val="center"/>
              </w:trPr>
              <w:tc>
                <w:tcPr>
                  <w:tcW w:w="2284" w:type="pct"/>
                  <w:noWrap/>
                  <w:hideMark/>
                </w:tcPr>
                <w:p w14:paraId="13892373" w14:textId="77777777" w:rsidR="00624569" w:rsidRPr="00E2711F" w:rsidRDefault="00624569" w:rsidP="00624569">
                  <w:pPr>
                    <w:widowControl/>
                    <w:jc w:val="both"/>
                    <w:rPr>
                      <w:rFonts w:eastAsia="Times New Roman"/>
                      <w:b/>
                      <w:bCs/>
                      <w:color w:val="000000"/>
                      <w:sz w:val="20"/>
                      <w:szCs w:val="22"/>
                      <w:lang w:val="en-US" w:eastAsia="es-GT"/>
                    </w:rPr>
                  </w:pPr>
                  <w:r w:rsidRPr="00E2711F">
                    <w:rPr>
                      <w:rFonts w:eastAsia="Times New Roman"/>
                      <w:sz w:val="20"/>
                      <w:szCs w:val="22"/>
                      <w:lang w:eastAsia="es-GT"/>
                    </w:rPr>
                    <w:t>Latinoamérica y el Caribe</w:t>
                  </w:r>
                </w:p>
              </w:tc>
              <w:tc>
                <w:tcPr>
                  <w:tcW w:w="545" w:type="pct"/>
                  <w:noWrap/>
                  <w:vAlign w:val="bottom"/>
                  <w:hideMark/>
                </w:tcPr>
                <w:p w14:paraId="0F21AE80"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2.7</w:t>
                  </w:r>
                </w:p>
              </w:tc>
              <w:tc>
                <w:tcPr>
                  <w:tcW w:w="543" w:type="pct"/>
                  <w:noWrap/>
                  <w:vAlign w:val="bottom"/>
                  <w:hideMark/>
                </w:tcPr>
                <w:p w14:paraId="1A300F10"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3.1</w:t>
                  </w:r>
                </w:p>
              </w:tc>
              <w:tc>
                <w:tcPr>
                  <w:tcW w:w="543" w:type="pct"/>
                  <w:noWrap/>
                  <w:vAlign w:val="bottom"/>
                  <w:hideMark/>
                </w:tcPr>
                <w:p w14:paraId="40BE92E2"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w:t>
                  </w:r>
                </w:p>
              </w:tc>
              <w:tc>
                <w:tcPr>
                  <w:tcW w:w="543" w:type="pct"/>
                  <w:noWrap/>
                  <w:vAlign w:val="bottom"/>
                  <w:hideMark/>
                </w:tcPr>
                <w:p w14:paraId="6A15B92C"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2.5</w:t>
                  </w:r>
                </w:p>
              </w:tc>
              <w:tc>
                <w:tcPr>
                  <w:tcW w:w="542" w:type="pct"/>
                </w:tcPr>
                <w:p w14:paraId="5E6DBB5A" w14:textId="77777777" w:rsidR="00624569" w:rsidRPr="00E2711F" w:rsidRDefault="00624569" w:rsidP="00624569">
                  <w:pPr>
                    <w:widowControl/>
                    <w:jc w:val="center"/>
                    <w:rPr>
                      <w:rFonts w:eastAsia="Times New Roman"/>
                      <w:color w:val="000000"/>
                      <w:sz w:val="20"/>
                      <w:szCs w:val="22"/>
                      <w:lang w:eastAsia="es-GT"/>
                    </w:rPr>
                  </w:pPr>
                  <w:r w:rsidRPr="00E2711F">
                    <w:rPr>
                      <w:rFonts w:eastAsia="Times New Roman"/>
                      <w:color w:val="000000"/>
                      <w:sz w:val="20"/>
                      <w:szCs w:val="22"/>
                      <w:lang w:eastAsia="es-GT"/>
                    </w:rPr>
                    <w:t>3.0</w:t>
                  </w:r>
                </w:p>
              </w:tc>
            </w:tr>
          </w:tbl>
          <w:p w14:paraId="0F7E8E08" w14:textId="77777777" w:rsidR="0046218E" w:rsidRPr="00E2711F" w:rsidRDefault="0046218E" w:rsidP="00ED483A">
            <w:pPr>
              <w:pStyle w:val="Sinespaciado"/>
              <w:ind w:right="49"/>
              <w:jc w:val="both"/>
              <w:rPr>
                <w:sz w:val="8"/>
                <w:szCs w:val="24"/>
              </w:rPr>
            </w:pPr>
          </w:p>
        </w:tc>
      </w:tr>
      <w:tr w:rsidR="0046218E" w14:paraId="46F94FDC" w14:textId="77777777" w:rsidTr="00ED483A">
        <w:tc>
          <w:tcPr>
            <w:tcW w:w="5000" w:type="pct"/>
          </w:tcPr>
          <w:p w14:paraId="08A5429E" w14:textId="77777777" w:rsidR="0046218E" w:rsidRPr="005D360B" w:rsidRDefault="0046218E" w:rsidP="00ED483A">
            <w:r w:rsidRPr="005D360B">
              <w:rPr>
                <w:sz w:val="16"/>
                <w:szCs w:val="24"/>
              </w:rPr>
              <w:t>Fuente: Fondo Monetario Internacional</w:t>
            </w:r>
            <w:r>
              <w:rPr>
                <w:sz w:val="16"/>
                <w:szCs w:val="24"/>
              </w:rPr>
              <w:t xml:space="preserve"> (FMI)</w:t>
            </w:r>
          </w:p>
        </w:tc>
      </w:tr>
    </w:tbl>
    <w:p w14:paraId="6579880E" w14:textId="77777777" w:rsidR="0046218E" w:rsidRDefault="0046218E" w:rsidP="0046218E">
      <w:pPr>
        <w:pStyle w:val="Prrafodelista"/>
        <w:ind w:left="0" w:right="49"/>
        <w:jc w:val="both"/>
      </w:pPr>
    </w:p>
    <w:p w14:paraId="026578D3" w14:textId="7EB10FF0" w:rsidR="0046218E" w:rsidRDefault="0046218E" w:rsidP="0046218E">
      <w:pPr>
        <w:pStyle w:val="Prrafodelista"/>
        <w:ind w:left="0" w:right="49"/>
        <w:jc w:val="both"/>
        <w:rPr>
          <w:lang w:val="es-ES"/>
        </w:rPr>
      </w:pPr>
      <w:r w:rsidRPr="00E23083">
        <w:rPr>
          <w:lang w:val="es-ES"/>
        </w:rPr>
        <w:t>Los mercados emergentes y los países en desarrollo de bajo ingreso que son importadores netos de energía y alimentos sufrirán los efectos de los elevados precios internacionales, sometiendo a presión tanto el crecimiento económico como las finanzas públicas.</w:t>
      </w:r>
      <w:r w:rsidRPr="005F63BF">
        <w:rPr>
          <w:lang w:val="es-ES"/>
        </w:rPr>
        <w:t xml:space="preserve"> La pandemia ha dejado cicatrices en muchos de estos países, que tienen un limitado margen de maniobra fiscal para amortiguar estos nuevos shocks. Algunos exportadores de materias primas, especialmente los grandes exportadores de petróleo, se beneficiarán de significativos ingresos públicos imprevistos. Los países también enfrentan los efectos desiguales de la pandemia de COVID-19 en la pobreza y el ingreso de los hogares. En medio de las restricciones y la aguda incertidumbre motivadas por </w:t>
      </w:r>
      <w:r>
        <w:rPr>
          <w:lang w:val="es-ES"/>
        </w:rPr>
        <w:t>e</w:t>
      </w:r>
      <w:r w:rsidRPr="005F63BF">
        <w:rPr>
          <w:lang w:val="es-ES"/>
        </w:rPr>
        <w:t>l COVID-19, los ahorros de los hogares se dispararon en relación con los niveles pre</w:t>
      </w:r>
      <w:r>
        <w:rPr>
          <w:lang w:val="es-ES"/>
        </w:rPr>
        <w:t xml:space="preserve"> </w:t>
      </w:r>
      <w:r w:rsidRPr="005F63BF">
        <w:rPr>
          <w:lang w:val="es-ES"/>
        </w:rPr>
        <w:t>pandémicos; entre Estados Unidos</w:t>
      </w:r>
      <w:r>
        <w:rPr>
          <w:lang w:val="es-ES"/>
        </w:rPr>
        <w:t xml:space="preserve"> </w:t>
      </w:r>
      <w:r w:rsidRPr="005F63BF">
        <w:rPr>
          <w:lang w:val="es-ES"/>
        </w:rPr>
        <w:t>y la Unión Europea, el aumento fue de USD 3½ billones en 2020–</w:t>
      </w:r>
      <w:r>
        <w:rPr>
          <w:lang w:val="es-ES"/>
        </w:rPr>
        <w:t>20</w:t>
      </w:r>
      <w:r w:rsidRPr="005F63BF">
        <w:rPr>
          <w:lang w:val="es-ES"/>
        </w:rPr>
        <w:t xml:space="preserve">21. Por el contrario, en muchas economías en desarrollo, el respaldo fiscal no bastó para evitar la caída de los ingresos de los hogares. </w:t>
      </w:r>
    </w:p>
    <w:p w14:paraId="69BD53D6" w14:textId="6350AFBD" w:rsidR="00AC3A41" w:rsidRDefault="00AC3A41" w:rsidP="0046218E">
      <w:pPr>
        <w:pStyle w:val="Prrafodelista"/>
        <w:ind w:left="0" w:right="49"/>
        <w:jc w:val="both"/>
        <w:rPr>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C3A41" w:rsidRPr="00ED483A" w14:paraId="54FDE4D5" w14:textId="77777777" w:rsidTr="00C43CBD">
        <w:tc>
          <w:tcPr>
            <w:tcW w:w="5000" w:type="pct"/>
          </w:tcPr>
          <w:p w14:paraId="345FA9B2" w14:textId="2DC23E9E" w:rsidR="00AC3A41" w:rsidRPr="00551C20" w:rsidRDefault="00E86257" w:rsidP="00E86257">
            <w:pPr>
              <w:pStyle w:val="Descripcin"/>
              <w:keepNext/>
              <w:rPr>
                <w:color w:val="auto"/>
                <w:sz w:val="24"/>
                <w:szCs w:val="24"/>
              </w:rPr>
            </w:pPr>
            <w:bookmarkStart w:id="7" w:name="_Toc114493843"/>
            <w:r w:rsidRPr="00551C20">
              <w:rPr>
                <w:color w:val="auto"/>
                <w:sz w:val="24"/>
                <w:szCs w:val="24"/>
              </w:rPr>
              <w:t xml:space="preserve">Gráfico </w:t>
            </w:r>
            <w:r w:rsidRPr="00551C20">
              <w:rPr>
                <w:color w:val="auto"/>
              </w:rPr>
              <w:fldChar w:fldCharType="begin"/>
            </w:r>
            <w:r w:rsidRPr="00551C20">
              <w:rPr>
                <w:color w:val="auto"/>
                <w:sz w:val="24"/>
                <w:szCs w:val="24"/>
              </w:rPr>
              <w:instrText xml:space="preserve"> SEQ Gráfico \* ARABIC </w:instrText>
            </w:r>
            <w:r w:rsidRPr="00551C20">
              <w:rPr>
                <w:color w:val="auto"/>
              </w:rPr>
              <w:fldChar w:fldCharType="separate"/>
            </w:r>
            <w:r w:rsidR="002E7809">
              <w:rPr>
                <w:noProof/>
                <w:color w:val="auto"/>
                <w:sz w:val="24"/>
                <w:szCs w:val="24"/>
              </w:rPr>
              <w:t>1</w:t>
            </w:r>
            <w:r w:rsidRPr="00551C20">
              <w:rPr>
                <w:color w:val="auto"/>
              </w:rPr>
              <w:fldChar w:fldCharType="end"/>
            </w:r>
            <w:r w:rsidRPr="00551C20">
              <w:rPr>
                <w:color w:val="auto"/>
                <w:sz w:val="24"/>
                <w:szCs w:val="24"/>
              </w:rPr>
              <w:t xml:space="preserve">.  </w:t>
            </w:r>
            <w:r w:rsidR="00AC3A41" w:rsidRPr="00551C20">
              <w:rPr>
                <w:color w:val="auto"/>
                <w:sz w:val="24"/>
                <w:szCs w:val="24"/>
              </w:rPr>
              <w:t>Panorama del crecimiento inflacionario mundial 2022-2023</w:t>
            </w:r>
            <w:bookmarkEnd w:id="7"/>
          </w:p>
        </w:tc>
      </w:tr>
      <w:tr w:rsidR="00AC3A41" w14:paraId="6BD4E1E3" w14:textId="77777777" w:rsidTr="00C43CBD">
        <w:tc>
          <w:tcPr>
            <w:tcW w:w="5000" w:type="pct"/>
          </w:tcPr>
          <w:p w14:paraId="2B40B10C" w14:textId="77777777" w:rsidR="00AC3A41" w:rsidRDefault="00AC3A41" w:rsidP="00C43CBD">
            <w:pPr>
              <w:pStyle w:val="Sinespaciado"/>
              <w:ind w:right="49"/>
              <w:jc w:val="center"/>
              <w:rPr>
                <w:sz w:val="24"/>
                <w:szCs w:val="24"/>
              </w:rPr>
            </w:pPr>
            <w:r w:rsidRPr="005D360B">
              <w:t>Porcentajes</w:t>
            </w:r>
          </w:p>
        </w:tc>
      </w:tr>
      <w:tr w:rsidR="00AC3A41" w14:paraId="1C65B29C" w14:textId="77777777" w:rsidTr="00C43CBD">
        <w:tc>
          <w:tcPr>
            <w:tcW w:w="5000" w:type="pct"/>
          </w:tcPr>
          <w:p w14:paraId="3F96EF43" w14:textId="4BBB55DC" w:rsidR="00AC3A41" w:rsidRPr="00551C20" w:rsidRDefault="00E2711F" w:rsidP="00E2711F">
            <w:pPr>
              <w:rPr>
                <w:sz w:val="16"/>
                <w:szCs w:val="24"/>
              </w:rPr>
            </w:pPr>
            <w:r>
              <w:rPr>
                <w:rFonts w:ascii="Calibri" w:hAnsi="Calibri"/>
                <w:noProof/>
                <w:sz w:val="22"/>
                <w:szCs w:val="22"/>
              </w:rPr>
              <mc:AlternateContent>
                <mc:Choice Requires="wps">
                  <w:drawing>
                    <wp:anchor distT="0" distB="0" distL="114300" distR="114300" simplePos="0" relativeHeight="251674624" behindDoc="0" locked="0" layoutInCell="1" allowOverlap="1" wp14:anchorId="2F7D989C" wp14:editId="1961ACAF">
                      <wp:simplePos x="0" y="0"/>
                      <wp:positionH relativeFrom="column">
                        <wp:posOffset>-18655</wp:posOffset>
                      </wp:positionH>
                      <wp:positionV relativeFrom="paragraph">
                        <wp:posOffset>1980589</wp:posOffset>
                      </wp:positionV>
                      <wp:extent cx="3459193" cy="241540"/>
                      <wp:effectExtent l="0" t="0" r="8255" b="6350"/>
                      <wp:wrapNone/>
                      <wp:docPr id="233" name="Cuadro de texto 233"/>
                      <wp:cNvGraphicFramePr/>
                      <a:graphic xmlns:a="http://schemas.openxmlformats.org/drawingml/2006/main">
                        <a:graphicData uri="http://schemas.microsoft.com/office/word/2010/wordprocessingShape">
                          <wps:wsp>
                            <wps:cNvSpPr txBox="1"/>
                            <wps:spPr>
                              <a:xfrm>
                                <a:off x="0" y="0"/>
                                <a:ext cx="3459193" cy="241540"/>
                              </a:xfrm>
                              <a:prstGeom prst="rect">
                                <a:avLst/>
                              </a:prstGeom>
                              <a:solidFill>
                                <a:schemeClr val="lt1"/>
                              </a:solidFill>
                              <a:ln w="6350">
                                <a:noFill/>
                              </a:ln>
                            </wps:spPr>
                            <wps:txbx>
                              <w:txbxContent>
                                <w:p w14:paraId="744EACDF" w14:textId="1E328157" w:rsidR="00E03465" w:rsidRDefault="00E03465">
                                  <w:r w:rsidRPr="005D360B">
                                    <w:rPr>
                                      <w:sz w:val="16"/>
                                    </w:rPr>
                                    <w:t>Fuente: Fondo Monetario Internacional</w:t>
                                  </w:r>
                                  <w:r>
                                    <w:rPr>
                                      <w:sz w:val="16"/>
                                    </w:rPr>
                                    <w:t xml:space="preserve"> (FMI), WEO junio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7D989C" id="_x0000_t202" coordsize="21600,21600" o:spt="202" path="m,l,21600r21600,l21600,xe">
                      <v:stroke joinstyle="miter"/>
                      <v:path gradientshapeok="t" o:connecttype="rect"/>
                    </v:shapetype>
                    <v:shape id="Cuadro de texto 233" o:spid="_x0000_s1026" type="#_x0000_t202" style="position:absolute;margin-left:-1.45pt;margin-top:155.95pt;width:272.4pt;height:1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" fillcolor="white [3201]" stroked="f" strokeweight=".5pt">
                      <v:textbox>
                        <w:txbxContent>
                          <w:p w14:paraId="744EACDF" w14:textId="1E328157" w:rsidR="00E03465" w:rsidRDefault="00E03465">
                            <w:r w:rsidRPr="005D360B">
                              <w:rPr>
                                <w:sz w:val="16"/>
                              </w:rPr>
                              <w:t>Fuente: Fondo Monetario Internacional</w:t>
                            </w:r>
                            <w:r>
                              <w:rPr>
                                <w:sz w:val="16"/>
                              </w:rPr>
                              <w:t xml:space="preserve"> (FMI), WEO junio 2022</w:t>
                            </w:r>
                          </w:p>
                        </w:txbxContent>
                      </v:textbox>
                    </v:shape>
                  </w:pict>
                </mc:Fallback>
              </mc:AlternateContent>
            </w:r>
            <w:r w:rsidR="00886527" w:rsidRPr="00AC3A41">
              <w:rPr>
                <w:rFonts w:ascii="Calibri" w:hAnsi="Calibri"/>
                <w:noProof/>
                <w:sz w:val="22"/>
                <w:szCs w:val="22"/>
              </w:rPr>
              <mc:AlternateContent>
                <mc:Choice Requires="wpg">
                  <w:drawing>
                    <wp:anchor distT="0" distB="0" distL="114300" distR="114300" simplePos="0" relativeHeight="251671552" behindDoc="1" locked="0" layoutInCell="1" allowOverlap="1" wp14:anchorId="66566869" wp14:editId="707845F5">
                      <wp:simplePos x="0" y="0"/>
                      <wp:positionH relativeFrom="column">
                        <wp:posOffset>-19050</wp:posOffset>
                      </wp:positionH>
                      <wp:positionV relativeFrom="paragraph">
                        <wp:posOffset>5080</wp:posOffset>
                      </wp:positionV>
                      <wp:extent cx="5554345" cy="2164715"/>
                      <wp:effectExtent l="0" t="0" r="8255" b="6985"/>
                      <wp:wrapTight wrapText="bothSides">
                        <wp:wrapPolygon edited="0">
                          <wp:start x="0" y="0"/>
                          <wp:lineTo x="0" y="21480"/>
                          <wp:lineTo x="21558" y="21480"/>
                          <wp:lineTo x="21558" y="0"/>
                          <wp:lineTo x="0" y="0"/>
                        </wp:wrapPolygon>
                      </wp:wrapTight>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4345" cy="2164715"/>
                                <a:chOff x="421206" y="29903"/>
                                <a:chExt cx="4572000" cy="2743200"/>
                              </a:xfrm>
                            </wpg:grpSpPr>
                            <wpg:graphicFrame>
                              <wpg:cNvPr id="3" name="Gráfico 12"/>
                              <wpg:cNvFrPr/>
                              <wpg:xfrm>
                                <a:off x="421206" y="29903"/>
                                <a:ext cx="4572000" cy="2743200"/>
                              </wpg:xfrm>
                              <a:graphic>
                                <a:graphicData uri="http://schemas.openxmlformats.org/drawingml/2006/chart">
                                  <c:chart xmlns:c="http://schemas.openxmlformats.org/drawingml/2006/chart" xmlns:r="http://schemas.openxmlformats.org/officeDocument/2006/relationships" r:id="rId9"/>
                                </a:graphicData>
                              </a:graphic>
                            </wpg:graphicFrame>
                            <wps:wsp>
                              <wps:cNvPr id="8" name="CuadroTexto 2"/>
                              <wps:cNvSpPr txBox="1"/>
                              <wps:spPr>
                                <a:xfrm>
                                  <a:off x="3689535" y="201412"/>
                                  <a:ext cx="1020594" cy="344321"/>
                                </a:xfrm>
                                <a:prstGeom prst="rect">
                                  <a:avLst/>
                                </a:prstGeom>
                                <a:noFill/>
                                <a:ln w="9525" cmpd="sng">
                                  <a:noFill/>
                                </a:ln>
                                <a:effectLst/>
                              </wps:spPr>
                              <wps:txbx>
                                <w:txbxContent>
                                  <w:p w14:paraId="1BF06781" w14:textId="77777777" w:rsidR="00E03465" w:rsidRPr="00AC3A41" w:rsidRDefault="00E03465" w:rsidP="00AC3A41">
                                    <w:pPr>
                                      <w:jc w:val="center"/>
                                      <w:rPr>
                                        <w:b/>
                                        <w:bCs/>
                                        <w:color w:val="000000"/>
                                        <w:sz w:val="22"/>
                                        <w:szCs w:val="22"/>
                                      </w:rPr>
                                    </w:pPr>
                                    <w:r w:rsidRPr="00AC3A41">
                                      <w:rPr>
                                        <w:b/>
                                        <w:bCs/>
                                        <w:color w:val="000000"/>
                                        <w:sz w:val="22"/>
                                        <w:szCs w:val="22"/>
                                      </w:rPr>
                                      <w:t>proyecciones</w:t>
                                    </w:r>
                                  </w:p>
                                </w:txbxContent>
                              </wps:txbx>
                              <wps:bodyPr wrap="square" rtlCol="0" anchor="ctr"/>
                            </wps:wsp>
                            <wps:wsp>
                              <wps:cNvPr id="64" name="Rectángulo: esquinas redondeadas 14"/>
                              <wps:cNvSpPr/>
                              <wps:spPr>
                                <a:xfrm>
                                  <a:off x="3439022" y="545731"/>
                                  <a:ext cx="1542757" cy="1413192"/>
                                </a:xfrm>
                                <a:prstGeom prst="roundRect">
                                  <a:avLst/>
                                </a:prstGeom>
                                <a:solidFill>
                                  <a:schemeClr val="accent5">
                                    <a:lumMod val="40000"/>
                                    <a:lumOff val="60000"/>
                                    <a:alpha val="42000"/>
                                  </a:schemeClr>
                                </a:solidFill>
                                <a:ln w="12700" cap="flat" cmpd="sng" algn="ctr">
                                  <a:solidFill>
                                    <a:srgbClr val="5B9BD5">
                                      <a:shade val="50000"/>
                                    </a:srgbClr>
                                  </a:solidFill>
                                  <a:prstDash val="solid"/>
                                  <a:miter lim="800000"/>
                                </a:ln>
                                <a:effectLst/>
                              </wps:spPr>
                              <wps:bodyPr wrap="square"/>
                            </wps:wsp>
                          </wpg:wgp>
                        </a:graphicData>
                      </a:graphic>
                      <wp14:sizeRelH relativeFrom="margin">
                        <wp14:pctWidth>0</wp14:pctWidth>
                      </wp14:sizeRelH>
                      <wp14:sizeRelV relativeFrom="margin">
                        <wp14:pctHeight>0</wp14:pctHeight>
                      </wp14:sizeRelV>
                    </wp:anchor>
                  </w:drawing>
                </mc:Choice>
                <mc:Fallback>
                  <w:pict>
                    <v:group w14:anchorId="66566869" id="Grupo 2" o:spid="_x0000_s1027" style="position:absolute;margin-left:-1.5pt;margin-top:.4pt;width:437.35pt;height:170.45pt;z-index:-251644928;mso-width-relative:margin;mso-height-relative:margin" coordorigin="4212,299" coordsize="45720,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2" o:spid="_x0000_s1028" type="#_x0000_t75" style="position:absolute;left:4212;top:299;width:45712;height:27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">
                        <v:imagedata r:id="rId10" o:title=""/>
                        <o:lock v:ext="edit" aspectratio="f"/>
                      </v:shape>
                      <v:shape id="CuadroTexto 2" o:spid="_x0000_s1029" type="#_x0000_t202" style="position:absolute;left:36895;top:2014;width:10206;height:3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" filled="f" stroked="f">
                        <v:textbox>
                          <w:txbxContent>
                            <w:p w14:paraId="1BF06781" w14:textId="77777777" w:rsidR="00E03465" w:rsidRPr="00AC3A41" w:rsidRDefault="00E03465" w:rsidP="00AC3A41">
                              <w:pPr>
                                <w:jc w:val="center"/>
                                <w:rPr>
                                  <w:b/>
                                  <w:bCs/>
                                  <w:color w:val="000000"/>
                                  <w:sz w:val="22"/>
                                  <w:szCs w:val="22"/>
                                </w:rPr>
                              </w:pPr>
                              <w:r w:rsidRPr="00AC3A41">
                                <w:rPr>
                                  <w:b/>
                                  <w:bCs/>
                                  <w:color w:val="000000"/>
                                  <w:sz w:val="22"/>
                                  <w:szCs w:val="22"/>
                                </w:rPr>
                                <w:t>proyecciones</w:t>
                              </w:r>
                            </w:p>
                          </w:txbxContent>
                        </v:textbox>
                      </v:shape>
                      <v:roundrect id="Rectángulo: esquinas redondeadas 14" o:spid="_x0000_s1030" style="position:absolute;left:34390;top:5457;width:15427;height:141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" fillcolor="#bdd6ee [1304]" strokecolor="#41719c" strokeweight="1pt">
                        <v:fill opacity="27499f"/>
                        <v:stroke joinstyle="miter"/>
                      </v:roundrect>
                      <w10:wrap type="tight"/>
                    </v:group>
                  </w:pict>
                </mc:Fallback>
              </mc:AlternateContent>
            </w:r>
          </w:p>
        </w:tc>
      </w:tr>
    </w:tbl>
    <w:p w14:paraId="631BF455" w14:textId="77777777" w:rsidR="0046218E" w:rsidRDefault="0046218E" w:rsidP="0046218E">
      <w:pPr>
        <w:jc w:val="both"/>
        <w:rPr>
          <w:rFonts w:eastAsia="Times New Roman"/>
          <w:lang w:val="es-ES_tradnl"/>
        </w:rPr>
      </w:pPr>
      <w:r w:rsidRPr="00562D80">
        <w:rPr>
          <w:rFonts w:eastAsia="Times New Roman"/>
          <w:lang w:val="es-ES_tradnl"/>
        </w:rPr>
        <w:t xml:space="preserve">Los gobiernos </w:t>
      </w:r>
      <w:r>
        <w:rPr>
          <w:rFonts w:eastAsia="Times New Roman"/>
          <w:lang w:val="es-ES_tradnl"/>
        </w:rPr>
        <w:t xml:space="preserve">han adquirido </w:t>
      </w:r>
      <w:r w:rsidRPr="00562D80">
        <w:rPr>
          <w:rFonts w:eastAsia="Times New Roman"/>
          <w:lang w:val="es-ES_tradnl"/>
        </w:rPr>
        <w:t>medidas para proteger a sus economías del abrupto aumento de los precios internacionales de la energía y lo</w:t>
      </w:r>
      <w:r>
        <w:rPr>
          <w:rFonts w:eastAsia="Times New Roman"/>
          <w:lang w:val="es-ES_tradnl"/>
        </w:rPr>
        <w:t xml:space="preserve">s alimentos. Esas medidas puede que ayuden </w:t>
      </w:r>
      <w:r w:rsidRPr="00562D80">
        <w:rPr>
          <w:rFonts w:eastAsia="Times New Roman"/>
          <w:lang w:val="es-ES_tradnl"/>
        </w:rPr>
        <w:t>a proteger a los hogares más vulnerables y preservar la cohesión social</w:t>
      </w:r>
      <w:r>
        <w:rPr>
          <w:rFonts w:eastAsia="Times New Roman"/>
          <w:lang w:val="es-ES_tradnl"/>
        </w:rPr>
        <w:t xml:space="preserve">. </w:t>
      </w:r>
      <w:r w:rsidRPr="00562D80">
        <w:rPr>
          <w:rFonts w:eastAsia="Times New Roman"/>
          <w:lang w:val="es-ES_tradnl"/>
        </w:rPr>
        <w:t xml:space="preserve"> </w:t>
      </w:r>
      <w:r>
        <w:rPr>
          <w:rFonts w:eastAsia="Times New Roman"/>
          <w:lang w:val="es-ES_tradnl"/>
        </w:rPr>
        <w:t>S</w:t>
      </w:r>
      <w:r w:rsidRPr="00562D80">
        <w:rPr>
          <w:rFonts w:eastAsia="Times New Roman"/>
          <w:lang w:val="es-ES_tradnl"/>
        </w:rPr>
        <w:t xml:space="preserve">in embargo, también tienen consecuencias indeseables y elevados costos fiscales. En muchos casos, los países han tomado medidas para limitar el alza de los precios internos (recortes de impuestos o subsidios en forma de donaciones), lo cual podría </w:t>
      </w:r>
      <w:r>
        <w:rPr>
          <w:rFonts w:eastAsia="Times New Roman"/>
          <w:lang w:val="es-ES_tradnl"/>
        </w:rPr>
        <w:t>generar</w:t>
      </w:r>
      <w:r w:rsidRPr="00562D80">
        <w:rPr>
          <w:rFonts w:eastAsia="Times New Roman"/>
          <w:lang w:val="es-ES_tradnl"/>
        </w:rPr>
        <w:t xml:space="preserve"> desequilibrios mundiales entre la oferta y la demanda, redoblando la presión alcista sobre los precios internacionales, y causar escasez de energía o alimentos</w:t>
      </w:r>
      <w:r>
        <w:rPr>
          <w:rFonts w:eastAsia="Times New Roman"/>
          <w:lang w:val="es-ES_tradnl"/>
        </w:rPr>
        <w:t>.</w:t>
      </w:r>
    </w:p>
    <w:p w14:paraId="31AC88F6" w14:textId="68311E34" w:rsidR="00AC3A41" w:rsidRPr="00562D80" w:rsidRDefault="00AC3A41" w:rsidP="0046218E">
      <w:pPr>
        <w:jc w:val="both"/>
        <w:rPr>
          <w:rFonts w:eastAsia="Times New Roman"/>
          <w:lang w:val="es-ES_tradnl"/>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C3A41" w:rsidRPr="00AC3A41" w14:paraId="23D91AE9" w14:textId="77777777" w:rsidTr="00C43CBD">
        <w:tc>
          <w:tcPr>
            <w:tcW w:w="8828" w:type="dxa"/>
          </w:tcPr>
          <w:p w14:paraId="0A5CC408" w14:textId="3B4CB106" w:rsidR="00AC3A41" w:rsidRPr="00551C20" w:rsidRDefault="00551C20" w:rsidP="00551C20">
            <w:pPr>
              <w:pStyle w:val="Descripcin"/>
              <w:keepNext/>
              <w:rPr>
                <w:rFonts w:ascii="Times New Roman" w:hAnsi="Times New Roman"/>
              </w:rPr>
            </w:pPr>
            <w:bookmarkStart w:id="8" w:name="_Toc114493925"/>
            <w:r w:rsidRPr="00551C20">
              <w:rPr>
                <w:rFonts w:ascii="Times New Roman" w:hAnsi="Times New Roman"/>
                <w:color w:val="auto"/>
                <w:sz w:val="24"/>
              </w:rPr>
              <w:t xml:space="preserve">Tabla </w:t>
            </w:r>
            <w:r w:rsidRPr="00551C20">
              <w:rPr>
                <w:color w:val="auto"/>
              </w:rPr>
              <w:fldChar w:fldCharType="begin"/>
            </w:r>
            <w:r w:rsidRPr="00551C20">
              <w:rPr>
                <w:rFonts w:ascii="Times New Roman" w:hAnsi="Times New Roman"/>
                <w:color w:val="auto"/>
                <w:sz w:val="24"/>
              </w:rPr>
              <w:instrText xml:space="preserve"> SEQ Tabla \* ARABIC </w:instrText>
            </w:r>
            <w:r w:rsidRPr="00551C20">
              <w:rPr>
                <w:color w:val="auto"/>
              </w:rPr>
              <w:fldChar w:fldCharType="separate"/>
            </w:r>
            <w:r w:rsidR="002E7809">
              <w:rPr>
                <w:rFonts w:ascii="Times New Roman" w:hAnsi="Times New Roman"/>
                <w:noProof/>
                <w:color w:val="auto"/>
                <w:sz w:val="24"/>
              </w:rPr>
              <w:t>2</w:t>
            </w:r>
            <w:r w:rsidRPr="00551C20">
              <w:rPr>
                <w:color w:val="auto"/>
              </w:rPr>
              <w:fldChar w:fldCharType="end"/>
            </w:r>
            <w:r w:rsidRPr="00551C20">
              <w:rPr>
                <w:rFonts w:ascii="Times New Roman" w:hAnsi="Times New Roman"/>
                <w:color w:val="auto"/>
                <w:sz w:val="24"/>
              </w:rPr>
              <w:t xml:space="preserve">.  </w:t>
            </w:r>
            <w:r w:rsidR="00AC3A41" w:rsidRPr="00551C20">
              <w:rPr>
                <w:rFonts w:ascii="Times New Roman" w:hAnsi="Times New Roman"/>
                <w:color w:val="auto"/>
                <w:sz w:val="24"/>
                <w:lang w:val="es-ES_tradnl" w:eastAsia="es-ES"/>
              </w:rPr>
              <w:t>Panorama del crecimiento de la economía mundial 2022-2023</w:t>
            </w:r>
            <w:bookmarkEnd w:id="8"/>
            <w:r w:rsidR="00AC3A41" w:rsidRPr="00551C20">
              <w:rPr>
                <w:rFonts w:ascii="Times New Roman" w:hAnsi="Times New Roman"/>
                <w:color w:val="auto"/>
                <w:sz w:val="24"/>
                <w:lang w:val="es-ES_tradnl" w:eastAsia="es-ES"/>
              </w:rPr>
              <w:t xml:space="preserve"> </w:t>
            </w:r>
          </w:p>
        </w:tc>
      </w:tr>
      <w:tr w:rsidR="00AC3A41" w:rsidRPr="00AC3A41" w14:paraId="60CF830D" w14:textId="77777777" w:rsidTr="00C43CBD">
        <w:tc>
          <w:tcPr>
            <w:tcW w:w="8828" w:type="dxa"/>
          </w:tcPr>
          <w:p w14:paraId="5AEA125E" w14:textId="77777777" w:rsidR="00AC3A41" w:rsidRPr="00AC3A41" w:rsidRDefault="00AC3A41" w:rsidP="00AC3A41">
            <w:pPr>
              <w:widowControl/>
              <w:jc w:val="center"/>
              <w:rPr>
                <w:rFonts w:ascii="Times New Roman" w:hAnsi="Times New Roman"/>
              </w:rPr>
            </w:pPr>
            <w:r w:rsidRPr="00AC3A41">
              <w:rPr>
                <w:rFonts w:ascii="Times New Roman" w:hAnsi="Times New Roman"/>
              </w:rPr>
              <w:t>Porcentajes</w:t>
            </w:r>
          </w:p>
        </w:tc>
      </w:tr>
      <w:tr w:rsidR="00AC3A41" w:rsidRPr="00AC3A41" w14:paraId="547FA674" w14:textId="77777777" w:rsidTr="00C43CBD">
        <w:tblPrEx>
          <w:tblCellMar>
            <w:left w:w="70" w:type="dxa"/>
            <w:right w:w="70" w:type="dxa"/>
          </w:tblCellMar>
        </w:tblPrEx>
        <w:tc>
          <w:tcPr>
            <w:tcW w:w="8828" w:type="dxa"/>
          </w:tcPr>
          <w:tbl>
            <w:tblPr>
              <w:tblW w:w="5000" w:type="pct"/>
              <w:jc w:val="center"/>
              <w:tblCellMar>
                <w:left w:w="70" w:type="dxa"/>
                <w:right w:w="70" w:type="dxa"/>
              </w:tblCellMar>
              <w:tblLook w:val="04A0" w:firstRow="1" w:lastRow="0" w:firstColumn="1" w:lastColumn="0" w:noHBand="0" w:noVBand="1"/>
            </w:tblPr>
            <w:tblGrid>
              <w:gridCol w:w="6399"/>
              <w:gridCol w:w="715"/>
              <w:gridCol w:w="521"/>
              <w:gridCol w:w="521"/>
              <w:gridCol w:w="522"/>
            </w:tblGrid>
            <w:tr w:rsidR="00AC3A41" w:rsidRPr="00AC3A41" w14:paraId="3BF17CE6" w14:textId="77777777" w:rsidTr="00E2711F">
              <w:trPr>
                <w:trHeight w:val="204"/>
                <w:jc w:val="center"/>
              </w:trPr>
              <w:tc>
                <w:tcPr>
                  <w:tcW w:w="3687" w:type="pct"/>
                  <w:vMerge w:val="restart"/>
                  <w:tcBorders>
                    <w:top w:val="single" w:sz="4" w:space="0" w:color="auto"/>
                    <w:left w:val="single" w:sz="4" w:space="0" w:color="auto"/>
                    <w:bottom w:val="single" w:sz="4" w:space="0" w:color="000000"/>
                    <w:right w:val="single" w:sz="4" w:space="0" w:color="auto"/>
                  </w:tcBorders>
                  <w:shd w:val="clear" w:color="auto" w:fill="B4C6E7"/>
                  <w:noWrap/>
                  <w:hideMark/>
                </w:tcPr>
                <w:p w14:paraId="13E380F0" w14:textId="77777777" w:rsidR="00AC3A41" w:rsidRPr="00AC3A41" w:rsidRDefault="00AC3A41" w:rsidP="00AC3A41">
                  <w:pPr>
                    <w:widowControl/>
                    <w:jc w:val="center"/>
                    <w:rPr>
                      <w:rFonts w:eastAsia="Times New Roman"/>
                      <w:sz w:val="22"/>
                      <w:szCs w:val="22"/>
                    </w:rPr>
                  </w:pPr>
                  <w:r w:rsidRPr="00AC3A41">
                    <w:rPr>
                      <w:rFonts w:eastAsia="Times New Roman"/>
                      <w:sz w:val="22"/>
                      <w:szCs w:val="22"/>
                    </w:rPr>
                    <w:t> </w:t>
                  </w:r>
                </w:p>
              </w:tc>
              <w:tc>
                <w:tcPr>
                  <w:tcW w:w="712" w:type="pct"/>
                  <w:gridSpan w:val="2"/>
                  <w:tcBorders>
                    <w:top w:val="single" w:sz="4" w:space="0" w:color="auto"/>
                    <w:bottom w:val="single" w:sz="4" w:space="0" w:color="auto"/>
                    <w:right w:val="single" w:sz="4" w:space="0" w:color="auto"/>
                  </w:tcBorders>
                  <w:shd w:val="clear" w:color="auto" w:fill="B4C6E7"/>
                  <w:noWrap/>
                  <w:vAlign w:val="center"/>
                  <w:hideMark/>
                </w:tcPr>
                <w:p w14:paraId="19D62A4B" w14:textId="77777777" w:rsidR="00AC3A41" w:rsidRPr="00AC3A41" w:rsidRDefault="00AC3A41" w:rsidP="00AC3A41">
                  <w:pPr>
                    <w:widowControl/>
                    <w:jc w:val="center"/>
                    <w:rPr>
                      <w:rFonts w:eastAsia="Times New Roman"/>
                      <w:b/>
                      <w:bCs/>
                      <w:sz w:val="18"/>
                      <w:szCs w:val="18"/>
                    </w:rPr>
                  </w:pPr>
                  <w:r w:rsidRPr="00AC3A41">
                    <w:rPr>
                      <w:rFonts w:eastAsia="Times New Roman"/>
                      <w:b/>
                      <w:bCs/>
                      <w:sz w:val="18"/>
                      <w:szCs w:val="18"/>
                    </w:rPr>
                    <w:t>2022</w:t>
                  </w:r>
                </w:p>
              </w:tc>
              <w:tc>
                <w:tcPr>
                  <w:tcW w:w="601" w:type="pct"/>
                  <w:gridSpan w:val="2"/>
                  <w:tcBorders>
                    <w:top w:val="single" w:sz="4" w:space="0" w:color="auto"/>
                    <w:bottom w:val="single" w:sz="4" w:space="0" w:color="auto"/>
                    <w:right w:val="single" w:sz="4" w:space="0" w:color="auto"/>
                  </w:tcBorders>
                  <w:shd w:val="clear" w:color="auto" w:fill="B4C6E7"/>
                  <w:noWrap/>
                  <w:vAlign w:val="center"/>
                  <w:hideMark/>
                </w:tcPr>
                <w:p w14:paraId="48212E13" w14:textId="77777777" w:rsidR="00AC3A41" w:rsidRPr="00AC3A41" w:rsidRDefault="00AC3A41" w:rsidP="00AC3A41">
                  <w:pPr>
                    <w:widowControl/>
                    <w:jc w:val="center"/>
                    <w:rPr>
                      <w:rFonts w:eastAsia="Times New Roman"/>
                      <w:b/>
                      <w:bCs/>
                      <w:sz w:val="18"/>
                      <w:szCs w:val="18"/>
                    </w:rPr>
                  </w:pPr>
                  <w:r w:rsidRPr="00AC3A41">
                    <w:rPr>
                      <w:rFonts w:eastAsia="Times New Roman"/>
                      <w:b/>
                      <w:bCs/>
                      <w:sz w:val="18"/>
                      <w:szCs w:val="18"/>
                    </w:rPr>
                    <w:t>2023</w:t>
                  </w:r>
                </w:p>
              </w:tc>
            </w:tr>
            <w:tr w:rsidR="00AC3A41" w:rsidRPr="00AC3A41" w14:paraId="53048C6C" w14:textId="77777777" w:rsidTr="00E2711F">
              <w:trPr>
                <w:trHeight w:val="136"/>
                <w:jc w:val="center"/>
              </w:trPr>
              <w:tc>
                <w:tcPr>
                  <w:tcW w:w="3687" w:type="pct"/>
                  <w:vMerge/>
                  <w:tcBorders>
                    <w:top w:val="single" w:sz="4" w:space="0" w:color="auto"/>
                    <w:left w:val="single" w:sz="4" w:space="0" w:color="auto"/>
                    <w:bottom w:val="single" w:sz="4" w:space="0" w:color="000000"/>
                    <w:right w:val="single" w:sz="4" w:space="0" w:color="auto"/>
                  </w:tcBorders>
                  <w:shd w:val="clear" w:color="auto" w:fill="B4C6E7"/>
                  <w:vAlign w:val="center"/>
                  <w:hideMark/>
                </w:tcPr>
                <w:p w14:paraId="3A514FE8" w14:textId="77777777" w:rsidR="00AC3A41" w:rsidRPr="00AC3A41" w:rsidRDefault="00AC3A41" w:rsidP="00AC3A41">
                  <w:pPr>
                    <w:widowControl/>
                    <w:rPr>
                      <w:rFonts w:eastAsia="Times New Roman"/>
                      <w:sz w:val="22"/>
                      <w:szCs w:val="22"/>
                    </w:rPr>
                  </w:pPr>
                </w:p>
              </w:tc>
              <w:tc>
                <w:tcPr>
                  <w:tcW w:w="412" w:type="pct"/>
                  <w:tcBorders>
                    <w:top w:val="single" w:sz="4" w:space="0" w:color="auto"/>
                    <w:bottom w:val="single" w:sz="4" w:space="0" w:color="auto"/>
                    <w:right w:val="single" w:sz="4" w:space="0" w:color="auto"/>
                  </w:tcBorders>
                  <w:shd w:val="clear" w:color="auto" w:fill="B4C6E7"/>
                  <w:noWrap/>
                  <w:vAlign w:val="center"/>
                  <w:hideMark/>
                </w:tcPr>
                <w:p w14:paraId="5C7354A4" w14:textId="77777777" w:rsidR="00AC3A41" w:rsidRPr="00AC3A41" w:rsidRDefault="00AC3A41" w:rsidP="00AC3A41">
                  <w:pPr>
                    <w:widowControl/>
                    <w:jc w:val="center"/>
                    <w:rPr>
                      <w:rFonts w:eastAsia="Times New Roman"/>
                      <w:b/>
                      <w:bCs/>
                      <w:sz w:val="18"/>
                      <w:szCs w:val="18"/>
                    </w:rPr>
                  </w:pPr>
                  <w:r w:rsidRPr="00AC3A41">
                    <w:rPr>
                      <w:rFonts w:eastAsia="Times New Roman"/>
                      <w:b/>
                      <w:bCs/>
                      <w:sz w:val="18"/>
                      <w:szCs w:val="18"/>
                    </w:rPr>
                    <w:t>BM</w:t>
                  </w:r>
                </w:p>
              </w:tc>
              <w:tc>
                <w:tcPr>
                  <w:tcW w:w="300" w:type="pct"/>
                  <w:tcBorders>
                    <w:top w:val="single" w:sz="4" w:space="0" w:color="auto"/>
                    <w:bottom w:val="single" w:sz="4" w:space="0" w:color="auto"/>
                    <w:right w:val="single" w:sz="4" w:space="0" w:color="auto"/>
                  </w:tcBorders>
                  <w:shd w:val="clear" w:color="auto" w:fill="B4C6E7"/>
                  <w:noWrap/>
                  <w:vAlign w:val="center"/>
                  <w:hideMark/>
                </w:tcPr>
                <w:p w14:paraId="4F82FDDB" w14:textId="77777777" w:rsidR="00AC3A41" w:rsidRPr="00AC3A41" w:rsidRDefault="00AC3A41" w:rsidP="00AC3A41">
                  <w:pPr>
                    <w:widowControl/>
                    <w:jc w:val="center"/>
                    <w:rPr>
                      <w:rFonts w:eastAsia="Times New Roman"/>
                      <w:b/>
                      <w:bCs/>
                      <w:sz w:val="18"/>
                      <w:szCs w:val="18"/>
                    </w:rPr>
                  </w:pPr>
                  <w:r w:rsidRPr="00AC3A41">
                    <w:rPr>
                      <w:rFonts w:eastAsia="Times New Roman"/>
                      <w:b/>
                      <w:bCs/>
                      <w:sz w:val="18"/>
                      <w:szCs w:val="18"/>
                    </w:rPr>
                    <w:t>FMI</w:t>
                  </w:r>
                </w:p>
              </w:tc>
              <w:tc>
                <w:tcPr>
                  <w:tcW w:w="300" w:type="pc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6F519213" w14:textId="77777777" w:rsidR="00AC3A41" w:rsidRPr="00AC3A41" w:rsidRDefault="00AC3A41" w:rsidP="00AC3A41">
                  <w:pPr>
                    <w:widowControl/>
                    <w:jc w:val="center"/>
                    <w:rPr>
                      <w:rFonts w:eastAsia="Times New Roman"/>
                      <w:b/>
                      <w:bCs/>
                      <w:sz w:val="18"/>
                      <w:szCs w:val="18"/>
                    </w:rPr>
                  </w:pPr>
                  <w:r w:rsidRPr="00AC3A41">
                    <w:rPr>
                      <w:rFonts w:eastAsia="Times New Roman"/>
                      <w:b/>
                      <w:bCs/>
                      <w:sz w:val="18"/>
                      <w:szCs w:val="18"/>
                    </w:rPr>
                    <w:t>BM</w:t>
                  </w:r>
                </w:p>
              </w:tc>
              <w:tc>
                <w:tcPr>
                  <w:tcW w:w="300" w:type="pct"/>
                  <w:tcBorders>
                    <w:top w:val="single" w:sz="4" w:space="0" w:color="auto"/>
                    <w:bottom w:val="single" w:sz="4" w:space="0" w:color="auto"/>
                    <w:right w:val="single" w:sz="4" w:space="0" w:color="auto"/>
                  </w:tcBorders>
                  <w:shd w:val="clear" w:color="auto" w:fill="B4C6E7"/>
                  <w:noWrap/>
                  <w:vAlign w:val="center"/>
                  <w:hideMark/>
                </w:tcPr>
                <w:p w14:paraId="275DC2BD" w14:textId="77777777" w:rsidR="00AC3A41" w:rsidRPr="00AC3A41" w:rsidRDefault="00AC3A41" w:rsidP="00AC3A41">
                  <w:pPr>
                    <w:widowControl/>
                    <w:jc w:val="center"/>
                    <w:rPr>
                      <w:rFonts w:eastAsia="Times New Roman"/>
                      <w:b/>
                      <w:bCs/>
                      <w:sz w:val="18"/>
                      <w:szCs w:val="18"/>
                    </w:rPr>
                  </w:pPr>
                  <w:r w:rsidRPr="00AC3A41">
                    <w:rPr>
                      <w:rFonts w:eastAsia="Times New Roman"/>
                      <w:b/>
                      <w:bCs/>
                      <w:sz w:val="18"/>
                      <w:szCs w:val="18"/>
                    </w:rPr>
                    <w:t>FMI</w:t>
                  </w:r>
                </w:p>
              </w:tc>
            </w:tr>
            <w:tr w:rsidR="00AC3A41" w:rsidRPr="00AC3A41" w14:paraId="42266533" w14:textId="77777777" w:rsidTr="00E2711F">
              <w:trPr>
                <w:trHeight w:val="64"/>
                <w:jc w:val="center"/>
              </w:trPr>
              <w:tc>
                <w:tcPr>
                  <w:tcW w:w="3687" w:type="pct"/>
                  <w:tcBorders>
                    <w:left w:val="single" w:sz="4" w:space="0" w:color="auto"/>
                    <w:right w:val="single" w:sz="4" w:space="0" w:color="auto"/>
                  </w:tcBorders>
                  <w:noWrap/>
                  <w:hideMark/>
                </w:tcPr>
                <w:p w14:paraId="708BFB2D" w14:textId="77777777" w:rsidR="00AC3A41" w:rsidRPr="00E2711F" w:rsidRDefault="00AC3A41" w:rsidP="00AC3A41">
                  <w:pPr>
                    <w:widowControl/>
                    <w:rPr>
                      <w:rFonts w:eastAsia="Times New Roman"/>
                      <w:b/>
                      <w:bCs/>
                      <w:sz w:val="20"/>
                      <w:szCs w:val="20"/>
                    </w:rPr>
                  </w:pPr>
                  <w:r w:rsidRPr="00E2711F">
                    <w:rPr>
                      <w:rFonts w:eastAsia="Times New Roman"/>
                      <w:b/>
                      <w:bCs/>
                      <w:sz w:val="20"/>
                      <w:szCs w:val="20"/>
                    </w:rPr>
                    <w:t>Mundo</w:t>
                  </w:r>
                </w:p>
              </w:tc>
              <w:tc>
                <w:tcPr>
                  <w:tcW w:w="412" w:type="pct"/>
                  <w:tcBorders>
                    <w:top w:val="single" w:sz="4" w:space="0" w:color="auto"/>
                    <w:left w:val="single" w:sz="4" w:space="0" w:color="auto"/>
                    <w:right w:val="single" w:sz="4" w:space="0" w:color="auto"/>
                  </w:tcBorders>
                  <w:noWrap/>
                  <w:hideMark/>
                </w:tcPr>
                <w:p w14:paraId="452FD56C"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2.9</w:t>
                  </w:r>
                </w:p>
              </w:tc>
              <w:tc>
                <w:tcPr>
                  <w:tcW w:w="300" w:type="pct"/>
                  <w:tcBorders>
                    <w:top w:val="single" w:sz="4" w:space="0" w:color="auto"/>
                    <w:left w:val="single" w:sz="4" w:space="0" w:color="auto"/>
                    <w:right w:val="single" w:sz="4" w:space="0" w:color="auto"/>
                  </w:tcBorders>
                  <w:shd w:val="clear" w:color="auto" w:fill="FBE4D5"/>
                  <w:noWrap/>
                  <w:hideMark/>
                </w:tcPr>
                <w:p w14:paraId="571B759C"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3.2</w:t>
                  </w:r>
                </w:p>
              </w:tc>
              <w:tc>
                <w:tcPr>
                  <w:tcW w:w="300" w:type="pct"/>
                  <w:tcBorders>
                    <w:top w:val="single" w:sz="4" w:space="0" w:color="auto"/>
                    <w:left w:val="single" w:sz="4" w:space="0" w:color="auto"/>
                    <w:right w:val="single" w:sz="4" w:space="0" w:color="auto"/>
                  </w:tcBorders>
                  <w:noWrap/>
                  <w:hideMark/>
                </w:tcPr>
                <w:p w14:paraId="537BD8A8"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3</w:t>
                  </w:r>
                </w:p>
              </w:tc>
              <w:tc>
                <w:tcPr>
                  <w:tcW w:w="300" w:type="pct"/>
                  <w:tcBorders>
                    <w:left w:val="single" w:sz="4" w:space="0" w:color="auto"/>
                    <w:right w:val="single" w:sz="4" w:space="0" w:color="auto"/>
                  </w:tcBorders>
                  <w:shd w:val="clear" w:color="auto" w:fill="FBE4D5"/>
                  <w:noWrap/>
                  <w:hideMark/>
                </w:tcPr>
                <w:p w14:paraId="51338FF4"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2.9</w:t>
                  </w:r>
                </w:p>
              </w:tc>
            </w:tr>
            <w:tr w:rsidR="00AC3A41" w:rsidRPr="00AC3A41" w14:paraId="67C6692A" w14:textId="77777777" w:rsidTr="00E2711F">
              <w:trPr>
                <w:trHeight w:val="92"/>
                <w:jc w:val="center"/>
              </w:trPr>
              <w:tc>
                <w:tcPr>
                  <w:tcW w:w="3687" w:type="pct"/>
                  <w:tcBorders>
                    <w:left w:val="single" w:sz="4" w:space="0" w:color="auto"/>
                    <w:right w:val="single" w:sz="4" w:space="0" w:color="auto"/>
                  </w:tcBorders>
                  <w:noWrap/>
                  <w:hideMark/>
                </w:tcPr>
                <w:p w14:paraId="56051C09" w14:textId="77777777" w:rsidR="00AC3A41" w:rsidRPr="00E2711F" w:rsidRDefault="00AC3A41" w:rsidP="00AC3A41">
                  <w:pPr>
                    <w:widowControl/>
                    <w:rPr>
                      <w:rFonts w:eastAsia="Times New Roman"/>
                      <w:b/>
                      <w:bCs/>
                      <w:sz w:val="20"/>
                      <w:szCs w:val="20"/>
                    </w:rPr>
                  </w:pPr>
                  <w:r w:rsidRPr="00E2711F">
                    <w:rPr>
                      <w:rFonts w:eastAsia="Times New Roman"/>
                      <w:b/>
                      <w:bCs/>
                      <w:sz w:val="20"/>
                      <w:szCs w:val="20"/>
                    </w:rPr>
                    <w:t xml:space="preserve">    Economías avanzadas</w:t>
                  </w:r>
                </w:p>
              </w:tc>
              <w:tc>
                <w:tcPr>
                  <w:tcW w:w="412" w:type="pct"/>
                  <w:tcBorders>
                    <w:left w:val="single" w:sz="4" w:space="0" w:color="auto"/>
                    <w:right w:val="single" w:sz="4" w:space="0" w:color="auto"/>
                  </w:tcBorders>
                  <w:noWrap/>
                  <w:hideMark/>
                </w:tcPr>
                <w:p w14:paraId="1D115C30"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2.6</w:t>
                  </w:r>
                </w:p>
              </w:tc>
              <w:tc>
                <w:tcPr>
                  <w:tcW w:w="300" w:type="pct"/>
                  <w:tcBorders>
                    <w:left w:val="single" w:sz="4" w:space="0" w:color="auto"/>
                    <w:right w:val="single" w:sz="4" w:space="0" w:color="auto"/>
                  </w:tcBorders>
                  <w:shd w:val="clear" w:color="auto" w:fill="FBE4D5"/>
                  <w:noWrap/>
                  <w:hideMark/>
                </w:tcPr>
                <w:p w14:paraId="3E0A6BE3"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2.5</w:t>
                  </w:r>
                </w:p>
              </w:tc>
              <w:tc>
                <w:tcPr>
                  <w:tcW w:w="300" w:type="pct"/>
                  <w:tcBorders>
                    <w:left w:val="single" w:sz="4" w:space="0" w:color="auto"/>
                    <w:right w:val="single" w:sz="4" w:space="0" w:color="auto"/>
                  </w:tcBorders>
                  <w:noWrap/>
                  <w:hideMark/>
                </w:tcPr>
                <w:p w14:paraId="30D9C420"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2.2</w:t>
                  </w:r>
                </w:p>
              </w:tc>
              <w:tc>
                <w:tcPr>
                  <w:tcW w:w="300" w:type="pct"/>
                  <w:tcBorders>
                    <w:left w:val="single" w:sz="4" w:space="0" w:color="auto"/>
                    <w:right w:val="single" w:sz="4" w:space="0" w:color="auto"/>
                  </w:tcBorders>
                  <w:shd w:val="clear" w:color="auto" w:fill="FBE4D5"/>
                  <w:noWrap/>
                  <w:hideMark/>
                </w:tcPr>
                <w:p w14:paraId="2D45BF3E"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1.4</w:t>
                  </w:r>
                </w:p>
              </w:tc>
            </w:tr>
            <w:tr w:rsidR="00AC3A41" w:rsidRPr="00AC3A41" w14:paraId="49D85215" w14:textId="77777777" w:rsidTr="00E2711F">
              <w:trPr>
                <w:trHeight w:val="114"/>
                <w:jc w:val="center"/>
              </w:trPr>
              <w:tc>
                <w:tcPr>
                  <w:tcW w:w="3687" w:type="pct"/>
                  <w:tcBorders>
                    <w:left w:val="single" w:sz="4" w:space="0" w:color="auto"/>
                    <w:right w:val="single" w:sz="4" w:space="0" w:color="auto"/>
                  </w:tcBorders>
                  <w:noWrap/>
                  <w:hideMark/>
                </w:tcPr>
                <w:p w14:paraId="41BD6093" w14:textId="77777777" w:rsidR="00AC3A41" w:rsidRPr="00E2711F" w:rsidRDefault="00AC3A41" w:rsidP="00AC3A41">
                  <w:pPr>
                    <w:widowControl/>
                    <w:rPr>
                      <w:rFonts w:eastAsia="Times New Roman"/>
                      <w:sz w:val="20"/>
                      <w:szCs w:val="20"/>
                    </w:rPr>
                  </w:pPr>
                  <w:r w:rsidRPr="00E2711F">
                    <w:rPr>
                      <w:rFonts w:eastAsia="Times New Roman"/>
                      <w:sz w:val="20"/>
                      <w:szCs w:val="20"/>
                    </w:rPr>
                    <w:t xml:space="preserve">         Estados Unidos</w:t>
                  </w:r>
                </w:p>
              </w:tc>
              <w:tc>
                <w:tcPr>
                  <w:tcW w:w="412" w:type="pct"/>
                  <w:tcBorders>
                    <w:left w:val="single" w:sz="4" w:space="0" w:color="auto"/>
                    <w:right w:val="single" w:sz="4" w:space="0" w:color="auto"/>
                  </w:tcBorders>
                  <w:noWrap/>
                  <w:hideMark/>
                </w:tcPr>
                <w:p w14:paraId="192ECBF5"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2.5</w:t>
                  </w:r>
                </w:p>
              </w:tc>
              <w:tc>
                <w:tcPr>
                  <w:tcW w:w="300" w:type="pct"/>
                  <w:tcBorders>
                    <w:left w:val="single" w:sz="4" w:space="0" w:color="auto"/>
                    <w:right w:val="single" w:sz="4" w:space="0" w:color="auto"/>
                  </w:tcBorders>
                  <w:shd w:val="clear" w:color="auto" w:fill="FBE4D5"/>
                  <w:noWrap/>
                  <w:hideMark/>
                </w:tcPr>
                <w:p w14:paraId="335346B4"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2.5</w:t>
                  </w:r>
                </w:p>
              </w:tc>
              <w:tc>
                <w:tcPr>
                  <w:tcW w:w="300" w:type="pct"/>
                  <w:tcBorders>
                    <w:left w:val="single" w:sz="4" w:space="0" w:color="auto"/>
                    <w:right w:val="single" w:sz="4" w:space="0" w:color="auto"/>
                  </w:tcBorders>
                  <w:noWrap/>
                  <w:hideMark/>
                </w:tcPr>
                <w:p w14:paraId="1CCC32EC"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2.4</w:t>
                  </w:r>
                </w:p>
              </w:tc>
              <w:tc>
                <w:tcPr>
                  <w:tcW w:w="300" w:type="pct"/>
                  <w:tcBorders>
                    <w:left w:val="single" w:sz="4" w:space="0" w:color="auto"/>
                    <w:right w:val="single" w:sz="4" w:space="0" w:color="auto"/>
                  </w:tcBorders>
                  <w:shd w:val="clear" w:color="auto" w:fill="FBE4D5"/>
                  <w:noWrap/>
                  <w:hideMark/>
                </w:tcPr>
                <w:p w14:paraId="60CA3ECE"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1.0</w:t>
                  </w:r>
                </w:p>
              </w:tc>
            </w:tr>
            <w:tr w:rsidR="00AC3A41" w:rsidRPr="00AC3A41" w14:paraId="06BD1F26" w14:textId="77777777" w:rsidTr="00E2711F">
              <w:trPr>
                <w:trHeight w:val="74"/>
                <w:jc w:val="center"/>
              </w:trPr>
              <w:tc>
                <w:tcPr>
                  <w:tcW w:w="3687" w:type="pct"/>
                  <w:tcBorders>
                    <w:left w:val="single" w:sz="4" w:space="0" w:color="auto"/>
                    <w:right w:val="single" w:sz="4" w:space="0" w:color="auto"/>
                  </w:tcBorders>
                  <w:noWrap/>
                  <w:hideMark/>
                </w:tcPr>
                <w:p w14:paraId="0AD1C307" w14:textId="77777777" w:rsidR="00AC3A41" w:rsidRPr="00E2711F" w:rsidRDefault="00AC3A41" w:rsidP="00AC3A41">
                  <w:pPr>
                    <w:widowControl/>
                    <w:rPr>
                      <w:rFonts w:eastAsia="Times New Roman"/>
                      <w:sz w:val="20"/>
                      <w:szCs w:val="20"/>
                    </w:rPr>
                  </w:pPr>
                  <w:r w:rsidRPr="00E2711F">
                    <w:rPr>
                      <w:rFonts w:eastAsia="Times New Roman"/>
                      <w:sz w:val="20"/>
                      <w:szCs w:val="20"/>
                    </w:rPr>
                    <w:t xml:space="preserve">         Zona Euro</w:t>
                  </w:r>
                </w:p>
              </w:tc>
              <w:tc>
                <w:tcPr>
                  <w:tcW w:w="412" w:type="pct"/>
                  <w:tcBorders>
                    <w:left w:val="single" w:sz="4" w:space="0" w:color="auto"/>
                    <w:right w:val="single" w:sz="4" w:space="0" w:color="auto"/>
                  </w:tcBorders>
                  <w:noWrap/>
                  <w:hideMark/>
                </w:tcPr>
                <w:p w14:paraId="2C339D64"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2.5</w:t>
                  </w:r>
                </w:p>
              </w:tc>
              <w:tc>
                <w:tcPr>
                  <w:tcW w:w="300" w:type="pct"/>
                  <w:tcBorders>
                    <w:left w:val="single" w:sz="4" w:space="0" w:color="auto"/>
                    <w:right w:val="single" w:sz="4" w:space="0" w:color="auto"/>
                  </w:tcBorders>
                  <w:shd w:val="clear" w:color="auto" w:fill="FBE4D5"/>
                  <w:noWrap/>
                  <w:hideMark/>
                </w:tcPr>
                <w:p w14:paraId="5329C17F"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2.6</w:t>
                  </w:r>
                </w:p>
              </w:tc>
              <w:tc>
                <w:tcPr>
                  <w:tcW w:w="300" w:type="pct"/>
                  <w:tcBorders>
                    <w:left w:val="single" w:sz="4" w:space="0" w:color="auto"/>
                    <w:right w:val="single" w:sz="4" w:space="0" w:color="auto"/>
                  </w:tcBorders>
                  <w:noWrap/>
                  <w:hideMark/>
                </w:tcPr>
                <w:p w14:paraId="03F0F983"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1.9</w:t>
                  </w:r>
                </w:p>
              </w:tc>
              <w:tc>
                <w:tcPr>
                  <w:tcW w:w="300" w:type="pct"/>
                  <w:tcBorders>
                    <w:left w:val="single" w:sz="4" w:space="0" w:color="auto"/>
                    <w:right w:val="single" w:sz="4" w:space="0" w:color="auto"/>
                  </w:tcBorders>
                  <w:shd w:val="clear" w:color="auto" w:fill="FBE4D5"/>
                  <w:noWrap/>
                  <w:hideMark/>
                </w:tcPr>
                <w:p w14:paraId="4EA0B7EF"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1.2</w:t>
                  </w:r>
                </w:p>
              </w:tc>
            </w:tr>
            <w:tr w:rsidR="00AC3A41" w:rsidRPr="00AC3A41" w14:paraId="382A887C" w14:textId="77777777" w:rsidTr="00E2711F">
              <w:trPr>
                <w:trHeight w:val="178"/>
                <w:jc w:val="center"/>
              </w:trPr>
              <w:tc>
                <w:tcPr>
                  <w:tcW w:w="3687" w:type="pct"/>
                  <w:tcBorders>
                    <w:left w:val="single" w:sz="4" w:space="0" w:color="auto"/>
                    <w:right w:val="single" w:sz="4" w:space="0" w:color="auto"/>
                  </w:tcBorders>
                  <w:noWrap/>
                  <w:hideMark/>
                </w:tcPr>
                <w:p w14:paraId="2060A7AF" w14:textId="77777777" w:rsidR="00AC3A41" w:rsidRPr="00E2711F" w:rsidRDefault="00AC3A41" w:rsidP="00AC3A41">
                  <w:pPr>
                    <w:widowControl/>
                    <w:rPr>
                      <w:rFonts w:eastAsia="Times New Roman"/>
                      <w:sz w:val="20"/>
                      <w:szCs w:val="20"/>
                    </w:rPr>
                  </w:pPr>
                  <w:r w:rsidRPr="00E2711F">
                    <w:rPr>
                      <w:rFonts w:eastAsia="Times New Roman"/>
                      <w:sz w:val="20"/>
                      <w:szCs w:val="20"/>
                    </w:rPr>
                    <w:t xml:space="preserve">         Japón</w:t>
                  </w:r>
                </w:p>
              </w:tc>
              <w:tc>
                <w:tcPr>
                  <w:tcW w:w="412" w:type="pct"/>
                  <w:tcBorders>
                    <w:left w:val="single" w:sz="4" w:space="0" w:color="auto"/>
                    <w:right w:val="single" w:sz="4" w:space="0" w:color="auto"/>
                  </w:tcBorders>
                  <w:noWrap/>
                  <w:hideMark/>
                </w:tcPr>
                <w:p w14:paraId="370DA4DD"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1.7</w:t>
                  </w:r>
                </w:p>
              </w:tc>
              <w:tc>
                <w:tcPr>
                  <w:tcW w:w="300" w:type="pct"/>
                  <w:tcBorders>
                    <w:left w:val="single" w:sz="4" w:space="0" w:color="auto"/>
                    <w:right w:val="single" w:sz="4" w:space="0" w:color="auto"/>
                  </w:tcBorders>
                  <w:shd w:val="clear" w:color="auto" w:fill="FBE4D5"/>
                  <w:noWrap/>
                  <w:hideMark/>
                </w:tcPr>
                <w:p w14:paraId="217A8648"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1.7</w:t>
                  </w:r>
                </w:p>
              </w:tc>
              <w:tc>
                <w:tcPr>
                  <w:tcW w:w="300" w:type="pct"/>
                  <w:tcBorders>
                    <w:left w:val="single" w:sz="4" w:space="0" w:color="auto"/>
                    <w:right w:val="single" w:sz="4" w:space="0" w:color="auto"/>
                  </w:tcBorders>
                  <w:noWrap/>
                  <w:hideMark/>
                </w:tcPr>
                <w:p w14:paraId="747E4362"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1.3</w:t>
                  </w:r>
                </w:p>
              </w:tc>
              <w:tc>
                <w:tcPr>
                  <w:tcW w:w="300" w:type="pct"/>
                  <w:tcBorders>
                    <w:left w:val="single" w:sz="4" w:space="0" w:color="auto"/>
                    <w:right w:val="single" w:sz="4" w:space="0" w:color="auto"/>
                  </w:tcBorders>
                  <w:shd w:val="clear" w:color="auto" w:fill="FBE4D5"/>
                  <w:noWrap/>
                  <w:hideMark/>
                </w:tcPr>
                <w:p w14:paraId="2AEBEE87"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1.7</w:t>
                  </w:r>
                </w:p>
              </w:tc>
            </w:tr>
            <w:tr w:rsidR="00AC3A41" w:rsidRPr="00AC3A41" w14:paraId="15A43360" w14:textId="77777777" w:rsidTr="00E2711F">
              <w:trPr>
                <w:trHeight w:val="210"/>
                <w:jc w:val="center"/>
              </w:trPr>
              <w:tc>
                <w:tcPr>
                  <w:tcW w:w="3687" w:type="pct"/>
                  <w:tcBorders>
                    <w:left w:val="single" w:sz="4" w:space="0" w:color="auto"/>
                    <w:right w:val="single" w:sz="4" w:space="0" w:color="auto"/>
                  </w:tcBorders>
                  <w:noWrap/>
                  <w:hideMark/>
                </w:tcPr>
                <w:p w14:paraId="52C2D5E9" w14:textId="77777777" w:rsidR="00AC3A41" w:rsidRPr="00E2711F" w:rsidRDefault="00AC3A41" w:rsidP="00AC3A41">
                  <w:pPr>
                    <w:widowControl/>
                    <w:rPr>
                      <w:rFonts w:eastAsia="Times New Roman"/>
                      <w:b/>
                      <w:sz w:val="20"/>
                      <w:szCs w:val="20"/>
                    </w:rPr>
                  </w:pPr>
                  <w:r w:rsidRPr="00E2711F">
                    <w:rPr>
                      <w:rFonts w:eastAsia="Times New Roman"/>
                      <w:b/>
                      <w:sz w:val="20"/>
                      <w:szCs w:val="20"/>
                    </w:rPr>
                    <w:t xml:space="preserve">    Economías emergentes y en desarrollo (EMDEs)</w:t>
                  </w:r>
                </w:p>
              </w:tc>
              <w:tc>
                <w:tcPr>
                  <w:tcW w:w="412" w:type="pct"/>
                  <w:tcBorders>
                    <w:left w:val="single" w:sz="4" w:space="0" w:color="auto"/>
                    <w:right w:val="single" w:sz="4" w:space="0" w:color="auto"/>
                  </w:tcBorders>
                  <w:noWrap/>
                  <w:hideMark/>
                </w:tcPr>
                <w:p w14:paraId="179535D2" w14:textId="77777777" w:rsidR="00AC3A41" w:rsidRPr="00E2711F" w:rsidRDefault="00AC3A41" w:rsidP="00AC3A41">
                  <w:pPr>
                    <w:widowControl/>
                    <w:jc w:val="center"/>
                    <w:rPr>
                      <w:rFonts w:eastAsia="Times New Roman"/>
                      <w:b/>
                      <w:sz w:val="20"/>
                      <w:szCs w:val="20"/>
                    </w:rPr>
                  </w:pPr>
                  <w:r w:rsidRPr="00E2711F">
                    <w:rPr>
                      <w:rFonts w:eastAsia="Times New Roman"/>
                      <w:b/>
                      <w:sz w:val="20"/>
                      <w:szCs w:val="20"/>
                    </w:rPr>
                    <w:t>3.4</w:t>
                  </w:r>
                </w:p>
              </w:tc>
              <w:tc>
                <w:tcPr>
                  <w:tcW w:w="300" w:type="pct"/>
                  <w:tcBorders>
                    <w:left w:val="single" w:sz="4" w:space="0" w:color="auto"/>
                    <w:right w:val="single" w:sz="4" w:space="0" w:color="auto"/>
                  </w:tcBorders>
                  <w:shd w:val="clear" w:color="auto" w:fill="FBE4D5"/>
                  <w:noWrap/>
                  <w:hideMark/>
                </w:tcPr>
                <w:p w14:paraId="523E7B86" w14:textId="77777777" w:rsidR="00AC3A41" w:rsidRPr="00E2711F" w:rsidRDefault="00AC3A41" w:rsidP="00AC3A41">
                  <w:pPr>
                    <w:widowControl/>
                    <w:jc w:val="center"/>
                    <w:rPr>
                      <w:rFonts w:eastAsia="Times New Roman"/>
                      <w:b/>
                      <w:sz w:val="20"/>
                      <w:szCs w:val="20"/>
                    </w:rPr>
                  </w:pPr>
                  <w:r w:rsidRPr="00E2711F">
                    <w:rPr>
                      <w:rFonts w:eastAsia="Times New Roman"/>
                      <w:b/>
                      <w:sz w:val="20"/>
                      <w:szCs w:val="20"/>
                    </w:rPr>
                    <w:t>3.6</w:t>
                  </w:r>
                </w:p>
              </w:tc>
              <w:tc>
                <w:tcPr>
                  <w:tcW w:w="300" w:type="pct"/>
                  <w:tcBorders>
                    <w:left w:val="single" w:sz="4" w:space="0" w:color="auto"/>
                    <w:right w:val="single" w:sz="4" w:space="0" w:color="auto"/>
                  </w:tcBorders>
                  <w:noWrap/>
                  <w:hideMark/>
                </w:tcPr>
                <w:p w14:paraId="4215B366" w14:textId="77777777" w:rsidR="00AC3A41" w:rsidRPr="00E2711F" w:rsidRDefault="00AC3A41" w:rsidP="00AC3A41">
                  <w:pPr>
                    <w:widowControl/>
                    <w:jc w:val="center"/>
                    <w:rPr>
                      <w:rFonts w:eastAsia="Times New Roman"/>
                      <w:b/>
                      <w:sz w:val="20"/>
                      <w:szCs w:val="20"/>
                    </w:rPr>
                  </w:pPr>
                  <w:r w:rsidRPr="00E2711F">
                    <w:rPr>
                      <w:rFonts w:eastAsia="Times New Roman"/>
                      <w:b/>
                      <w:sz w:val="20"/>
                      <w:szCs w:val="20"/>
                    </w:rPr>
                    <w:t>4.2</w:t>
                  </w:r>
                </w:p>
              </w:tc>
              <w:tc>
                <w:tcPr>
                  <w:tcW w:w="300" w:type="pct"/>
                  <w:tcBorders>
                    <w:left w:val="single" w:sz="4" w:space="0" w:color="auto"/>
                    <w:right w:val="single" w:sz="4" w:space="0" w:color="auto"/>
                  </w:tcBorders>
                  <w:shd w:val="clear" w:color="auto" w:fill="FBE4D5"/>
                  <w:noWrap/>
                  <w:hideMark/>
                </w:tcPr>
                <w:p w14:paraId="55902339" w14:textId="77777777" w:rsidR="00AC3A41" w:rsidRPr="00E2711F" w:rsidRDefault="00AC3A41" w:rsidP="00AC3A41">
                  <w:pPr>
                    <w:widowControl/>
                    <w:jc w:val="center"/>
                    <w:rPr>
                      <w:rFonts w:eastAsia="Times New Roman"/>
                      <w:b/>
                      <w:sz w:val="20"/>
                      <w:szCs w:val="20"/>
                    </w:rPr>
                  </w:pPr>
                  <w:r w:rsidRPr="00E2711F">
                    <w:rPr>
                      <w:rFonts w:eastAsia="Times New Roman"/>
                      <w:b/>
                      <w:sz w:val="20"/>
                      <w:szCs w:val="20"/>
                    </w:rPr>
                    <w:t>3.9</w:t>
                  </w:r>
                </w:p>
              </w:tc>
            </w:tr>
            <w:tr w:rsidR="00AC3A41" w:rsidRPr="00AC3A41" w14:paraId="62BE2A08" w14:textId="77777777" w:rsidTr="00E2711F">
              <w:trPr>
                <w:trHeight w:val="101"/>
                <w:jc w:val="center"/>
              </w:trPr>
              <w:tc>
                <w:tcPr>
                  <w:tcW w:w="3687" w:type="pct"/>
                  <w:tcBorders>
                    <w:left w:val="single" w:sz="4" w:space="0" w:color="auto"/>
                    <w:right w:val="single" w:sz="4" w:space="0" w:color="auto"/>
                  </w:tcBorders>
                  <w:noWrap/>
                  <w:hideMark/>
                </w:tcPr>
                <w:p w14:paraId="5753B268" w14:textId="77777777" w:rsidR="00AC3A41" w:rsidRPr="00E2711F" w:rsidRDefault="00AC3A41" w:rsidP="00AC3A41">
                  <w:pPr>
                    <w:widowControl/>
                    <w:rPr>
                      <w:rFonts w:eastAsia="Times New Roman"/>
                      <w:sz w:val="20"/>
                      <w:szCs w:val="20"/>
                    </w:rPr>
                  </w:pPr>
                  <w:r w:rsidRPr="00E2711F">
                    <w:rPr>
                      <w:rFonts w:eastAsia="Times New Roman"/>
                      <w:sz w:val="20"/>
                      <w:szCs w:val="20"/>
                    </w:rPr>
                    <w:t xml:space="preserve">        China</w:t>
                  </w:r>
                </w:p>
              </w:tc>
              <w:tc>
                <w:tcPr>
                  <w:tcW w:w="412" w:type="pct"/>
                  <w:tcBorders>
                    <w:left w:val="single" w:sz="4" w:space="0" w:color="auto"/>
                    <w:right w:val="single" w:sz="4" w:space="0" w:color="auto"/>
                  </w:tcBorders>
                  <w:noWrap/>
                  <w:hideMark/>
                </w:tcPr>
                <w:p w14:paraId="40F01307"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4.3</w:t>
                  </w:r>
                </w:p>
              </w:tc>
              <w:tc>
                <w:tcPr>
                  <w:tcW w:w="300" w:type="pct"/>
                  <w:tcBorders>
                    <w:left w:val="single" w:sz="4" w:space="0" w:color="auto"/>
                    <w:right w:val="single" w:sz="4" w:space="0" w:color="auto"/>
                  </w:tcBorders>
                  <w:shd w:val="clear" w:color="auto" w:fill="FBE4D5"/>
                  <w:noWrap/>
                  <w:hideMark/>
                </w:tcPr>
                <w:p w14:paraId="5516C5D0"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3.3</w:t>
                  </w:r>
                </w:p>
              </w:tc>
              <w:tc>
                <w:tcPr>
                  <w:tcW w:w="300" w:type="pct"/>
                  <w:tcBorders>
                    <w:left w:val="single" w:sz="4" w:space="0" w:color="auto"/>
                    <w:right w:val="single" w:sz="4" w:space="0" w:color="auto"/>
                  </w:tcBorders>
                  <w:noWrap/>
                  <w:hideMark/>
                </w:tcPr>
                <w:p w14:paraId="65AFA755"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5.2</w:t>
                  </w:r>
                </w:p>
              </w:tc>
              <w:tc>
                <w:tcPr>
                  <w:tcW w:w="300" w:type="pct"/>
                  <w:tcBorders>
                    <w:left w:val="single" w:sz="4" w:space="0" w:color="auto"/>
                    <w:right w:val="single" w:sz="4" w:space="0" w:color="auto"/>
                  </w:tcBorders>
                  <w:shd w:val="clear" w:color="auto" w:fill="FBE4D5"/>
                  <w:noWrap/>
                  <w:hideMark/>
                </w:tcPr>
                <w:p w14:paraId="1EB361DD"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4.6</w:t>
                  </w:r>
                </w:p>
              </w:tc>
            </w:tr>
            <w:tr w:rsidR="00AC3A41" w:rsidRPr="00AC3A41" w14:paraId="4D312183" w14:textId="77777777" w:rsidTr="00E2711F">
              <w:trPr>
                <w:trHeight w:val="154"/>
                <w:jc w:val="center"/>
              </w:trPr>
              <w:tc>
                <w:tcPr>
                  <w:tcW w:w="3687" w:type="pct"/>
                  <w:tcBorders>
                    <w:left w:val="single" w:sz="4" w:space="0" w:color="auto"/>
                    <w:right w:val="single" w:sz="4" w:space="0" w:color="auto"/>
                  </w:tcBorders>
                  <w:noWrap/>
                  <w:hideMark/>
                </w:tcPr>
                <w:p w14:paraId="345F7170" w14:textId="77777777" w:rsidR="00AC3A41" w:rsidRPr="00E2711F" w:rsidRDefault="00AC3A41" w:rsidP="00AC3A41">
                  <w:pPr>
                    <w:widowControl/>
                    <w:rPr>
                      <w:rFonts w:eastAsia="Times New Roman"/>
                      <w:b/>
                      <w:bCs/>
                      <w:sz w:val="20"/>
                      <w:szCs w:val="20"/>
                    </w:rPr>
                  </w:pPr>
                  <w:r w:rsidRPr="00E2711F">
                    <w:rPr>
                      <w:rFonts w:eastAsia="Times New Roman"/>
                      <w:b/>
                      <w:bCs/>
                      <w:sz w:val="20"/>
                      <w:szCs w:val="20"/>
                    </w:rPr>
                    <w:t xml:space="preserve">   América Latina y el Caribe</w:t>
                  </w:r>
                </w:p>
              </w:tc>
              <w:tc>
                <w:tcPr>
                  <w:tcW w:w="412" w:type="pct"/>
                  <w:tcBorders>
                    <w:left w:val="single" w:sz="4" w:space="0" w:color="auto"/>
                    <w:right w:val="single" w:sz="4" w:space="0" w:color="auto"/>
                  </w:tcBorders>
                  <w:noWrap/>
                  <w:hideMark/>
                </w:tcPr>
                <w:p w14:paraId="4C8FAB2E"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2.5</w:t>
                  </w:r>
                </w:p>
              </w:tc>
              <w:tc>
                <w:tcPr>
                  <w:tcW w:w="300" w:type="pct"/>
                  <w:tcBorders>
                    <w:left w:val="single" w:sz="4" w:space="0" w:color="auto"/>
                    <w:right w:val="single" w:sz="4" w:space="0" w:color="auto"/>
                  </w:tcBorders>
                  <w:shd w:val="clear" w:color="auto" w:fill="FBE4D5"/>
                  <w:noWrap/>
                  <w:hideMark/>
                </w:tcPr>
                <w:p w14:paraId="3EA6E737"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3.0</w:t>
                  </w:r>
                </w:p>
              </w:tc>
              <w:tc>
                <w:tcPr>
                  <w:tcW w:w="300" w:type="pct"/>
                  <w:tcBorders>
                    <w:left w:val="single" w:sz="4" w:space="0" w:color="auto"/>
                    <w:right w:val="single" w:sz="4" w:space="0" w:color="auto"/>
                  </w:tcBorders>
                  <w:noWrap/>
                  <w:hideMark/>
                </w:tcPr>
                <w:p w14:paraId="24010B37"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1.9</w:t>
                  </w:r>
                </w:p>
              </w:tc>
              <w:tc>
                <w:tcPr>
                  <w:tcW w:w="300" w:type="pct"/>
                  <w:tcBorders>
                    <w:left w:val="single" w:sz="4" w:space="0" w:color="auto"/>
                    <w:right w:val="single" w:sz="4" w:space="0" w:color="auto"/>
                  </w:tcBorders>
                  <w:shd w:val="clear" w:color="auto" w:fill="FBE4D5"/>
                  <w:noWrap/>
                  <w:hideMark/>
                </w:tcPr>
                <w:p w14:paraId="5717F57A"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2.0</w:t>
                  </w:r>
                </w:p>
              </w:tc>
            </w:tr>
            <w:tr w:rsidR="00AC3A41" w:rsidRPr="00AC3A41" w14:paraId="0201940F" w14:textId="77777777" w:rsidTr="00E2711F">
              <w:trPr>
                <w:trHeight w:val="74"/>
                <w:jc w:val="center"/>
              </w:trPr>
              <w:tc>
                <w:tcPr>
                  <w:tcW w:w="3687" w:type="pct"/>
                  <w:tcBorders>
                    <w:left w:val="single" w:sz="4" w:space="0" w:color="auto"/>
                    <w:right w:val="single" w:sz="4" w:space="0" w:color="auto"/>
                  </w:tcBorders>
                  <w:noWrap/>
                  <w:hideMark/>
                </w:tcPr>
                <w:p w14:paraId="70DF7069" w14:textId="77777777" w:rsidR="00AC3A41" w:rsidRPr="00E2711F" w:rsidRDefault="00AC3A41" w:rsidP="00AC3A41">
                  <w:pPr>
                    <w:widowControl/>
                    <w:rPr>
                      <w:rFonts w:eastAsia="Times New Roman"/>
                      <w:sz w:val="20"/>
                      <w:szCs w:val="20"/>
                    </w:rPr>
                  </w:pPr>
                  <w:r w:rsidRPr="00E2711F">
                    <w:rPr>
                      <w:rFonts w:eastAsia="Times New Roman"/>
                      <w:sz w:val="20"/>
                      <w:szCs w:val="20"/>
                    </w:rPr>
                    <w:t xml:space="preserve">        Brasil</w:t>
                  </w:r>
                </w:p>
              </w:tc>
              <w:tc>
                <w:tcPr>
                  <w:tcW w:w="412" w:type="pct"/>
                  <w:tcBorders>
                    <w:left w:val="single" w:sz="4" w:space="0" w:color="auto"/>
                    <w:right w:val="single" w:sz="4" w:space="0" w:color="auto"/>
                  </w:tcBorders>
                  <w:noWrap/>
                  <w:hideMark/>
                </w:tcPr>
                <w:p w14:paraId="46E85378"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1.5</w:t>
                  </w:r>
                </w:p>
              </w:tc>
              <w:tc>
                <w:tcPr>
                  <w:tcW w:w="300" w:type="pct"/>
                  <w:tcBorders>
                    <w:left w:val="single" w:sz="4" w:space="0" w:color="auto"/>
                    <w:right w:val="single" w:sz="4" w:space="0" w:color="auto"/>
                  </w:tcBorders>
                  <w:shd w:val="clear" w:color="auto" w:fill="FBE4D5"/>
                  <w:noWrap/>
                  <w:hideMark/>
                </w:tcPr>
                <w:p w14:paraId="59D70F04"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1.7</w:t>
                  </w:r>
                </w:p>
              </w:tc>
              <w:tc>
                <w:tcPr>
                  <w:tcW w:w="300" w:type="pct"/>
                  <w:tcBorders>
                    <w:left w:val="single" w:sz="4" w:space="0" w:color="auto"/>
                    <w:right w:val="single" w:sz="4" w:space="0" w:color="auto"/>
                  </w:tcBorders>
                  <w:noWrap/>
                  <w:hideMark/>
                </w:tcPr>
                <w:p w14:paraId="2A67DFED"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0.8</w:t>
                  </w:r>
                </w:p>
              </w:tc>
              <w:tc>
                <w:tcPr>
                  <w:tcW w:w="300" w:type="pct"/>
                  <w:tcBorders>
                    <w:left w:val="single" w:sz="4" w:space="0" w:color="auto"/>
                    <w:right w:val="single" w:sz="4" w:space="0" w:color="auto"/>
                  </w:tcBorders>
                  <w:shd w:val="clear" w:color="auto" w:fill="FBE4D5"/>
                  <w:noWrap/>
                  <w:hideMark/>
                </w:tcPr>
                <w:p w14:paraId="6E0647E8"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1.1</w:t>
                  </w:r>
                </w:p>
              </w:tc>
            </w:tr>
            <w:tr w:rsidR="00AC3A41" w:rsidRPr="00AC3A41" w14:paraId="4673A2E6" w14:textId="77777777" w:rsidTr="00E2711F">
              <w:trPr>
                <w:trHeight w:val="74"/>
                <w:jc w:val="center"/>
              </w:trPr>
              <w:tc>
                <w:tcPr>
                  <w:tcW w:w="3687" w:type="pct"/>
                  <w:tcBorders>
                    <w:left w:val="single" w:sz="4" w:space="0" w:color="auto"/>
                    <w:right w:val="single" w:sz="4" w:space="0" w:color="auto"/>
                  </w:tcBorders>
                  <w:noWrap/>
                  <w:hideMark/>
                </w:tcPr>
                <w:p w14:paraId="1199B1D5" w14:textId="77777777" w:rsidR="00AC3A41" w:rsidRPr="00E2711F" w:rsidRDefault="00AC3A41" w:rsidP="00AC3A41">
                  <w:pPr>
                    <w:widowControl/>
                    <w:rPr>
                      <w:rFonts w:eastAsia="Times New Roman"/>
                      <w:sz w:val="20"/>
                      <w:szCs w:val="20"/>
                    </w:rPr>
                  </w:pPr>
                  <w:r w:rsidRPr="00E2711F">
                    <w:rPr>
                      <w:rFonts w:eastAsia="Times New Roman"/>
                      <w:sz w:val="20"/>
                      <w:szCs w:val="20"/>
                    </w:rPr>
                    <w:t xml:space="preserve">        México</w:t>
                  </w:r>
                </w:p>
              </w:tc>
              <w:tc>
                <w:tcPr>
                  <w:tcW w:w="412" w:type="pct"/>
                  <w:tcBorders>
                    <w:left w:val="single" w:sz="4" w:space="0" w:color="auto"/>
                    <w:right w:val="single" w:sz="4" w:space="0" w:color="auto"/>
                  </w:tcBorders>
                  <w:noWrap/>
                  <w:hideMark/>
                </w:tcPr>
                <w:p w14:paraId="5047FC91"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1.7</w:t>
                  </w:r>
                </w:p>
              </w:tc>
              <w:tc>
                <w:tcPr>
                  <w:tcW w:w="300" w:type="pct"/>
                  <w:tcBorders>
                    <w:left w:val="single" w:sz="4" w:space="0" w:color="auto"/>
                    <w:right w:val="single" w:sz="4" w:space="0" w:color="auto"/>
                  </w:tcBorders>
                  <w:shd w:val="clear" w:color="auto" w:fill="FBE4D5"/>
                  <w:noWrap/>
                  <w:hideMark/>
                </w:tcPr>
                <w:p w14:paraId="74B11C64"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2.4</w:t>
                  </w:r>
                </w:p>
              </w:tc>
              <w:tc>
                <w:tcPr>
                  <w:tcW w:w="300" w:type="pct"/>
                  <w:tcBorders>
                    <w:left w:val="single" w:sz="4" w:space="0" w:color="auto"/>
                    <w:right w:val="single" w:sz="4" w:space="0" w:color="auto"/>
                  </w:tcBorders>
                  <w:noWrap/>
                  <w:hideMark/>
                </w:tcPr>
                <w:p w14:paraId="499B20BD"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1.9</w:t>
                  </w:r>
                </w:p>
              </w:tc>
              <w:tc>
                <w:tcPr>
                  <w:tcW w:w="300" w:type="pct"/>
                  <w:tcBorders>
                    <w:left w:val="single" w:sz="4" w:space="0" w:color="auto"/>
                    <w:right w:val="single" w:sz="4" w:space="0" w:color="auto"/>
                  </w:tcBorders>
                  <w:shd w:val="clear" w:color="auto" w:fill="FBE4D5"/>
                  <w:noWrap/>
                  <w:hideMark/>
                </w:tcPr>
                <w:p w14:paraId="5F43C89A" w14:textId="77777777" w:rsidR="00AC3A41" w:rsidRPr="00E2711F" w:rsidRDefault="00AC3A41" w:rsidP="00AC3A41">
                  <w:pPr>
                    <w:widowControl/>
                    <w:jc w:val="center"/>
                    <w:rPr>
                      <w:rFonts w:eastAsia="Times New Roman"/>
                      <w:sz w:val="20"/>
                      <w:szCs w:val="20"/>
                    </w:rPr>
                  </w:pPr>
                  <w:r w:rsidRPr="00E2711F">
                    <w:rPr>
                      <w:rFonts w:eastAsia="Times New Roman"/>
                      <w:sz w:val="20"/>
                      <w:szCs w:val="20"/>
                    </w:rPr>
                    <w:t>1.2</w:t>
                  </w:r>
                </w:p>
              </w:tc>
            </w:tr>
            <w:tr w:rsidR="00AC3A41" w:rsidRPr="00AC3A41" w14:paraId="176C53E8" w14:textId="77777777" w:rsidTr="00E2711F">
              <w:trPr>
                <w:trHeight w:val="74"/>
                <w:jc w:val="center"/>
              </w:trPr>
              <w:tc>
                <w:tcPr>
                  <w:tcW w:w="3687" w:type="pct"/>
                  <w:tcBorders>
                    <w:left w:val="single" w:sz="4" w:space="0" w:color="auto"/>
                    <w:bottom w:val="single" w:sz="4" w:space="0" w:color="auto"/>
                    <w:right w:val="single" w:sz="4" w:space="0" w:color="auto"/>
                  </w:tcBorders>
                  <w:noWrap/>
                  <w:hideMark/>
                </w:tcPr>
                <w:p w14:paraId="5D3D1B0F" w14:textId="77777777" w:rsidR="00AC3A41" w:rsidRPr="00E2711F" w:rsidRDefault="00AC3A41" w:rsidP="00AC3A41">
                  <w:pPr>
                    <w:widowControl/>
                    <w:rPr>
                      <w:rFonts w:eastAsia="Times New Roman"/>
                      <w:b/>
                      <w:bCs/>
                      <w:sz w:val="20"/>
                      <w:szCs w:val="20"/>
                    </w:rPr>
                  </w:pPr>
                  <w:r w:rsidRPr="00E2711F">
                    <w:rPr>
                      <w:rFonts w:eastAsia="Times New Roman"/>
                      <w:b/>
                      <w:bCs/>
                      <w:sz w:val="20"/>
                      <w:szCs w:val="20"/>
                    </w:rPr>
                    <w:t xml:space="preserve">   África al sur del Sahara</w:t>
                  </w:r>
                </w:p>
              </w:tc>
              <w:tc>
                <w:tcPr>
                  <w:tcW w:w="412" w:type="pct"/>
                  <w:tcBorders>
                    <w:left w:val="single" w:sz="4" w:space="0" w:color="auto"/>
                    <w:bottom w:val="single" w:sz="4" w:space="0" w:color="auto"/>
                    <w:right w:val="single" w:sz="4" w:space="0" w:color="auto"/>
                  </w:tcBorders>
                  <w:noWrap/>
                  <w:hideMark/>
                </w:tcPr>
                <w:p w14:paraId="0C43EF8F"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3.7</w:t>
                  </w:r>
                </w:p>
              </w:tc>
              <w:tc>
                <w:tcPr>
                  <w:tcW w:w="300" w:type="pct"/>
                  <w:tcBorders>
                    <w:left w:val="single" w:sz="4" w:space="0" w:color="auto"/>
                    <w:bottom w:val="single" w:sz="4" w:space="0" w:color="auto"/>
                    <w:right w:val="single" w:sz="4" w:space="0" w:color="auto"/>
                  </w:tcBorders>
                  <w:shd w:val="clear" w:color="auto" w:fill="FBE4D5"/>
                  <w:noWrap/>
                  <w:hideMark/>
                </w:tcPr>
                <w:p w14:paraId="254A0403"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3.8</w:t>
                  </w:r>
                </w:p>
              </w:tc>
              <w:tc>
                <w:tcPr>
                  <w:tcW w:w="300" w:type="pct"/>
                  <w:tcBorders>
                    <w:left w:val="single" w:sz="4" w:space="0" w:color="auto"/>
                    <w:bottom w:val="single" w:sz="4" w:space="0" w:color="auto"/>
                    <w:right w:val="single" w:sz="4" w:space="0" w:color="auto"/>
                  </w:tcBorders>
                  <w:noWrap/>
                  <w:hideMark/>
                </w:tcPr>
                <w:p w14:paraId="2388B05F"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3.8</w:t>
                  </w:r>
                </w:p>
              </w:tc>
              <w:tc>
                <w:tcPr>
                  <w:tcW w:w="300" w:type="pct"/>
                  <w:tcBorders>
                    <w:left w:val="single" w:sz="4" w:space="0" w:color="auto"/>
                    <w:bottom w:val="single" w:sz="4" w:space="0" w:color="auto"/>
                    <w:right w:val="single" w:sz="4" w:space="0" w:color="auto"/>
                  </w:tcBorders>
                  <w:shd w:val="clear" w:color="auto" w:fill="FBE4D5"/>
                  <w:noWrap/>
                  <w:hideMark/>
                </w:tcPr>
                <w:p w14:paraId="4DE2F8B7" w14:textId="77777777" w:rsidR="00AC3A41" w:rsidRPr="00E2711F" w:rsidRDefault="00AC3A41" w:rsidP="00AC3A41">
                  <w:pPr>
                    <w:widowControl/>
                    <w:jc w:val="center"/>
                    <w:rPr>
                      <w:rFonts w:eastAsia="Times New Roman"/>
                      <w:b/>
                      <w:bCs/>
                      <w:sz w:val="20"/>
                      <w:szCs w:val="20"/>
                    </w:rPr>
                  </w:pPr>
                  <w:r w:rsidRPr="00E2711F">
                    <w:rPr>
                      <w:rFonts w:eastAsia="Times New Roman"/>
                      <w:b/>
                      <w:bCs/>
                      <w:sz w:val="20"/>
                      <w:szCs w:val="20"/>
                    </w:rPr>
                    <w:t>4</w:t>
                  </w:r>
                </w:p>
              </w:tc>
            </w:tr>
          </w:tbl>
          <w:p w14:paraId="31DBB370" w14:textId="77777777" w:rsidR="00AC3A41" w:rsidRPr="00AC3A41" w:rsidRDefault="00AC3A41" w:rsidP="00AC3A41">
            <w:pPr>
              <w:widowControl/>
              <w:rPr>
                <w:rFonts w:ascii="Times New Roman" w:hAnsi="Times New Roman"/>
              </w:rPr>
            </w:pPr>
          </w:p>
        </w:tc>
      </w:tr>
      <w:tr w:rsidR="00AC3A41" w:rsidRPr="00AC3A41" w14:paraId="63AB5D5A" w14:textId="77777777" w:rsidTr="00C43CBD">
        <w:tc>
          <w:tcPr>
            <w:tcW w:w="8828" w:type="dxa"/>
          </w:tcPr>
          <w:p w14:paraId="40219704" w14:textId="77777777" w:rsidR="00AC3A41" w:rsidRPr="00AC3A41" w:rsidRDefault="00AC3A41" w:rsidP="00AC3A41">
            <w:pPr>
              <w:widowControl/>
              <w:rPr>
                <w:rFonts w:ascii="Times New Roman" w:hAnsi="Times New Roman"/>
                <w:sz w:val="16"/>
                <w:szCs w:val="16"/>
              </w:rPr>
            </w:pPr>
            <w:r w:rsidRPr="00AC3A41">
              <w:rPr>
                <w:rFonts w:ascii="Times New Roman" w:hAnsi="Times New Roman"/>
                <w:sz w:val="16"/>
              </w:rPr>
              <w:t>Fuente: Fondo Monetario Internacional, WEO junio 2022 y Banco Mundial, junio 2022</w:t>
            </w:r>
          </w:p>
        </w:tc>
      </w:tr>
    </w:tbl>
    <w:p w14:paraId="1A8D7FC9" w14:textId="416C0E26" w:rsidR="00AC3A41" w:rsidRDefault="00AC3A41" w:rsidP="0046218E">
      <w:pPr>
        <w:jc w:val="both"/>
        <w:rPr>
          <w:sz w:val="4"/>
          <w:szCs w:val="4"/>
        </w:rPr>
      </w:pPr>
    </w:p>
    <w:p w14:paraId="69679042" w14:textId="77777777" w:rsidR="00AC3A41" w:rsidRPr="000D1155" w:rsidRDefault="00AC3A41" w:rsidP="0046218E">
      <w:pPr>
        <w:jc w:val="both"/>
        <w:rPr>
          <w:sz w:val="4"/>
          <w:szCs w:val="4"/>
        </w:rPr>
      </w:pPr>
    </w:p>
    <w:p w14:paraId="37AC7512" w14:textId="6CB26D62" w:rsidR="0046218E" w:rsidRDefault="0046218E" w:rsidP="000E4D7A">
      <w:pPr>
        <w:jc w:val="both"/>
      </w:pPr>
      <w:r w:rsidRPr="00571870">
        <w:t xml:space="preserve">Los efectos secundarios de la invasión de Rusia a Ucrania están </w:t>
      </w:r>
      <w:r>
        <w:t>desacelerando</w:t>
      </w:r>
      <w:r w:rsidRPr="00571870">
        <w:t xml:space="preserve"> el ritmo del crecimiento económico mundial, que aho</w:t>
      </w:r>
      <w:r>
        <w:t>ra se prevé que se reduzca al 2.</w:t>
      </w:r>
      <w:r w:rsidRPr="00571870">
        <w:t>9</w:t>
      </w:r>
      <w:r>
        <w:t xml:space="preserve">% </w:t>
      </w:r>
      <w:r w:rsidRPr="00571870">
        <w:t>en 2022</w:t>
      </w:r>
      <w:r>
        <w:t xml:space="preserve"> según el Banco Mundial</w:t>
      </w:r>
      <w:r w:rsidRPr="00571870">
        <w:t xml:space="preserve">. La guerra está provocando un aumento de los precios de los productos básicos, lo que se suma a las perturbaciones en los suministros; incrementando la inseguridad alimentaria y la pobreza; exacerbando la inflación; contribuyendo a condiciones financieras más restrictivas; aumentando la vulnerabilidad financiera, e intensificando la incertidumbre en materia de políticas. </w:t>
      </w:r>
    </w:p>
    <w:p w14:paraId="5BBF646F" w14:textId="77777777" w:rsidR="00ED483A" w:rsidRDefault="00ED483A" w:rsidP="000E4D7A">
      <w:pPr>
        <w:jc w:val="both"/>
      </w:pPr>
    </w:p>
    <w:p w14:paraId="6E140F79" w14:textId="3D6DB99C" w:rsidR="0046218E" w:rsidRDefault="0046218E" w:rsidP="000E4D7A">
      <w:pPr>
        <w:jc w:val="both"/>
      </w:pPr>
      <w:r>
        <w:t>De acuerdo con el Banco Mundial, se</w:t>
      </w:r>
      <w:r w:rsidRPr="00A92B80">
        <w:t xml:space="preserve"> prevé que el crecimiento en las economías avanzadas se desacelere drásticamente del 5</w:t>
      </w:r>
      <w:r>
        <w:t>.</w:t>
      </w:r>
      <w:r w:rsidRPr="00A92B80">
        <w:t xml:space="preserve">1% en </w:t>
      </w:r>
      <w:r w:rsidRPr="000D1155">
        <w:t>2021 al 2.6% en 2022</w:t>
      </w:r>
      <w:r w:rsidRPr="00A92B80">
        <w:t xml:space="preserve"> (1</w:t>
      </w:r>
      <w:r>
        <w:t>.</w:t>
      </w:r>
      <w:r w:rsidRPr="00A92B80">
        <w:t xml:space="preserve">2 puntos porcentuales por debajo de las proyecciones de enero). </w:t>
      </w:r>
      <w:r>
        <w:t xml:space="preserve">Además, </w:t>
      </w:r>
      <w:r w:rsidRPr="00A92B80">
        <w:t xml:space="preserve">el </w:t>
      </w:r>
      <w:r>
        <w:t xml:space="preserve">crecimiento podría </w:t>
      </w:r>
      <w:r w:rsidRPr="00A92B80">
        <w:t>moder</w:t>
      </w:r>
      <w:r>
        <w:t>arse</w:t>
      </w:r>
      <w:r w:rsidRPr="00A92B80">
        <w:t xml:space="preserve"> aún más al 2</w:t>
      </w:r>
      <w:r>
        <w:t>.</w:t>
      </w:r>
      <w:r w:rsidRPr="00A92B80">
        <w:t>2 % en 2023,</w:t>
      </w:r>
      <w:r>
        <w:t xml:space="preserve"> siendo consecuencia de la retirada del apoyo que se otorgó durante la pandemia por medio de las </w:t>
      </w:r>
      <w:r w:rsidRPr="00A92B80">
        <w:t xml:space="preserve">políticas monetarias y fiscales. </w:t>
      </w:r>
    </w:p>
    <w:p w14:paraId="357660AD" w14:textId="77777777" w:rsidR="00025972" w:rsidRDefault="00025972" w:rsidP="000E4D7A">
      <w:pPr>
        <w:jc w:val="both"/>
      </w:pPr>
    </w:p>
    <w:p w14:paraId="12A2904B" w14:textId="77777777" w:rsidR="0046218E" w:rsidRDefault="0046218E" w:rsidP="000E4D7A">
      <w:pPr>
        <w:jc w:val="both"/>
      </w:pPr>
      <w:r>
        <w:t>E</w:t>
      </w:r>
      <w:r w:rsidRPr="00A92B80">
        <w:t xml:space="preserve">ntre los mercados emergentes y las economías en desarrollo, se </w:t>
      </w:r>
      <w:r>
        <w:t>espera</w:t>
      </w:r>
      <w:r w:rsidRPr="00A92B80">
        <w:t xml:space="preserve"> una caída del crecimiento del 6</w:t>
      </w:r>
      <w:r>
        <w:t>.</w:t>
      </w:r>
      <w:r w:rsidRPr="00A92B80">
        <w:t>6% en 2021 al 3</w:t>
      </w:r>
      <w:r>
        <w:t>.</w:t>
      </w:r>
      <w:r w:rsidRPr="00A92B80">
        <w:t>4% en 2022, muy por debajo del promedio anual del 4</w:t>
      </w:r>
      <w:r>
        <w:t>.</w:t>
      </w:r>
      <w:r w:rsidRPr="00A92B80">
        <w:t>8% durante el período 2011</w:t>
      </w:r>
      <w:r>
        <w:t>-2</w:t>
      </w:r>
      <w:r w:rsidRPr="00A92B80">
        <w:t xml:space="preserve">019. Los efectos secundarios negativos de la guerra neutralizarán considerablemente cualquier estímulo de corto plazo para algunos exportadores de productos básicos derivado de los precios de energía más altos. </w:t>
      </w:r>
      <w:r>
        <w:t xml:space="preserve">Para </w:t>
      </w:r>
      <w:r w:rsidRPr="00BD5A5E">
        <w:t xml:space="preserve">América Latina y el Caribe </w:t>
      </w:r>
      <w:r>
        <w:t xml:space="preserve">se espera que </w:t>
      </w:r>
      <w:r w:rsidRPr="00571870">
        <w:t xml:space="preserve">el crecimiento regional </w:t>
      </w:r>
      <w:r w:rsidRPr="006241F3">
        <w:t xml:space="preserve">en 2022 </w:t>
      </w:r>
      <w:r w:rsidRPr="00571870">
        <w:t>se desaceler</w:t>
      </w:r>
      <w:r>
        <w:t>e</w:t>
      </w:r>
      <w:r w:rsidRPr="00571870">
        <w:t xml:space="preserve"> marcadamente hasta llegar al 2</w:t>
      </w:r>
      <w:r>
        <w:t>.</w:t>
      </w:r>
      <w:r w:rsidRPr="00571870">
        <w:t>5%</w:t>
      </w:r>
      <w:r>
        <w:t xml:space="preserve"> </w:t>
      </w:r>
      <w:r w:rsidRPr="00571870">
        <w:t xml:space="preserve">en 2022, luego de un repunte posterior a la </w:t>
      </w:r>
      <w:r w:rsidRPr="00B37E9B">
        <w:t>pandemia del 6.7% en 2021</w:t>
      </w:r>
      <w:r>
        <w:t>.</w:t>
      </w:r>
      <w:r w:rsidRPr="00571870">
        <w:t xml:space="preserve"> Se espera</w:t>
      </w:r>
      <w:r>
        <w:t xml:space="preserve"> </w:t>
      </w:r>
      <w:r w:rsidRPr="00571870">
        <w:t>que el PIB per cápita de toda la región aumente solo un 0</w:t>
      </w:r>
      <w:r>
        <w:t>.</w:t>
      </w:r>
      <w:r w:rsidRPr="00571870">
        <w:t>6% entre 2019 y 2023.</w:t>
      </w:r>
    </w:p>
    <w:p w14:paraId="01864020" w14:textId="77777777" w:rsidR="0046218E" w:rsidRDefault="0046218E" w:rsidP="000E4D7A">
      <w:pPr>
        <w:jc w:val="both"/>
      </w:pPr>
    </w:p>
    <w:p w14:paraId="1656CBEB" w14:textId="67BE8DDB" w:rsidR="0046218E" w:rsidRDefault="0046218E" w:rsidP="000E4D7A">
      <w:pPr>
        <w:jc w:val="both"/>
      </w:pPr>
      <w:r w:rsidRPr="00571870">
        <w:t>Los precios de las principales exportaciones de América Latina y el Caribe serán sustancialmente más</w:t>
      </w:r>
      <w:r>
        <w:t xml:space="preserve"> </w:t>
      </w:r>
      <w:r w:rsidRPr="00571870">
        <w:t>alt</w:t>
      </w:r>
      <w:r>
        <w:t>a</w:t>
      </w:r>
      <w:r w:rsidRPr="00571870">
        <w:t>s en 2022, pero los beneficios para el crecimiento se verán limitados por una respuesta lenta de la</w:t>
      </w:r>
      <w:r>
        <w:t xml:space="preserve"> </w:t>
      </w:r>
      <w:r w:rsidRPr="00571870">
        <w:t>producción de algunos productos básicos y por el aumento de los costos de los insumos, incluidos la</w:t>
      </w:r>
      <w:r>
        <w:t xml:space="preserve"> </w:t>
      </w:r>
      <w:r w:rsidRPr="00571870">
        <w:t>energía y los fertilizantes. Las políticas fiscales y monetarias se basarán ampliamente en el crecimiento a</w:t>
      </w:r>
      <w:r>
        <w:t xml:space="preserve"> corto</w:t>
      </w:r>
      <w:r w:rsidRPr="00571870">
        <w:t xml:space="preserve"> plazo, a medida que las autoridades monetarias restringen las políticas para combatir la inflación y</w:t>
      </w:r>
      <w:r>
        <w:t xml:space="preserve"> </w:t>
      </w:r>
      <w:r w:rsidRPr="00571870">
        <w:t>continúa la retirada del apoyo fiscal relacionado con la pandemia</w:t>
      </w:r>
      <w:r>
        <w:t>.</w:t>
      </w:r>
    </w:p>
    <w:p w14:paraId="145507FE" w14:textId="77777777" w:rsidR="00ED483A" w:rsidRDefault="00ED483A" w:rsidP="0046218E">
      <w:pPr>
        <w:jc w:val="both"/>
      </w:pPr>
    </w:p>
    <w:p w14:paraId="1AD9A402" w14:textId="3F9FDEB3" w:rsidR="0046218E" w:rsidRPr="009C4EAA" w:rsidRDefault="0046218E" w:rsidP="009C4EAA">
      <w:pPr>
        <w:pStyle w:val="Ttulo3"/>
        <w:numPr>
          <w:ilvl w:val="2"/>
          <w:numId w:val="28"/>
        </w:numPr>
        <w:rPr>
          <w:sz w:val="24"/>
          <w:szCs w:val="40"/>
          <w:u w:val="none"/>
        </w:rPr>
      </w:pPr>
      <w:bookmarkStart w:id="9" w:name="_Toc114495234"/>
      <w:r w:rsidRPr="009C4EAA">
        <w:rPr>
          <w:sz w:val="24"/>
          <w:szCs w:val="40"/>
          <w:u w:val="none"/>
        </w:rPr>
        <w:t>Volatilidad en los precios de las materias primas</w:t>
      </w:r>
      <w:bookmarkEnd w:id="9"/>
    </w:p>
    <w:p w14:paraId="40741CC8" w14:textId="77777777" w:rsidR="002333A9" w:rsidRDefault="002333A9" w:rsidP="0046218E">
      <w:pPr>
        <w:ind w:right="49"/>
        <w:jc w:val="both"/>
      </w:pPr>
    </w:p>
    <w:p w14:paraId="2A759118" w14:textId="09E20F5D" w:rsidR="0046218E" w:rsidRDefault="0046218E" w:rsidP="0046218E">
      <w:pPr>
        <w:ind w:right="49"/>
        <w:jc w:val="both"/>
      </w:pPr>
      <w:r w:rsidRPr="00D85858">
        <w:t>Las perspectivas de los mercados de materias primas dependen en gran medida de la duración de la guerra en Ucrania</w:t>
      </w:r>
      <w:r>
        <w:t xml:space="preserve"> </w:t>
      </w:r>
      <w:r w:rsidRPr="00D85858">
        <w:t xml:space="preserve">y la gravedad de las interrupciones en los flujos de materias primas, con un riesgo clave de que los precios de las materias primas puedan ser más altos. </w:t>
      </w:r>
    </w:p>
    <w:p w14:paraId="7B4C15ED" w14:textId="77777777" w:rsidR="0046218E" w:rsidRDefault="0046218E" w:rsidP="0046218E">
      <w:pPr>
        <w:pStyle w:val="Sinespaciado"/>
        <w:ind w:right="49"/>
        <w:jc w:val="both"/>
        <w:rPr>
          <w:lang w:val="es-ES_tradnl"/>
        </w:rPr>
      </w:pPr>
      <w:r w:rsidRPr="00562D80">
        <w:rPr>
          <w:lang w:val="es-ES_tradnl"/>
        </w:rPr>
        <w:t>Las medidas unilaterales como la restricción de las exportaciones de alimentos podrían ahondar la crisis alimentaria. Será crucial que los países colaboren para despejar las inquietudes en torno al suministro de fertilizantes y productos alimentarios, como el trigo, a fin de brindar apoyo a las poblaciones más vulnerables</w:t>
      </w:r>
      <w:r>
        <w:rPr>
          <w:lang w:val="es-ES_tradnl"/>
        </w:rPr>
        <w:t xml:space="preserve">. </w:t>
      </w:r>
      <w:r w:rsidRPr="00FC0197">
        <w:rPr>
          <w:lang w:val="es-ES_tradnl"/>
        </w:rPr>
        <w:t>Se pronostica que los precios del trigo aumentarán más del 40% este año, alcanzando un máximo histórico en términos nominales.</w:t>
      </w:r>
    </w:p>
    <w:p w14:paraId="30F2233E" w14:textId="77777777" w:rsidR="0046218E" w:rsidRPr="00BD5A5E" w:rsidRDefault="0046218E" w:rsidP="0046218E">
      <w:pPr>
        <w:pStyle w:val="Sinespaciado"/>
        <w:ind w:right="49"/>
        <w:jc w:val="both"/>
        <w:rPr>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6218E" w:rsidRPr="005D360B" w14:paraId="0661BF47" w14:textId="77777777" w:rsidTr="00ED483A">
        <w:tc>
          <w:tcPr>
            <w:tcW w:w="8828" w:type="dxa"/>
          </w:tcPr>
          <w:p w14:paraId="543EC03D" w14:textId="63B3D2A4" w:rsidR="0046218E" w:rsidRPr="002333A9" w:rsidRDefault="002333A9" w:rsidP="002333A9">
            <w:pPr>
              <w:pStyle w:val="Descripcin"/>
              <w:keepNext/>
              <w:rPr>
                <w:sz w:val="24"/>
                <w:szCs w:val="24"/>
              </w:rPr>
            </w:pPr>
            <w:bookmarkStart w:id="10" w:name="_Toc114493844"/>
            <w:r w:rsidRPr="002333A9">
              <w:rPr>
                <w:color w:val="auto"/>
                <w:sz w:val="24"/>
                <w:szCs w:val="24"/>
              </w:rPr>
              <w:t xml:space="preserve">Gráfico </w:t>
            </w:r>
            <w:r w:rsidRPr="002333A9">
              <w:rPr>
                <w:color w:val="auto"/>
              </w:rPr>
              <w:fldChar w:fldCharType="begin"/>
            </w:r>
            <w:r w:rsidRPr="002333A9">
              <w:rPr>
                <w:color w:val="auto"/>
                <w:sz w:val="24"/>
                <w:szCs w:val="24"/>
              </w:rPr>
              <w:instrText xml:space="preserve"> SEQ Gráfico \* ARABIC </w:instrText>
            </w:r>
            <w:r w:rsidRPr="002333A9">
              <w:rPr>
                <w:color w:val="auto"/>
              </w:rPr>
              <w:fldChar w:fldCharType="separate"/>
            </w:r>
            <w:r w:rsidR="002E7809">
              <w:rPr>
                <w:noProof/>
                <w:color w:val="auto"/>
                <w:sz w:val="24"/>
                <w:szCs w:val="24"/>
              </w:rPr>
              <w:t>2</w:t>
            </w:r>
            <w:r w:rsidRPr="002333A9">
              <w:rPr>
                <w:color w:val="auto"/>
              </w:rPr>
              <w:fldChar w:fldCharType="end"/>
            </w:r>
            <w:r w:rsidRPr="002333A9">
              <w:rPr>
                <w:color w:val="auto"/>
                <w:sz w:val="24"/>
                <w:szCs w:val="24"/>
              </w:rPr>
              <w:t xml:space="preserve">.  </w:t>
            </w:r>
            <w:r w:rsidR="0046218E" w:rsidRPr="002333A9">
              <w:rPr>
                <w:bCs/>
                <w:color w:val="auto"/>
                <w:sz w:val="24"/>
                <w:szCs w:val="24"/>
              </w:rPr>
              <w:t>Comportamiento de los índices de precios de materias primas</w:t>
            </w:r>
            <w:bookmarkEnd w:id="10"/>
          </w:p>
        </w:tc>
      </w:tr>
      <w:tr w:rsidR="0046218E" w:rsidRPr="005D360B" w14:paraId="1685C305" w14:textId="77777777" w:rsidTr="00ED483A">
        <w:tc>
          <w:tcPr>
            <w:tcW w:w="8828" w:type="dxa"/>
          </w:tcPr>
          <w:p w14:paraId="6EF3B579" w14:textId="77777777" w:rsidR="0046218E" w:rsidRPr="005D360B" w:rsidRDefault="0046218E" w:rsidP="00ED483A">
            <w:r>
              <w:rPr>
                <w:noProof/>
              </w:rPr>
              <w:drawing>
                <wp:inline distT="0" distB="0" distL="0" distR="0" wp14:anchorId="2E39A969" wp14:editId="611F3D9E">
                  <wp:extent cx="5448300" cy="2070340"/>
                  <wp:effectExtent l="0" t="0" r="0" b="6350"/>
                  <wp:docPr id="5" name="Gráfico 5">
                    <a:extLst xmlns:a="http://schemas.openxmlformats.org/drawingml/2006/main">
                      <a:ext uri="{FF2B5EF4-FFF2-40B4-BE49-F238E27FC236}">
                        <a16:creationId xmlns:a16="http://schemas.microsoft.com/office/drawing/2014/main" id="{BAD7B6E1-C88D-DA8A-2E67-DA2929BE0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46218E" w:rsidRPr="005D360B" w14:paraId="5A4679B6" w14:textId="77777777" w:rsidTr="00ED483A">
        <w:tc>
          <w:tcPr>
            <w:tcW w:w="8828" w:type="dxa"/>
          </w:tcPr>
          <w:p w14:paraId="24974533" w14:textId="77777777" w:rsidR="0046218E" w:rsidRPr="005D360B" w:rsidRDefault="0046218E" w:rsidP="00ED483A">
            <w:pPr>
              <w:ind w:right="49"/>
              <w:jc w:val="both"/>
              <w:rPr>
                <w:sz w:val="16"/>
                <w:szCs w:val="24"/>
                <w:lang w:val="es-MX"/>
              </w:rPr>
            </w:pPr>
            <w:r w:rsidRPr="005D360B">
              <w:rPr>
                <w:sz w:val="16"/>
                <w:szCs w:val="24"/>
                <w:lang w:val="es-MX"/>
              </w:rPr>
              <w:t>Fuente: Banco Mundial.</w:t>
            </w:r>
          </w:p>
        </w:tc>
      </w:tr>
    </w:tbl>
    <w:p w14:paraId="5CB82032" w14:textId="77777777" w:rsidR="0046218E" w:rsidRPr="00AE356B" w:rsidRDefault="0046218E" w:rsidP="0046218E">
      <w:pPr>
        <w:ind w:right="49"/>
        <w:jc w:val="both"/>
        <w:rPr>
          <w:sz w:val="8"/>
          <w:szCs w:val="8"/>
        </w:rPr>
      </w:pPr>
    </w:p>
    <w:p w14:paraId="1FAF5B55" w14:textId="77777777" w:rsidR="002333A9" w:rsidRPr="000E3A47" w:rsidRDefault="002333A9" w:rsidP="0046218E">
      <w:pPr>
        <w:ind w:right="49"/>
        <w:jc w:val="both"/>
        <w:rPr>
          <w:sz w:val="20"/>
        </w:rPr>
      </w:pPr>
    </w:p>
    <w:p w14:paraId="1EB7F947" w14:textId="00866905" w:rsidR="0046218E" w:rsidRDefault="0046218E" w:rsidP="0046218E">
      <w:pPr>
        <w:ind w:right="49"/>
        <w:jc w:val="both"/>
      </w:pPr>
      <w:r w:rsidRPr="00D85858">
        <w:t>La guerra en Ucrania ha causado importantes interrupciones en el suministro y ha llevado a precios históricamente más altos para una serie de</w:t>
      </w:r>
      <w:r>
        <w:t xml:space="preserve"> </w:t>
      </w:r>
      <w:r w:rsidRPr="00D85858">
        <w:t>mercancías. Para la mayoría de los productos básicos, se espera que los precios sean significativamente más altos en 2022 que en 2021 y que</w:t>
      </w:r>
      <w:r>
        <w:t xml:space="preserve"> </w:t>
      </w:r>
      <w:r w:rsidRPr="00D85858">
        <w:t>siga siendo elevado a medi</w:t>
      </w:r>
      <w:r>
        <w:t>ano</w:t>
      </w:r>
      <w:r w:rsidRPr="00D85858">
        <w:t xml:space="preserve"> plazo. </w:t>
      </w:r>
    </w:p>
    <w:p w14:paraId="3F7785DC" w14:textId="77777777" w:rsidR="00462A0A" w:rsidRDefault="00462A0A" w:rsidP="0046218E">
      <w:pPr>
        <w:ind w:right="49"/>
        <w:jc w:val="both"/>
      </w:pPr>
    </w:p>
    <w:p w14:paraId="12E2EDD7" w14:textId="6B80772E" w:rsidR="0046218E" w:rsidRDefault="0046218E" w:rsidP="0046218E">
      <w:pPr>
        <w:ind w:right="49"/>
        <w:jc w:val="both"/>
      </w:pPr>
      <w:r w:rsidRPr="00D85858">
        <w:t>Se proyecta q</w:t>
      </w:r>
      <w:r>
        <w:t xml:space="preserve">ue el precio del WTI en </w:t>
      </w:r>
      <w:r w:rsidRPr="00D85858">
        <w:t>promedi</w:t>
      </w:r>
      <w:r>
        <w:t>o este</w:t>
      </w:r>
      <w:r w:rsidRPr="00D85858">
        <w:t xml:space="preserve"> </w:t>
      </w:r>
      <w:r>
        <w:t>por encima de $100/bbl en 2022</w:t>
      </w:r>
      <w:r w:rsidRPr="00D85858">
        <w:t>.</w:t>
      </w:r>
      <w:r>
        <w:t xml:space="preserve"> </w:t>
      </w:r>
      <w:r w:rsidRPr="00D85858">
        <w:t>Se espera que los precios no energéticos aumenten alrededor de 20</w:t>
      </w:r>
      <w:r>
        <w:t>%</w:t>
      </w:r>
      <w:r w:rsidRPr="00D85858">
        <w:t xml:space="preserve"> en 2022, con los mayores aumentos en materias primas donde Rusia o Ucrania son exportadores clave. </w:t>
      </w:r>
      <w:r>
        <w:t xml:space="preserve">Asimismo, debido a las sanciones económicas impuestas a Rusia por parte de la Unión Europea, las exportaciones del crudo migrarán a nuevos mercados. Este fenómeno implica que otros productores liberen sus inventarios, especialmente los Estados Unidos. </w:t>
      </w:r>
    </w:p>
    <w:p w14:paraId="3A6921F0" w14:textId="77777777" w:rsidR="002333A9" w:rsidRDefault="002333A9" w:rsidP="0046218E">
      <w:pPr>
        <w:ind w:right="49"/>
        <w:jc w:val="both"/>
      </w:pPr>
    </w:p>
    <w:p w14:paraId="4D036A85" w14:textId="77B2374B" w:rsidR="002333A9" w:rsidRDefault="0046218E" w:rsidP="0046218E">
      <w:pPr>
        <w:ind w:right="49"/>
        <w:jc w:val="both"/>
      </w:pPr>
      <w:r>
        <w:t xml:space="preserve">Por su parte, los países restantes de la OPEP+, como Arabia Saudita, Emiratos Árabes Unidos e Irak, se han mostrado renuentes al aumento de la producción, en gran parte debido a la falta de capacidad instalada. </w:t>
      </w:r>
      <w:r w:rsidRPr="00D36491">
        <w:t xml:space="preserve">Es probable que los precios más altos </w:t>
      </w:r>
      <w:r>
        <w:t>i</w:t>
      </w:r>
      <w:r w:rsidRPr="00D36491">
        <w:t>ndu</w:t>
      </w:r>
      <w:r>
        <w:t>zcan</w:t>
      </w:r>
      <w:r w:rsidRPr="00D36491">
        <w:t xml:space="preserve"> a los hogares y las empresas a ajustar su comportamiento de consumo. A corto plazo, sin embargo, la demanda de </w:t>
      </w:r>
      <w:r>
        <w:t>petróleo y sus derivados</w:t>
      </w:r>
      <w:r w:rsidRPr="00D36491">
        <w:t xml:space="preserve"> como la gasolina y el diésel son inelástico</w:t>
      </w:r>
      <w:r>
        <w:t>s</w:t>
      </w:r>
      <w:r w:rsidRPr="00D36491">
        <w:t xml:space="preserve"> (implica que es poco probable que la demanda caiga significativamente sin un aumento mayor de los precios</w:t>
      </w:r>
      <w:r>
        <w:t>)</w:t>
      </w:r>
      <w:r w:rsidRPr="00D36491">
        <w:t>.</w:t>
      </w:r>
    </w:p>
    <w:p w14:paraId="0B002E09" w14:textId="77777777" w:rsidR="000E4D7A" w:rsidRPr="00D36491" w:rsidRDefault="000E4D7A" w:rsidP="0046218E">
      <w:pPr>
        <w:ind w:right="49"/>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6218E" w:rsidRPr="005D360B" w14:paraId="429C7BCA" w14:textId="77777777" w:rsidTr="00ED483A">
        <w:tc>
          <w:tcPr>
            <w:tcW w:w="8838" w:type="dxa"/>
          </w:tcPr>
          <w:p w14:paraId="566A2F11" w14:textId="73016490" w:rsidR="0046218E" w:rsidRPr="002333A9" w:rsidRDefault="002333A9" w:rsidP="002333A9">
            <w:pPr>
              <w:pStyle w:val="Descripcin"/>
              <w:keepNext/>
              <w:rPr>
                <w:sz w:val="24"/>
                <w:szCs w:val="24"/>
              </w:rPr>
            </w:pPr>
            <w:bookmarkStart w:id="11" w:name="_Toc114493845"/>
            <w:r w:rsidRPr="002333A9">
              <w:rPr>
                <w:color w:val="auto"/>
                <w:sz w:val="24"/>
                <w:szCs w:val="24"/>
              </w:rPr>
              <w:t xml:space="preserve">Gráfico </w:t>
            </w:r>
            <w:r w:rsidRPr="002333A9">
              <w:rPr>
                <w:color w:val="auto"/>
              </w:rPr>
              <w:fldChar w:fldCharType="begin"/>
            </w:r>
            <w:r w:rsidRPr="002333A9">
              <w:rPr>
                <w:color w:val="auto"/>
                <w:sz w:val="24"/>
                <w:szCs w:val="24"/>
              </w:rPr>
              <w:instrText xml:space="preserve"> SEQ Gráfico \* ARABIC </w:instrText>
            </w:r>
            <w:r w:rsidRPr="002333A9">
              <w:rPr>
                <w:color w:val="auto"/>
              </w:rPr>
              <w:fldChar w:fldCharType="separate"/>
            </w:r>
            <w:r w:rsidR="002E7809">
              <w:rPr>
                <w:noProof/>
                <w:color w:val="auto"/>
                <w:sz w:val="24"/>
                <w:szCs w:val="24"/>
              </w:rPr>
              <w:t>3</w:t>
            </w:r>
            <w:r w:rsidRPr="002333A9">
              <w:rPr>
                <w:color w:val="auto"/>
              </w:rPr>
              <w:fldChar w:fldCharType="end"/>
            </w:r>
            <w:r w:rsidRPr="002333A9">
              <w:rPr>
                <w:color w:val="auto"/>
                <w:sz w:val="24"/>
                <w:szCs w:val="24"/>
              </w:rPr>
              <w:t xml:space="preserve">.  </w:t>
            </w:r>
            <w:r w:rsidR="0046218E" w:rsidRPr="002333A9">
              <w:rPr>
                <w:bCs/>
                <w:color w:val="auto"/>
                <w:sz w:val="24"/>
                <w:szCs w:val="24"/>
              </w:rPr>
              <w:t>Comportamiento del valor del WTI</w:t>
            </w:r>
            <w:bookmarkEnd w:id="11"/>
          </w:p>
        </w:tc>
      </w:tr>
      <w:tr w:rsidR="0046218E" w:rsidRPr="005D360B" w14:paraId="7630D2F7" w14:textId="77777777" w:rsidTr="00ED483A">
        <w:tc>
          <w:tcPr>
            <w:tcW w:w="8838" w:type="dxa"/>
            <w:vAlign w:val="center"/>
          </w:tcPr>
          <w:p w14:paraId="0845BB58" w14:textId="77777777" w:rsidR="0046218E" w:rsidRPr="005D360B" w:rsidRDefault="0046218E" w:rsidP="00ED483A">
            <w:r>
              <w:rPr>
                <w:noProof/>
              </w:rPr>
              <w:drawing>
                <wp:inline distT="0" distB="0" distL="0" distR="0" wp14:anchorId="228497D9" wp14:editId="2D7F59FE">
                  <wp:extent cx="5711190" cy="1742536"/>
                  <wp:effectExtent l="0" t="0" r="3810" b="0"/>
                  <wp:docPr id="13" name="Gráfico 1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46218E" w:rsidRPr="005D360B" w14:paraId="6E82D7B0" w14:textId="77777777" w:rsidTr="00ED483A">
        <w:tc>
          <w:tcPr>
            <w:tcW w:w="8838" w:type="dxa"/>
          </w:tcPr>
          <w:p w14:paraId="4A1A502E" w14:textId="77777777" w:rsidR="0046218E" w:rsidRPr="005D360B" w:rsidRDefault="0046218E" w:rsidP="00ED483A">
            <w:pPr>
              <w:ind w:right="49"/>
              <w:jc w:val="both"/>
              <w:rPr>
                <w:sz w:val="16"/>
                <w:szCs w:val="24"/>
                <w:lang w:val="es-MX"/>
              </w:rPr>
            </w:pPr>
            <w:r w:rsidRPr="005D360B">
              <w:rPr>
                <w:sz w:val="16"/>
                <w:szCs w:val="24"/>
                <w:lang w:val="es-MX"/>
              </w:rPr>
              <w:t xml:space="preserve">Fuente: </w:t>
            </w:r>
            <w:r>
              <w:rPr>
                <w:sz w:val="16"/>
                <w:szCs w:val="24"/>
                <w:lang w:val="es-MX"/>
              </w:rPr>
              <w:t>Investing</w:t>
            </w:r>
          </w:p>
        </w:tc>
      </w:tr>
    </w:tbl>
    <w:p w14:paraId="2C99791E" w14:textId="77777777" w:rsidR="0046218E" w:rsidRPr="00E23083" w:rsidRDefault="0046218E" w:rsidP="0046218E">
      <w:pPr>
        <w:ind w:right="49"/>
        <w:jc w:val="both"/>
        <w:rPr>
          <w:sz w:val="8"/>
          <w:szCs w:val="8"/>
        </w:rPr>
      </w:pPr>
    </w:p>
    <w:p w14:paraId="16C8493F" w14:textId="1DF5CFD4" w:rsidR="0046218E" w:rsidRDefault="0046218E" w:rsidP="0046218E">
      <w:pPr>
        <w:ind w:right="49"/>
        <w:jc w:val="both"/>
      </w:pPr>
      <w:r>
        <w:t xml:space="preserve">La Administración de Información de Energía -EIA- </w:t>
      </w:r>
      <w:r w:rsidRPr="00D36491">
        <w:t xml:space="preserve">publicó pautas </w:t>
      </w:r>
      <w:r>
        <w:t xml:space="preserve">de políticas </w:t>
      </w:r>
      <w:r w:rsidRPr="00D36491">
        <w:t xml:space="preserve">para reducir la demanda, la mayoría </w:t>
      </w:r>
      <w:r>
        <w:t xml:space="preserve">de las </w:t>
      </w:r>
      <w:r w:rsidRPr="00D36491">
        <w:t>políticas gubernamentales hasta ahora han tomado la forma de recortes de impuestos y subsidios al combustible, especialmente para gasolina</w:t>
      </w:r>
      <w:r>
        <w:t xml:space="preserve">. </w:t>
      </w:r>
      <w:r w:rsidRPr="00D36491">
        <w:t>Tales medidas en realidad</w:t>
      </w:r>
      <w:r>
        <w:t xml:space="preserve"> imponen presiones en el aumento de</w:t>
      </w:r>
      <w:r w:rsidRPr="00D36491">
        <w:t xml:space="preserve"> la demanda y pone</w:t>
      </w:r>
      <w:r>
        <w:t>n</w:t>
      </w:r>
      <w:r w:rsidRPr="00D36491">
        <w:t xml:space="preserve"> más presiones alcistas sobre los precios del crudo y otros productos derivados del petróleo.</w:t>
      </w:r>
    </w:p>
    <w:p w14:paraId="10302BAF" w14:textId="212A293E" w:rsidR="002333A9" w:rsidRDefault="002333A9" w:rsidP="0046218E">
      <w:pPr>
        <w:ind w:right="49"/>
        <w:jc w:val="both"/>
      </w:pPr>
    </w:p>
    <w:p w14:paraId="5E706045" w14:textId="77777777" w:rsidR="00462A0A" w:rsidRPr="005601AC" w:rsidRDefault="00462A0A" w:rsidP="009C4EAA">
      <w:pPr>
        <w:pStyle w:val="Ttulo3"/>
        <w:numPr>
          <w:ilvl w:val="2"/>
          <w:numId w:val="28"/>
        </w:numPr>
        <w:rPr>
          <w:b w:val="0"/>
          <w:bCs/>
        </w:rPr>
      </w:pPr>
      <w:bookmarkStart w:id="12" w:name="_Toc83302156"/>
      <w:bookmarkStart w:id="13" w:name="_Toc114495235"/>
      <w:r w:rsidRPr="009C4EAA">
        <w:rPr>
          <w:sz w:val="24"/>
          <w:szCs w:val="40"/>
          <w:u w:val="none"/>
        </w:rPr>
        <w:t>Alta volatilidad en los mercados financieros</w:t>
      </w:r>
      <w:bookmarkEnd w:id="12"/>
      <w:bookmarkEnd w:id="13"/>
    </w:p>
    <w:p w14:paraId="182A2EBB" w14:textId="77777777" w:rsidR="00462A0A" w:rsidRPr="00462A0A" w:rsidRDefault="00462A0A" w:rsidP="00462A0A">
      <w:pPr>
        <w:widowControl/>
        <w:spacing w:after="160" w:line="259" w:lineRule="auto"/>
        <w:ind w:right="49"/>
        <w:jc w:val="both"/>
        <w:rPr>
          <w:rFonts w:eastAsia="Times New Roman"/>
          <w:sz w:val="6"/>
          <w:szCs w:val="6"/>
          <w:lang w:val="es-MX"/>
        </w:rPr>
      </w:pPr>
    </w:p>
    <w:p w14:paraId="254F727C" w14:textId="43B004FA" w:rsidR="00462A0A" w:rsidRDefault="00462A0A" w:rsidP="000E4D7A">
      <w:pPr>
        <w:widowControl/>
        <w:spacing w:after="160"/>
        <w:ind w:right="49"/>
        <w:jc w:val="both"/>
        <w:rPr>
          <w:rFonts w:eastAsia="Times New Roman"/>
          <w:lang w:val="es-MX"/>
        </w:rPr>
      </w:pPr>
      <w:r w:rsidRPr="00462A0A">
        <w:rPr>
          <w:rFonts w:eastAsia="Times New Roman"/>
          <w:lang w:val="es-MX"/>
        </w:rPr>
        <w:t xml:space="preserve">El sentimiento del mercado financiero deteriorado desde el inicio de la pandemia, ha mostrado fluctuaciones de los precios, tasas de rentabilidad y la tasa de interés de los activos financieros durante el primer semestre del 2022 como reacción a la guerra en Ucrania. El índice VIX que mide la volatilidad del </w:t>
      </w:r>
      <w:r w:rsidRPr="00462A0A">
        <w:rPr>
          <w:rFonts w:eastAsia="Times New Roman"/>
        </w:rPr>
        <w:t xml:space="preserve">índice de Standard &amp; Poor´s 500 (S&amp;P 500) permite a los inversionistas hacer un seguimiento del nivel de volatilidad del mercado general de acciones de Estados Unidos de América, el cual está mostrando cierta estacionariedad después del alza </w:t>
      </w:r>
      <w:r w:rsidRPr="00462A0A">
        <w:rPr>
          <w:rFonts w:eastAsia="Times New Roman"/>
          <w:lang w:val="es-MX"/>
        </w:rPr>
        <w:t>que mantuvo con el inicio del COVID-19.</w:t>
      </w:r>
    </w:p>
    <w:p w14:paraId="52BBCB8D" w14:textId="77777777" w:rsidR="00B4595D" w:rsidRPr="00462A0A" w:rsidRDefault="00B4595D" w:rsidP="00B4595D">
      <w:pPr>
        <w:widowControl/>
        <w:ind w:right="49"/>
        <w:jc w:val="both"/>
        <w:rPr>
          <w:rFonts w:eastAsia="Times New Roman"/>
          <w:sz w:val="22"/>
          <w:szCs w:val="22"/>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62A0A" w:rsidRPr="00462A0A" w14:paraId="1C1180D6" w14:textId="77777777" w:rsidTr="00B4595D">
        <w:tc>
          <w:tcPr>
            <w:tcW w:w="8838" w:type="dxa"/>
          </w:tcPr>
          <w:p w14:paraId="310C30BE" w14:textId="3417B572" w:rsidR="00462A0A" w:rsidRPr="00C43CBD" w:rsidRDefault="00C43CBD" w:rsidP="00C43CBD">
            <w:pPr>
              <w:pStyle w:val="Descripcin"/>
              <w:keepNext/>
              <w:rPr>
                <w:rFonts w:ascii="Times New Roman" w:hAnsi="Times New Roman"/>
                <w:sz w:val="24"/>
                <w:szCs w:val="24"/>
              </w:rPr>
            </w:pPr>
            <w:bookmarkStart w:id="14" w:name="_Toc114493846"/>
            <w:r w:rsidRPr="00C43CBD">
              <w:rPr>
                <w:rFonts w:ascii="Times New Roman" w:hAnsi="Times New Roman"/>
                <w:color w:val="auto"/>
                <w:sz w:val="24"/>
                <w:szCs w:val="24"/>
              </w:rPr>
              <w:t xml:space="preserve">Gráfico </w:t>
            </w:r>
            <w:r w:rsidRPr="00C43CBD">
              <w:rPr>
                <w:color w:val="auto"/>
              </w:rPr>
              <w:fldChar w:fldCharType="begin"/>
            </w:r>
            <w:r w:rsidRPr="00C43CBD">
              <w:rPr>
                <w:rFonts w:ascii="Times New Roman" w:hAnsi="Times New Roman"/>
                <w:color w:val="auto"/>
                <w:sz w:val="24"/>
                <w:szCs w:val="24"/>
              </w:rPr>
              <w:instrText xml:space="preserve"> SEQ Gráfico \* ARABIC </w:instrText>
            </w:r>
            <w:r w:rsidRPr="00C43CBD">
              <w:rPr>
                <w:color w:val="auto"/>
              </w:rPr>
              <w:fldChar w:fldCharType="separate"/>
            </w:r>
            <w:r w:rsidR="002E7809">
              <w:rPr>
                <w:rFonts w:ascii="Times New Roman" w:hAnsi="Times New Roman"/>
                <w:noProof/>
                <w:color w:val="auto"/>
                <w:sz w:val="24"/>
                <w:szCs w:val="24"/>
              </w:rPr>
              <w:t>4</w:t>
            </w:r>
            <w:r w:rsidRPr="00C43CBD">
              <w:rPr>
                <w:color w:val="auto"/>
              </w:rPr>
              <w:fldChar w:fldCharType="end"/>
            </w:r>
            <w:r w:rsidRPr="00C43CBD">
              <w:rPr>
                <w:rFonts w:ascii="Times New Roman" w:hAnsi="Times New Roman"/>
                <w:color w:val="auto"/>
                <w:sz w:val="24"/>
                <w:szCs w:val="24"/>
              </w:rPr>
              <w:t xml:space="preserve">.  </w:t>
            </w:r>
            <w:r w:rsidR="00462A0A" w:rsidRPr="00C43CBD">
              <w:rPr>
                <w:rFonts w:ascii="Times New Roman" w:hAnsi="Times New Roman"/>
                <w:color w:val="auto"/>
                <w:sz w:val="24"/>
                <w:szCs w:val="24"/>
                <w:lang w:val="es-MX"/>
              </w:rPr>
              <w:t>Índice VIX 2005 – 2021</w:t>
            </w:r>
            <w:bookmarkEnd w:id="14"/>
          </w:p>
          <w:p w14:paraId="73E7BB83" w14:textId="30E8614D" w:rsidR="00462A0A" w:rsidRPr="00462A0A" w:rsidRDefault="00B4595D" w:rsidP="00462A0A">
            <w:pPr>
              <w:widowControl/>
              <w:spacing w:after="160" w:line="259" w:lineRule="auto"/>
              <w:ind w:left="567" w:right="49"/>
              <w:jc w:val="center"/>
              <w:rPr>
                <w:rFonts w:ascii="Times New Roman" w:hAnsi="Times New Roman"/>
                <w:b/>
                <w:lang w:val="es-MX"/>
              </w:rPr>
            </w:pPr>
            <w:r w:rsidRPr="00462A0A">
              <w:rPr>
                <w:noProof/>
                <w:lang w:eastAsia="es-GT"/>
              </w:rPr>
              <w:drawing>
                <wp:inline distT="0" distB="0" distL="0" distR="0" wp14:anchorId="5DE984B6" wp14:editId="78780B29">
                  <wp:extent cx="5391150" cy="2123440"/>
                  <wp:effectExtent l="0" t="0" r="0" b="0"/>
                  <wp:docPr id="69" name="Gráfico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462A0A" w:rsidRPr="00462A0A" w14:paraId="2592A03D" w14:textId="77777777" w:rsidTr="00B4595D">
        <w:trPr>
          <w:trHeight w:val="74"/>
        </w:trPr>
        <w:tc>
          <w:tcPr>
            <w:tcW w:w="8838" w:type="dxa"/>
          </w:tcPr>
          <w:p w14:paraId="1502C029" w14:textId="0E40060A" w:rsidR="00462A0A" w:rsidRPr="00462A0A" w:rsidRDefault="00A101E3" w:rsidP="00462A0A">
            <w:pPr>
              <w:widowControl/>
              <w:shd w:val="clear" w:color="auto" w:fill="FFFFFF"/>
              <w:jc w:val="both"/>
              <w:textAlignment w:val="baseline"/>
              <w:rPr>
                <w:rFonts w:ascii="Times New Roman" w:hAnsi="Times New Roman"/>
                <w:sz w:val="16"/>
                <w:lang w:val="es-MX" w:eastAsia="es-ES"/>
              </w:rPr>
            </w:pPr>
            <w:r>
              <w:rPr>
                <w:rFonts w:ascii="Times New Roman" w:hAnsi="Times New Roman"/>
                <w:sz w:val="16"/>
                <w:lang w:val="es-MX" w:eastAsia="es-ES"/>
              </w:rPr>
              <w:t xml:space="preserve">                   </w:t>
            </w:r>
            <w:r w:rsidR="00462A0A" w:rsidRPr="00462A0A">
              <w:rPr>
                <w:rFonts w:ascii="Times New Roman" w:hAnsi="Times New Roman"/>
                <w:sz w:val="16"/>
                <w:lang w:val="es-MX" w:eastAsia="es-ES"/>
              </w:rPr>
              <w:t>Fuente: Investing.</w:t>
            </w:r>
          </w:p>
        </w:tc>
      </w:tr>
    </w:tbl>
    <w:p w14:paraId="051A189C" w14:textId="1AFFCB46" w:rsidR="00462A0A" w:rsidRPr="00B4595D" w:rsidRDefault="00462A0A" w:rsidP="00B4595D">
      <w:pPr>
        <w:widowControl/>
        <w:rPr>
          <w:rFonts w:eastAsia="Times New Roman"/>
          <w:szCs w:val="22"/>
          <w:lang w:val="es-MX"/>
        </w:rPr>
      </w:pPr>
    </w:p>
    <w:p w14:paraId="653E6B66" w14:textId="77777777" w:rsidR="00382191" w:rsidRPr="009C4EAA" w:rsidRDefault="00382191" w:rsidP="009C4EAA">
      <w:pPr>
        <w:pStyle w:val="Ttulo3"/>
        <w:numPr>
          <w:ilvl w:val="2"/>
          <w:numId w:val="28"/>
        </w:numPr>
        <w:rPr>
          <w:sz w:val="24"/>
          <w:szCs w:val="40"/>
          <w:u w:val="none"/>
        </w:rPr>
      </w:pPr>
      <w:bookmarkStart w:id="15" w:name="_Toc114495236"/>
      <w:r w:rsidRPr="009C4EAA">
        <w:rPr>
          <w:sz w:val="24"/>
          <w:szCs w:val="40"/>
          <w:u w:val="none"/>
        </w:rPr>
        <w:t>La guerra en Ucrania y sus consecuencias</w:t>
      </w:r>
      <w:bookmarkEnd w:id="15"/>
      <w:r w:rsidRPr="009C4EAA">
        <w:rPr>
          <w:sz w:val="24"/>
          <w:szCs w:val="40"/>
          <w:u w:val="none"/>
        </w:rPr>
        <w:t xml:space="preserve"> </w:t>
      </w:r>
    </w:p>
    <w:p w14:paraId="26AB2124" w14:textId="77777777" w:rsidR="00382191" w:rsidRPr="00C146D2" w:rsidRDefault="00382191" w:rsidP="00382191">
      <w:pPr>
        <w:widowControl/>
        <w:spacing w:after="160" w:line="259" w:lineRule="auto"/>
        <w:jc w:val="both"/>
        <w:rPr>
          <w:rFonts w:eastAsia="Times New Roman"/>
          <w:sz w:val="2"/>
          <w:szCs w:val="2"/>
          <w:lang w:val="es-ES_tradnl" w:eastAsia="es-ES"/>
        </w:rPr>
      </w:pPr>
    </w:p>
    <w:p w14:paraId="0E2329F0" w14:textId="7304BE91" w:rsidR="00382191" w:rsidRDefault="00382191" w:rsidP="00870575">
      <w:pPr>
        <w:widowControl/>
        <w:jc w:val="both"/>
        <w:rPr>
          <w:rFonts w:eastAsia="Times New Roman"/>
          <w:lang w:val="es-ES_tradnl" w:eastAsia="es-ES"/>
        </w:rPr>
      </w:pPr>
      <w:r w:rsidRPr="00C146D2">
        <w:rPr>
          <w:rFonts w:eastAsia="Times New Roman"/>
          <w:lang w:val="es-ES_tradnl" w:eastAsia="es-ES"/>
        </w:rPr>
        <w:t xml:space="preserve">Las consecuencias de la </w:t>
      </w:r>
      <w:r w:rsidR="00D53BFC">
        <w:rPr>
          <w:rFonts w:eastAsia="Times New Roman"/>
          <w:lang w:val="es-ES_tradnl" w:eastAsia="es-ES"/>
        </w:rPr>
        <w:t>g</w:t>
      </w:r>
      <w:r w:rsidRPr="00C146D2">
        <w:rPr>
          <w:rFonts w:eastAsia="Times New Roman"/>
          <w:lang w:val="es-ES_tradnl" w:eastAsia="es-ES"/>
        </w:rPr>
        <w:t xml:space="preserve">uerra en Ucrania y la importancia de Rusia para la </w:t>
      </w:r>
      <w:r w:rsidR="00C146D2">
        <w:rPr>
          <w:rFonts w:eastAsia="Times New Roman"/>
          <w:lang w:val="es-ES_tradnl" w:eastAsia="es-ES"/>
        </w:rPr>
        <w:t>e</w:t>
      </w:r>
      <w:r w:rsidRPr="00C146D2">
        <w:rPr>
          <w:rFonts w:eastAsia="Times New Roman"/>
          <w:lang w:val="es-ES_tradnl" w:eastAsia="es-ES"/>
        </w:rPr>
        <w:t xml:space="preserve">conomía </w:t>
      </w:r>
      <w:r w:rsidR="00C146D2">
        <w:rPr>
          <w:rFonts w:eastAsia="Times New Roman"/>
          <w:lang w:val="es-ES_tradnl" w:eastAsia="es-ES"/>
        </w:rPr>
        <w:t>m</w:t>
      </w:r>
      <w:r w:rsidRPr="00C146D2">
        <w:rPr>
          <w:rFonts w:eastAsia="Times New Roman"/>
          <w:lang w:val="es-ES_tradnl" w:eastAsia="es-ES"/>
        </w:rPr>
        <w:t xml:space="preserve">undial, en especial, como proveedor de commodities, han generado trastornos en la cadena de suministros, </w:t>
      </w:r>
      <w:r w:rsidR="00C146D2">
        <w:rPr>
          <w:rFonts w:eastAsia="Times New Roman"/>
          <w:lang w:val="es-ES_tradnl" w:eastAsia="es-ES"/>
        </w:rPr>
        <w:t xml:space="preserve">iniciándose </w:t>
      </w:r>
      <w:r w:rsidRPr="00C146D2">
        <w:rPr>
          <w:rFonts w:eastAsia="Times New Roman"/>
          <w:lang w:val="es-ES_tradnl" w:eastAsia="es-ES"/>
        </w:rPr>
        <w:t xml:space="preserve">una desaceleración global en el segundo trimestre del </w:t>
      </w:r>
      <w:r w:rsidRPr="00C146D2">
        <w:rPr>
          <w:rFonts w:eastAsia="Times New Roman"/>
          <w:lang w:eastAsia="es-ES"/>
        </w:rPr>
        <w:t xml:space="preserve">año y una inesperada alza en el índice general de precios. </w:t>
      </w:r>
      <w:r w:rsidRPr="00C146D2">
        <w:rPr>
          <w:rFonts w:eastAsia="Times New Roman"/>
          <w:lang w:val="es-ES_tradnl" w:eastAsia="es-ES"/>
        </w:rPr>
        <w:t xml:space="preserve">En este contexto y de acuerdo con el Banco Mundial, </w:t>
      </w:r>
      <w:r w:rsidR="00C146D2">
        <w:rPr>
          <w:rFonts w:eastAsia="Times New Roman"/>
          <w:lang w:val="es-ES_tradnl" w:eastAsia="es-ES"/>
        </w:rPr>
        <w:t>s</w:t>
      </w:r>
      <w:r w:rsidRPr="00C146D2">
        <w:rPr>
          <w:rFonts w:eastAsia="Times New Roman"/>
          <w:lang w:val="es-ES_tradnl" w:eastAsia="es-ES"/>
        </w:rPr>
        <w:t>e incurre en riesgo de estanflación, con consecuencias potencialmente perjudiciales tanto para las economías de ingreso mediano como para las de ingreso bajo.</w:t>
      </w:r>
    </w:p>
    <w:p w14:paraId="180FAED3" w14:textId="77777777" w:rsidR="00870575" w:rsidRPr="00C146D2" w:rsidRDefault="00870575" w:rsidP="00870575">
      <w:pPr>
        <w:widowControl/>
        <w:jc w:val="both"/>
        <w:rPr>
          <w:rFonts w:eastAsia="Times New Roman"/>
          <w:lang w:val="es-ES_tradnl" w:eastAsia="es-ES"/>
        </w:rPr>
      </w:pPr>
    </w:p>
    <w:p w14:paraId="760C9714" w14:textId="7956F3A6" w:rsidR="00382191" w:rsidRPr="00C146D2" w:rsidRDefault="00382191" w:rsidP="00870575">
      <w:pPr>
        <w:widowControl/>
        <w:spacing w:after="160"/>
        <w:jc w:val="both"/>
        <w:rPr>
          <w:rFonts w:eastAsia="Times New Roman"/>
          <w:lang w:val="es-ES_tradnl" w:eastAsia="es-ES"/>
        </w:rPr>
      </w:pPr>
      <w:r w:rsidRPr="00C146D2">
        <w:rPr>
          <w:rFonts w:eastAsia="Times New Roman"/>
          <w:lang w:val="es-ES_tradnl" w:eastAsia="es-ES"/>
        </w:rPr>
        <w:t>Además, las restricciones comerciales impuestas a Rusia, en especial en el suministro de gas han situado la oferta en torno al 40% del volumen del año pasado,</w:t>
      </w:r>
      <w:r w:rsidR="009B2173" w:rsidRPr="009B2173">
        <w:t xml:space="preserve"> </w:t>
      </w:r>
      <w:r w:rsidR="009B2173" w:rsidRPr="009B2173">
        <w:rPr>
          <w:rFonts w:eastAsia="Times New Roman"/>
          <w:lang w:val="es-ES_tradnl" w:eastAsia="es-ES"/>
        </w:rPr>
        <w:t>para el mercado europeo</w:t>
      </w:r>
      <w:r w:rsidR="009B2173">
        <w:rPr>
          <w:rFonts w:eastAsia="Times New Roman"/>
          <w:lang w:val="es-ES_tradnl" w:eastAsia="es-ES"/>
        </w:rPr>
        <w:t>,</w:t>
      </w:r>
      <w:r w:rsidRPr="00C146D2">
        <w:rPr>
          <w:rFonts w:eastAsia="Times New Roman"/>
          <w:lang w:val="es-ES_tradnl" w:eastAsia="es-ES"/>
        </w:rPr>
        <w:t xml:space="preserve"> encareciendo los precios de energía y aumentando la pérdida de confianza del consumidor y reduciendo el dinamismo de las manufacturas a causa del aumento de los precios de insumos y materias primas. </w:t>
      </w:r>
    </w:p>
    <w:p w14:paraId="5C0CD1A0" w14:textId="497928E1" w:rsidR="00382191" w:rsidRDefault="00382191" w:rsidP="00870575">
      <w:pPr>
        <w:widowControl/>
        <w:jc w:val="both"/>
        <w:rPr>
          <w:rFonts w:eastAsia="Times New Roman"/>
          <w:lang w:val="es-ES_tradnl" w:eastAsia="es-ES"/>
        </w:rPr>
      </w:pPr>
      <w:r w:rsidRPr="00C146D2">
        <w:rPr>
          <w:rFonts w:eastAsia="Times New Roman"/>
          <w:lang w:val="es-ES_tradnl" w:eastAsia="es-ES"/>
        </w:rPr>
        <w:t xml:space="preserve">El sector de alimentos ha sido uno de los principales afectados, siendo la guerra, el principal motor en la inflación de los cereales como el trigo. Las restricciones a las exportaciones han generado el aumento en los precios mundiales de los alimentos. Los países que basan su dieta alimenticia en el consumo de cereales como trigo y maíz son los </w:t>
      </w:r>
      <w:r w:rsidR="009B2173" w:rsidRPr="00C146D2">
        <w:rPr>
          <w:rFonts w:eastAsia="Times New Roman"/>
          <w:lang w:val="es-ES_tradnl" w:eastAsia="es-ES"/>
        </w:rPr>
        <w:t>más</w:t>
      </w:r>
      <w:r w:rsidRPr="00C146D2">
        <w:rPr>
          <w:rFonts w:eastAsia="Times New Roman"/>
          <w:lang w:val="es-ES_tradnl" w:eastAsia="es-ES"/>
        </w:rPr>
        <w:t xml:space="preserve"> perjudicados, lo que puede llevar a una crisis alimentaria.</w:t>
      </w:r>
    </w:p>
    <w:p w14:paraId="48221621" w14:textId="77777777" w:rsidR="00870575" w:rsidRPr="00C146D2" w:rsidRDefault="00870575" w:rsidP="00870575">
      <w:pPr>
        <w:widowControl/>
        <w:jc w:val="both"/>
        <w:rPr>
          <w:rFonts w:eastAsia="Times New Roman"/>
          <w:lang w:val="es-ES_tradnl" w:eastAsia="es-ES"/>
        </w:rPr>
      </w:pPr>
    </w:p>
    <w:p w14:paraId="72D2CE99" w14:textId="3210648C" w:rsidR="00382191" w:rsidRDefault="00382191" w:rsidP="00870575">
      <w:pPr>
        <w:widowControl/>
        <w:jc w:val="both"/>
        <w:rPr>
          <w:rFonts w:eastAsia="Times New Roman"/>
          <w:lang w:val="es-ES_tradnl" w:eastAsia="es-ES"/>
        </w:rPr>
      </w:pPr>
      <w:r w:rsidRPr="00C146D2">
        <w:rPr>
          <w:rFonts w:eastAsia="Times New Roman"/>
          <w:lang w:val="es-ES_tradnl" w:eastAsia="es-ES"/>
        </w:rPr>
        <w:t xml:space="preserve">De acuerdo con el FMI, la evolución de los últimos acontecimientos genera una gran incertidumbre con respecto a las perspectivas económicas globales y se han estimado que la probabilidad de recesión </w:t>
      </w:r>
      <w:r w:rsidR="009B2173">
        <w:rPr>
          <w:rFonts w:eastAsia="Times New Roman"/>
          <w:lang w:val="es-ES_tradnl" w:eastAsia="es-ES"/>
        </w:rPr>
        <w:t xml:space="preserve">se </w:t>
      </w:r>
      <w:r w:rsidRPr="00C146D2">
        <w:rPr>
          <w:rFonts w:eastAsia="Times New Roman"/>
          <w:lang w:val="es-ES_tradnl" w:eastAsia="es-ES"/>
        </w:rPr>
        <w:t xml:space="preserve">ha incrementado. </w:t>
      </w:r>
      <w:r w:rsidR="00D53BFC">
        <w:rPr>
          <w:rFonts w:eastAsia="Times New Roman"/>
          <w:lang w:val="es-ES_tradnl" w:eastAsia="es-ES"/>
        </w:rPr>
        <w:t xml:space="preserve"> </w:t>
      </w:r>
      <w:r w:rsidRPr="00C146D2">
        <w:rPr>
          <w:rFonts w:eastAsia="Times New Roman"/>
          <w:lang w:val="es-ES_tradnl" w:eastAsia="es-ES"/>
        </w:rPr>
        <w:t>Para Estados Unidos, y</w:t>
      </w:r>
      <w:r w:rsidR="009B2173">
        <w:rPr>
          <w:rFonts w:eastAsia="Times New Roman"/>
          <w:lang w:val="es-ES_tradnl" w:eastAsia="es-ES"/>
        </w:rPr>
        <w:t xml:space="preserve"> de acuerdo a</w:t>
      </w:r>
      <w:r w:rsidRPr="00C146D2">
        <w:rPr>
          <w:rFonts w:eastAsia="Times New Roman"/>
          <w:lang w:val="es-ES_tradnl" w:eastAsia="es-ES"/>
        </w:rPr>
        <w:t xml:space="preserve">l indicador GDPnow del </w:t>
      </w:r>
      <w:r w:rsidR="009B2173">
        <w:rPr>
          <w:rFonts w:eastAsia="Times New Roman"/>
          <w:lang w:val="es-ES_tradnl" w:eastAsia="es-ES"/>
        </w:rPr>
        <w:t>B</w:t>
      </w:r>
      <w:r w:rsidRPr="00C146D2">
        <w:rPr>
          <w:rFonts w:eastAsia="Times New Roman"/>
          <w:lang w:val="es-ES_tradnl" w:eastAsia="es-ES"/>
        </w:rPr>
        <w:t xml:space="preserve">anco de la </w:t>
      </w:r>
      <w:r w:rsidR="009B2173">
        <w:rPr>
          <w:rFonts w:eastAsia="Times New Roman"/>
          <w:lang w:val="es-ES_tradnl" w:eastAsia="es-ES"/>
        </w:rPr>
        <w:t>R</w:t>
      </w:r>
      <w:r w:rsidRPr="00C146D2">
        <w:rPr>
          <w:rFonts w:eastAsia="Times New Roman"/>
          <w:lang w:val="es-ES_tradnl" w:eastAsia="es-ES"/>
        </w:rPr>
        <w:t xml:space="preserve">eserva Federal apuntan que la recesión </w:t>
      </w:r>
      <w:r w:rsidR="009B2173">
        <w:rPr>
          <w:rFonts w:eastAsia="Times New Roman"/>
          <w:lang w:val="es-ES_tradnl" w:eastAsia="es-ES"/>
        </w:rPr>
        <w:t>podría</w:t>
      </w:r>
      <w:r w:rsidRPr="00C146D2">
        <w:rPr>
          <w:rFonts w:eastAsia="Times New Roman"/>
          <w:lang w:val="es-ES_tradnl" w:eastAsia="es-ES"/>
        </w:rPr>
        <w:t xml:space="preserve"> haber comenzado.  </w:t>
      </w:r>
    </w:p>
    <w:p w14:paraId="39EE0C4D" w14:textId="77777777" w:rsidR="00870575" w:rsidRPr="00C146D2" w:rsidRDefault="00870575" w:rsidP="00870575">
      <w:pPr>
        <w:widowControl/>
        <w:jc w:val="both"/>
        <w:rPr>
          <w:rFonts w:eastAsia="Times New Roman"/>
          <w:lang w:val="es-ES_tradnl" w:eastAsia="es-ES"/>
        </w:r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82191" w:rsidRPr="00C146D2" w14:paraId="32E1FD54" w14:textId="77777777" w:rsidTr="00C43CBD">
        <w:tc>
          <w:tcPr>
            <w:tcW w:w="8828" w:type="dxa"/>
          </w:tcPr>
          <w:p w14:paraId="471CB1E8" w14:textId="712C3366" w:rsidR="00382191" w:rsidRPr="00C43CBD" w:rsidRDefault="00C43CBD" w:rsidP="00C43CBD">
            <w:pPr>
              <w:pStyle w:val="Descripcin"/>
              <w:keepNext/>
              <w:rPr>
                <w:rFonts w:ascii="Times New Roman" w:hAnsi="Times New Roman"/>
                <w:sz w:val="24"/>
                <w:szCs w:val="24"/>
              </w:rPr>
            </w:pPr>
            <w:bookmarkStart w:id="16" w:name="_Toc114493847"/>
            <w:r w:rsidRPr="00C43CBD">
              <w:rPr>
                <w:rFonts w:ascii="Times New Roman" w:hAnsi="Times New Roman"/>
                <w:color w:val="auto"/>
                <w:sz w:val="24"/>
                <w:szCs w:val="24"/>
              </w:rPr>
              <w:t xml:space="preserve">Gráfico </w:t>
            </w:r>
            <w:r w:rsidRPr="00C43CBD">
              <w:rPr>
                <w:color w:val="auto"/>
              </w:rPr>
              <w:fldChar w:fldCharType="begin"/>
            </w:r>
            <w:r w:rsidRPr="00C43CBD">
              <w:rPr>
                <w:rFonts w:ascii="Times New Roman" w:hAnsi="Times New Roman"/>
                <w:color w:val="auto"/>
                <w:sz w:val="24"/>
                <w:szCs w:val="24"/>
              </w:rPr>
              <w:instrText xml:space="preserve"> SEQ Gráfico \* ARABIC </w:instrText>
            </w:r>
            <w:r w:rsidRPr="00C43CBD">
              <w:rPr>
                <w:color w:val="auto"/>
              </w:rPr>
              <w:fldChar w:fldCharType="separate"/>
            </w:r>
            <w:r w:rsidR="002E7809">
              <w:rPr>
                <w:rFonts w:ascii="Times New Roman" w:hAnsi="Times New Roman"/>
                <w:noProof/>
                <w:color w:val="auto"/>
                <w:sz w:val="24"/>
                <w:szCs w:val="24"/>
              </w:rPr>
              <w:t>5</w:t>
            </w:r>
            <w:r w:rsidRPr="00C43CBD">
              <w:rPr>
                <w:color w:val="auto"/>
              </w:rPr>
              <w:fldChar w:fldCharType="end"/>
            </w:r>
            <w:r w:rsidRPr="00C43CBD">
              <w:rPr>
                <w:rFonts w:ascii="Times New Roman" w:hAnsi="Times New Roman"/>
                <w:color w:val="auto"/>
                <w:sz w:val="24"/>
                <w:szCs w:val="24"/>
              </w:rPr>
              <w:t xml:space="preserve">.  </w:t>
            </w:r>
            <w:r w:rsidR="00382191" w:rsidRPr="00C43CBD">
              <w:rPr>
                <w:rFonts w:ascii="Times New Roman" w:hAnsi="Times New Roman"/>
                <w:bCs/>
                <w:color w:val="auto"/>
                <w:sz w:val="24"/>
                <w:szCs w:val="24"/>
                <w:lang w:val="es-ES_tradnl" w:eastAsia="es-ES"/>
              </w:rPr>
              <w:t>Incertidumbres y riesgos</w:t>
            </w:r>
            <w:bookmarkEnd w:id="16"/>
            <w:r w:rsidR="00382191" w:rsidRPr="00C43CBD">
              <w:rPr>
                <w:rFonts w:ascii="Times New Roman" w:hAnsi="Times New Roman"/>
                <w:bCs/>
                <w:color w:val="auto"/>
                <w:sz w:val="24"/>
                <w:szCs w:val="24"/>
                <w:lang w:val="es-ES_tradnl" w:eastAsia="es-ES"/>
              </w:rPr>
              <w:t xml:space="preserve"> </w:t>
            </w:r>
            <w:r w:rsidR="00382191" w:rsidRPr="00C43CBD">
              <w:rPr>
                <w:rFonts w:ascii="Times New Roman" w:hAnsi="Times New Roman"/>
                <w:bCs/>
                <w:sz w:val="24"/>
                <w:szCs w:val="24"/>
                <w:lang w:val="es-ES_tradnl" w:eastAsia="es-ES"/>
              </w:rPr>
              <w:t xml:space="preserve"> </w:t>
            </w:r>
          </w:p>
        </w:tc>
      </w:tr>
      <w:tr w:rsidR="00382191" w:rsidRPr="00C146D2" w14:paraId="47C38EA5" w14:textId="77777777" w:rsidTr="00C43CBD">
        <w:tc>
          <w:tcPr>
            <w:tcW w:w="8828" w:type="dxa"/>
          </w:tcPr>
          <w:p w14:paraId="22C05682" w14:textId="60B63C72" w:rsidR="00382191" w:rsidRPr="00C146D2" w:rsidRDefault="00382191" w:rsidP="00382191">
            <w:pPr>
              <w:ind w:right="49"/>
              <w:contextualSpacing/>
              <w:jc w:val="center"/>
              <w:rPr>
                <w:lang w:val="es-ES" w:eastAsia="es-ES"/>
              </w:rPr>
            </w:pPr>
            <w:r w:rsidRPr="00C146D2">
              <w:rPr>
                <w:noProof/>
                <w:sz w:val="20"/>
                <w:szCs w:val="20"/>
                <w:lang w:eastAsia="es-GT"/>
              </w:rPr>
              <w:drawing>
                <wp:inline distT="0" distB="0" distL="0" distR="0" wp14:anchorId="57F4CBE1" wp14:editId="18BDCBC9">
                  <wp:extent cx="5397500" cy="2320506"/>
                  <wp:effectExtent l="0" t="0" r="0" b="3810"/>
                  <wp:docPr id="91" name="Gráfico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82191" w:rsidRPr="00C146D2" w14:paraId="366B2AAC" w14:textId="77777777" w:rsidTr="00C43CBD">
        <w:tc>
          <w:tcPr>
            <w:tcW w:w="8828" w:type="dxa"/>
          </w:tcPr>
          <w:p w14:paraId="34442C7B" w14:textId="77777777" w:rsidR="00382191" w:rsidRPr="00870575" w:rsidRDefault="00382191" w:rsidP="00382191">
            <w:pPr>
              <w:ind w:right="49"/>
              <w:contextualSpacing/>
              <w:jc w:val="both"/>
              <w:rPr>
                <w:rFonts w:ascii="Times New Roman" w:hAnsi="Times New Roman"/>
                <w:lang w:val="es-ES" w:eastAsia="es-ES"/>
              </w:rPr>
            </w:pPr>
            <w:r w:rsidRPr="00870575">
              <w:rPr>
                <w:rFonts w:ascii="Times New Roman" w:hAnsi="Times New Roman"/>
                <w:sz w:val="16"/>
                <w:lang w:val="es-ES_tradnl" w:eastAsia="es-ES"/>
              </w:rPr>
              <w:t>Fuente: Fondo Monetario Internacional, WEO junio 2022</w:t>
            </w:r>
          </w:p>
        </w:tc>
      </w:tr>
    </w:tbl>
    <w:p w14:paraId="4850E6F8" w14:textId="77777777" w:rsidR="00382191" w:rsidRPr="00C146D2" w:rsidRDefault="00382191" w:rsidP="00870575">
      <w:pPr>
        <w:widowControl/>
        <w:jc w:val="center"/>
        <w:rPr>
          <w:rFonts w:eastAsia="Times New Roman"/>
          <w:lang w:eastAsia="es-ES"/>
        </w:rPr>
      </w:pPr>
    </w:p>
    <w:p w14:paraId="62B993CE" w14:textId="06C285DA" w:rsidR="00382191" w:rsidRDefault="00382191" w:rsidP="00870575">
      <w:pPr>
        <w:widowControl/>
        <w:jc w:val="both"/>
        <w:rPr>
          <w:rFonts w:eastAsia="Times New Roman"/>
          <w:lang w:val="es-ES_tradnl" w:eastAsia="es-ES"/>
        </w:rPr>
      </w:pPr>
      <w:r w:rsidRPr="00C146D2">
        <w:rPr>
          <w:rFonts w:eastAsia="Times New Roman"/>
          <w:lang w:eastAsia="es-ES"/>
        </w:rPr>
        <w:t xml:space="preserve">De acuerdo con el Banco Mundial </w:t>
      </w:r>
      <w:r w:rsidRPr="00C146D2">
        <w:rPr>
          <w:rFonts w:eastAsia="Times New Roman"/>
          <w:lang w:val="es-ES_tradnl" w:eastAsia="es-ES"/>
        </w:rPr>
        <w:t>se necesitan tomar políticas que reduzcan los daños provocados por la guerra, lo que incluye amortiguar el impacto del alza en los precios del petróleo y los alimentos, agilizar el alivio de la deuda y ampliar la vacunación en los países de ingreso bajo. Así como abstenerse de implementar políticas distorsionadoras, como controles de precios, subvenciones y prohibiciones de exportación, que podrían acrecentar el reciente aumento en los precios de los productos básicos.</w:t>
      </w:r>
      <w:r w:rsidRPr="00382191">
        <w:rPr>
          <w:rFonts w:eastAsia="Times New Roman"/>
          <w:lang w:val="es-ES_tradnl" w:eastAsia="es-ES"/>
        </w:rPr>
        <w:t xml:space="preserve"> </w:t>
      </w:r>
    </w:p>
    <w:p w14:paraId="6F95AE2B" w14:textId="77777777" w:rsidR="00870575" w:rsidRPr="00382191" w:rsidRDefault="00870575" w:rsidP="00870575">
      <w:pPr>
        <w:widowControl/>
        <w:jc w:val="both"/>
        <w:rPr>
          <w:rFonts w:eastAsia="Times New Roman"/>
          <w:lang w:val="es-ES_tradnl"/>
        </w:rPr>
      </w:pPr>
    </w:p>
    <w:p w14:paraId="1CAEA518" w14:textId="4C10D784" w:rsidR="0046218E" w:rsidRPr="002333A9" w:rsidRDefault="002333A9" w:rsidP="00A9708A">
      <w:pPr>
        <w:pStyle w:val="Ttulo2"/>
        <w:numPr>
          <w:ilvl w:val="1"/>
          <w:numId w:val="32"/>
        </w:numPr>
        <w:ind w:left="567" w:hanging="283"/>
        <w:rPr>
          <w:color w:val="auto"/>
        </w:rPr>
      </w:pPr>
      <w:bookmarkStart w:id="17" w:name="_Toc16519883"/>
      <w:bookmarkStart w:id="18" w:name="_Toc83302158"/>
      <w:bookmarkStart w:id="19" w:name="_Toc114495237"/>
      <w:r w:rsidRPr="008177D8">
        <w:rPr>
          <w:color w:val="auto"/>
        </w:rPr>
        <w:t xml:space="preserve">Riesgos en el sector externo. </w:t>
      </w:r>
      <w:r w:rsidR="0046218E" w:rsidRPr="002333A9">
        <w:rPr>
          <w:color w:val="auto"/>
        </w:rPr>
        <w:t>Desviaciones de los pronósticos macroeconómicos</w:t>
      </w:r>
      <w:bookmarkEnd w:id="17"/>
      <w:bookmarkEnd w:id="18"/>
      <w:bookmarkEnd w:id="19"/>
    </w:p>
    <w:p w14:paraId="73004DD3" w14:textId="77777777" w:rsidR="0046218E" w:rsidRPr="00712A78" w:rsidRDefault="0046218E" w:rsidP="0046218E">
      <w:pPr>
        <w:ind w:left="567" w:right="49"/>
        <w:jc w:val="both"/>
        <w:rPr>
          <w:rFonts w:eastAsia="Times New Roman"/>
          <w:lang w:val="es-MX" w:eastAsia="es-ES"/>
        </w:rPr>
      </w:pPr>
    </w:p>
    <w:p w14:paraId="6DB69C20" w14:textId="0787BABA" w:rsidR="0046218E" w:rsidRDefault="0046218E" w:rsidP="0046218E">
      <w:pPr>
        <w:ind w:right="49"/>
        <w:jc w:val="both"/>
      </w:pPr>
      <w:r w:rsidRPr="00712A78">
        <w:t>Monitorear el comportamiento de las variables macroeconómicas más relevantes es fundamental para evaluar la volatilidad de estas variables para las estimaciones fiscales principalmente la recaudación tributaria y el análisis de sostenibilidad de deuda.</w:t>
      </w:r>
    </w:p>
    <w:p w14:paraId="7D132890" w14:textId="77777777" w:rsidR="002333A9" w:rsidRPr="00712A78" w:rsidRDefault="002333A9" w:rsidP="0046218E">
      <w:pPr>
        <w:ind w:right="49"/>
        <w:jc w:val="both"/>
      </w:pPr>
    </w:p>
    <w:p w14:paraId="119056DD" w14:textId="0E48B905" w:rsidR="0046218E" w:rsidRDefault="0046218E" w:rsidP="0046218E">
      <w:pPr>
        <w:ind w:right="49"/>
        <w:jc w:val="both"/>
      </w:pPr>
      <w:r w:rsidRPr="00712A78">
        <w:t>El Banco de Guatemala indic</w:t>
      </w:r>
      <w:r>
        <w:t>ó</w:t>
      </w:r>
      <w:r w:rsidRPr="00712A78">
        <w:t xml:space="preserve"> en sus proyecciones de enero del 2021 que la economía crecería</w:t>
      </w:r>
      <w:r>
        <w:t xml:space="preserve"> ese año</w:t>
      </w:r>
      <w:r w:rsidRPr="00712A78">
        <w:t xml:space="preserve"> 3.5%</w:t>
      </w:r>
      <w:r>
        <w:t>.  Sin embargo,</w:t>
      </w:r>
      <w:r w:rsidRPr="00712A78">
        <w:t xml:space="preserve"> </w:t>
      </w:r>
      <w:r>
        <w:t xml:space="preserve">respecto a </w:t>
      </w:r>
      <w:r w:rsidRPr="00712A78">
        <w:t xml:space="preserve">lo observado </w:t>
      </w:r>
      <w:r>
        <w:t>al</w:t>
      </w:r>
      <w:r w:rsidRPr="00712A78">
        <w:t xml:space="preserve"> final del año</w:t>
      </w:r>
      <w:r>
        <w:t xml:space="preserve">, esta cifra muestra una </w:t>
      </w:r>
      <w:r w:rsidRPr="00712A78">
        <w:t>desviación de 4.5</w:t>
      </w:r>
      <w:r>
        <w:t xml:space="preserve"> puntos porcentuales</w:t>
      </w:r>
      <w:r w:rsidRPr="00712A78">
        <w:t xml:space="preserve">, </w:t>
      </w:r>
      <w:r>
        <w:t xml:space="preserve">debido a que </w:t>
      </w:r>
      <w:r w:rsidRPr="00712A78">
        <w:t xml:space="preserve">las expectativas de la economía internacional </w:t>
      </w:r>
      <w:r>
        <w:t>fueron</w:t>
      </w:r>
      <w:r w:rsidRPr="00712A78">
        <w:t xml:space="preserve"> al alza </w:t>
      </w:r>
      <w:r>
        <w:t>por</w:t>
      </w:r>
      <w:r w:rsidRPr="00712A78">
        <w:t xml:space="preserve"> la recuperación que se esperaba después </w:t>
      </w:r>
      <w:r>
        <w:t>de</w:t>
      </w:r>
      <w:r w:rsidRPr="00712A78">
        <w:t xml:space="preserve"> la pandemia, sin embargo, para marzo se tuvo una proyección conservadora por parte de la entidad bancar</w:t>
      </w:r>
      <w:r>
        <w:t>i</w:t>
      </w:r>
      <w:r w:rsidRPr="00712A78">
        <w:t xml:space="preserve">a y </w:t>
      </w:r>
      <w:r>
        <w:t xml:space="preserve">mantuvo las </w:t>
      </w:r>
      <w:r w:rsidRPr="00712A78">
        <w:t>proyec</w:t>
      </w:r>
      <w:r>
        <w:t xml:space="preserve">ciones </w:t>
      </w:r>
      <w:r w:rsidRPr="00712A78">
        <w:t>de enero</w:t>
      </w:r>
      <w:r>
        <w:t>. Posteriormente</w:t>
      </w:r>
      <w:r w:rsidRPr="00712A78">
        <w:t xml:space="preserve"> se empezaron a vislumbrar señales de</w:t>
      </w:r>
      <w:r>
        <w:t xml:space="preserve"> una mayor</w:t>
      </w:r>
      <w:r w:rsidRPr="00712A78">
        <w:t xml:space="preserve"> recuperación</w:t>
      </w:r>
      <w:r w:rsidR="00A27CF1">
        <w:t>.</w:t>
      </w:r>
      <w:r w:rsidRPr="00712A78">
        <w:t xml:space="preserve"> </w:t>
      </w:r>
      <w:r w:rsidR="00A27CF1">
        <w:t xml:space="preserve"> E</w:t>
      </w:r>
      <w:r w:rsidRPr="00712A78">
        <w:t>n ese sentido</w:t>
      </w:r>
      <w:r w:rsidR="00A27CF1">
        <w:t>,</w:t>
      </w:r>
      <w:r w:rsidRPr="00712A78">
        <w:t xml:space="preserve"> el </w:t>
      </w:r>
      <w:r>
        <w:t xml:space="preserve">Banguat </w:t>
      </w:r>
      <w:r w:rsidRPr="00712A78">
        <w:t>indic</w:t>
      </w:r>
      <w:r>
        <w:t>ó</w:t>
      </w:r>
      <w:r w:rsidRPr="00712A78">
        <w:t xml:space="preserve"> en abril que la economía crecería 4.0%</w:t>
      </w:r>
      <w:r>
        <w:t>,</w:t>
      </w:r>
      <w:r w:rsidRPr="00712A78">
        <w:t xml:space="preserve"> </w:t>
      </w:r>
      <w:r>
        <w:t>por ello</w:t>
      </w:r>
      <w:r w:rsidRPr="00712A78">
        <w:t xml:space="preserve"> la desviación </w:t>
      </w:r>
      <w:r>
        <w:t>fue</w:t>
      </w:r>
      <w:r w:rsidRPr="00712A78">
        <w:t xml:space="preserve"> 4.0 puntos porcentuales </w:t>
      </w:r>
      <w:r>
        <w:t xml:space="preserve">respecto </w:t>
      </w:r>
      <w:r w:rsidRPr="00712A78">
        <w:t xml:space="preserve">lo observado, en julio </w:t>
      </w:r>
      <w:r>
        <w:t>la perspectiva mejoró y se</w:t>
      </w:r>
      <w:r w:rsidRPr="00712A78">
        <w:t xml:space="preserve"> pronostic</w:t>
      </w:r>
      <w:r>
        <w:t>ó</w:t>
      </w:r>
      <w:r w:rsidRPr="00712A78">
        <w:t xml:space="preserve"> un crecimiento de 5.0%</w:t>
      </w:r>
      <w:r w:rsidR="00A27CF1">
        <w:t>.</w:t>
      </w:r>
      <w:r w:rsidRPr="00712A78">
        <w:t xml:space="preserve"> </w:t>
      </w:r>
      <w:r w:rsidR="00A27CF1">
        <w:t>F</w:t>
      </w:r>
      <w:r>
        <w:t>inalmente</w:t>
      </w:r>
      <w:r w:rsidR="00A27CF1">
        <w:t>,</w:t>
      </w:r>
      <w:r>
        <w:t xml:space="preserve"> el crecimiento se ubicó al </w:t>
      </w:r>
      <w:r w:rsidRPr="00712A78">
        <w:t>c</w:t>
      </w:r>
      <w:r>
        <w:t>ierre d</w:t>
      </w:r>
      <w:r w:rsidRPr="00712A78">
        <w:t>e</w:t>
      </w:r>
      <w:r>
        <w:t xml:space="preserve"> 2021</w:t>
      </w:r>
      <w:r w:rsidRPr="00712A78">
        <w:t xml:space="preserve"> </w:t>
      </w:r>
      <w:r>
        <w:t>en</w:t>
      </w:r>
      <w:r w:rsidRPr="00712A78">
        <w:t xml:space="preserve"> 8.0%</w:t>
      </w:r>
      <w:r>
        <w:t>,</w:t>
      </w:r>
      <w:r w:rsidRPr="00712A78">
        <w:t xml:space="preserve"> es decir una </w:t>
      </w:r>
      <w:r>
        <w:t>desviación</w:t>
      </w:r>
      <w:r w:rsidRPr="00712A78">
        <w:t xml:space="preserve"> de 3.0 puntos porcentuales respecto </w:t>
      </w:r>
      <w:r>
        <w:t>a lo</w:t>
      </w:r>
      <w:r w:rsidRPr="00712A78">
        <w:t xml:space="preserve"> pronosticado.</w:t>
      </w:r>
    </w:p>
    <w:p w14:paraId="7E163FC4" w14:textId="77777777" w:rsidR="001749DD" w:rsidRPr="00712A78" w:rsidRDefault="001749DD" w:rsidP="0046218E">
      <w:pPr>
        <w:ind w:right="49"/>
        <w:jc w:val="both"/>
      </w:pPr>
    </w:p>
    <w:tbl>
      <w:tblPr>
        <w:tblStyle w:val="Tablaconcuadrcula3"/>
        <w:tblW w:w="10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4776"/>
      </w:tblGrid>
      <w:tr w:rsidR="0046218E" w:rsidRPr="00712A78" w14:paraId="5D8AB310" w14:textId="77777777" w:rsidTr="00ED483A">
        <w:trPr>
          <w:trHeight w:val="3417"/>
          <w:jc w:val="center"/>
        </w:trPr>
        <w:tc>
          <w:tcPr>
            <w:tcW w:w="4976" w:type="dxa"/>
          </w:tcPr>
          <w:p w14:paraId="69610AAA" w14:textId="49FBEF68" w:rsidR="0046218E" w:rsidRPr="001749DD" w:rsidRDefault="001749DD" w:rsidP="001749DD">
            <w:pPr>
              <w:pStyle w:val="Descripcin"/>
              <w:keepNext/>
              <w:rPr>
                <w:color w:val="auto"/>
                <w:sz w:val="24"/>
                <w:szCs w:val="24"/>
              </w:rPr>
            </w:pPr>
            <w:bookmarkStart w:id="20" w:name="_Toc114493848"/>
            <w:r w:rsidRPr="001749DD">
              <w:rPr>
                <w:color w:val="auto"/>
                <w:sz w:val="24"/>
                <w:szCs w:val="24"/>
              </w:rPr>
              <w:t xml:space="preserve">Gráfico </w:t>
            </w:r>
            <w:r w:rsidRPr="001749DD">
              <w:rPr>
                <w:color w:val="auto"/>
              </w:rPr>
              <w:fldChar w:fldCharType="begin"/>
            </w:r>
            <w:r w:rsidRPr="001749DD">
              <w:rPr>
                <w:color w:val="auto"/>
                <w:sz w:val="24"/>
                <w:szCs w:val="24"/>
              </w:rPr>
              <w:instrText xml:space="preserve"> SEQ Gráfico \* ARABIC </w:instrText>
            </w:r>
            <w:r w:rsidRPr="001749DD">
              <w:rPr>
                <w:color w:val="auto"/>
              </w:rPr>
              <w:fldChar w:fldCharType="separate"/>
            </w:r>
            <w:r w:rsidR="002E7809">
              <w:rPr>
                <w:noProof/>
                <w:color w:val="auto"/>
                <w:sz w:val="24"/>
                <w:szCs w:val="24"/>
              </w:rPr>
              <w:t>6</w:t>
            </w:r>
            <w:r w:rsidRPr="001749DD">
              <w:rPr>
                <w:color w:val="auto"/>
              </w:rPr>
              <w:fldChar w:fldCharType="end"/>
            </w:r>
            <w:r w:rsidRPr="001749DD">
              <w:rPr>
                <w:color w:val="auto"/>
                <w:sz w:val="24"/>
                <w:szCs w:val="24"/>
              </w:rPr>
              <w:t xml:space="preserve">.  </w:t>
            </w:r>
            <w:r w:rsidR="0046218E" w:rsidRPr="001749DD">
              <w:rPr>
                <w:color w:val="auto"/>
                <w:sz w:val="24"/>
                <w:szCs w:val="24"/>
                <w:lang w:val="es-ES_tradnl" w:eastAsia="es-ES"/>
              </w:rPr>
              <w:t>PIB real</w:t>
            </w:r>
            <w:bookmarkEnd w:id="20"/>
            <w:r w:rsidR="0046218E" w:rsidRPr="001749DD">
              <w:rPr>
                <w:color w:val="auto"/>
                <w:sz w:val="24"/>
                <w:szCs w:val="24"/>
                <w:lang w:val="es-ES_tradnl" w:eastAsia="es-ES"/>
              </w:rPr>
              <w:t xml:space="preserve"> </w:t>
            </w:r>
          </w:p>
          <w:p w14:paraId="4AE3064E" w14:textId="77777777" w:rsidR="0046218E" w:rsidRPr="006E1C2D" w:rsidRDefault="0046218E" w:rsidP="00ED483A">
            <w:pPr>
              <w:keepNext/>
              <w:ind w:left="567" w:right="49"/>
              <w:jc w:val="center"/>
              <w:rPr>
                <w:b/>
                <w:sz w:val="22"/>
                <w:szCs w:val="22"/>
                <w:lang w:val="es-ES_tradnl" w:eastAsia="es-ES"/>
              </w:rPr>
            </w:pPr>
            <w:r w:rsidRPr="006E1C2D">
              <w:rPr>
                <w:bCs/>
                <w:sz w:val="22"/>
                <w:szCs w:val="22"/>
                <w:lang w:val="es-ES_tradnl" w:eastAsia="es-ES"/>
              </w:rPr>
              <w:t>Desviación de lo observado respecto a las proyecciones del 2021</w:t>
            </w:r>
          </w:p>
          <w:p w14:paraId="0275C36B" w14:textId="77777777" w:rsidR="0046218E" w:rsidRPr="00712A78" w:rsidRDefault="0046218E" w:rsidP="00ED483A">
            <w:pPr>
              <w:ind w:left="567" w:right="49"/>
              <w:jc w:val="both"/>
              <w:rPr>
                <w:noProof/>
              </w:rPr>
            </w:pPr>
            <w:r w:rsidRPr="00712A78">
              <w:rPr>
                <w:noProof/>
              </w:rPr>
              <w:drawing>
                <wp:inline distT="0" distB="0" distL="0" distR="0" wp14:anchorId="599EF606" wp14:editId="5894CA88">
                  <wp:extent cx="2987040" cy="1625600"/>
                  <wp:effectExtent l="0" t="0" r="3810" b="0"/>
                  <wp:docPr id="2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D6949E" w14:textId="77777777" w:rsidR="0046218E" w:rsidRPr="00712A78" w:rsidRDefault="0046218E" w:rsidP="00ED483A">
            <w:pPr>
              <w:ind w:left="567" w:right="49"/>
              <w:jc w:val="both"/>
              <w:rPr>
                <w:color w:val="FF0000"/>
                <w:sz w:val="24"/>
                <w:szCs w:val="24"/>
                <w:lang w:val="es-MX" w:eastAsia="es-ES"/>
              </w:rPr>
            </w:pPr>
            <w:r w:rsidRPr="00712A78">
              <w:rPr>
                <w:noProof/>
              </w:rPr>
              <mc:AlternateContent>
                <mc:Choice Requires="wps">
                  <w:drawing>
                    <wp:anchor distT="0" distB="0" distL="114300" distR="114300" simplePos="0" relativeHeight="251661312" behindDoc="0" locked="0" layoutInCell="1" allowOverlap="1" wp14:anchorId="3C97BBE3" wp14:editId="240FBF85">
                      <wp:simplePos x="0" y="0"/>
                      <wp:positionH relativeFrom="column">
                        <wp:posOffset>397809</wp:posOffset>
                      </wp:positionH>
                      <wp:positionV relativeFrom="paragraph">
                        <wp:posOffset>45768</wp:posOffset>
                      </wp:positionV>
                      <wp:extent cx="3587750" cy="21463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0" cy="214630"/>
                              </a:xfrm>
                              <a:prstGeom prst="rect">
                                <a:avLst/>
                              </a:prstGeom>
                              <a:solidFill>
                                <a:sysClr val="window" lastClr="FFFFFF"/>
                              </a:solidFill>
                              <a:ln w="6350">
                                <a:noFill/>
                              </a:ln>
                            </wps:spPr>
                            <wps:txbx>
                              <w:txbxContent>
                                <w:p w14:paraId="0E5F922B" w14:textId="77777777" w:rsidR="00E03465" w:rsidRPr="00DF0E70" w:rsidRDefault="00E03465" w:rsidP="0046218E">
                                  <w:pPr>
                                    <w:rPr>
                                      <w:bCs/>
                                      <w:sz w:val="9"/>
                                      <w:szCs w:val="9"/>
                                    </w:rPr>
                                  </w:pPr>
                                  <w:r w:rsidRPr="00DF0E70">
                                    <w:rPr>
                                      <w:bCs/>
                                      <w:sz w:val="14"/>
                                      <w:szCs w:val="9"/>
                                    </w:rPr>
                                    <w:t>Fuente: Ministerio de Finanzas Públicas con información de BANGUAT, escenario 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7BBE3" id="Cuadro de texto 24" o:spid="_x0000_s1031" type="#_x0000_t202" style="position:absolute;left:0;text-align:left;margin-left:31.3pt;margin-top:3.6pt;width:282.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" fillcolor="window" stroked="f" strokeweight=".5pt">
                      <v:path arrowok="t"/>
                      <v:textbox>
                        <w:txbxContent>
                          <w:p w14:paraId="0E5F922B" w14:textId="77777777" w:rsidR="00E03465" w:rsidRPr="00DF0E70" w:rsidRDefault="00E03465" w:rsidP="0046218E">
                            <w:pPr>
                              <w:rPr>
                                <w:bCs/>
                                <w:sz w:val="9"/>
                                <w:szCs w:val="9"/>
                              </w:rPr>
                            </w:pPr>
                            <w:r w:rsidRPr="00DF0E70">
                              <w:rPr>
                                <w:bCs/>
                                <w:sz w:val="14"/>
                                <w:szCs w:val="9"/>
                              </w:rPr>
                              <w:t>Fuente: Ministerio de Finanzas Públicas con información de BANGUAT, escenario medio</w:t>
                            </w:r>
                          </w:p>
                        </w:txbxContent>
                      </v:textbox>
                    </v:shape>
                  </w:pict>
                </mc:Fallback>
              </mc:AlternateContent>
            </w:r>
          </w:p>
        </w:tc>
        <w:tc>
          <w:tcPr>
            <w:tcW w:w="5091" w:type="dxa"/>
          </w:tcPr>
          <w:p w14:paraId="15106CD0" w14:textId="7960B041" w:rsidR="0046218E" w:rsidRPr="001749DD" w:rsidRDefault="001749DD" w:rsidP="001749DD">
            <w:pPr>
              <w:pStyle w:val="Descripcin"/>
              <w:keepNext/>
              <w:rPr>
                <w:color w:val="auto"/>
                <w:sz w:val="24"/>
                <w:szCs w:val="24"/>
              </w:rPr>
            </w:pPr>
            <w:bookmarkStart w:id="21" w:name="_Toc114493849"/>
            <w:r w:rsidRPr="001749DD">
              <w:rPr>
                <w:color w:val="auto"/>
                <w:sz w:val="24"/>
                <w:szCs w:val="24"/>
              </w:rPr>
              <w:t xml:space="preserve">Gráfico </w:t>
            </w:r>
            <w:r w:rsidRPr="001749DD">
              <w:rPr>
                <w:color w:val="auto"/>
              </w:rPr>
              <w:fldChar w:fldCharType="begin"/>
            </w:r>
            <w:r w:rsidRPr="001749DD">
              <w:rPr>
                <w:color w:val="auto"/>
                <w:sz w:val="24"/>
                <w:szCs w:val="24"/>
              </w:rPr>
              <w:instrText xml:space="preserve"> SEQ Gráfico \* ARABIC </w:instrText>
            </w:r>
            <w:r w:rsidRPr="001749DD">
              <w:rPr>
                <w:color w:val="auto"/>
              </w:rPr>
              <w:fldChar w:fldCharType="separate"/>
            </w:r>
            <w:r w:rsidR="002E7809">
              <w:rPr>
                <w:noProof/>
                <w:color w:val="auto"/>
                <w:sz w:val="24"/>
                <w:szCs w:val="24"/>
              </w:rPr>
              <w:t>7</w:t>
            </w:r>
            <w:r w:rsidRPr="001749DD">
              <w:rPr>
                <w:color w:val="auto"/>
              </w:rPr>
              <w:fldChar w:fldCharType="end"/>
            </w:r>
            <w:r w:rsidRPr="001749DD">
              <w:rPr>
                <w:color w:val="auto"/>
                <w:sz w:val="24"/>
                <w:szCs w:val="24"/>
              </w:rPr>
              <w:t xml:space="preserve">.  </w:t>
            </w:r>
            <w:r w:rsidR="0046218E" w:rsidRPr="001749DD">
              <w:rPr>
                <w:color w:val="auto"/>
                <w:sz w:val="24"/>
                <w:szCs w:val="24"/>
                <w:lang w:val="es-ES_tradnl" w:eastAsia="es-ES"/>
              </w:rPr>
              <w:t>PIB nominal</w:t>
            </w:r>
            <w:bookmarkEnd w:id="21"/>
          </w:p>
          <w:p w14:paraId="322B11E6" w14:textId="77777777" w:rsidR="0046218E" w:rsidRPr="006E1C2D" w:rsidRDefault="0046218E" w:rsidP="00ED483A">
            <w:pPr>
              <w:keepNext/>
              <w:ind w:left="567" w:right="49"/>
              <w:jc w:val="center"/>
              <w:rPr>
                <w:b/>
                <w:sz w:val="22"/>
                <w:szCs w:val="22"/>
                <w:lang w:val="es-ES_tradnl" w:eastAsia="es-ES"/>
              </w:rPr>
            </w:pPr>
            <w:r w:rsidRPr="00712A78">
              <w:rPr>
                <w:noProof/>
              </w:rPr>
              <w:drawing>
                <wp:anchor distT="0" distB="0" distL="114300" distR="114300" simplePos="0" relativeHeight="251663360" behindDoc="0" locked="0" layoutInCell="1" allowOverlap="1" wp14:anchorId="0B3312CF" wp14:editId="69B945A9">
                  <wp:simplePos x="0" y="0"/>
                  <wp:positionH relativeFrom="column">
                    <wp:posOffset>-36195</wp:posOffset>
                  </wp:positionH>
                  <wp:positionV relativeFrom="paragraph">
                    <wp:posOffset>338455</wp:posOffset>
                  </wp:positionV>
                  <wp:extent cx="2887980" cy="1657350"/>
                  <wp:effectExtent l="0" t="0" r="7620" b="0"/>
                  <wp:wrapSquare wrapText="bothSides"/>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6E1C2D">
              <w:rPr>
                <w:bCs/>
                <w:sz w:val="22"/>
                <w:szCs w:val="22"/>
                <w:lang w:val="es-ES_tradnl" w:eastAsia="es-ES"/>
              </w:rPr>
              <w:t>Desviación de lo observado respecto a las proyecciones del 2021</w:t>
            </w:r>
          </w:p>
          <w:p w14:paraId="395A7015" w14:textId="77777777" w:rsidR="0046218E" w:rsidRPr="00712A78" w:rsidRDefault="0046218E" w:rsidP="00ED483A">
            <w:pPr>
              <w:rPr>
                <w:lang w:val="es-ES_tradnl" w:eastAsia="es-ES"/>
              </w:rPr>
            </w:pPr>
            <w:r w:rsidRPr="00712A78">
              <w:rPr>
                <w:lang w:val="es-ES_tradnl" w:eastAsia="es-ES"/>
              </w:rPr>
              <w:t xml:space="preserve">     </w:t>
            </w:r>
          </w:p>
        </w:tc>
      </w:tr>
    </w:tbl>
    <w:p w14:paraId="2D045A0F" w14:textId="77777777" w:rsidR="0046218E" w:rsidRPr="00712A78" w:rsidRDefault="0046218E" w:rsidP="0046218E">
      <w:pPr>
        <w:ind w:left="567" w:right="49"/>
        <w:jc w:val="both"/>
        <w:rPr>
          <w:rFonts w:eastAsia="Times New Roman"/>
          <w:lang w:val="es-MX" w:eastAsia="es-ES"/>
        </w:rPr>
      </w:pPr>
    </w:p>
    <w:p w14:paraId="1AFFC4D9" w14:textId="5A4C2C51" w:rsidR="0046218E" w:rsidRPr="00712A78" w:rsidRDefault="0046218E" w:rsidP="0046218E">
      <w:pPr>
        <w:ind w:right="49"/>
        <w:jc w:val="both"/>
        <w:rPr>
          <w:rFonts w:eastAsia="Times New Roman"/>
          <w:bCs/>
          <w:lang w:val="es-MX"/>
        </w:rPr>
      </w:pPr>
      <w:r w:rsidRPr="00712A78">
        <w:rPr>
          <w:rFonts w:eastAsia="Times New Roman"/>
          <w:bCs/>
          <w:lang w:val="es-MX"/>
        </w:rPr>
        <w:t>El PIB nominal tuvo un comportamiento de incertidumbre al inicio del año ya que el B</w:t>
      </w:r>
      <w:r>
        <w:rPr>
          <w:rFonts w:eastAsia="Times New Roman"/>
          <w:bCs/>
          <w:lang w:val="es-MX"/>
        </w:rPr>
        <w:t>anguat</w:t>
      </w:r>
      <w:r w:rsidRPr="00712A78">
        <w:rPr>
          <w:rFonts w:eastAsia="Times New Roman"/>
          <w:bCs/>
          <w:lang w:val="es-MX"/>
        </w:rPr>
        <w:t xml:space="preserve"> proyect</w:t>
      </w:r>
      <w:r>
        <w:rPr>
          <w:rFonts w:eastAsia="Times New Roman"/>
          <w:bCs/>
          <w:lang w:val="es-MX"/>
        </w:rPr>
        <w:t>ó</w:t>
      </w:r>
      <w:r w:rsidRPr="00712A78">
        <w:rPr>
          <w:rFonts w:eastAsia="Times New Roman"/>
          <w:bCs/>
          <w:lang w:val="es-MX"/>
        </w:rPr>
        <w:t xml:space="preserve"> en enero un crecimiento de 6.2%, la desviación </w:t>
      </w:r>
      <w:r>
        <w:rPr>
          <w:rFonts w:eastAsia="Times New Roman"/>
          <w:bCs/>
          <w:lang w:val="es-MX"/>
        </w:rPr>
        <w:t xml:space="preserve">respecto </w:t>
      </w:r>
      <w:r w:rsidRPr="00712A78">
        <w:rPr>
          <w:rFonts w:eastAsia="Times New Roman"/>
          <w:bCs/>
          <w:lang w:val="es-MX"/>
        </w:rPr>
        <w:t>de lo observado fue de 4.8 puntos porcentuales</w:t>
      </w:r>
      <w:r>
        <w:rPr>
          <w:rFonts w:eastAsia="Times New Roman"/>
          <w:bCs/>
          <w:lang w:val="es-MX"/>
        </w:rPr>
        <w:t>. E</w:t>
      </w:r>
      <w:r w:rsidRPr="00712A78">
        <w:rPr>
          <w:rFonts w:eastAsia="Times New Roman"/>
          <w:bCs/>
          <w:lang w:val="es-MX"/>
        </w:rPr>
        <w:t>n marzo la proyección</w:t>
      </w:r>
      <w:r>
        <w:rPr>
          <w:rFonts w:eastAsia="Times New Roman"/>
          <w:bCs/>
          <w:lang w:val="es-MX"/>
        </w:rPr>
        <w:t xml:space="preserve"> se mantuvo</w:t>
      </w:r>
      <w:r w:rsidRPr="00712A78">
        <w:rPr>
          <w:rFonts w:eastAsia="Times New Roman"/>
          <w:bCs/>
          <w:lang w:val="es-MX"/>
        </w:rPr>
        <w:t>, posteriormente derivado a las expectativas</w:t>
      </w:r>
      <w:r>
        <w:rPr>
          <w:rFonts w:eastAsia="Times New Roman"/>
          <w:bCs/>
          <w:lang w:val="es-MX"/>
        </w:rPr>
        <w:t xml:space="preserve"> positivas</w:t>
      </w:r>
      <w:r w:rsidRPr="00712A78">
        <w:rPr>
          <w:rFonts w:eastAsia="Times New Roman"/>
          <w:bCs/>
          <w:lang w:val="es-MX"/>
        </w:rPr>
        <w:t xml:space="preserve"> </w:t>
      </w:r>
      <w:r>
        <w:rPr>
          <w:rFonts w:eastAsia="Times New Roman"/>
          <w:bCs/>
          <w:lang w:val="es-MX"/>
        </w:rPr>
        <w:t>el</w:t>
      </w:r>
      <w:r w:rsidRPr="00712A78">
        <w:rPr>
          <w:rFonts w:eastAsia="Times New Roman"/>
          <w:bCs/>
          <w:lang w:val="es-MX"/>
        </w:rPr>
        <w:t xml:space="preserve"> pronóstico</w:t>
      </w:r>
      <w:r>
        <w:rPr>
          <w:rFonts w:eastAsia="Times New Roman"/>
          <w:bCs/>
          <w:lang w:val="es-MX"/>
        </w:rPr>
        <w:t xml:space="preserve"> aumentó</w:t>
      </w:r>
      <w:r w:rsidRPr="00712A78">
        <w:rPr>
          <w:rFonts w:eastAsia="Times New Roman"/>
          <w:bCs/>
          <w:lang w:val="es-MX"/>
        </w:rPr>
        <w:t xml:space="preserve"> en abril </w:t>
      </w:r>
      <w:r>
        <w:rPr>
          <w:rFonts w:eastAsia="Times New Roman"/>
          <w:bCs/>
          <w:lang w:val="es-MX"/>
        </w:rPr>
        <w:t>a</w:t>
      </w:r>
      <w:r w:rsidRPr="00712A78">
        <w:rPr>
          <w:rFonts w:eastAsia="Times New Roman"/>
          <w:bCs/>
          <w:lang w:val="es-MX"/>
        </w:rPr>
        <w:t xml:space="preserve"> 7.2%</w:t>
      </w:r>
      <w:r>
        <w:rPr>
          <w:rFonts w:eastAsia="Times New Roman"/>
          <w:bCs/>
          <w:lang w:val="es-MX"/>
        </w:rPr>
        <w:t>,</w:t>
      </w:r>
      <w:r w:rsidRPr="00712A78">
        <w:rPr>
          <w:rFonts w:eastAsia="Times New Roman"/>
          <w:bCs/>
          <w:lang w:val="es-MX"/>
        </w:rPr>
        <w:t xml:space="preserve"> por lo que su desviación fue de 3.8 puntos porcentuales</w:t>
      </w:r>
      <w:r>
        <w:rPr>
          <w:rFonts w:eastAsia="Times New Roman"/>
          <w:bCs/>
          <w:lang w:val="es-MX"/>
        </w:rPr>
        <w:t>;</w:t>
      </w:r>
      <w:r w:rsidRPr="00712A78">
        <w:rPr>
          <w:rFonts w:eastAsia="Times New Roman"/>
          <w:bCs/>
          <w:lang w:val="es-MX"/>
        </w:rPr>
        <w:t xml:space="preserve"> en julio </w:t>
      </w:r>
      <w:r>
        <w:rPr>
          <w:rFonts w:eastAsia="Times New Roman"/>
          <w:bCs/>
          <w:lang w:val="es-MX"/>
        </w:rPr>
        <w:t>fue</w:t>
      </w:r>
      <w:r w:rsidRPr="00712A78">
        <w:rPr>
          <w:rFonts w:eastAsia="Times New Roman"/>
          <w:bCs/>
          <w:lang w:val="es-MX"/>
        </w:rPr>
        <w:t xml:space="preserve"> </w:t>
      </w:r>
      <w:r>
        <w:rPr>
          <w:rFonts w:eastAsia="Times New Roman"/>
          <w:bCs/>
          <w:lang w:val="es-MX"/>
        </w:rPr>
        <w:t xml:space="preserve">aún </w:t>
      </w:r>
      <w:r w:rsidRPr="00712A78">
        <w:rPr>
          <w:rFonts w:eastAsia="Times New Roman"/>
          <w:bCs/>
          <w:lang w:val="es-MX"/>
        </w:rPr>
        <w:t xml:space="preserve">más optimista </w:t>
      </w:r>
      <w:r>
        <w:rPr>
          <w:rFonts w:eastAsia="Times New Roman"/>
          <w:bCs/>
          <w:lang w:val="es-MX"/>
        </w:rPr>
        <w:t>y la</w:t>
      </w:r>
      <w:r w:rsidRPr="00712A78">
        <w:rPr>
          <w:rFonts w:eastAsia="Times New Roman"/>
          <w:bCs/>
          <w:lang w:val="es-MX"/>
        </w:rPr>
        <w:t xml:space="preserve"> proyección </w:t>
      </w:r>
      <w:r>
        <w:rPr>
          <w:rFonts w:eastAsia="Times New Roman"/>
          <w:bCs/>
          <w:lang w:val="es-MX"/>
        </w:rPr>
        <w:t>de crecimiento fue de</w:t>
      </w:r>
      <w:r w:rsidRPr="00712A78">
        <w:rPr>
          <w:rFonts w:eastAsia="Times New Roman"/>
          <w:bCs/>
          <w:lang w:val="es-MX"/>
        </w:rPr>
        <w:t xml:space="preserve"> 8.7%</w:t>
      </w:r>
      <w:r w:rsidR="00DC27A8">
        <w:rPr>
          <w:rFonts w:eastAsia="Times New Roman"/>
          <w:bCs/>
          <w:lang w:val="es-MX"/>
        </w:rPr>
        <w:t xml:space="preserve">. </w:t>
      </w:r>
      <w:r w:rsidRPr="00712A78">
        <w:rPr>
          <w:rFonts w:eastAsia="Times New Roman"/>
          <w:bCs/>
          <w:lang w:val="es-MX"/>
        </w:rPr>
        <w:t xml:space="preserve"> </w:t>
      </w:r>
      <w:r w:rsidR="00DC27A8">
        <w:rPr>
          <w:rFonts w:eastAsia="Times New Roman"/>
          <w:bCs/>
          <w:lang w:val="es-MX"/>
        </w:rPr>
        <w:t>S</w:t>
      </w:r>
      <w:r w:rsidRPr="00712A78">
        <w:rPr>
          <w:rFonts w:eastAsia="Times New Roman"/>
          <w:bCs/>
          <w:lang w:val="es-MX"/>
        </w:rPr>
        <w:t xml:space="preserve">in embargo, no fue suficiente ya que la economía al final del año </w:t>
      </w:r>
      <w:r>
        <w:rPr>
          <w:rFonts w:eastAsia="Times New Roman"/>
          <w:bCs/>
          <w:lang w:val="es-MX"/>
        </w:rPr>
        <w:t>creció</w:t>
      </w:r>
      <w:r w:rsidRPr="00712A78">
        <w:rPr>
          <w:rFonts w:eastAsia="Times New Roman"/>
          <w:bCs/>
          <w:lang w:val="es-MX"/>
        </w:rPr>
        <w:t xml:space="preserve"> 11.0%</w:t>
      </w:r>
      <w:r>
        <w:rPr>
          <w:rFonts w:eastAsia="Times New Roman"/>
          <w:bCs/>
          <w:lang w:val="es-MX"/>
        </w:rPr>
        <w:t>,</w:t>
      </w:r>
      <w:r w:rsidRPr="00712A78">
        <w:rPr>
          <w:rFonts w:eastAsia="Times New Roman"/>
          <w:bCs/>
          <w:lang w:val="es-MX"/>
        </w:rPr>
        <w:t xml:space="preserve"> registrando una desviación de 2.3 puntos porcentuales. </w:t>
      </w:r>
    </w:p>
    <w:p w14:paraId="612F72AD" w14:textId="77777777" w:rsidR="0046218E" w:rsidRPr="00712A78" w:rsidRDefault="0046218E" w:rsidP="0046218E">
      <w:pPr>
        <w:ind w:right="49"/>
        <w:jc w:val="both"/>
        <w:rPr>
          <w:rFonts w:eastAsia="Times New Roman"/>
          <w:bCs/>
          <w:lang w:val="es-MX"/>
        </w:rPr>
      </w:pPr>
    </w:p>
    <w:p w14:paraId="744F3960" w14:textId="77777777" w:rsidR="0046218E" w:rsidRPr="00712A78" w:rsidRDefault="0046218E" w:rsidP="0046218E">
      <w:pPr>
        <w:ind w:right="49"/>
        <w:jc w:val="both"/>
        <w:rPr>
          <w:rFonts w:eastAsia="Times New Roman"/>
          <w:bCs/>
          <w:lang w:val="es-MX"/>
        </w:rPr>
      </w:pPr>
      <w:r w:rsidRPr="00712A78">
        <w:rPr>
          <w:rFonts w:eastAsia="Times New Roman"/>
          <w:bCs/>
          <w:lang w:val="es-MX"/>
        </w:rPr>
        <w:t>El comportamiento del comercio en el 2021 cambio su rumbo respecto a la ralentización</w:t>
      </w:r>
      <w:r>
        <w:rPr>
          <w:rFonts w:eastAsia="Times New Roman"/>
          <w:bCs/>
          <w:lang w:val="es-MX"/>
        </w:rPr>
        <w:t xml:space="preserve"> que sufrió </w:t>
      </w:r>
      <w:r w:rsidRPr="00712A78">
        <w:rPr>
          <w:rFonts w:eastAsia="Times New Roman"/>
          <w:bCs/>
          <w:lang w:val="es-MX"/>
        </w:rPr>
        <w:t xml:space="preserve">en 2020, en el caso de las exportaciones FOB, </w:t>
      </w:r>
      <w:r>
        <w:rPr>
          <w:rFonts w:eastAsia="Times New Roman"/>
          <w:bCs/>
          <w:lang w:val="es-MX"/>
        </w:rPr>
        <w:t>el Banguat</w:t>
      </w:r>
      <w:r w:rsidRPr="00712A78">
        <w:rPr>
          <w:rFonts w:eastAsia="Times New Roman"/>
          <w:bCs/>
          <w:lang w:val="es-MX"/>
        </w:rPr>
        <w:t xml:space="preserve"> fue cauto al proyectar</w:t>
      </w:r>
      <w:r>
        <w:rPr>
          <w:rFonts w:eastAsia="Times New Roman"/>
          <w:bCs/>
          <w:lang w:val="es-MX"/>
        </w:rPr>
        <w:t xml:space="preserve"> </w:t>
      </w:r>
      <w:r w:rsidRPr="00712A78">
        <w:rPr>
          <w:rFonts w:eastAsia="Times New Roman"/>
          <w:bCs/>
          <w:lang w:val="es-MX"/>
        </w:rPr>
        <w:t>un crecimiento de 9.0% en enero</w:t>
      </w:r>
      <w:r>
        <w:rPr>
          <w:rFonts w:eastAsia="Times New Roman"/>
          <w:bCs/>
          <w:lang w:val="es-MX"/>
        </w:rPr>
        <w:t>,</w:t>
      </w:r>
      <w:r w:rsidRPr="00712A78">
        <w:rPr>
          <w:rFonts w:eastAsia="Times New Roman"/>
          <w:bCs/>
          <w:lang w:val="es-MX"/>
        </w:rPr>
        <w:t xml:space="preserve"> </w:t>
      </w:r>
      <w:r>
        <w:rPr>
          <w:rFonts w:eastAsia="Times New Roman"/>
          <w:bCs/>
          <w:lang w:val="es-MX"/>
        </w:rPr>
        <w:t>siendo</w:t>
      </w:r>
      <w:r w:rsidRPr="00712A78">
        <w:rPr>
          <w:rFonts w:eastAsia="Times New Roman"/>
          <w:bCs/>
          <w:lang w:val="es-MX"/>
        </w:rPr>
        <w:t xml:space="preserve"> una variación </w:t>
      </w:r>
      <w:r>
        <w:rPr>
          <w:rFonts w:eastAsia="Times New Roman"/>
          <w:bCs/>
          <w:lang w:val="es-MX"/>
        </w:rPr>
        <w:t>respecto a lo</w:t>
      </w:r>
      <w:r w:rsidRPr="00712A78">
        <w:rPr>
          <w:rFonts w:eastAsia="Times New Roman"/>
          <w:bCs/>
          <w:lang w:val="es-MX"/>
        </w:rPr>
        <w:t xml:space="preserve"> observado de 13.6 puntos porcentuales, en marzo </w:t>
      </w:r>
      <w:r>
        <w:rPr>
          <w:rFonts w:eastAsia="Times New Roman"/>
          <w:bCs/>
          <w:lang w:val="es-MX"/>
        </w:rPr>
        <w:t xml:space="preserve">no hubo cambio en el </w:t>
      </w:r>
      <w:r w:rsidRPr="00712A78">
        <w:rPr>
          <w:rFonts w:eastAsia="Times New Roman"/>
          <w:bCs/>
          <w:lang w:val="es-MX"/>
        </w:rPr>
        <w:t>pronóstico,</w:t>
      </w:r>
      <w:r>
        <w:rPr>
          <w:rFonts w:eastAsia="Times New Roman"/>
          <w:bCs/>
          <w:lang w:val="es-MX"/>
        </w:rPr>
        <w:t xml:space="preserve"> mientras que</w:t>
      </w:r>
      <w:r w:rsidRPr="00712A78">
        <w:rPr>
          <w:rFonts w:eastAsia="Times New Roman"/>
          <w:bCs/>
          <w:lang w:val="es-MX"/>
        </w:rPr>
        <w:t xml:space="preserve"> en abril aument</w:t>
      </w:r>
      <w:r>
        <w:rPr>
          <w:rFonts w:eastAsia="Times New Roman"/>
          <w:bCs/>
          <w:lang w:val="es-MX"/>
        </w:rPr>
        <w:t>ó</w:t>
      </w:r>
      <w:r w:rsidRPr="00712A78">
        <w:rPr>
          <w:rFonts w:eastAsia="Times New Roman"/>
          <w:bCs/>
          <w:lang w:val="es-MX"/>
        </w:rPr>
        <w:t xml:space="preserve"> levemente el pronóstico al </w:t>
      </w:r>
      <w:r>
        <w:rPr>
          <w:rFonts w:eastAsia="Times New Roman"/>
          <w:bCs/>
          <w:lang w:val="es-MX"/>
        </w:rPr>
        <w:t>ser</w:t>
      </w:r>
      <w:r w:rsidRPr="00712A78">
        <w:rPr>
          <w:rFonts w:eastAsia="Times New Roman"/>
          <w:bCs/>
          <w:lang w:val="es-MX"/>
        </w:rPr>
        <w:t xml:space="preserve"> de 10.0% por lo que la desviación fue de 12.6</w:t>
      </w:r>
      <w:r>
        <w:rPr>
          <w:rFonts w:eastAsia="Times New Roman"/>
          <w:bCs/>
          <w:lang w:val="es-MX"/>
        </w:rPr>
        <w:t xml:space="preserve"> puntos porcentuales</w:t>
      </w:r>
      <w:r w:rsidRPr="00712A78">
        <w:rPr>
          <w:rFonts w:eastAsia="Times New Roman"/>
          <w:bCs/>
          <w:lang w:val="es-MX"/>
        </w:rPr>
        <w:t xml:space="preserve">, en julio el </w:t>
      </w:r>
      <w:r>
        <w:rPr>
          <w:rFonts w:eastAsia="Times New Roman"/>
          <w:bCs/>
          <w:lang w:val="es-MX"/>
        </w:rPr>
        <w:t>Banguat</w:t>
      </w:r>
      <w:r w:rsidRPr="00712A78">
        <w:rPr>
          <w:rFonts w:eastAsia="Times New Roman"/>
          <w:bCs/>
          <w:lang w:val="es-MX"/>
        </w:rPr>
        <w:t xml:space="preserve"> aument</w:t>
      </w:r>
      <w:r>
        <w:rPr>
          <w:rFonts w:eastAsia="Times New Roman"/>
          <w:bCs/>
          <w:lang w:val="es-MX"/>
        </w:rPr>
        <w:t>ó</w:t>
      </w:r>
      <w:r w:rsidRPr="00712A78">
        <w:rPr>
          <w:rFonts w:eastAsia="Times New Roman"/>
          <w:bCs/>
          <w:lang w:val="es-MX"/>
        </w:rPr>
        <w:t xml:space="preserve"> nuevamente de forma leve el pronóstico e indic</w:t>
      </w:r>
      <w:r>
        <w:rPr>
          <w:rFonts w:eastAsia="Times New Roman"/>
          <w:bCs/>
          <w:lang w:val="es-MX"/>
        </w:rPr>
        <w:t>ó</w:t>
      </w:r>
      <w:r w:rsidRPr="00712A78">
        <w:rPr>
          <w:rFonts w:eastAsia="Times New Roman"/>
          <w:bCs/>
          <w:lang w:val="es-MX"/>
        </w:rPr>
        <w:t xml:space="preserve"> que este sería de 12.0%, teniendo una desviación de 10.6 puntos porcentuales</w:t>
      </w:r>
      <w:r>
        <w:rPr>
          <w:rFonts w:eastAsia="Times New Roman"/>
          <w:bCs/>
          <w:lang w:val="es-MX"/>
        </w:rPr>
        <w:t>,</w:t>
      </w:r>
      <w:r w:rsidRPr="00712A78">
        <w:rPr>
          <w:rFonts w:eastAsia="Times New Roman"/>
          <w:bCs/>
          <w:lang w:val="es-MX"/>
        </w:rPr>
        <w:t xml:space="preserve"> ya que </w:t>
      </w:r>
      <w:r>
        <w:rPr>
          <w:rFonts w:eastAsia="Times New Roman"/>
          <w:bCs/>
          <w:lang w:val="es-MX"/>
        </w:rPr>
        <w:t>la</w:t>
      </w:r>
      <w:r w:rsidRPr="00712A78">
        <w:rPr>
          <w:rFonts w:eastAsia="Times New Roman"/>
          <w:bCs/>
          <w:lang w:val="es-MX"/>
        </w:rPr>
        <w:t xml:space="preserve">s exportaciones registraron un crecimiento de 22.6% </w:t>
      </w:r>
      <w:r>
        <w:rPr>
          <w:rFonts w:eastAsia="Times New Roman"/>
          <w:bCs/>
          <w:lang w:val="es-MX"/>
        </w:rPr>
        <w:t>en 2021</w:t>
      </w:r>
      <w:r w:rsidRPr="00712A78">
        <w:rPr>
          <w:rFonts w:eastAsia="Times New Roman"/>
          <w:bCs/>
          <w:lang w:val="es-MX"/>
        </w:rPr>
        <w:t>.</w:t>
      </w:r>
    </w:p>
    <w:p w14:paraId="1E59129C" w14:textId="77777777" w:rsidR="0046218E" w:rsidRPr="00712A78" w:rsidRDefault="0046218E" w:rsidP="0046218E">
      <w:pPr>
        <w:ind w:right="49"/>
        <w:jc w:val="both"/>
        <w:rPr>
          <w:rFonts w:eastAsia="Times New Roman"/>
          <w:bCs/>
          <w:lang w:val="es-MX"/>
        </w:rPr>
      </w:pPr>
    </w:p>
    <w:p w14:paraId="1DFAEC6D" w14:textId="56C8FBAE" w:rsidR="00575B5F" w:rsidRDefault="0046218E" w:rsidP="0046218E">
      <w:pPr>
        <w:ind w:right="49"/>
        <w:jc w:val="both"/>
        <w:rPr>
          <w:rFonts w:eastAsia="Times New Roman"/>
          <w:bCs/>
          <w:lang w:val="es-MX"/>
        </w:rPr>
      </w:pPr>
      <w:r>
        <w:rPr>
          <w:rFonts w:eastAsia="Times New Roman"/>
          <w:bCs/>
          <w:lang w:val="es-MX"/>
        </w:rPr>
        <w:t xml:space="preserve">Por el lado de las importaciones, se pronosticó a principio de año un </w:t>
      </w:r>
      <w:r w:rsidRPr="00712A78">
        <w:rPr>
          <w:rFonts w:eastAsia="Times New Roman"/>
          <w:bCs/>
          <w:lang w:val="es-MX"/>
        </w:rPr>
        <w:t>crecimiento de 9.5% un valor</w:t>
      </w:r>
      <w:r>
        <w:rPr>
          <w:rFonts w:eastAsia="Times New Roman"/>
          <w:bCs/>
          <w:lang w:val="es-MX"/>
        </w:rPr>
        <w:t xml:space="preserve"> que estuvo ampliamente</w:t>
      </w:r>
      <w:r w:rsidRPr="00712A78">
        <w:rPr>
          <w:rFonts w:eastAsia="Times New Roman"/>
          <w:bCs/>
          <w:lang w:val="es-MX"/>
        </w:rPr>
        <w:t xml:space="preserve"> subestimado derivado a que tuvo una desviación de 32.4 puntos porcentuales de lo observado</w:t>
      </w:r>
      <w:r>
        <w:rPr>
          <w:rFonts w:eastAsia="Times New Roman"/>
          <w:bCs/>
          <w:lang w:val="es-MX"/>
        </w:rPr>
        <w:t>,</w:t>
      </w:r>
      <w:r w:rsidRPr="00712A78">
        <w:rPr>
          <w:rFonts w:eastAsia="Times New Roman"/>
          <w:bCs/>
          <w:lang w:val="es-MX"/>
        </w:rPr>
        <w:t xml:space="preserve"> en marzo </w:t>
      </w:r>
      <w:r>
        <w:rPr>
          <w:rFonts w:eastAsia="Times New Roman"/>
          <w:bCs/>
          <w:lang w:val="es-MX"/>
        </w:rPr>
        <w:t>el Banguat</w:t>
      </w:r>
      <w:r w:rsidRPr="00712A78">
        <w:rPr>
          <w:rFonts w:eastAsia="Times New Roman"/>
          <w:bCs/>
          <w:lang w:val="es-MX"/>
        </w:rPr>
        <w:t xml:space="preserve"> mantuvo una posición conservadora al no variar la proyección</w:t>
      </w:r>
      <w:r w:rsidR="00575B5F">
        <w:rPr>
          <w:rFonts w:eastAsia="Times New Roman"/>
          <w:bCs/>
          <w:lang w:val="es-MX"/>
        </w:rPr>
        <w:t xml:space="preserve">. </w:t>
      </w:r>
      <w:r>
        <w:rPr>
          <w:rFonts w:eastAsia="Times New Roman"/>
          <w:bCs/>
          <w:lang w:val="es-MX"/>
        </w:rPr>
        <w:t xml:space="preserve"> </w:t>
      </w:r>
      <w:r w:rsidR="00575B5F">
        <w:rPr>
          <w:rFonts w:eastAsia="Times New Roman"/>
          <w:bCs/>
          <w:lang w:val="es-MX"/>
        </w:rPr>
        <w:t>S</w:t>
      </w:r>
      <w:r w:rsidRPr="00712A78">
        <w:rPr>
          <w:rFonts w:eastAsia="Times New Roman"/>
          <w:bCs/>
          <w:lang w:val="es-MX"/>
        </w:rPr>
        <w:t>in embargo</w:t>
      </w:r>
      <w:r w:rsidR="00575B5F">
        <w:rPr>
          <w:rFonts w:eastAsia="Times New Roman"/>
          <w:bCs/>
          <w:lang w:val="es-MX"/>
        </w:rPr>
        <w:t>,</w:t>
      </w:r>
      <w:r w:rsidRPr="00712A78">
        <w:rPr>
          <w:rFonts w:eastAsia="Times New Roman"/>
          <w:bCs/>
          <w:lang w:val="es-MX"/>
        </w:rPr>
        <w:t xml:space="preserve"> dado las buenas expectativas a raíz de la recuperación económica</w:t>
      </w:r>
      <w:r>
        <w:rPr>
          <w:rFonts w:eastAsia="Times New Roman"/>
          <w:bCs/>
          <w:lang w:val="es-MX"/>
        </w:rPr>
        <w:t xml:space="preserve"> y el alza en el precio de los commodities,</w:t>
      </w:r>
      <w:r w:rsidRPr="00712A78">
        <w:rPr>
          <w:rFonts w:eastAsia="Times New Roman"/>
          <w:bCs/>
          <w:lang w:val="es-MX"/>
        </w:rPr>
        <w:t xml:space="preserve"> en abril </w:t>
      </w:r>
      <w:r>
        <w:rPr>
          <w:rFonts w:eastAsia="Times New Roman"/>
          <w:bCs/>
          <w:lang w:val="es-MX"/>
        </w:rPr>
        <w:t>se</w:t>
      </w:r>
      <w:r w:rsidRPr="00712A78">
        <w:rPr>
          <w:rFonts w:eastAsia="Times New Roman"/>
          <w:bCs/>
          <w:lang w:val="es-MX"/>
        </w:rPr>
        <w:t xml:space="preserve"> proyectó un crecimiento mayor </w:t>
      </w:r>
      <w:r>
        <w:rPr>
          <w:rFonts w:eastAsia="Times New Roman"/>
          <w:bCs/>
          <w:lang w:val="es-MX"/>
        </w:rPr>
        <w:t>y se</w:t>
      </w:r>
      <w:r w:rsidRPr="00712A78">
        <w:rPr>
          <w:rFonts w:eastAsia="Times New Roman"/>
          <w:bCs/>
          <w:lang w:val="es-MX"/>
        </w:rPr>
        <w:t xml:space="preserve"> indicó que </w:t>
      </w:r>
      <w:r>
        <w:rPr>
          <w:rFonts w:eastAsia="Times New Roman"/>
          <w:bCs/>
          <w:lang w:val="es-MX"/>
        </w:rPr>
        <w:t>las importaciones</w:t>
      </w:r>
      <w:r w:rsidRPr="00712A78">
        <w:rPr>
          <w:rFonts w:eastAsia="Times New Roman"/>
          <w:bCs/>
          <w:lang w:val="es-MX"/>
        </w:rPr>
        <w:t xml:space="preserve"> crecería</w:t>
      </w:r>
      <w:r>
        <w:rPr>
          <w:rFonts w:eastAsia="Times New Roman"/>
          <w:bCs/>
          <w:lang w:val="es-MX"/>
        </w:rPr>
        <w:t>n</w:t>
      </w:r>
      <w:r w:rsidRPr="00712A78">
        <w:rPr>
          <w:rFonts w:eastAsia="Times New Roman"/>
          <w:bCs/>
          <w:lang w:val="es-MX"/>
        </w:rPr>
        <w:t xml:space="preserve"> 11.0%</w:t>
      </w:r>
      <w:r>
        <w:rPr>
          <w:rFonts w:eastAsia="Times New Roman"/>
          <w:bCs/>
          <w:lang w:val="es-MX"/>
        </w:rPr>
        <w:t>,</w:t>
      </w:r>
      <w:r w:rsidRPr="00712A78">
        <w:rPr>
          <w:rFonts w:eastAsia="Times New Roman"/>
          <w:bCs/>
          <w:lang w:val="es-MX"/>
        </w:rPr>
        <w:t xml:space="preserve"> </w:t>
      </w:r>
      <w:r>
        <w:rPr>
          <w:rFonts w:eastAsia="Times New Roman"/>
          <w:bCs/>
          <w:lang w:val="es-MX"/>
        </w:rPr>
        <w:t>pron</w:t>
      </w:r>
      <w:r w:rsidR="00575B5F">
        <w:rPr>
          <w:rFonts w:eastAsia="Times New Roman"/>
          <w:bCs/>
          <w:lang w:val="es-MX"/>
        </w:rPr>
        <w:t>ó</w:t>
      </w:r>
      <w:r>
        <w:rPr>
          <w:rFonts w:eastAsia="Times New Roman"/>
          <w:bCs/>
          <w:lang w:val="es-MX"/>
        </w:rPr>
        <w:t xml:space="preserve">stico que </w:t>
      </w:r>
      <w:r w:rsidRPr="00712A78">
        <w:rPr>
          <w:rFonts w:eastAsia="Times New Roman"/>
          <w:bCs/>
          <w:lang w:val="es-MX"/>
        </w:rPr>
        <w:t xml:space="preserve">aún </w:t>
      </w:r>
      <w:r>
        <w:rPr>
          <w:rFonts w:eastAsia="Times New Roman"/>
          <w:bCs/>
          <w:lang w:val="es-MX"/>
        </w:rPr>
        <w:t>era bastante conservador, ya</w:t>
      </w:r>
      <w:r w:rsidRPr="00712A78">
        <w:rPr>
          <w:rFonts w:eastAsia="Times New Roman"/>
          <w:bCs/>
          <w:lang w:val="es-MX"/>
        </w:rPr>
        <w:t xml:space="preserve"> que la desviación fue de 30.9 puntos porcentuales; en julio la proyección </w:t>
      </w:r>
      <w:r>
        <w:rPr>
          <w:rFonts w:eastAsia="Times New Roman"/>
          <w:bCs/>
          <w:lang w:val="es-MX"/>
        </w:rPr>
        <w:t>aumentó por lo que</w:t>
      </w:r>
      <w:r w:rsidRPr="00712A78">
        <w:rPr>
          <w:rFonts w:eastAsia="Times New Roman"/>
          <w:bCs/>
          <w:lang w:val="es-MX"/>
        </w:rPr>
        <w:t xml:space="preserve"> </w:t>
      </w:r>
      <w:r>
        <w:rPr>
          <w:rFonts w:eastAsia="Times New Roman"/>
          <w:bCs/>
          <w:lang w:val="es-MX"/>
        </w:rPr>
        <w:t xml:space="preserve">las importaciones </w:t>
      </w:r>
      <w:r w:rsidRPr="00712A78">
        <w:rPr>
          <w:rFonts w:eastAsia="Times New Roman"/>
          <w:bCs/>
          <w:lang w:val="es-MX"/>
        </w:rPr>
        <w:t>crecería</w:t>
      </w:r>
      <w:r>
        <w:rPr>
          <w:rFonts w:eastAsia="Times New Roman"/>
          <w:bCs/>
          <w:lang w:val="es-MX"/>
        </w:rPr>
        <w:t>n</w:t>
      </w:r>
      <w:r w:rsidRPr="00712A78">
        <w:rPr>
          <w:rFonts w:eastAsia="Times New Roman"/>
          <w:bCs/>
          <w:lang w:val="es-MX"/>
        </w:rPr>
        <w:t xml:space="preserve"> 20.0%</w:t>
      </w:r>
      <w:r w:rsidR="00575B5F">
        <w:rPr>
          <w:rFonts w:eastAsia="Times New Roman"/>
          <w:bCs/>
          <w:lang w:val="es-MX"/>
        </w:rPr>
        <w:t>.</w:t>
      </w:r>
      <w:r w:rsidRPr="00712A78">
        <w:rPr>
          <w:rFonts w:eastAsia="Times New Roman"/>
          <w:bCs/>
          <w:lang w:val="es-MX"/>
        </w:rPr>
        <w:t xml:space="preserve"> </w:t>
      </w:r>
      <w:r w:rsidR="00575B5F">
        <w:rPr>
          <w:rFonts w:eastAsia="Times New Roman"/>
          <w:bCs/>
          <w:lang w:val="es-MX"/>
        </w:rPr>
        <w:t xml:space="preserve"> S</w:t>
      </w:r>
      <w:r w:rsidRPr="00712A78">
        <w:rPr>
          <w:rFonts w:eastAsia="Times New Roman"/>
          <w:bCs/>
          <w:lang w:val="es-MX"/>
        </w:rPr>
        <w:t>in embargo</w:t>
      </w:r>
      <w:r>
        <w:rPr>
          <w:rFonts w:eastAsia="Times New Roman"/>
          <w:bCs/>
          <w:lang w:val="es-MX"/>
        </w:rPr>
        <w:t>,</w:t>
      </w:r>
      <w:r w:rsidRPr="00712A78">
        <w:rPr>
          <w:rFonts w:eastAsia="Times New Roman"/>
          <w:bCs/>
          <w:lang w:val="es-MX"/>
        </w:rPr>
        <w:t xml:space="preserve"> </w:t>
      </w:r>
      <w:r>
        <w:rPr>
          <w:rFonts w:eastAsia="Times New Roman"/>
          <w:bCs/>
          <w:lang w:val="es-MX"/>
        </w:rPr>
        <w:t>aún se</w:t>
      </w:r>
      <w:r w:rsidRPr="00712A78">
        <w:rPr>
          <w:rFonts w:eastAsia="Times New Roman"/>
          <w:bCs/>
          <w:lang w:val="es-MX"/>
        </w:rPr>
        <w:t xml:space="preserve"> registr</w:t>
      </w:r>
      <w:r>
        <w:rPr>
          <w:rFonts w:eastAsia="Times New Roman"/>
          <w:bCs/>
          <w:lang w:val="es-MX"/>
        </w:rPr>
        <w:t>ó</w:t>
      </w:r>
      <w:r w:rsidRPr="00712A78">
        <w:rPr>
          <w:rFonts w:eastAsia="Times New Roman"/>
          <w:bCs/>
          <w:lang w:val="es-MX"/>
        </w:rPr>
        <w:t xml:space="preserve"> una desviación de 21.9 puntos porcentuales</w:t>
      </w:r>
      <w:r w:rsidR="00575B5F">
        <w:rPr>
          <w:rFonts w:eastAsia="Times New Roman"/>
          <w:bCs/>
          <w:lang w:val="es-MX"/>
        </w:rPr>
        <w:t>,</w:t>
      </w:r>
      <w:r w:rsidRPr="00712A78">
        <w:rPr>
          <w:rFonts w:eastAsia="Times New Roman"/>
          <w:bCs/>
          <w:lang w:val="es-MX"/>
        </w:rPr>
        <w:t xml:space="preserve"> ya que al final del año las importaciones crecieron 41.9%.</w:t>
      </w:r>
    </w:p>
    <w:p w14:paraId="3D0048F8" w14:textId="374A9D8A" w:rsidR="0046218E" w:rsidRPr="00712A78" w:rsidRDefault="001749DD" w:rsidP="0046218E">
      <w:pPr>
        <w:ind w:right="49"/>
        <w:jc w:val="both"/>
        <w:rPr>
          <w:rFonts w:eastAsia="Times New Roman"/>
          <w:color w:val="FF0000"/>
          <w:sz w:val="2"/>
          <w:lang w:val="es-MX" w:eastAsia="es-ES"/>
        </w:rPr>
      </w:pPr>
      <w:r w:rsidRPr="00DF0E70">
        <w:rPr>
          <w:noProof/>
          <w:lang w:eastAsia="es-GT"/>
        </w:rPr>
        <mc:AlternateContent>
          <mc:Choice Requires="wps">
            <w:drawing>
              <wp:anchor distT="0" distB="0" distL="114300" distR="114300" simplePos="0" relativeHeight="251662336" behindDoc="0" locked="0" layoutInCell="1" allowOverlap="1" wp14:anchorId="635188D0" wp14:editId="433EBD8E">
                <wp:simplePos x="0" y="0"/>
                <wp:positionH relativeFrom="column">
                  <wp:posOffset>-29845</wp:posOffset>
                </wp:positionH>
                <wp:positionV relativeFrom="paragraph">
                  <wp:posOffset>1944370</wp:posOffset>
                </wp:positionV>
                <wp:extent cx="4152900" cy="212725"/>
                <wp:effectExtent l="0" t="0" r="0" b="0"/>
                <wp:wrapNone/>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0" cy="212725"/>
                        </a:xfrm>
                        <a:prstGeom prst="rect">
                          <a:avLst/>
                        </a:prstGeom>
                        <a:solidFill>
                          <a:sysClr val="window" lastClr="FFFFFF"/>
                        </a:solidFill>
                        <a:ln w="6350">
                          <a:noFill/>
                        </a:ln>
                      </wps:spPr>
                      <wps:txbx>
                        <w:txbxContent>
                          <w:p w14:paraId="0F173B18" w14:textId="77777777" w:rsidR="00E03465" w:rsidRPr="00DF0E70" w:rsidRDefault="00E03465" w:rsidP="0046218E">
                            <w:pPr>
                              <w:rPr>
                                <w:sz w:val="14"/>
                                <w:szCs w:val="9"/>
                              </w:rPr>
                            </w:pPr>
                            <w:r w:rsidRPr="00DF0E70">
                              <w:rPr>
                                <w:sz w:val="14"/>
                                <w:szCs w:val="9"/>
                              </w:rPr>
                              <w:t xml:space="preserve">    Fuente: </w:t>
                            </w:r>
                            <w:r w:rsidRPr="00DF0E70">
                              <w:rPr>
                                <w:bCs/>
                                <w:sz w:val="14"/>
                                <w:szCs w:val="9"/>
                              </w:rPr>
                              <w:t xml:space="preserve">Ministerio de Finanzas Públicas </w:t>
                            </w:r>
                            <w:r w:rsidRPr="00DF0E70">
                              <w:rPr>
                                <w:sz w:val="14"/>
                                <w:szCs w:val="9"/>
                              </w:rPr>
                              <w:t>con información de BANGUAT</w:t>
                            </w:r>
                            <w:r>
                              <w:rPr>
                                <w:sz w:val="14"/>
                                <w:szCs w:val="9"/>
                              </w:rPr>
                              <w:t>, escenario 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88D0" id="Cuadro de texto 109" o:spid="_x0000_s1032" type="#_x0000_t202" style="position:absolute;left:0;text-align:left;margin-left:-2.35pt;margin-top:153.1pt;width:327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" fillcolor="window" stroked="f" strokeweight=".5pt">
                <v:path arrowok="t"/>
                <v:textbox>
                  <w:txbxContent>
                    <w:p w14:paraId="0F173B18" w14:textId="77777777" w:rsidR="00E03465" w:rsidRPr="00DF0E70" w:rsidRDefault="00E03465" w:rsidP="0046218E">
                      <w:pPr>
                        <w:rPr>
                          <w:sz w:val="14"/>
                          <w:szCs w:val="9"/>
                        </w:rPr>
                      </w:pPr>
                      <w:r w:rsidRPr="00DF0E70">
                        <w:rPr>
                          <w:sz w:val="14"/>
                          <w:szCs w:val="9"/>
                        </w:rPr>
                        <w:t xml:space="preserve">    Fuente: </w:t>
                      </w:r>
                      <w:r w:rsidRPr="00DF0E70">
                        <w:rPr>
                          <w:bCs/>
                          <w:sz w:val="14"/>
                          <w:szCs w:val="9"/>
                        </w:rPr>
                        <w:t xml:space="preserve">Ministerio de Finanzas Públicas </w:t>
                      </w:r>
                      <w:r w:rsidRPr="00DF0E70">
                        <w:rPr>
                          <w:sz w:val="14"/>
                          <w:szCs w:val="9"/>
                        </w:rPr>
                        <w:t>con información de BANGUAT</w:t>
                      </w:r>
                      <w:r>
                        <w:rPr>
                          <w:sz w:val="14"/>
                          <w:szCs w:val="9"/>
                        </w:rPr>
                        <w:t>, escenario medio</w:t>
                      </w:r>
                    </w:p>
                  </w:txbxContent>
                </v:textbox>
              </v:shape>
            </w:pict>
          </mc:Fallback>
        </mc:AlternateContent>
      </w:r>
    </w:p>
    <w:tbl>
      <w:tblPr>
        <w:tblStyle w:val="Tablaconcuadrcula4"/>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1"/>
        <w:gridCol w:w="5077"/>
      </w:tblGrid>
      <w:tr w:rsidR="0046218E" w:rsidRPr="00DF0E70" w14:paraId="0142C870" w14:textId="77777777" w:rsidTr="009701B8">
        <w:trPr>
          <w:trHeight w:val="3419"/>
          <w:jc w:val="center"/>
        </w:trPr>
        <w:tc>
          <w:tcPr>
            <w:tcW w:w="5271" w:type="dxa"/>
          </w:tcPr>
          <w:p w14:paraId="4EFC397F" w14:textId="71B556DE" w:rsidR="0046218E" w:rsidRPr="001749DD" w:rsidRDefault="001749DD" w:rsidP="001749DD">
            <w:pPr>
              <w:pStyle w:val="Descripcin"/>
              <w:keepNext/>
              <w:rPr>
                <w:color w:val="auto"/>
                <w:sz w:val="24"/>
                <w:szCs w:val="24"/>
              </w:rPr>
            </w:pPr>
            <w:bookmarkStart w:id="22" w:name="_Toc114493850"/>
            <w:r w:rsidRPr="001749DD">
              <w:rPr>
                <w:color w:val="auto"/>
                <w:sz w:val="24"/>
                <w:szCs w:val="24"/>
              </w:rPr>
              <w:t xml:space="preserve">Gráfico </w:t>
            </w:r>
            <w:r w:rsidRPr="001749DD">
              <w:rPr>
                <w:color w:val="auto"/>
              </w:rPr>
              <w:fldChar w:fldCharType="begin"/>
            </w:r>
            <w:r w:rsidRPr="001749DD">
              <w:rPr>
                <w:color w:val="auto"/>
                <w:sz w:val="24"/>
                <w:szCs w:val="24"/>
              </w:rPr>
              <w:instrText xml:space="preserve"> SEQ Gráfico \* ARABIC </w:instrText>
            </w:r>
            <w:r w:rsidRPr="001749DD">
              <w:rPr>
                <w:color w:val="auto"/>
              </w:rPr>
              <w:fldChar w:fldCharType="separate"/>
            </w:r>
            <w:r w:rsidR="002E7809">
              <w:rPr>
                <w:noProof/>
                <w:color w:val="auto"/>
                <w:sz w:val="24"/>
                <w:szCs w:val="24"/>
              </w:rPr>
              <w:t>8</w:t>
            </w:r>
            <w:r w:rsidRPr="001749DD">
              <w:rPr>
                <w:color w:val="auto"/>
              </w:rPr>
              <w:fldChar w:fldCharType="end"/>
            </w:r>
            <w:r w:rsidRPr="001749DD">
              <w:rPr>
                <w:color w:val="auto"/>
                <w:sz w:val="24"/>
                <w:szCs w:val="24"/>
              </w:rPr>
              <w:t xml:space="preserve">.  </w:t>
            </w:r>
            <w:r w:rsidR="0046218E" w:rsidRPr="001749DD">
              <w:rPr>
                <w:color w:val="auto"/>
                <w:sz w:val="24"/>
                <w:szCs w:val="24"/>
                <w:lang w:val="es-ES_tradnl" w:eastAsia="es-ES"/>
              </w:rPr>
              <w:t>Exportaciones FOB</w:t>
            </w:r>
            <w:bookmarkEnd w:id="22"/>
          </w:p>
          <w:p w14:paraId="3D368A17" w14:textId="3EBA77EE" w:rsidR="0046218E" w:rsidRPr="00DF0E70" w:rsidRDefault="0046218E" w:rsidP="00ED483A">
            <w:pPr>
              <w:keepNext/>
              <w:ind w:left="567" w:right="49"/>
              <w:jc w:val="center"/>
              <w:rPr>
                <w:b/>
                <w:sz w:val="18"/>
                <w:szCs w:val="18"/>
                <w:lang w:val="es-ES_tradnl" w:eastAsia="es-ES"/>
              </w:rPr>
            </w:pPr>
            <w:r w:rsidRPr="00DF0E70">
              <w:rPr>
                <w:bCs/>
                <w:sz w:val="18"/>
                <w:szCs w:val="18"/>
                <w:lang w:val="es-ES_tradnl" w:eastAsia="es-ES"/>
              </w:rPr>
              <w:t>Desviación de lo observado respecto a las proyecciones del 2021</w:t>
            </w:r>
            <w:r w:rsidR="001C0BBF" w:rsidRPr="00DF0E70">
              <w:rPr>
                <w:noProof/>
              </w:rPr>
              <w:drawing>
                <wp:inline distT="0" distB="0" distL="0" distR="0" wp14:anchorId="1297C991" wp14:editId="1AE00124">
                  <wp:extent cx="2799715" cy="1690778"/>
                  <wp:effectExtent l="0" t="0" r="635" b="508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9926FB" w14:textId="53139AEB" w:rsidR="00024B38" w:rsidRDefault="00870575" w:rsidP="001C0BBF">
            <w:pPr>
              <w:ind w:left="567" w:right="49"/>
              <w:jc w:val="both"/>
              <w:rPr>
                <w:bCs/>
                <w:sz w:val="16"/>
                <w:szCs w:val="9"/>
              </w:rPr>
            </w:pPr>
            <w:r w:rsidRPr="00B00C07">
              <w:rPr>
                <w:sz w:val="16"/>
                <w:szCs w:val="11"/>
                <w:lang w:val="es-ES_tradnl" w:eastAsia="es-ES"/>
              </w:rPr>
              <w:t xml:space="preserve">Fuente: </w:t>
            </w:r>
            <w:r w:rsidRPr="00B00C07">
              <w:rPr>
                <w:bCs/>
                <w:sz w:val="16"/>
                <w:szCs w:val="11"/>
                <w:lang w:val="es-ES_tradnl" w:eastAsia="es-ES"/>
              </w:rPr>
              <w:t xml:space="preserve"> Ministerio de Finanzas Públicas </w:t>
            </w:r>
            <w:r w:rsidRPr="00B00C07">
              <w:rPr>
                <w:sz w:val="16"/>
                <w:szCs w:val="11"/>
                <w:lang w:val="es-ES_tradnl" w:eastAsia="es-ES"/>
              </w:rPr>
              <w:t>con información de BANGUAT</w:t>
            </w:r>
          </w:p>
          <w:p w14:paraId="705C5CBC" w14:textId="35225374" w:rsidR="0046218E" w:rsidRPr="00DF0E70" w:rsidRDefault="0046218E" w:rsidP="001C0BBF">
            <w:pPr>
              <w:ind w:left="567" w:right="49"/>
              <w:jc w:val="both"/>
              <w:rPr>
                <w:sz w:val="24"/>
                <w:szCs w:val="24"/>
                <w:lang w:val="es-MX" w:eastAsia="es-ES"/>
              </w:rPr>
            </w:pPr>
          </w:p>
        </w:tc>
        <w:tc>
          <w:tcPr>
            <w:tcW w:w="5077" w:type="dxa"/>
          </w:tcPr>
          <w:p w14:paraId="225E83F9" w14:textId="4E1C144E" w:rsidR="0046218E" w:rsidRPr="001749DD" w:rsidRDefault="009701B8" w:rsidP="009701B8">
            <w:pPr>
              <w:pStyle w:val="Descripcin"/>
              <w:keepNext/>
              <w:tabs>
                <w:tab w:val="center" w:pos="2430"/>
              </w:tabs>
              <w:jc w:val="left"/>
              <w:rPr>
                <w:color w:val="auto"/>
                <w:sz w:val="24"/>
                <w:szCs w:val="24"/>
              </w:rPr>
            </w:pPr>
            <w:r>
              <w:rPr>
                <w:color w:val="auto"/>
                <w:sz w:val="24"/>
                <w:szCs w:val="24"/>
              </w:rPr>
              <w:t xml:space="preserve">       </w:t>
            </w:r>
            <w:bookmarkStart w:id="23" w:name="_Toc114493851"/>
            <w:r w:rsidR="001749DD" w:rsidRPr="001749DD">
              <w:rPr>
                <w:color w:val="auto"/>
                <w:sz w:val="24"/>
                <w:szCs w:val="24"/>
              </w:rPr>
              <w:t xml:space="preserve">Gráfico </w:t>
            </w:r>
            <w:r w:rsidR="001749DD" w:rsidRPr="001749DD">
              <w:rPr>
                <w:color w:val="auto"/>
              </w:rPr>
              <w:fldChar w:fldCharType="begin"/>
            </w:r>
            <w:r w:rsidR="001749DD" w:rsidRPr="001749DD">
              <w:rPr>
                <w:color w:val="auto"/>
                <w:sz w:val="24"/>
                <w:szCs w:val="24"/>
              </w:rPr>
              <w:instrText xml:space="preserve"> SEQ Gráfico \* ARABIC </w:instrText>
            </w:r>
            <w:r w:rsidR="001749DD" w:rsidRPr="001749DD">
              <w:rPr>
                <w:color w:val="auto"/>
              </w:rPr>
              <w:fldChar w:fldCharType="separate"/>
            </w:r>
            <w:r w:rsidR="002E7809">
              <w:rPr>
                <w:noProof/>
                <w:color w:val="auto"/>
                <w:sz w:val="24"/>
                <w:szCs w:val="24"/>
              </w:rPr>
              <w:t>9</w:t>
            </w:r>
            <w:r w:rsidR="001749DD" w:rsidRPr="001749DD">
              <w:rPr>
                <w:color w:val="auto"/>
              </w:rPr>
              <w:fldChar w:fldCharType="end"/>
            </w:r>
            <w:r w:rsidR="001749DD" w:rsidRPr="001749DD">
              <w:rPr>
                <w:color w:val="auto"/>
                <w:sz w:val="24"/>
                <w:szCs w:val="24"/>
              </w:rPr>
              <w:t xml:space="preserve">.  </w:t>
            </w:r>
            <w:r w:rsidR="0046218E" w:rsidRPr="001749DD">
              <w:rPr>
                <w:color w:val="auto"/>
                <w:sz w:val="24"/>
                <w:szCs w:val="24"/>
                <w:lang w:val="es-ES_tradnl" w:eastAsia="es-ES"/>
              </w:rPr>
              <w:t>Importaciones CIF</w:t>
            </w:r>
            <w:bookmarkEnd w:id="23"/>
          </w:p>
          <w:p w14:paraId="44AA403B" w14:textId="77777777" w:rsidR="009701B8" w:rsidRDefault="009701B8" w:rsidP="009701B8">
            <w:pPr>
              <w:keepNext/>
              <w:ind w:right="49"/>
              <w:rPr>
                <w:bCs/>
                <w:sz w:val="18"/>
                <w:szCs w:val="18"/>
                <w:lang w:val="es-ES_tradnl" w:eastAsia="es-ES"/>
              </w:rPr>
            </w:pPr>
            <w:r>
              <w:rPr>
                <w:bCs/>
                <w:sz w:val="18"/>
                <w:szCs w:val="18"/>
                <w:lang w:val="es-ES_tradnl" w:eastAsia="es-ES"/>
              </w:rPr>
              <w:t>D</w:t>
            </w:r>
            <w:r w:rsidR="0046218E" w:rsidRPr="00DF0E70">
              <w:rPr>
                <w:bCs/>
                <w:sz w:val="18"/>
                <w:szCs w:val="18"/>
                <w:lang w:val="es-ES_tradnl" w:eastAsia="es-ES"/>
              </w:rPr>
              <w:t>esviación de lo observado respecto a las proyecciones</w:t>
            </w:r>
          </w:p>
          <w:p w14:paraId="1EF99BAF" w14:textId="2759DA06" w:rsidR="0046218E" w:rsidRPr="00DF0E70" w:rsidRDefault="009701B8" w:rsidP="009701B8">
            <w:pPr>
              <w:keepNext/>
              <w:ind w:right="49"/>
              <w:rPr>
                <w:b/>
                <w:sz w:val="18"/>
                <w:szCs w:val="18"/>
                <w:lang w:val="es-ES_tradnl" w:eastAsia="es-ES"/>
              </w:rPr>
            </w:pPr>
            <w:r>
              <w:rPr>
                <w:bCs/>
                <w:sz w:val="18"/>
                <w:szCs w:val="18"/>
                <w:lang w:val="es-ES_tradnl" w:eastAsia="es-ES"/>
              </w:rPr>
              <w:t xml:space="preserve">                                     </w:t>
            </w:r>
            <w:r w:rsidR="0046218E" w:rsidRPr="00DF0E70">
              <w:rPr>
                <w:bCs/>
                <w:sz w:val="18"/>
                <w:szCs w:val="18"/>
                <w:lang w:val="es-ES_tradnl" w:eastAsia="es-ES"/>
              </w:rPr>
              <w:t xml:space="preserve"> del 2021</w:t>
            </w:r>
          </w:p>
          <w:p w14:paraId="68D65333" w14:textId="77777777" w:rsidR="0046218E" w:rsidRPr="00DF0E70" w:rsidRDefault="0046218E" w:rsidP="009701B8">
            <w:pPr>
              <w:keepNext/>
              <w:ind w:right="49"/>
              <w:jc w:val="both"/>
              <w:rPr>
                <w:b/>
                <w:color w:val="FFFFFF"/>
                <w:sz w:val="24"/>
                <w:szCs w:val="24"/>
                <w:lang w:val="es-ES_tradnl" w:eastAsia="es-ES"/>
              </w:rPr>
            </w:pPr>
            <w:r w:rsidRPr="00DF0E70">
              <w:rPr>
                <w:b/>
                <w:noProof/>
                <w:color w:val="0000FF"/>
              </w:rPr>
              <w:drawing>
                <wp:inline distT="0" distB="0" distL="0" distR="0" wp14:anchorId="6152CCF4" wp14:editId="4827B34F">
                  <wp:extent cx="2924810" cy="1768415"/>
                  <wp:effectExtent l="0" t="0" r="8890" b="381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7A101C4B" w14:textId="2D1BB725" w:rsidR="0046218E" w:rsidRPr="00712A78" w:rsidRDefault="0046218E" w:rsidP="0046218E">
      <w:pPr>
        <w:ind w:right="49"/>
        <w:jc w:val="both"/>
        <w:rPr>
          <w:rFonts w:eastAsia="Times New Roman"/>
          <w:bCs/>
          <w:lang w:val="es-MX"/>
        </w:rPr>
      </w:pPr>
      <w:r w:rsidRPr="00712A78">
        <w:rPr>
          <w:rFonts w:eastAsia="Times New Roman"/>
          <w:bCs/>
          <w:lang w:val="es-MX"/>
        </w:rPr>
        <w:t>Para el 2022 se prevé un crecimiento moderado en compa</w:t>
      </w:r>
      <w:r>
        <w:rPr>
          <w:rFonts w:eastAsia="Times New Roman"/>
          <w:bCs/>
          <w:lang w:val="es-MX"/>
        </w:rPr>
        <w:t>ra</w:t>
      </w:r>
      <w:r w:rsidRPr="00712A78">
        <w:rPr>
          <w:rFonts w:eastAsia="Times New Roman"/>
          <w:bCs/>
          <w:lang w:val="es-MX"/>
        </w:rPr>
        <w:t>ción al 2021</w:t>
      </w:r>
      <w:r>
        <w:rPr>
          <w:rFonts w:eastAsia="Times New Roman"/>
          <w:bCs/>
          <w:lang w:val="es-MX"/>
        </w:rPr>
        <w:t>,</w:t>
      </w:r>
      <w:r w:rsidRPr="00712A78">
        <w:rPr>
          <w:rFonts w:eastAsia="Times New Roman"/>
          <w:bCs/>
          <w:lang w:val="es-MX"/>
        </w:rPr>
        <w:t xml:space="preserve"> esto derivado a la normalización de la econom</w:t>
      </w:r>
      <w:r>
        <w:rPr>
          <w:rFonts w:eastAsia="Times New Roman"/>
          <w:bCs/>
          <w:lang w:val="es-MX"/>
        </w:rPr>
        <w:t>í</w:t>
      </w:r>
      <w:r w:rsidRPr="00712A78">
        <w:rPr>
          <w:rFonts w:eastAsia="Times New Roman"/>
          <w:bCs/>
          <w:lang w:val="es-MX"/>
        </w:rPr>
        <w:t>a luego de la fuerte ca</w:t>
      </w:r>
      <w:r>
        <w:rPr>
          <w:rFonts w:eastAsia="Times New Roman"/>
          <w:bCs/>
          <w:lang w:val="es-MX"/>
        </w:rPr>
        <w:t>í</w:t>
      </w:r>
      <w:r w:rsidRPr="00712A78">
        <w:rPr>
          <w:rFonts w:eastAsia="Times New Roman"/>
          <w:bCs/>
          <w:lang w:val="es-MX"/>
        </w:rPr>
        <w:t>da en 2020, el Ban</w:t>
      </w:r>
      <w:r>
        <w:rPr>
          <w:rFonts w:eastAsia="Times New Roman"/>
          <w:bCs/>
          <w:lang w:val="es-MX"/>
        </w:rPr>
        <w:t xml:space="preserve">guat al cierre de 2021 </w:t>
      </w:r>
      <w:r w:rsidRPr="00712A78">
        <w:rPr>
          <w:rFonts w:eastAsia="Times New Roman"/>
          <w:bCs/>
          <w:lang w:val="es-MX"/>
        </w:rPr>
        <w:t>pr</w:t>
      </w:r>
      <w:r>
        <w:rPr>
          <w:rFonts w:eastAsia="Times New Roman"/>
          <w:bCs/>
          <w:lang w:val="es-MX"/>
        </w:rPr>
        <w:t xml:space="preserve">oyectó, en su escenario medio, que la economía </w:t>
      </w:r>
      <w:r w:rsidRPr="00712A78">
        <w:rPr>
          <w:rFonts w:eastAsia="Times New Roman"/>
          <w:bCs/>
          <w:lang w:val="es-MX"/>
        </w:rPr>
        <w:t>crec</w:t>
      </w:r>
      <w:r>
        <w:rPr>
          <w:rFonts w:eastAsia="Times New Roman"/>
          <w:bCs/>
          <w:lang w:val="es-MX"/>
        </w:rPr>
        <w:t>ería</w:t>
      </w:r>
      <w:r w:rsidRPr="00712A78">
        <w:rPr>
          <w:rFonts w:eastAsia="Times New Roman"/>
          <w:bCs/>
          <w:lang w:val="es-MX"/>
        </w:rPr>
        <w:t xml:space="preserve"> 4.5% para </w:t>
      </w:r>
      <w:r>
        <w:rPr>
          <w:rFonts w:eastAsia="Times New Roman"/>
          <w:bCs/>
          <w:lang w:val="es-MX"/>
        </w:rPr>
        <w:t xml:space="preserve">2022 </w:t>
      </w:r>
      <w:r w:rsidRPr="00712A78">
        <w:rPr>
          <w:rFonts w:eastAsia="Times New Roman"/>
          <w:bCs/>
          <w:lang w:val="es-MX"/>
        </w:rPr>
        <w:t xml:space="preserve">apoyado por el aumento de la demanda </w:t>
      </w:r>
      <w:r w:rsidR="005601AC" w:rsidRPr="00712A78">
        <w:rPr>
          <w:rFonts w:eastAsia="Times New Roman"/>
          <w:bCs/>
          <w:lang w:val="es-MX"/>
        </w:rPr>
        <w:t>interna,</w:t>
      </w:r>
      <w:r w:rsidRPr="00712A78">
        <w:rPr>
          <w:rFonts w:eastAsia="Times New Roman"/>
          <w:bCs/>
          <w:lang w:val="es-MX"/>
        </w:rPr>
        <w:t xml:space="preserve"> aunque en menor medi</w:t>
      </w:r>
      <w:r>
        <w:rPr>
          <w:rFonts w:eastAsia="Times New Roman"/>
          <w:bCs/>
          <w:lang w:val="es-MX"/>
        </w:rPr>
        <w:t>da</w:t>
      </w:r>
      <w:r w:rsidRPr="00712A78">
        <w:rPr>
          <w:rFonts w:eastAsia="Times New Roman"/>
          <w:bCs/>
          <w:lang w:val="es-MX"/>
        </w:rPr>
        <w:t xml:space="preserve"> por la demanda externa; posteriormente mantuvo sin ninguna variación</w:t>
      </w:r>
      <w:r>
        <w:rPr>
          <w:rFonts w:eastAsia="Times New Roman"/>
          <w:bCs/>
          <w:lang w:val="es-MX"/>
        </w:rPr>
        <w:t xml:space="preserve"> su pronóstico</w:t>
      </w:r>
      <w:r w:rsidRPr="00712A78">
        <w:rPr>
          <w:rFonts w:eastAsia="Times New Roman"/>
          <w:bCs/>
          <w:lang w:val="es-MX"/>
        </w:rPr>
        <w:t xml:space="preserve"> en enero del 2022</w:t>
      </w:r>
      <w:r w:rsidR="00575B5F">
        <w:rPr>
          <w:rFonts w:eastAsia="Times New Roman"/>
          <w:bCs/>
          <w:lang w:val="es-MX"/>
        </w:rPr>
        <w:t>.</w:t>
      </w:r>
      <w:r w:rsidRPr="00712A78">
        <w:rPr>
          <w:rFonts w:eastAsia="Times New Roman"/>
          <w:bCs/>
          <w:lang w:val="es-MX"/>
        </w:rPr>
        <w:t xml:space="preserve"> </w:t>
      </w:r>
      <w:r w:rsidR="00575B5F">
        <w:rPr>
          <w:rFonts w:eastAsia="Times New Roman"/>
          <w:bCs/>
          <w:lang w:val="es-MX"/>
        </w:rPr>
        <w:t xml:space="preserve"> S</w:t>
      </w:r>
      <w:r w:rsidRPr="00712A78">
        <w:rPr>
          <w:rFonts w:eastAsia="Times New Roman"/>
          <w:bCs/>
          <w:lang w:val="es-MX"/>
        </w:rPr>
        <w:t>in embargo</w:t>
      </w:r>
      <w:r w:rsidR="00575B5F">
        <w:rPr>
          <w:rFonts w:eastAsia="Times New Roman"/>
          <w:bCs/>
          <w:lang w:val="es-MX"/>
        </w:rPr>
        <w:t>,</w:t>
      </w:r>
      <w:r w:rsidRPr="00712A78">
        <w:rPr>
          <w:rFonts w:eastAsia="Times New Roman"/>
          <w:bCs/>
          <w:lang w:val="es-MX"/>
        </w:rPr>
        <w:t xml:space="preserve"> en abril </w:t>
      </w:r>
      <w:r>
        <w:rPr>
          <w:rFonts w:eastAsia="Times New Roman"/>
          <w:bCs/>
          <w:lang w:val="es-MX"/>
        </w:rPr>
        <w:t>proyectó</w:t>
      </w:r>
      <w:r w:rsidRPr="00712A78">
        <w:rPr>
          <w:rFonts w:eastAsia="Times New Roman"/>
          <w:bCs/>
          <w:lang w:val="es-MX"/>
        </w:rPr>
        <w:t xml:space="preserve"> una leve reducción </w:t>
      </w:r>
      <w:r>
        <w:rPr>
          <w:rFonts w:eastAsia="Times New Roman"/>
          <w:bCs/>
          <w:lang w:val="es-MX"/>
        </w:rPr>
        <w:t>al ubicar el</w:t>
      </w:r>
      <w:r w:rsidRPr="00712A78">
        <w:rPr>
          <w:rFonts w:eastAsia="Times New Roman"/>
          <w:bCs/>
          <w:lang w:val="es-MX"/>
        </w:rPr>
        <w:t xml:space="preserve"> crec</w:t>
      </w:r>
      <w:r>
        <w:rPr>
          <w:rFonts w:eastAsia="Times New Roman"/>
          <w:bCs/>
          <w:lang w:val="es-MX"/>
        </w:rPr>
        <w:t>i</w:t>
      </w:r>
      <w:r w:rsidRPr="00712A78">
        <w:rPr>
          <w:rFonts w:eastAsia="Times New Roman"/>
          <w:bCs/>
          <w:lang w:val="es-MX"/>
        </w:rPr>
        <w:t>miento de 4.0</w:t>
      </w:r>
      <w:r>
        <w:rPr>
          <w:rFonts w:eastAsia="Times New Roman"/>
          <w:bCs/>
          <w:lang w:val="es-MX"/>
        </w:rPr>
        <w:t>%,</w:t>
      </w:r>
      <w:r w:rsidRPr="00712A78">
        <w:rPr>
          <w:rFonts w:eastAsia="Times New Roman"/>
          <w:bCs/>
          <w:lang w:val="es-MX"/>
        </w:rPr>
        <w:t xml:space="preserve"> es decir una variación a la baja de 0.5 puntos porcentuales respecto a lo indicado </w:t>
      </w:r>
      <w:r>
        <w:rPr>
          <w:rFonts w:eastAsia="Times New Roman"/>
          <w:bCs/>
          <w:lang w:val="es-MX"/>
        </w:rPr>
        <w:t>previamente</w:t>
      </w:r>
      <w:r w:rsidRPr="00712A78">
        <w:rPr>
          <w:rFonts w:eastAsia="Times New Roman"/>
          <w:bCs/>
          <w:lang w:val="es-MX"/>
        </w:rPr>
        <w:t>.</w:t>
      </w:r>
    </w:p>
    <w:p w14:paraId="571A5E82" w14:textId="77777777" w:rsidR="0046218E" w:rsidRPr="00712A78" w:rsidRDefault="0046218E" w:rsidP="0046218E">
      <w:pPr>
        <w:ind w:right="49"/>
        <w:jc w:val="both"/>
        <w:rPr>
          <w:rFonts w:eastAsia="Times New Roman"/>
          <w:bCs/>
          <w:lang w:val="es-MX"/>
        </w:rPr>
      </w:pPr>
    </w:p>
    <w:p w14:paraId="29A890F2" w14:textId="55F5D84E" w:rsidR="0046218E" w:rsidRPr="00712A78" w:rsidRDefault="0046218E" w:rsidP="0046218E">
      <w:pPr>
        <w:ind w:right="49"/>
        <w:jc w:val="both"/>
        <w:rPr>
          <w:rFonts w:eastAsia="Times New Roman"/>
          <w:bCs/>
          <w:lang w:val="es-MX"/>
        </w:rPr>
      </w:pPr>
      <w:r w:rsidRPr="00712A78">
        <w:rPr>
          <w:rFonts w:eastAsia="Times New Roman"/>
          <w:bCs/>
          <w:lang w:val="es-MX"/>
        </w:rPr>
        <w:t>De una igual forma</w:t>
      </w:r>
      <w:r>
        <w:rPr>
          <w:rFonts w:eastAsia="Times New Roman"/>
          <w:bCs/>
          <w:lang w:val="es-MX"/>
        </w:rPr>
        <w:t xml:space="preserve"> en </w:t>
      </w:r>
      <w:r w:rsidRPr="00712A78">
        <w:rPr>
          <w:rFonts w:eastAsia="Times New Roman"/>
          <w:bCs/>
          <w:lang w:val="es-MX"/>
        </w:rPr>
        <w:t>el PIB nominal</w:t>
      </w:r>
      <w:r>
        <w:rPr>
          <w:rFonts w:eastAsia="Times New Roman"/>
          <w:bCs/>
          <w:lang w:val="es-MX"/>
        </w:rPr>
        <w:t xml:space="preserve">, </w:t>
      </w:r>
      <w:r w:rsidRPr="00712A78">
        <w:rPr>
          <w:rFonts w:eastAsia="Times New Roman"/>
          <w:bCs/>
          <w:lang w:val="es-MX"/>
        </w:rPr>
        <w:t>el Ban</w:t>
      </w:r>
      <w:r>
        <w:rPr>
          <w:rFonts w:eastAsia="Times New Roman"/>
          <w:bCs/>
          <w:lang w:val="es-MX"/>
        </w:rPr>
        <w:t xml:space="preserve">guat </w:t>
      </w:r>
      <w:r w:rsidRPr="00712A78">
        <w:rPr>
          <w:rFonts w:eastAsia="Times New Roman"/>
          <w:bCs/>
          <w:lang w:val="es-MX"/>
        </w:rPr>
        <w:t>pronostic</w:t>
      </w:r>
      <w:r>
        <w:rPr>
          <w:rFonts w:eastAsia="Times New Roman"/>
          <w:bCs/>
          <w:lang w:val="es-MX"/>
        </w:rPr>
        <w:t>ó en diciembre de 2021 un crecimiento</w:t>
      </w:r>
      <w:r w:rsidRPr="00712A78">
        <w:rPr>
          <w:rFonts w:eastAsia="Times New Roman"/>
          <w:bCs/>
          <w:lang w:val="es-MX"/>
        </w:rPr>
        <w:t xml:space="preserve"> de 8.0% </w:t>
      </w:r>
      <w:r>
        <w:rPr>
          <w:rFonts w:eastAsia="Times New Roman"/>
          <w:bCs/>
          <w:lang w:val="es-MX"/>
        </w:rPr>
        <w:t>para</w:t>
      </w:r>
      <w:r w:rsidRPr="00712A78">
        <w:rPr>
          <w:rFonts w:eastAsia="Times New Roman"/>
          <w:bCs/>
          <w:lang w:val="es-MX"/>
        </w:rPr>
        <w:t xml:space="preserve"> 202</w:t>
      </w:r>
      <w:r>
        <w:rPr>
          <w:rFonts w:eastAsia="Times New Roman"/>
          <w:bCs/>
          <w:lang w:val="es-MX"/>
        </w:rPr>
        <w:t>2</w:t>
      </w:r>
      <w:r w:rsidRPr="00712A78">
        <w:rPr>
          <w:rFonts w:eastAsia="Times New Roman"/>
          <w:bCs/>
          <w:lang w:val="es-MX"/>
        </w:rPr>
        <w:t>, el cual</w:t>
      </w:r>
      <w:r>
        <w:rPr>
          <w:rFonts w:eastAsia="Times New Roman"/>
          <w:bCs/>
          <w:lang w:val="es-MX"/>
        </w:rPr>
        <w:t xml:space="preserve"> se</w:t>
      </w:r>
      <w:r w:rsidRPr="00712A78">
        <w:rPr>
          <w:rFonts w:eastAsia="Times New Roman"/>
          <w:bCs/>
          <w:lang w:val="es-MX"/>
        </w:rPr>
        <w:t xml:space="preserve"> mant</w:t>
      </w:r>
      <w:r>
        <w:rPr>
          <w:rFonts w:eastAsia="Times New Roman"/>
          <w:bCs/>
          <w:lang w:val="es-MX"/>
        </w:rPr>
        <w:t xml:space="preserve">uvo </w:t>
      </w:r>
      <w:r w:rsidRPr="00712A78">
        <w:rPr>
          <w:rFonts w:eastAsia="Times New Roman"/>
          <w:bCs/>
          <w:lang w:val="es-MX"/>
        </w:rPr>
        <w:t>invar</w:t>
      </w:r>
      <w:r>
        <w:rPr>
          <w:rFonts w:eastAsia="Times New Roman"/>
          <w:bCs/>
          <w:lang w:val="es-MX"/>
        </w:rPr>
        <w:t>iante</w:t>
      </w:r>
      <w:r w:rsidRPr="00712A78">
        <w:rPr>
          <w:rFonts w:eastAsia="Times New Roman"/>
          <w:bCs/>
          <w:lang w:val="es-MX"/>
        </w:rPr>
        <w:t xml:space="preserve"> en enero del 2022</w:t>
      </w:r>
      <w:r w:rsidR="008F6FA2">
        <w:rPr>
          <w:rFonts w:eastAsia="Times New Roman"/>
          <w:bCs/>
          <w:lang w:val="es-MX"/>
        </w:rPr>
        <w:t xml:space="preserve">. </w:t>
      </w:r>
      <w:r w:rsidRPr="00712A78">
        <w:rPr>
          <w:rFonts w:eastAsia="Times New Roman"/>
          <w:bCs/>
          <w:lang w:val="es-MX"/>
        </w:rPr>
        <w:t xml:space="preserve"> </w:t>
      </w:r>
      <w:r w:rsidR="008F6FA2">
        <w:rPr>
          <w:rFonts w:eastAsia="Times New Roman"/>
          <w:bCs/>
          <w:lang w:val="es-MX"/>
        </w:rPr>
        <w:t>S</w:t>
      </w:r>
      <w:r w:rsidRPr="00712A78">
        <w:rPr>
          <w:rFonts w:eastAsia="Times New Roman"/>
          <w:bCs/>
          <w:lang w:val="es-MX"/>
        </w:rPr>
        <w:t>in embargo, para abril disminuye leve</w:t>
      </w:r>
      <w:r>
        <w:rPr>
          <w:rFonts w:eastAsia="Times New Roman"/>
          <w:bCs/>
          <w:lang w:val="es-MX"/>
        </w:rPr>
        <w:t>mente</w:t>
      </w:r>
      <w:r w:rsidRPr="00712A78">
        <w:rPr>
          <w:rFonts w:eastAsia="Times New Roman"/>
          <w:bCs/>
          <w:lang w:val="es-MX"/>
        </w:rPr>
        <w:t xml:space="preserve"> dicho pro</w:t>
      </w:r>
      <w:r>
        <w:rPr>
          <w:rFonts w:eastAsia="Times New Roman"/>
          <w:bCs/>
          <w:lang w:val="es-MX"/>
        </w:rPr>
        <w:t>nó</w:t>
      </w:r>
      <w:r w:rsidRPr="00712A78">
        <w:rPr>
          <w:rFonts w:eastAsia="Times New Roman"/>
          <w:bCs/>
          <w:lang w:val="es-MX"/>
        </w:rPr>
        <w:t xml:space="preserve">stico al </w:t>
      </w:r>
      <w:r>
        <w:rPr>
          <w:rFonts w:eastAsia="Times New Roman"/>
          <w:bCs/>
          <w:lang w:val="es-MX"/>
        </w:rPr>
        <w:t>ubicar el</w:t>
      </w:r>
      <w:r w:rsidRPr="00712A78">
        <w:rPr>
          <w:rFonts w:eastAsia="Times New Roman"/>
          <w:bCs/>
          <w:lang w:val="es-MX"/>
        </w:rPr>
        <w:t xml:space="preserve"> crec</w:t>
      </w:r>
      <w:r>
        <w:rPr>
          <w:rFonts w:eastAsia="Times New Roman"/>
          <w:bCs/>
          <w:lang w:val="es-MX"/>
        </w:rPr>
        <w:t>i</w:t>
      </w:r>
      <w:r w:rsidRPr="00712A78">
        <w:rPr>
          <w:rFonts w:eastAsia="Times New Roman"/>
          <w:bCs/>
          <w:lang w:val="es-MX"/>
        </w:rPr>
        <w:t xml:space="preserve">miento </w:t>
      </w:r>
      <w:r>
        <w:rPr>
          <w:rFonts w:eastAsia="Times New Roman"/>
          <w:bCs/>
          <w:lang w:val="es-MX"/>
        </w:rPr>
        <w:t>en</w:t>
      </w:r>
      <w:r w:rsidRPr="00712A78">
        <w:rPr>
          <w:rFonts w:eastAsia="Times New Roman"/>
          <w:bCs/>
          <w:lang w:val="es-MX"/>
        </w:rPr>
        <w:t xml:space="preserve"> 7.7%</w:t>
      </w:r>
      <w:r>
        <w:rPr>
          <w:rFonts w:eastAsia="Times New Roman"/>
          <w:bCs/>
          <w:lang w:val="es-MX"/>
        </w:rPr>
        <w:t>,</w:t>
      </w:r>
      <w:r w:rsidRPr="00712A78">
        <w:rPr>
          <w:rFonts w:eastAsia="Times New Roman"/>
          <w:bCs/>
          <w:lang w:val="es-MX"/>
        </w:rPr>
        <w:t xml:space="preserve"> es decir</w:t>
      </w:r>
      <w:r>
        <w:rPr>
          <w:rFonts w:eastAsia="Times New Roman"/>
          <w:bCs/>
          <w:lang w:val="es-MX"/>
        </w:rPr>
        <w:t>,</w:t>
      </w:r>
      <w:r w:rsidRPr="00712A78">
        <w:rPr>
          <w:rFonts w:eastAsia="Times New Roman"/>
          <w:bCs/>
          <w:lang w:val="es-MX"/>
        </w:rPr>
        <w:t xml:space="preserve"> una reducción de 0.3 puntos porcentuales respecto del indicado </w:t>
      </w:r>
      <w:r>
        <w:rPr>
          <w:rFonts w:eastAsia="Times New Roman"/>
          <w:bCs/>
          <w:lang w:val="es-MX"/>
        </w:rPr>
        <w:t>previamente</w:t>
      </w:r>
      <w:r w:rsidRPr="00712A78">
        <w:rPr>
          <w:rFonts w:eastAsia="Times New Roman"/>
          <w:bCs/>
          <w:lang w:val="es-MX"/>
        </w:rPr>
        <w:t xml:space="preserve"> derivado </w:t>
      </w:r>
      <w:r>
        <w:rPr>
          <w:rFonts w:eastAsia="Times New Roman"/>
          <w:bCs/>
          <w:lang w:val="es-MX"/>
        </w:rPr>
        <w:t>de</w:t>
      </w:r>
      <w:r w:rsidRPr="00712A78">
        <w:rPr>
          <w:rFonts w:eastAsia="Times New Roman"/>
          <w:bCs/>
          <w:lang w:val="es-MX"/>
        </w:rPr>
        <w:t xml:space="preserve"> la percepción de la desaceleración del crec</w:t>
      </w:r>
      <w:r>
        <w:rPr>
          <w:rFonts w:eastAsia="Times New Roman"/>
          <w:bCs/>
          <w:lang w:val="es-MX"/>
        </w:rPr>
        <w:t>i</w:t>
      </w:r>
      <w:r w:rsidRPr="00712A78">
        <w:rPr>
          <w:rFonts w:eastAsia="Times New Roman"/>
          <w:bCs/>
          <w:lang w:val="es-MX"/>
        </w:rPr>
        <w:t xml:space="preserve">miento </w:t>
      </w:r>
      <w:r>
        <w:rPr>
          <w:rFonts w:eastAsia="Times New Roman"/>
          <w:bCs/>
          <w:lang w:val="es-MX"/>
        </w:rPr>
        <w:t xml:space="preserve">económico </w:t>
      </w:r>
      <w:r w:rsidRPr="00712A78">
        <w:rPr>
          <w:rFonts w:eastAsia="Times New Roman"/>
          <w:bCs/>
          <w:lang w:val="es-MX"/>
        </w:rPr>
        <w:t>a nivel mundial.</w:t>
      </w:r>
    </w:p>
    <w:p w14:paraId="42CD6716" w14:textId="77777777" w:rsidR="0046218E" w:rsidRPr="00870575" w:rsidRDefault="0046218E" w:rsidP="0046218E">
      <w:pPr>
        <w:ind w:left="567" w:right="49"/>
        <w:jc w:val="both"/>
        <w:rPr>
          <w:rFonts w:eastAsia="Times New Roman"/>
          <w:noProof/>
          <w:lang w:val="es-ES_tradnl" w:eastAsia="es-ES"/>
        </w:rPr>
      </w:pPr>
    </w:p>
    <w:tbl>
      <w:tblPr>
        <w:tblStyle w:val="Tablaconcuadrcula31"/>
        <w:tblpPr w:leftFromText="180" w:rightFromText="180" w:vertAnchor="text" w:horzAnchor="page" w:tblpXSpec="center" w:tblpY="56"/>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922"/>
      </w:tblGrid>
      <w:tr w:rsidR="0046218E" w:rsidRPr="000A52B4" w14:paraId="474272DD" w14:textId="77777777" w:rsidTr="00ED483A">
        <w:trPr>
          <w:trHeight w:val="2977"/>
        </w:trPr>
        <w:tc>
          <w:tcPr>
            <w:tcW w:w="4588" w:type="dxa"/>
          </w:tcPr>
          <w:p w14:paraId="44AB6624" w14:textId="575F5F59" w:rsidR="0046218E" w:rsidRPr="000A52B4" w:rsidRDefault="001749DD" w:rsidP="001749DD">
            <w:pPr>
              <w:pStyle w:val="Descripcin"/>
              <w:keepNext/>
              <w:rPr>
                <w:color w:val="auto"/>
                <w:sz w:val="24"/>
                <w:szCs w:val="24"/>
              </w:rPr>
            </w:pPr>
            <w:bookmarkStart w:id="24" w:name="_Toc114493852"/>
            <w:r w:rsidRPr="000A52B4">
              <w:rPr>
                <w:color w:val="auto"/>
                <w:sz w:val="24"/>
                <w:szCs w:val="24"/>
              </w:rPr>
              <w:t xml:space="preserve">Gráfico </w:t>
            </w:r>
            <w:r w:rsidRPr="000A52B4">
              <w:rPr>
                <w:color w:val="auto"/>
              </w:rPr>
              <w:fldChar w:fldCharType="begin"/>
            </w:r>
            <w:r w:rsidRPr="000A52B4">
              <w:rPr>
                <w:color w:val="auto"/>
                <w:sz w:val="24"/>
                <w:szCs w:val="24"/>
              </w:rPr>
              <w:instrText xml:space="preserve"> SEQ Gráfico \* ARABIC </w:instrText>
            </w:r>
            <w:r w:rsidRPr="000A52B4">
              <w:rPr>
                <w:color w:val="auto"/>
              </w:rPr>
              <w:fldChar w:fldCharType="separate"/>
            </w:r>
            <w:r w:rsidR="002E7809">
              <w:rPr>
                <w:noProof/>
                <w:color w:val="auto"/>
                <w:sz w:val="24"/>
                <w:szCs w:val="24"/>
              </w:rPr>
              <w:t>10</w:t>
            </w:r>
            <w:r w:rsidRPr="000A52B4">
              <w:rPr>
                <w:color w:val="auto"/>
              </w:rPr>
              <w:fldChar w:fldCharType="end"/>
            </w:r>
            <w:r w:rsidRPr="000A52B4">
              <w:rPr>
                <w:color w:val="auto"/>
                <w:sz w:val="24"/>
                <w:szCs w:val="24"/>
              </w:rPr>
              <w:t xml:space="preserve">.  </w:t>
            </w:r>
            <w:r w:rsidRPr="000A52B4">
              <w:rPr>
                <w:color w:val="auto"/>
                <w:sz w:val="24"/>
                <w:szCs w:val="24"/>
                <w:lang w:val="es-ES_tradnl" w:eastAsia="es-ES"/>
              </w:rPr>
              <w:t xml:space="preserve">Pronóstico del PIB </w:t>
            </w:r>
            <w:r w:rsidR="0046218E" w:rsidRPr="000A52B4">
              <w:rPr>
                <w:color w:val="auto"/>
                <w:sz w:val="24"/>
                <w:szCs w:val="24"/>
                <w:lang w:val="es-ES_tradnl" w:eastAsia="es-ES"/>
              </w:rPr>
              <w:t>real de 2022</w:t>
            </w:r>
            <w:bookmarkEnd w:id="24"/>
          </w:p>
          <w:p w14:paraId="7E7A4652" w14:textId="77777777" w:rsidR="0046218E" w:rsidRPr="000A52B4" w:rsidRDefault="0046218E" w:rsidP="00ED483A">
            <w:pPr>
              <w:rPr>
                <w:lang w:val="es-ES_tradnl" w:eastAsia="es-ES"/>
              </w:rPr>
            </w:pPr>
            <w:r w:rsidRPr="000A52B4">
              <w:rPr>
                <w:noProof/>
                <w:shd w:val="clear" w:color="auto" w:fill="2F5496" w:themeFill="accent1" w:themeFillShade="BF"/>
              </w:rPr>
              <w:drawing>
                <wp:inline distT="0" distB="0" distL="0" distR="0" wp14:anchorId="109AEC4A" wp14:editId="1790B351">
                  <wp:extent cx="2622550" cy="1906438"/>
                  <wp:effectExtent l="0" t="0" r="635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922" w:type="dxa"/>
          </w:tcPr>
          <w:p w14:paraId="00C50A29" w14:textId="50776AD9" w:rsidR="0046218E" w:rsidRPr="000A52B4" w:rsidRDefault="001749DD" w:rsidP="001749DD">
            <w:pPr>
              <w:pStyle w:val="Descripcin"/>
              <w:keepNext/>
              <w:rPr>
                <w:color w:val="auto"/>
                <w:sz w:val="24"/>
                <w:szCs w:val="24"/>
              </w:rPr>
            </w:pPr>
            <w:bookmarkStart w:id="25" w:name="_Toc114493853"/>
            <w:r w:rsidRPr="000A52B4">
              <w:rPr>
                <w:color w:val="auto"/>
                <w:sz w:val="24"/>
                <w:szCs w:val="24"/>
              </w:rPr>
              <w:t xml:space="preserve">Gráfico </w:t>
            </w:r>
            <w:r w:rsidRPr="000A52B4">
              <w:rPr>
                <w:color w:val="auto"/>
              </w:rPr>
              <w:fldChar w:fldCharType="begin"/>
            </w:r>
            <w:r w:rsidRPr="000A52B4">
              <w:rPr>
                <w:color w:val="auto"/>
                <w:sz w:val="24"/>
                <w:szCs w:val="24"/>
              </w:rPr>
              <w:instrText xml:space="preserve"> SEQ Gráfico \* ARABIC </w:instrText>
            </w:r>
            <w:r w:rsidRPr="000A52B4">
              <w:rPr>
                <w:color w:val="auto"/>
              </w:rPr>
              <w:fldChar w:fldCharType="separate"/>
            </w:r>
            <w:r w:rsidR="002E7809">
              <w:rPr>
                <w:noProof/>
                <w:color w:val="auto"/>
                <w:sz w:val="24"/>
                <w:szCs w:val="24"/>
              </w:rPr>
              <w:t>11</w:t>
            </w:r>
            <w:r w:rsidRPr="000A52B4">
              <w:rPr>
                <w:color w:val="auto"/>
              </w:rPr>
              <w:fldChar w:fldCharType="end"/>
            </w:r>
            <w:r w:rsidRPr="000A52B4">
              <w:rPr>
                <w:color w:val="auto"/>
                <w:sz w:val="24"/>
                <w:szCs w:val="24"/>
              </w:rPr>
              <w:t xml:space="preserve">.  </w:t>
            </w:r>
            <w:r w:rsidRPr="000A52B4">
              <w:rPr>
                <w:color w:val="auto"/>
                <w:sz w:val="24"/>
                <w:szCs w:val="24"/>
                <w:lang w:val="es-ES_tradnl" w:eastAsia="es-ES"/>
              </w:rPr>
              <w:t xml:space="preserve">Pronóstico del PIB </w:t>
            </w:r>
            <w:r w:rsidR="0046218E" w:rsidRPr="000A52B4">
              <w:rPr>
                <w:color w:val="auto"/>
                <w:sz w:val="24"/>
                <w:szCs w:val="24"/>
                <w:lang w:val="es-ES_tradnl" w:eastAsia="es-ES"/>
              </w:rPr>
              <w:t>nominal de 2022</w:t>
            </w:r>
            <w:bookmarkEnd w:id="25"/>
          </w:p>
          <w:p w14:paraId="22238217" w14:textId="77777777" w:rsidR="0046218E" w:rsidRPr="000A52B4" w:rsidRDefault="0046218E" w:rsidP="00ED483A">
            <w:pPr>
              <w:ind w:right="49"/>
              <w:jc w:val="both"/>
              <w:rPr>
                <w:noProof/>
                <w:lang w:val="es-ES_tradnl" w:eastAsia="es-ES"/>
              </w:rPr>
            </w:pPr>
            <w:r w:rsidRPr="000A52B4">
              <w:rPr>
                <w:noProof/>
              </w:rPr>
              <w:drawing>
                <wp:inline distT="0" distB="0" distL="0" distR="0" wp14:anchorId="7A26F73E" wp14:editId="25732DB0">
                  <wp:extent cx="2743200" cy="1846053"/>
                  <wp:effectExtent l="0" t="0" r="0" b="1905"/>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6218E" w:rsidRPr="00B00C07" w14:paraId="72D5248B" w14:textId="77777777" w:rsidTr="00ED483A">
        <w:trPr>
          <w:trHeight w:val="288"/>
        </w:trPr>
        <w:tc>
          <w:tcPr>
            <w:tcW w:w="9510" w:type="dxa"/>
            <w:gridSpan w:val="2"/>
          </w:tcPr>
          <w:p w14:paraId="5B3D6AB4" w14:textId="59FB7D20" w:rsidR="0046218E" w:rsidRPr="000A52B4" w:rsidRDefault="009701B8" w:rsidP="00ED483A">
            <w:pPr>
              <w:ind w:right="49"/>
              <w:rPr>
                <w:sz w:val="16"/>
                <w:szCs w:val="11"/>
                <w:lang w:val="es-ES_tradnl" w:eastAsia="es-ES"/>
              </w:rPr>
            </w:pPr>
            <w:r w:rsidRPr="000A52B4">
              <w:rPr>
                <w:sz w:val="16"/>
                <w:szCs w:val="11"/>
                <w:lang w:val="es-ES_tradnl" w:eastAsia="es-ES"/>
              </w:rPr>
              <w:t xml:space="preserve">        </w:t>
            </w:r>
            <w:r w:rsidR="0046218E" w:rsidRPr="000A52B4">
              <w:rPr>
                <w:sz w:val="16"/>
                <w:szCs w:val="11"/>
                <w:lang w:val="es-ES_tradnl" w:eastAsia="es-ES"/>
              </w:rPr>
              <w:t xml:space="preserve">Fuente: </w:t>
            </w:r>
            <w:r w:rsidR="0046218E" w:rsidRPr="000A52B4">
              <w:rPr>
                <w:bCs/>
                <w:sz w:val="16"/>
                <w:szCs w:val="11"/>
                <w:lang w:val="es-ES_tradnl" w:eastAsia="es-ES"/>
              </w:rPr>
              <w:t xml:space="preserve"> Ministerio de Finanzas Públicas </w:t>
            </w:r>
            <w:r w:rsidR="0046218E" w:rsidRPr="000A52B4">
              <w:rPr>
                <w:sz w:val="16"/>
                <w:szCs w:val="11"/>
                <w:lang w:val="es-ES_tradnl" w:eastAsia="es-ES"/>
              </w:rPr>
              <w:t>con información de BANGUAT</w:t>
            </w:r>
          </w:p>
          <w:p w14:paraId="5E335873" w14:textId="22633899" w:rsidR="0046218E" w:rsidRPr="00B00C07" w:rsidRDefault="009701B8" w:rsidP="00ED483A">
            <w:pPr>
              <w:ind w:right="49"/>
              <w:rPr>
                <w:sz w:val="24"/>
                <w:szCs w:val="24"/>
                <w:lang w:val="es-MX" w:eastAsia="es-ES"/>
              </w:rPr>
            </w:pPr>
            <w:r w:rsidRPr="000A52B4">
              <w:rPr>
                <w:sz w:val="16"/>
                <w:szCs w:val="11"/>
                <w:lang w:val="es-ES_tradnl" w:eastAsia="es-ES"/>
              </w:rPr>
              <w:t xml:space="preserve">        </w:t>
            </w:r>
            <w:r w:rsidR="0046218E" w:rsidRPr="000A52B4">
              <w:rPr>
                <w:sz w:val="16"/>
                <w:szCs w:val="11"/>
                <w:lang w:val="es-ES_tradnl" w:eastAsia="es-ES"/>
              </w:rPr>
              <w:t>Nota: La desviación es con respecto al pronóstico de diciembre de 2021, escenario medio</w:t>
            </w:r>
          </w:p>
        </w:tc>
      </w:tr>
    </w:tbl>
    <w:p w14:paraId="6BCC80DC" w14:textId="77777777" w:rsidR="001749DD" w:rsidRPr="001C0BBF" w:rsidRDefault="001749DD" w:rsidP="0046218E">
      <w:pPr>
        <w:ind w:right="49"/>
        <w:jc w:val="both"/>
        <w:rPr>
          <w:rFonts w:eastAsia="Times New Roman"/>
          <w:bCs/>
          <w:sz w:val="14"/>
        </w:rPr>
      </w:pPr>
    </w:p>
    <w:p w14:paraId="1E39E11B" w14:textId="56A1BB56" w:rsidR="00024B38" w:rsidRDefault="00024B38" w:rsidP="00024B38">
      <w:pPr>
        <w:ind w:right="49"/>
        <w:jc w:val="both"/>
        <w:rPr>
          <w:rFonts w:eastAsia="Times New Roman"/>
          <w:bCs/>
          <w:sz w:val="14"/>
        </w:rPr>
      </w:pPr>
    </w:p>
    <w:p w14:paraId="159CABB6" w14:textId="1AB55F40" w:rsidR="00D00AD0" w:rsidRDefault="00D00AD0" w:rsidP="00024B38">
      <w:pPr>
        <w:ind w:right="49"/>
        <w:jc w:val="both"/>
        <w:rPr>
          <w:rFonts w:eastAsia="Times New Roman"/>
          <w:bCs/>
          <w:sz w:val="14"/>
        </w:rPr>
      </w:pPr>
    </w:p>
    <w:p w14:paraId="3B13E34E" w14:textId="5E217527" w:rsidR="00D00AD0" w:rsidRDefault="00D00AD0" w:rsidP="00024B38">
      <w:pPr>
        <w:ind w:right="49"/>
        <w:jc w:val="both"/>
        <w:rPr>
          <w:rFonts w:eastAsia="Times New Roman"/>
          <w:bCs/>
          <w:sz w:val="14"/>
        </w:rPr>
      </w:pPr>
    </w:p>
    <w:p w14:paraId="44984EBB" w14:textId="3B10692F" w:rsidR="00D00AD0" w:rsidRDefault="00D00AD0" w:rsidP="00024B38">
      <w:pPr>
        <w:ind w:right="49"/>
        <w:jc w:val="both"/>
        <w:rPr>
          <w:rFonts w:eastAsia="Times New Roman"/>
          <w:bCs/>
          <w:sz w:val="14"/>
        </w:rPr>
      </w:pPr>
    </w:p>
    <w:p w14:paraId="7FA00A6F" w14:textId="77777777" w:rsidR="00D00AD0" w:rsidRPr="001C0BBF" w:rsidRDefault="00D00AD0" w:rsidP="00024B38">
      <w:pPr>
        <w:ind w:right="49"/>
        <w:jc w:val="both"/>
        <w:rPr>
          <w:rFonts w:eastAsia="Times New Roman"/>
          <w:bCs/>
          <w:sz w:val="14"/>
        </w:rPr>
      </w:pPr>
    </w:p>
    <w:tbl>
      <w:tblPr>
        <w:tblW w:w="878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789"/>
      </w:tblGrid>
      <w:tr w:rsidR="00024B38" w:rsidRPr="00110545" w14:paraId="677BF1BA" w14:textId="77777777" w:rsidTr="00C43CBD">
        <w:tc>
          <w:tcPr>
            <w:tcW w:w="8789" w:type="dxa"/>
            <w:shd w:val="clear" w:color="auto" w:fill="B4C6E7" w:themeFill="accent1" w:themeFillTint="66"/>
          </w:tcPr>
          <w:p w14:paraId="2D7D9936" w14:textId="68D1623E" w:rsidR="00024B38" w:rsidRPr="00024B38" w:rsidRDefault="005601AC" w:rsidP="005601AC">
            <w:pPr>
              <w:pStyle w:val="Descripcin"/>
              <w:rPr>
                <w:rFonts w:eastAsia="Times New Roman"/>
                <w:b w:val="0"/>
                <w:bCs/>
                <w:sz w:val="22"/>
                <w:szCs w:val="22"/>
              </w:rPr>
            </w:pPr>
            <w:bookmarkStart w:id="26" w:name="_Toc114481728"/>
            <w:r w:rsidRPr="005601AC">
              <w:rPr>
                <w:color w:val="auto"/>
              </w:rPr>
              <w:t xml:space="preserve">Recuadro </w:t>
            </w:r>
            <w:r w:rsidRPr="005601AC">
              <w:rPr>
                <w:color w:val="auto"/>
              </w:rPr>
              <w:fldChar w:fldCharType="begin"/>
            </w:r>
            <w:r w:rsidRPr="005601AC">
              <w:rPr>
                <w:color w:val="auto"/>
              </w:rPr>
              <w:instrText xml:space="preserve"> SEQ Recuadro \* ARABIC </w:instrText>
            </w:r>
            <w:r w:rsidRPr="005601AC">
              <w:rPr>
                <w:color w:val="auto"/>
              </w:rPr>
              <w:fldChar w:fldCharType="separate"/>
            </w:r>
            <w:r w:rsidR="002E7809">
              <w:rPr>
                <w:noProof/>
                <w:color w:val="auto"/>
              </w:rPr>
              <w:t>1</w:t>
            </w:r>
            <w:r w:rsidRPr="005601AC">
              <w:rPr>
                <w:color w:val="auto"/>
              </w:rPr>
              <w:fldChar w:fldCharType="end"/>
            </w:r>
            <w:r w:rsidRPr="005601AC">
              <w:rPr>
                <w:color w:val="auto"/>
              </w:rPr>
              <w:t>.  Escenario medio de crecimiento económico bajo incertidumbre</w:t>
            </w:r>
            <w:bookmarkEnd w:id="26"/>
          </w:p>
          <w:p w14:paraId="466B7346" w14:textId="77777777" w:rsidR="00024B38" w:rsidRPr="00024B38" w:rsidRDefault="00024B38" w:rsidP="00C43CBD">
            <w:pPr>
              <w:widowControl/>
              <w:jc w:val="center"/>
              <w:rPr>
                <w:rFonts w:eastAsia="Times New Roman"/>
                <w:b/>
                <w:bCs/>
                <w:sz w:val="22"/>
                <w:szCs w:val="22"/>
              </w:rPr>
            </w:pPr>
          </w:p>
          <w:p w14:paraId="23322949" w14:textId="4F7740DB" w:rsidR="00024B38" w:rsidRPr="00024B38" w:rsidRDefault="00024B38" w:rsidP="00C43CBD">
            <w:pPr>
              <w:widowControl/>
              <w:jc w:val="both"/>
              <w:rPr>
                <w:rFonts w:eastAsia="Times New Roman"/>
                <w:sz w:val="22"/>
                <w:szCs w:val="22"/>
              </w:rPr>
            </w:pPr>
            <w:r w:rsidRPr="00024B38">
              <w:rPr>
                <w:rFonts w:eastAsia="Times New Roman"/>
                <w:sz w:val="22"/>
                <w:szCs w:val="22"/>
              </w:rPr>
              <w:t xml:space="preserve">Según las perspectivas económicas del primer semestre de 2021 y después de la contracción observada en el PIB en 2020 por las medidas sanitarias para detener la propagación del COVID-19 en el mundo y de la recuperación económica del 2021, el Banco de Guatemala prevé que el impulso </w:t>
            </w:r>
            <w:r w:rsidR="005601AC" w:rsidRPr="00024B38">
              <w:rPr>
                <w:rFonts w:eastAsia="Times New Roman"/>
                <w:sz w:val="22"/>
                <w:szCs w:val="22"/>
              </w:rPr>
              <w:t>continúe</w:t>
            </w:r>
            <w:r w:rsidRPr="00024B38">
              <w:rPr>
                <w:rFonts w:eastAsia="Times New Roman"/>
                <w:sz w:val="22"/>
                <w:szCs w:val="22"/>
              </w:rPr>
              <w:t xml:space="preserve"> en el segundo semestre de 2022 pero de una forma más moderada, de tal manera que el crecimiento del 2022 se ubique de 3.0% a 5.0%. Para la elaboración de las proyecciones fiscales de mediano plazo se consideró el escenario bajo de 2022-2027, de tal manera que se espera que el crecimiento económico este alrededor de 2.5% a 2.7% hasta 2027.</w:t>
            </w:r>
          </w:p>
          <w:p w14:paraId="56669BBA" w14:textId="77777777" w:rsidR="00024B38" w:rsidRPr="00024B38" w:rsidRDefault="00024B38" w:rsidP="00C43CBD">
            <w:pPr>
              <w:widowControl/>
              <w:jc w:val="both"/>
              <w:rPr>
                <w:rFonts w:eastAsia="Times New Roman"/>
                <w:sz w:val="22"/>
                <w:szCs w:val="22"/>
              </w:rPr>
            </w:pPr>
          </w:p>
          <w:p w14:paraId="39710FFA" w14:textId="595C72AE" w:rsidR="00024B38" w:rsidRPr="00024B38" w:rsidRDefault="00024B38" w:rsidP="00C43CBD">
            <w:pPr>
              <w:widowControl/>
              <w:jc w:val="both"/>
              <w:rPr>
                <w:rFonts w:eastAsia="Times New Roman"/>
                <w:sz w:val="22"/>
                <w:szCs w:val="22"/>
              </w:rPr>
            </w:pPr>
            <w:r w:rsidRPr="00024B38">
              <w:rPr>
                <w:rFonts w:eastAsia="Times New Roman"/>
                <w:sz w:val="22"/>
                <w:szCs w:val="22"/>
              </w:rPr>
              <w:t>Sin embargo, el extenso conflicto entre Rusia y Ucrania ha tenido un impacto negativo en la economía mundial por el aumento de precios de las materias prima de agricultura y de energía, lo que ha tenido repercusiones en niveles muy altos de inflación en la mayoría de las economías. Asimismo, dicha inflación disminuye el ingreso real de los hogares y ha llevado a los bancos centrales a aumentar las tasas de interés de política monetaria causando una disminución de la demanda interna de los países y una disminución de la demanda externa de los principales socios comerciales que podría afectar también el desempeño de la economía nacional en el segundo semestre.</w:t>
            </w:r>
            <w:r w:rsidR="00850294">
              <w:rPr>
                <w:rFonts w:eastAsia="Times New Roman"/>
                <w:sz w:val="22"/>
                <w:szCs w:val="22"/>
              </w:rPr>
              <w:t xml:space="preserve"> </w:t>
            </w:r>
            <w:r w:rsidRPr="00024B38">
              <w:rPr>
                <w:rFonts w:eastAsia="Times New Roman"/>
                <w:sz w:val="22"/>
                <w:szCs w:val="22"/>
              </w:rPr>
              <w:t>Por otro lado, el surgimiento de variantes de COVID-19 con mayor transmisibilidad, letalidad y que las vacunas actuales sean menos eficaces ante ellas, podrían llevar a los gobiernos a adoptar nuevamente medidas de contención que afectarían también el desempeño de la economía, entre otros posibles factores de riesgos. Por lo que, es importante considerar posibles factores puedan afectar las proyecciones económicas del 2022-2027 consideradas en el escenario base del diseño de la política fiscal.</w:t>
            </w:r>
          </w:p>
          <w:p w14:paraId="417EC8C1" w14:textId="77777777" w:rsidR="00024B38" w:rsidRPr="00024B38" w:rsidRDefault="00024B38" w:rsidP="00C43CBD">
            <w:pPr>
              <w:widowControl/>
              <w:jc w:val="both"/>
              <w:rPr>
                <w:rFonts w:eastAsia="Times New Roman"/>
                <w:sz w:val="22"/>
                <w:szCs w:val="22"/>
              </w:rPr>
            </w:pPr>
          </w:p>
          <w:p w14:paraId="37E87346" w14:textId="77777777" w:rsidR="00024B38" w:rsidRPr="00024B38" w:rsidRDefault="00024B38" w:rsidP="00C43CBD">
            <w:pPr>
              <w:widowControl/>
              <w:jc w:val="both"/>
              <w:rPr>
                <w:rFonts w:eastAsiaTheme="minorEastAsia"/>
                <w:sz w:val="22"/>
                <w:szCs w:val="22"/>
              </w:rPr>
            </w:pPr>
            <w:r w:rsidRPr="00024B38">
              <w:rPr>
                <w:rFonts w:eastAsia="Times New Roman"/>
                <w:sz w:val="22"/>
                <w:szCs w:val="22"/>
              </w:rPr>
              <w:t xml:space="preserve">Para medir los factores múltiples que pueden afectar las trayectorias del crecimiento económico se consideró como base una metodología trabajada con la asistencia técnica del Fondo Monetario Internacional para la elaboración de Fan Charts y siguiendo de cerca el trabajo de  </w:t>
            </w:r>
            <w:r w:rsidRPr="00024B38">
              <w:rPr>
                <w:rFonts w:eastAsia="Times New Roman"/>
                <w:sz w:val="22"/>
                <w:szCs w:val="22"/>
              </w:rPr>
              <w:fldChar w:fldCharType="begin"/>
            </w:r>
            <w:r w:rsidRPr="00024B38">
              <w:rPr>
                <w:rFonts w:eastAsia="Times New Roman"/>
                <w:sz w:val="22"/>
                <w:szCs w:val="22"/>
              </w:rPr>
              <w:instrText xml:space="preserve"> CITATION Jul07 \l 4106 </w:instrText>
            </w:r>
            <w:r w:rsidRPr="00024B38">
              <w:rPr>
                <w:rFonts w:eastAsia="Times New Roman"/>
                <w:sz w:val="22"/>
                <w:szCs w:val="22"/>
              </w:rPr>
              <w:fldChar w:fldCharType="separate"/>
            </w:r>
            <w:r w:rsidRPr="00024B38">
              <w:rPr>
                <w:rFonts w:eastAsia="Times New Roman"/>
                <w:noProof/>
                <w:sz w:val="22"/>
                <w:szCs w:val="22"/>
              </w:rPr>
              <w:t>(Julio, 2007)</w:t>
            </w:r>
            <w:r w:rsidRPr="00024B38">
              <w:rPr>
                <w:rFonts w:eastAsia="Times New Roman"/>
                <w:sz w:val="22"/>
                <w:szCs w:val="22"/>
              </w:rPr>
              <w:fldChar w:fldCharType="end"/>
            </w:r>
            <w:r w:rsidRPr="00024B38">
              <w:rPr>
                <w:rFonts w:eastAsia="Times New Roman"/>
                <w:sz w:val="22"/>
                <w:szCs w:val="22"/>
              </w:rPr>
              <w:t>. El procedimiento consiste en tomar como base para cada periodo de pronósticos una distribución normal en partes como se muestra en la expresión (</w:t>
            </w:r>
            <w:r w:rsidRPr="00024B38">
              <w:rPr>
                <w:rFonts w:eastAsia="Times New Roman"/>
                <w:color w:val="000000" w:themeColor="text1"/>
                <w:sz w:val="22"/>
                <w:szCs w:val="22"/>
              </w:rPr>
              <w:t>1),</w:t>
            </w:r>
            <w:r w:rsidRPr="00024B38">
              <w:rPr>
                <w:rFonts w:eastAsia="Times New Roman"/>
                <w:color w:val="FF0000"/>
                <w:sz w:val="22"/>
                <w:szCs w:val="22"/>
              </w:rPr>
              <w:t xml:space="preserve"> </w:t>
            </w:r>
            <w:r w:rsidRPr="00024B38">
              <w:rPr>
                <w:rFonts w:eastAsia="Times New Roman"/>
                <w:sz w:val="22"/>
                <w:szCs w:val="22"/>
              </w:rPr>
              <w:t xml:space="preserve">de la cual </w:t>
            </w:r>
            <m:oMath>
              <m:r>
                <m:rPr>
                  <m:sty m:val="p"/>
                </m:rPr>
                <w:rPr>
                  <w:rFonts w:ascii="Cambria Math" w:eastAsia="Times New Roman" w:hAnsi="Cambria Math"/>
                  <w:sz w:val="22"/>
                  <w:szCs w:val="22"/>
                </w:rPr>
                <m:t>μ</m:t>
              </m:r>
            </m:oMath>
            <w:r w:rsidRPr="00024B38">
              <w:rPr>
                <w:rFonts w:eastAsiaTheme="minorEastAsia"/>
                <w:sz w:val="22"/>
                <w:szCs w:val="22"/>
              </w:rPr>
              <w:t xml:space="preserve"> es la moda, </w:t>
            </w:r>
            <m:oMath>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ctrlPr>
                    <w:rPr>
                      <w:rFonts w:ascii="Cambria Math" w:eastAsiaTheme="minorEastAsia" w:hAnsi="Cambria Math"/>
                      <w:sz w:val="22"/>
                      <w:szCs w:val="22"/>
                    </w:rPr>
                  </m:ctrlPr>
                </m:e>
                <m:sub>
                  <m:r>
                    <w:rPr>
                      <w:rFonts w:ascii="Cambria Math" w:eastAsiaTheme="minorEastAsia" w:hAnsi="Cambria Math"/>
                      <w:sz w:val="22"/>
                      <w:szCs w:val="22"/>
                    </w:rPr>
                    <m:t>1</m:t>
                  </m:r>
                </m:sub>
              </m:sSub>
            </m:oMath>
            <w:r w:rsidRPr="00024B38">
              <w:rPr>
                <w:rFonts w:eastAsiaTheme="minorEastAsia"/>
                <w:sz w:val="22"/>
                <w:szCs w:val="22"/>
              </w:rPr>
              <w:t xml:space="preserve"> es la deviación estándar izquierda, </w:t>
            </w:r>
            <m:oMath>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ctrlPr>
                    <w:rPr>
                      <w:rFonts w:ascii="Cambria Math" w:eastAsiaTheme="minorEastAsia" w:hAnsi="Cambria Math"/>
                      <w:sz w:val="22"/>
                      <w:szCs w:val="22"/>
                    </w:rPr>
                  </m:ctrlPr>
                </m:e>
                <m:sub>
                  <m:r>
                    <w:rPr>
                      <w:rFonts w:ascii="Cambria Math" w:eastAsiaTheme="minorEastAsia" w:hAnsi="Cambria Math"/>
                      <w:sz w:val="22"/>
                      <w:szCs w:val="22"/>
                    </w:rPr>
                    <m:t>2</m:t>
                  </m:r>
                </m:sub>
              </m:sSub>
            </m:oMath>
            <w:r w:rsidRPr="00024B38">
              <w:rPr>
                <w:rFonts w:eastAsiaTheme="minorEastAsia"/>
                <w:sz w:val="22"/>
                <w:szCs w:val="22"/>
              </w:rPr>
              <w:t xml:space="preserve"> es la desviación estándar derecha,  </w:t>
            </w:r>
            <m:oMath>
              <m:r>
                <w:rPr>
                  <w:rFonts w:ascii="Cambria Math" w:eastAsiaTheme="minorEastAsia" w:hAnsi="Cambria Math"/>
                  <w:sz w:val="22"/>
                  <w:szCs w:val="22"/>
                </w:rPr>
                <m:t>x</m:t>
              </m:r>
            </m:oMath>
            <w:r w:rsidRPr="00024B38">
              <w:rPr>
                <w:rFonts w:eastAsiaTheme="minorEastAsia"/>
                <w:sz w:val="22"/>
                <w:szCs w:val="22"/>
              </w:rPr>
              <w:t xml:space="preserve"> son los posibles valores del crecimiento económico que se pueden encontrar de </w:t>
            </w:r>
            <m:oMath>
              <m:r>
                <w:rPr>
                  <w:rFonts w:ascii="Cambria Math" w:eastAsiaTheme="minorEastAsia" w:hAnsi="Cambria Math"/>
                  <w:sz w:val="22"/>
                  <w:szCs w:val="22"/>
                </w:rPr>
                <m:t>-∞≤x≤∞</m:t>
              </m:r>
            </m:oMath>
            <w:r w:rsidRPr="00024B38">
              <w:rPr>
                <w:rFonts w:eastAsiaTheme="minorEastAsia"/>
                <w:sz w:val="22"/>
                <w:szCs w:val="22"/>
              </w:rPr>
              <w:t xml:space="preserve"> y </w:t>
            </w:r>
            <m:oMath>
              <m:r>
                <w:rPr>
                  <w:rFonts w:ascii="Cambria Math" w:eastAsiaTheme="minorEastAsia" w:hAnsi="Cambria Math"/>
                  <w:sz w:val="22"/>
                  <w:szCs w:val="22"/>
                </w:rPr>
                <m:t>C=</m:t>
              </m:r>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2/π</m:t>
                  </m:r>
                </m:e>
              </m:rad>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e>
                        <m:sub>
                          <m:r>
                            <w:rPr>
                              <w:rFonts w:ascii="Cambria Math" w:eastAsiaTheme="minorEastAsia" w:hAnsi="Cambria Math"/>
                              <w:sz w:val="22"/>
                              <w:szCs w:val="22"/>
                            </w:rPr>
                            <m:t>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e>
                        <m:sub>
                          <m:r>
                            <w:rPr>
                              <w:rFonts w:ascii="Cambria Math" w:eastAsiaTheme="minorEastAsia" w:hAnsi="Cambria Math"/>
                              <w:sz w:val="22"/>
                              <w:szCs w:val="22"/>
                            </w:rPr>
                            <m:t>2</m:t>
                          </m:r>
                        </m:sub>
                      </m:sSub>
                    </m:e>
                  </m:d>
                </m:e>
                <m:sup>
                  <m:r>
                    <w:rPr>
                      <w:rFonts w:ascii="Cambria Math" w:eastAsiaTheme="minorEastAsia" w:hAnsi="Cambria Math"/>
                      <w:sz w:val="22"/>
                      <w:szCs w:val="22"/>
                    </w:rPr>
                    <m:t>-1</m:t>
                  </m:r>
                </m:sup>
              </m:sSup>
            </m:oMath>
            <w:r w:rsidRPr="00024B38">
              <w:rPr>
                <w:rFonts w:eastAsiaTheme="minorEastAsia"/>
                <w:sz w:val="22"/>
                <w:szCs w:val="22"/>
              </w:rPr>
              <w:t xml:space="preserve"> es un valor que garantiza que la expresión sea una función de probabilidades.</w:t>
            </w:r>
          </w:p>
          <w:p w14:paraId="6B9B1221" w14:textId="77777777" w:rsidR="00024B38" w:rsidRPr="00024B38" w:rsidRDefault="00024B38" w:rsidP="00C43CBD">
            <w:pPr>
              <w:widowControl/>
              <w:jc w:val="both"/>
              <w:rPr>
                <w:rFonts w:eastAsia="Times New Roman"/>
                <w:sz w:val="22"/>
                <w:szCs w:val="22"/>
              </w:rPr>
            </w:pPr>
          </w:p>
          <w:p w14:paraId="371363B1" w14:textId="77777777" w:rsidR="00024B38" w:rsidRPr="00024B38" w:rsidRDefault="00024B38" w:rsidP="00C43CBD">
            <w:pPr>
              <w:widowControl/>
              <w:jc w:val="both"/>
              <w:rPr>
                <w:rFonts w:eastAsia="Times New Roman"/>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7"/>
              <w:gridCol w:w="869"/>
            </w:tblGrid>
            <w:tr w:rsidR="00024B38" w:rsidRPr="00024B38" w14:paraId="2D670FC8" w14:textId="77777777" w:rsidTr="00C43CBD">
              <w:trPr>
                <w:trHeight w:val="1156"/>
              </w:trPr>
              <w:tc>
                <w:tcPr>
                  <w:tcW w:w="7337" w:type="dxa"/>
                  <w:tcBorders>
                    <w:top w:val="nil"/>
                    <w:left w:val="nil"/>
                    <w:bottom w:val="nil"/>
                    <w:right w:val="nil"/>
                  </w:tcBorders>
                </w:tcPr>
                <w:p w14:paraId="7DE43FC2" w14:textId="77777777" w:rsidR="00024B38" w:rsidRPr="00024B38" w:rsidRDefault="00024B38" w:rsidP="00C43CBD">
                  <w:pPr>
                    <w:widowControl/>
                    <w:jc w:val="both"/>
                    <w:rPr>
                      <w:rFonts w:eastAsiaTheme="minorEastAsia"/>
                      <w:sz w:val="22"/>
                      <w:szCs w:val="22"/>
                    </w:rPr>
                  </w:pPr>
                  <m:oMathPara>
                    <m:oMath>
                      <m:r>
                        <w:rPr>
                          <w:rFonts w:ascii="Cambria Math" w:eastAsiaTheme="minorEastAsia" w:hAnsi="Cambria Math"/>
                          <w:sz w:val="22"/>
                          <w:szCs w:val="22"/>
                          <w:lang w:val="en-US"/>
                        </w:rPr>
                        <m:t>fx</m:t>
                      </m:r>
                      <m:d>
                        <m:dPr>
                          <m:ctrlPr>
                            <w:rPr>
                              <w:rFonts w:ascii="Cambria Math" w:eastAsiaTheme="minorEastAsia" w:hAnsi="Cambria Math"/>
                              <w:i/>
                              <w:sz w:val="22"/>
                              <w:szCs w:val="22"/>
                            </w:rPr>
                          </m:ctrlPr>
                        </m:dPr>
                        <m:e>
                          <m:r>
                            <w:rPr>
                              <w:rFonts w:ascii="Cambria Math" w:eastAsiaTheme="minorEastAsia" w:hAnsi="Cambria Math"/>
                              <w:sz w:val="22"/>
                              <w:szCs w:val="22"/>
                            </w:rPr>
                            <m:t>x;</m:t>
                          </m:r>
                          <m:r>
                            <m:rPr>
                              <m:sty m:val="p"/>
                            </m:rPr>
                            <w:rPr>
                              <w:rFonts w:ascii="Cambria Math" w:eastAsiaTheme="minorEastAsia" w:hAnsi="Cambria Math"/>
                              <w:sz w:val="22"/>
                              <w:szCs w:val="22"/>
                            </w:rPr>
                            <m:t>μ</m:t>
                          </m:r>
                          <m:r>
                            <w:rPr>
                              <w:rFonts w:ascii="Cambria Math" w:eastAsiaTheme="minorEastAsia" w:hAnsi="Cambria Math"/>
                              <w:sz w:val="22"/>
                              <w:szCs w:val="22"/>
                            </w:rPr>
                            <m:t>,</m:t>
                          </m:r>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e>
                            <m:sub>
                              <m:r>
                                <w:rPr>
                                  <w:rFonts w:ascii="Cambria Math" w:eastAsiaTheme="minorEastAsia" w:hAnsi="Cambria Math"/>
                                  <w:sz w:val="22"/>
                                  <w:szCs w:val="22"/>
                                </w:rPr>
                                <m:t>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e>
                            <m:sub>
                              <m:r>
                                <w:rPr>
                                  <w:rFonts w:ascii="Cambria Math" w:eastAsiaTheme="minorEastAsia" w:hAnsi="Cambria Math"/>
                                  <w:sz w:val="22"/>
                                  <w:szCs w:val="22"/>
                                </w:rPr>
                                <m:t>2</m:t>
                              </m:r>
                            </m:sub>
                          </m:sSub>
                        </m:e>
                      </m:d>
                      <m:r>
                        <w:rPr>
                          <w:rFonts w:ascii="Cambria Math" w:eastAsiaTheme="minorEastAsia" w:hAnsi="Cambria Math"/>
                          <w:sz w:val="22"/>
                          <w:szCs w:val="22"/>
                        </w:rPr>
                        <m:t>=</m:t>
                      </m:r>
                      <m:d>
                        <m:dPr>
                          <m:begChr m:val="{"/>
                          <m:endChr m:val=""/>
                          <m:ctrlPr>
                            <w:rPr>
                              <w:rFonts w:ascii="Cambria Math" w:eastAsiaTheme="minorEastAsia" w:hAnsi="Cambria Math"/>
                              <w:i/>
                              <w:sz w:val="22"/>
                              <w:szCs w:val="22"/>
                            </w:rPr>
                          </m:ctrlPr>
                        </m:dPr>
                        <m:e>
                          <m:eqArr>
                            <m:eqArrPr>
                              <m:ctrlPr>
                                <w:rPr>
                                  <w:rFonts w:ascii="Cambria Math" w:eastAsiaTheme="minorEastAsia" w:hAnsi="Cambria Math"/>
                                  <w:i/>
                                  <w:sz w:val="22"/>
                                  <w:szCs w:val="22"/>
                                </w:rPr>
                              </m:ctrlPr>
                            </m:eqArrPr>
                            <m:e>
                              <m:r>
                                <w:rPr>
                                  <w:rFonts w:ascii="Cambria Math" w:eastAsiaTheme="minorEastAsia" w:hAnsi="Cambria Math"/>
                                  <w:sz w:val="22"/>
                                  <w:szCs w:val="22"/>
                                </w:rPr>
                                <m:t>C</m:t>
                              </m:r>
                              <m:sSup>
                                <m:sSupPr>
                                  <m:ctrlPr>
                                    <w:rPr>
                                      <w:rFonts w:ascii="Cambria Math" w:eastAsiaTheme="minorEastAsia" w:hAnsi="Cambria Math"/>
                                      <w:i/>
                                      <w:sz w:val="22"/>
                                      <w:szCs w:val="22"/>
                                    </w:rPr>
                                  </m:ctrlPr>
                                </m:sSupPr>
                                <m:e>
                                  <m:r>
                                    <w:rPr>
                                      <w:rFonts w:ascii="Cambria Math" w:hAnsi="Cambria Math"/>
                                      <w:sz w:val="22"/>
                                      <w:szCs w:val="22"/>
                                    </w:rPr>
                                    <m:t>e</m:t>
                                  </m:r>
                                </m:e>
                                <m:sup>
                                  <m:r>
                                    <w:rPr>
                                      <w:rFonts w:ascii="Cambria Math" w:eastAsiaTheme="minorEastAsia"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Sup>
                                        <m:sSubSupPr>
                                          <m:ctrlPr>
                                            <w:rPr>
                                              <w:rFonts w:ascii="Cambria Math" w:hAnsi="Cambria Math"/>
                                              <w:i/>
                                              <w:sz w:val="22"/>
                                              <w:szCs w:val="22"/>
                                            </w:rPr>
                                          </m:ctrlPr>
                                        </m:sSubSupPr>
                                        <m:e>
                                          <m:r>
                                            <m:rPr>
                                              <m:sty m:val="p"/>
                                            </m:rPr>
                                            <w:rPr>
                                              <w:rFonts w:ascii="Cambria Math" w:hAnsi="Cambria Math"/>
                                              <w:sz w:val="22"/>
                                              <w:szCs w:val="22"/>
                                            </w:rPr>
                                            <m:t>2σ</m:t>
                                          </m:r>
                                          <m:ctrlPr>
                                            <w:rPr>
                                              <w:rFonts w:ascii="Cambria Math" w:hAnsi="Cambria Math"/>
                                              <w:sz w:val="22"/>
                                              <w:szCs w:val="22"/>
                                            </w:rPr>
                                          </m:ctrlPr>
                                        </m:e>
                                        <m:sub>
                                          <m:r>
                                            <w:rPr>
                                              <w:rFonts w:ascii="Cambria Math" w:hAnsi="Cambria Math"/>
                                              <w:sz w:val="22"/>
                                              <w:szCs w:val="22"/>
                                            </w:rPr>
                                            <m:t>1</m:t>
                                          </m:r>
                                        </m:sub>
                                        <m:sup>
                                          <m:r>
                                            <w:rPr>
                                              <w:rFonts w:ascii="Cambria Math" w:hAnsi="Cambria Math"/>
                                              <w:sz w:val="22"/>
                                              <w:szCs w:val="22"/>
                                            </w:rPr>
                                            <m:t>2</m:t>
                                          </m:r>
                                        </m:sup>
                                      </m:sSubSup>
                                    </m:den>
                                  </m:f>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m:t>
                                          </m:r>
                                          <m:r>
                                            <m:rPr>
                                              <m:sty m:val="p"/>
                                            </m:rPr>
                                            <w:rPr>
                                              <w:rFonts w:ascii="Cambria Math" w:hAnsi="Cambria Math"/>
                                              <w:sz w:val="22"/>
                                              <w:szCs w:val="22"/>
                                            </w:rPr>
                                            <m:t>μ</m:t>
                                          </m:r>
                                        </m:e>
                                      </m:d>
                                    </m:e>
                                    <m:sup>
                                      <m:r>
                                        <w:rPr>
                                          <w:rFonts w:ascii="Cambria Math" w:hAnsi="Cambria Math"/>
                                          <w:sz w:val="22"/>
                                          <w:szCs w:val="22"/>
                                        </w:rPr>
                                        <m:t>2</m:t>
                                      </m:r>
                                    </m:sup>
                                  </m:sSup>
                                </m:sup>
                              </m:sSup>
                              <m:r>
                                <w:rPr>
                                  <w:rFonts w:ascii="Cambria Math" w:eastAsiaTheme="minorEastAsia" w:hAnsi="Cambria Math"/>
                                  <w:sz w:val="22"/>
                                  <w:szCs w:val="22"/>
                                </w:rPr>
                                <m:t>,  para  x≤μ</m:t>
                              </m:r>
                            </m:e>
                            <m:e>
                              <m:r>
                                <w:rPr>
                                  <w:rFonts w:ascii="Cambria Math" w:eastAsiaTheme="minorEastAsia" w:hAnsi="Cambria Math"/>
                                  <w:sz w:val="22"/>
                                  <w:szCs w:val="22"/>
                                </w:rPr>
                                <m:t>C</m:t>
                              </m:r>
                              <m:sSup>
                                <m:sSupPr>
                                  <m:ctrlPr>
                                    <w:rPr>
                                      <w:rFonts w:ascii="Cambria Math" w:eastAsiaTheme="minorEastAsia" w:hAnsi="Cambria Math"/>
                                      <w:i/>
                                      <w:sz w:val="22"/>
                                      <w:szCs w:val="22"/>
                                    </w:rPr>
                                  </m:ctrlPr>
                                </m:sSupPr>
                                <m:e>
                                  <m:r>
                                    <w:rPr>
                                      <w:rFonts w:ascii="Cambria Math" w:hAnsi="Cambria Math"/>
                                      <w:sz w:val="22"/>
                                      <w:szCs w:val="22"/>
                                    </w:rPr>
                                    <m:t>e</m:t>
                                  </m:r>
                                </m:e>
                                <m:sup>
                                  <m:r>
                                    <w:rPr>
                                      <w:rFonts w:ascii="Cambria Math" w:eastAsiaTheme="minorEastAsia"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Sup>
                                        <m:sSubSupPr>
                                          <m:ctrlPr>
                                            <w:rPr>
                                              <w:rFonts w:ascii="Cambria Math" w:hAnsi="Cambria Math"/>
                                              <w:i/>
                                              <w:sz w:val="22"/>
                                              <w:szCs w:val="22"/>
                                            </w:rPr>
                                          </m:ctrlPr>
                                        </m:sSubSupPr>
                                        <m:e>
                                          <m:r>
                                            <m:rPr>
                                              <m:sty m:val="p"/>
                                            </m:rPr>
                                            <w:rPr>
                                              <w:rFonts w:ascii="Cambria Math" w:hAnsi="Cambria Math"/>
                                              <w:sz w:val="22"/>
                                              <w:szCs w:val="22"/>
                                            </w:rPr>
                                            <m:t>2σ</m:t>
                                          </m:r>
                                          <m:ctrlPr>
                                            <w:rPr>
                                              <w:rFonts w:ascii="Cambria Math" w:hAnsi="Cambria Math"/>
                                              <w:sz w:val="22"/>
                                              <w:szCs w:val="22"/>
                                            </w:rPr>
                                          </m:ctrlPr>
                                        </m:e>
                                        <m:sub>
                                          <m:r>
                                            <w:rPr>
                                              <w:rFonts w:ascii="Cambria Math" w:hAnsi="Cambria Math"/>
                                              <w:sz w:val="22"/>
                                              <w:szCs w:val="22"/>
                                            </w:rPr>
                                            <m:t>2</m:t>
                                          </m:r>
                                        </m:sub>
                                        <m:sup>
                                          <m:r>
                                            <w:rPr>
                                              <w:rFonts w:ascii="Cambria Math" w:hAnsi="Cambria Math"/>
                                              <w:sz w:val="22"/>
                                              <w:szCs w:val="22"/>
                                            </w:rPr>
                                            <m:t>2</m:t>
                                          </m:r>
                                        </m:sup>
                                      </m:sSubSup>
                                    </m:den>
                                  </m:f>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x-</m:t>
                                          </m:r>
                                          <m:r>
                                            <m:rPr>
                                              <m:sty m:val="p"/>
                                            </m:rPr>
                                            <w:rPr>
                                              <w:rFonts w:ascii="Cambria Math" w:hAnsi="Cambria Math"/>
                                              <w:sz w:val="22"/>
                                              <w:szCs w:val="22"/>
                                            </w:rPr>
                                            <m:t>μ</m:t>
                                          </m:r>
                                        </m:e>
                                      </m:d>
                                    </m:e>
                                    <m:sup>
                                      <m:r>
                                        <w:rPr>
                                          <w:rFonts w:ascii="Cambria Math" w:hAnsi="Cambria Math"/>
                                          <w:sz w:val="22"/>
                                          <w:szCs w:val="22"/>
                                        </w:rPr>
                                        <m:t>2</m:t>
                                      </m:r>
                                    </m:sup>
                                  </m:sSup>
                                </m:sup>
                              </m:sSup>
                              <m:r>
                                <w:rPr>
                                  <w:rFonts w:ascii="Cambria Math" w:eastAsiaTheme="minorEastAsia" w:hAnsi="Cambria Math"/>
                                  <w:sz w:val="22"/>
                                  <w:szCs w:val="22"/>
                                </w:rPr>
                                <m:t>,  para x&gt; μ</m:t>
                              </m:r>
                            </m:e>
                          </m:eqArr>
                        </m:e>
                      </m:d>
                    </m:oMath>
                  </m:oMathPara>
                </w:p>
              </w:tc>
              <w:tc>
                <w:tcPr>
                  <w:tcW w:w="869" w:type="dxa"/>
                  <w:tcBorders>
                    <w:top w:val="nil"/>
                    <w:left w:val="nil"/>
                    <w:bottom w:val="nil"/>
                    <w:right w:val="nil"/>
                  </w:tcBorders>
                  <w:vAlign w:val="center"/>
                </w:tcPr>
                <w:p w14:paraId="386EFA1A" w14:textId="77777777" w:rsidR="00024B38" w:rsidRPr="00024B38" w:rsidRDefault="00024B38" w:rsidP="00C43CBD">
                  <w:pPr>
                    <w:widowControl/>
                    <w:jc w:val="center"/>
                    <w:rPr>
                      <w:rFonts w:eastAsiaTheme="minorEastAsia"/>
                      <w:sz w:val="22"/>
                      <w:szCs w:val="22"/>
                    </w:rPr>
                  </w:pPr>
                </w:p>
                <w:p w14:paraId="147D7E68" w14:textId="77777777" w:rsidR="00024B38" w:rsidRPr="00024B38" w:rsidRDefault="00024B38" w:rsidP="00C43CBD">
                  <w:pPr>
                    <w:widowControl/>
                    <w:jc w:val="center"/>
                    <w:rPr>
                      <w:rFonts w:eastAsiaTheme="minorEastAsia"/>
                      <w:sz w:val="22"/>
                      <w:szCs w:val="22"/>
                    </w:rPr>
                  </w:pPr>
                  <w:r w:rsidRPr="00024B38">
                    <w:rPr>
                      <w:rFonts w:eastAsiaTheme="minorEastAsia"/>
                      <w:sz w:val="22"/>
                      <w:szCs w:val="22"/>
                    </w:rPr>
                    <w:t>(1)</w:t>
                  </w:r>
                </w:p>
              </w:tc>
            </w:tr>
          </w:tbl>
          <w:p w14:paraId="65D547BE" w14:textId="77777777" w:rsidR="00024B38" w:rsidRPr="00024B38" w:rsidRDefault="00024B38" w:rsidP="00C43CBD">
            <w:pPr>
              <w:widowControl/>
              <w:jc w:val="both"/>
              <w:rPr>
                <w:rFonts w:eastAsiaTheme="minorEastAsia"/>
                <w:sz w:val="22"/>
                <w:szCs w:val="22"/>
                <w:u w:val="single"/>
              </w:rPr>
            </w:pPr>
          </w:p>
          <w:p w14:paraId="422E26EE" w14:textId="77777777" w:rsidR="00024B38" w:rsidRPr="00024B38" w:rsidRDefault="00024B38" w:rsidP="00C43CBD">
            <w:pPr>
              <w:widowControl/>
              <w:jc w:val="both"/>
              <w:rPr>
                <w:rFonts w:eastAsiaTheme="minorEastAsia"/>
                <w:sz w:val="22"/>
                <w:szCs w:val="22"/>
              </w:rPr>
            </w:pPr>
            <w:r w:rsidRPr="00024B38">
              <w:rPr>
                <w:rFonts w:eastAsiaTheme="minorEastAsia"/>
                <w:sz w:val="22"/>
                <w:szCs w:val="22"/>
              </w:rPr>
              <w:t xml:space="preserve">Se puede observar que el caso particular </w:t>
            </w:r>
            <m:oMath>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ctrlPr>
                    <w:rPr>
                      <w:rFonts w:ascii="Cambria Math" w:eastAsiaTheme="minorEastAsia" w:hAnsi="Cambria Math"/>
                      <w:sz w:val="22"/>
                      <w:szCs w:val="22"/>
                    </w:rPr>
                  </m:ctrlPr>
                </m:e>
                <m:sub>
                  <m:r>
                    <w:rPr>
                      <w:rFonts w:ascii="Cambria Math" w:eastAsiaTheme="minorEastAsia" w:hAnsi="Cambria Math"/>
                      <w:sz w:val="22"/>
                      <w:szCs w:val="22"/>
                    </w:rPr>
                    <m:t>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e>
                <m:sub>
                  <m:r>
                    <w:rPr>
                      <w:rFonts w:ascii="Cambria Math" w:eastAsiaTheme="minorEastAsia" w:hAnsi="Cambria Math"/>
                      <w:sz w:val="22"/>
                      <w:szCs w:val="22"/>
                    </w:rPr>
                    <m:t>2</m:t>
                  </m:r>
                </m:sub>
              </m:sSub>
            </m:oMath>
            <w:r w:rsidRPr="00024B38">
              <w:rPr>
                <w:rFonts w:eastAsiaTheme="minorEastAsia"/>
                <w:sz w:val="22"/>
                <w:szCs w:val="22"/>
              </w:rPr>
              <w:t xml:space="preserve"> hace que la expresión sea la de una distribución normal, además la densidad queda especificada de forma completa si se conocen los valores de </w:t>
            </w:r>
            <m:oMath>
              <m:d>
                <m:dPr>
                  <m:ctrlPr>
                    <w:rPr>
                      <w:rFonts w:ascii="Cambria Math" w:eastAsiaTheme="minorEastAsia" w:hAnsi="Cambria Math"/>
                      <w:i/>
                      <w:sz w:val="22"/>
                      <w:szCs w:val="22"/>
                    </w:rPr>
                  </m:ctrlPr>
                </m:dPr>
                <m:e>
                  <m:r>
                    <m:rPr>
                      <m:sty m:val="p"/>
                    </m:rPr>
                    <w:rPr>
                      <w:rFonts w:ascii="Cambria Math" w:eastAsiaTheme="minorEastAsia" w:hAnsi="Cambria Math"/>
                      <w:sz w:val="22"/>
                      <w:szCs w:val="22"/>
                    </w:rPr>
                    <m:t>μ</m:t>
                  </m:r>
                  <m:r>
                    <w:rPr>
                      <w:rFonts w:ascii="Cambria Math" w:eastAsiaTheme="minorEastAsia" w:hAnsi="Cambria Math"/>
                      <w:sz w:val="22"/>
                      <w:szCs w:val="22"/>
                    </w:rPr>
                    <m:t>,</m:t>
                  </m:r>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e>
                    <m:sub>
                      <m:r>
                        <w:rPr>
                          <w:rFonts w:ascii="Cambria Math" w:eastAsiaTheme="minorEastAsia" w:hAnsi="Cambria Math"/>
                          <w:sz w:val="22"/>
                          <w:szCs w:val="22"/>
                        </w:rPr>
                        <m:t>1</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m:rPr>
                          <m:sty m:val="p"/>
                        </m:rPr>
                        <w:rPr>
                          <w:rFonts w:ascii="Cambria Math" w:eastAsiaTheme="minorEastAsia" w:hAnsi="Cambria Math"/>
                          <w:sz w:val="22"/>
                          <w:szCs w:val="22"/>
                        </w:rPr>
                        <m:t>σ</m:t>
                      </m:r>
                    </m:e>
                    <m:sub>
                      <m:r>
                        <w:rPr>
                          <w:rFonts w:ascii="Cambria Math" w:eastAsiaTheme="minorEastAsia" w:hAnsi="Cambria Math"/>
                          <w:sz w:val="22"/>
                          <w:szCs w:val="22"/>
                        </w:rPr>
                        <m:t>2</m:t>
                      </m:r>
                    </m:sub>
                  </m:sSub>
                </m:e>
              </m:d>
            </m:oMath>
            <w:r w:rsidRPr="00024B38">
              <w:rPr>
                <w:rFonts w:eastAsiaTheme="minorEastAsia"/>
                <w:sz w:val="22"/>
                <w:szCs w:val="22"/>
              </w:rPr>
              <w:t xml:space="preserve">. No obstante, para determinar los valores de las desviaciones estándar se considera la varianza de la distribución del error de pronóstico y el balance de riesgo para cada periodo </w:t>
            </w:r>
            <m:oMath>
              <m:r>
                <w:rPr>
                  <w:rFonts w:ascii="Cambria Math" w:eastAsiaTheme="minorEastAsia" w:hAnsi="Cambria Math"/>
                  <w:sz w:val="22"/>
                  <w:szCs w:val="22"/>
                </w:rPr>
                <m:t>P(X≤</m:t>
              </m:r>
              <m:r>
                <m:rPr>
                  <m:sty m:val="p"/>
                </m:rPr>
                <w:rPr>
                  <w:rFonts w:ascii="Cambria Math" w:eastAsiaTheme="minorEastAsia" w:hAnsi="Cambria Math"/>
                  <w:sz w:val="22"/>
                  <w:szCs w:val="22"/>
                </w:rPr>
                <m:t>μ</m:t>
              </m:r>
              <m:r>
                <w:rPr>
                  <w:rFonts w:ascii="Cambria Math" w:eastAsiaTheme="minorEastAsia" w:hAnsi="Cambria Math"/>
                  <w:sz w:val="22"/>
                  <w:szCs w:val="22"/>
                </w:rPr>
                <m:t>)</m:t>
              </m:r>
            </m:oMath>
            <w:r w:rsidRPr="00024B38">
              <w:rPr>
                <w:rFonts w:eastAsiaTheme="minorEastAsia"/>
                <w:sz w:val="22"/>
                <w:szCs w:val="22"/>
              </w:rPr>
              <w:t>, que es la probabilidad de que el crecimiento económico tome un valor menor a la moda.  Para el valor de la moda se consideró el escenario medio del crecimiento económico del Banco de Guatemala, y para los factores que se tomaron en cuenta para definir el Balance de Riesgos fueron la intensificación del conflicto bélico entre Rusia y Ucrania y sus impactos sobre las materias primas, el surgimiento de variantes del COVID-19 que no puedan ser controladas a través de las vacunas actuales y que el crecimiento de los socios comerciales sea levemente menor al previsto.</w:t>
            </w:r>
          </w:p>
          <w:p w14:paraId="7F98494E" w14:textId="77777777" w:rsidR="00024B38" w:rsidRPr="00024B38" w:rsidRDefault="00024B38" w:rsidP="00C43CBD">
            <w:pPr>
              <w:widowControl/>
              <w:jc w:val="both"/>
              <w:rPr>
                <w:rFonts w:eastAsiaTheme="minorEastAsia"/>
                <w:sz w:val="22"/>
                <w:szCs w:val="22"/>
              </w:rPr>
            </w:pPr>
          </w:p>
          <w:p w14:paraId="37001794" w14:textId="485847D3" w:rsidR="00C43CBD" w:rsidRPr="00C43CBD" w:rsidRDefault="00C43CBD" w:rsidP="00C43CBD">
            <w:pPr>
              <w:pStyle w:val="Descripcin"/>
              <w:keepNext/>
              <w:rPr>
                <w:color w:val="auto"/>
              </w:rPr>
            </w:pPr>
            <w:bookmarkStart w:id="27" w:name="_Toc114493854"/>
            <w:r w:rsidRPr="00C43CBD">
              <w:rPr>
                <w:color w:val="auto"/>
              </w:rPr>
              <w:t xml:space="preserve">Gráfico </w:t>
            </w:r>
            <w:r w:rsidRPr="00C43CBD">
              <w:rPr>
                <w:color w:val="auto"/>
              </w:rPr>
              <w:fldChar w:fldCharType="begin"/>
            </w:r>
            <w:r w:rsidRPr="00C43CBD">
              <w:rPr>
                <w:color w:val="auto"/>
              </w:rPr>
              <w:instrText xml:space="preserve"> SEQ Gráfico \* ARABIC </w:instrText>
            </w:r>
            <w:r w:rsidRPr="00C43CBD">
              <w:rPr>
                <w:color w:val="auto"/>
              </w:rPr>
              <w:fldChar w:fldCharType="separate"/>
            </w:r>
            <w:r w:rsidR="002E7809">
              <w:rPr>
                <w:noProof/>
                <w:color w:val="auto"/>
              </w:rPr>
              <w:t>12</w:t>
            </w:r>
            <w:r w:rsidRPr="00C43CBD">
              <w:rPr>
                <w:color w:val="auto"/>
              </w:rPr>
              <w:fldChar w:fldCharType="end"/>
            </w:r>
            <w:r w:rsidRPr="00C43CBD">
              <w:rPr>
                <w:color w:val="auto"/>
              </w:rPr>
              <w:t xml:space="preserve">.  </w:t>
            </w:r>
            <w:bookmarkStart w:id="28" w:name="_Toc81573074"/>
            <w:r w:rsidRPr="00C43CBD">
              <w:rPr>
                <w:rFonts w:eastAsiaTheme="minorEastAsia"/>
                <w:bCs/>
                <w:i/>
                <w:iCs/>
                <w:color w:val="auto"/>
              </w:rPr>
              <w:t>Fanchart de la proyección del crecimiento económico</w:t>
            </w:r>
            <w:bookmarkEnd w:id="27"/>
            <w:bookmarkEnd w:id="28"/>
          </w:p>
          <w:tbl>
            <w:tblPr>
              <w:tblStyle w:val="Tablaconcuadrcula"/>
              <w:tblW w:w="8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8530"/>
            </w:tblGrid>
            <w:tr w:rsidR="00024B38" w:rsidRPr="00024B38" w14:paraId="7E145A0F" w14:textId="77777777" w:rsidTr="00C43CBD">
              <w:trPr>
                <w:trHeight w:val="3527"/>
              </w:trPr>
              <w:tc>
                <w:tcPr>
                  <w:tcW w:w="8530" w:type="dxa"/>
                </w:tcPr>
                <w:p w14:paraId="3A2A2684" w14:textId="77777777" w:rsidR="00024B38" w:rsidRPr="00024B38" w:rsidRDefault="00024B38" w:rsidP="00C43CBD">
                  <w:pPr>
                    <w:widowControl/>
                    <w:tabs>
                      <w:tab w:val="left" w:pos="2480"/>
                    </w:tabs>
                    <w:rPr>
                      <w:rFonts w:eastAsiaTheme="minorEastAsia"/>
                      <w:sz w:val="22"/>
                      <w:szCs w:val="22"/>
                    </w:rPr>
                  </w:pPr>
                  <w:r w:rsidRPr="00024B38">
                    <w:rPr>
                      <w:rFonts w:asciiTheme="minorHAnsi" w:hAnsiTheme="minorHAnsi"/>
                      <w:noProof/>
                      <w:sz w:val="22"/>
                      <w:szCs w:val="22"/>
                    </w:rPr>
                    <w:drawing>
                      <wp:inline distT="0" distB="0" distL="0" distR="0" wp14:anchorId="15899116" wp14:editId="598FAF3D">
                        <wp:extent cx="5191125" cy="2427605"/>
                        <wp:effectExtent l="0" t="0" r="0" b="0"/>
                        <wp:docPr id="229" name="Gráfico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24B38" w:rsidRPr="00024B38" w14:paraId="5E1A3DF7" w14:textId="77777777" w:rsidTr="00C43CBD">
              <w:tblPrEx>
                <w:tblCellMar>
                  <w:left w:w="108" w:type="dxa"/>
                  <w:right w:w="108" w:type="dxa"/>
                </w:tblCellMar>
              </w:tblPrEx>
              <w:trPr>
                <w:trHeight w:val="237"/>
              </w:trPr>
              <w:tc>
                <w:tcPr>
                  <w:tcW w:w="8530" w:type="dxa"/>
                </w:tcPr>
                <w:p w14:paraId="6DCFF5EC" w14:textId="77777777" w:rsidR="00024B38" w:rsidRPr="00024B38" w:rsidRDefault="00024B38" w:rsidP="00C43CBD">
                  <w:pPr>
                    <w:widowControl/>
                    <w:jc w:val="both"/>
                    <w:rPr>
                      <w:rFonts w:eastAsiaTheme="minorEastAsia"/>
                      <w:sz w:val="22"/>
                      <w:szCs w:val="22"/>
                    </w:rPr>
                  </w:pPr>
                  <w:r w:rsidRPr="00024B38">
                    <w:rPr>
                      <w:rFonts w:eastAsiaTheme="minorEastAsia"/>
                      <w:sz w:val="16"/>
                      <w:szCs w:val="22"/>
                    </w:rPr>
                    <w:t>Fuente: Dirección de Análisis y Política Fiscal</w:t>
                  </w:r>
                </w:p>
              </w:tc>
            </w:tr>
          </w:tbl>
          <w:p w14:paraId="2FC827D7" w14:textId="77777777" w:rsidR="00024B38" w:rsidRPr="00024B38" w:rsidRDefault="00024B38" w:rsidP="00C43CBD">
            <w:pPr>
              <w:widowControl/>
              <w:spacing w:line="259" w:lineRule="auto"/>
              <w:rPr>
                <w:rFonts w:eastAsiaTheme="minorEastAsia"/>
                <w:sz w:val="22"/>
                <w:szCs w:val="22"/>
              </w:rPr>
            </w:pPr>
          </w:p>
          <w:p w14:paraId="2CAD274B" w14:textId="54C0C5DD" w:rsidR="00024B38" w:rsidRPr="00024B38" w:rsidRDefault="00024B38" w:rsidP="00C43CBD">
            <w:pPr>
              <w:widowControl/>
              <w:spacing w:line="259" w:lineRule="auto"/>
              <w:jc w:val="both"/>
              <w:rPr>
                <w:rFonts w:eastAsiaTheme="minorEastAsia"/>
                <w:sz w:val="22"/>
                <w:szCs w:val="22"/>
              </w:rPr>
            </w:pPr>
            <w:r w:rsidRPr="00024B38">
              <w:rPr>
                <w:rFonts w:eastAsiaTheme="minorEastAsia"/>
                <w:sz w:val="22"/>
                <w:szCs w:val="22"/>
              </w:rPr>
              <w:t>Los resultados obtenidos muestran que existe un 50% de probabilidad de que el crecimiento económico se encuentre entre 2.6% a 3.4% para 2022, para 2023 podría ubicarse entre 1.7% y 3.0%, y que para el 2027 se ubique entre 1.6% a 3.4%. Asimismo, existe un 90% de probabilidad de que en el 2022 el crecimiento se ubique entre 2.0% a 4.0%, en el 2023 entre 0.7% y 3.9%, y que para 2027 se ubique entre 0.1% a 4.7%. Se puede observar en el gráfico de que a partir del 2023 existe una mayor probabilidad de que el crecimiento sea menor al del escenario base, esto se debe a la respuesta de crecimiento económico ante los choques adversos anteriormente detallados.</w:t>
            </w:r>
          </w:p>
          <w:p w14:paraId="09C926F7" w14:textId="77777777" w:rsidR="00024B38" w:rsidRPr="00024B38" w:rsidRDefault="00024B38" w:rsidP="00C43CBD">
            <w:pPr>
              <w:widowControl/>
              <w:spacing w:after="160" w:line="259" w:lineRule="auto"/>
              <w:rPr>
                <w:rFonts w:eastAsia="Times New Roman"/>
                <w:color w:val="000000" w:themeColor="text1"/>
                <w:sz w:val="22"/>
                <w:szCs w:val="22"/>
                <w:lang w:val="en-US"/>
              </w:rPr>
            </w:pPr>
            <w:r w:rsidRPr="00024B38">
              <w:rPr>
                <w:rFonts w:eastAsia="Times New Roman"/>
                <w:color w:val="000000" w:themeColor="text1"/>
                <w:sz w:val="22"/>
                <w:szCs w:val="22"/>
                <w:lang w:val="en-US"/>
              </w:rPr>
              <w:t>Bibliografía</w:t>
            </w:r>
          </w:p>
          <w:p w14:paraId="04E8867C" w14:textId="77777777" w:rsidR="00024B38" w:rsidRPr="00110545" w:rsidRDefault="00024B38" w:rsidP="00C43CBD">
            <w:pPr>
              <w:widowControl/>
              <w:spacing w:after="160" w:line="259" w:lineRule="auto"/>
              <w:rPr>
                <w:rFonts w:eastAsia="Times New Roman"/>
                <w:sz w:val="22"/>
                <w:szCs w:val="22"/>
              </w:rPr>
            </w:pPr>
            <w:r w:rsidRPr="00024B38">
              <w:rPr>
                <w:rFonts w:eastAsia="Times New Roman"/>
                <w:sz w:val="16"/>
                <w:szCs w:val="16"/>
                <w:lang w:val="en-US"/>
              </w:rPr>
              <w:fldChar w:fldCharType="begin"/>
            </w:r>
            <w:r w:rsidRPr="00024B38">
              <w:rPr>
                <w:rFonts w:eastAsia="Times New Roman"/>
                <w:sz w:val="16"/>
                <w:szCs w:val="16"/>
                <w:lang w:val="en-US"/>
              </w:rPr>
              <w:instrText>BIBLIOGRAPHY</w:instrText>
            </w:r>
            <w:r w:rsidRPr="00024B38">
              <w:rPr>
                <w:rFonts w:eastAsia="Times New Roman"/>
                <w:sz w:val="16"/>
                <w:szCs w:val="16"/>
                <w:lang w:val="en-US"/>
              </w:rPr>
              <w:fldChar w:fldCharType="separate"/>
            </w:r>
            <w:r w:rsidRPr="00024B38">
              <w:rPr>
                <w:rFonts w:eastAsia="Times New Roman"/>
                <w:noProof/>
                <w:sz w:val="16"/>
                <w:szCs w:val="16"/>
                <w:lang w:val="en-US"/>
              </w:rPr>
              <w:t xml:space="preserve">Julio, J. M. (2007). The Fan Chart; The Techinal Details Of The New Implementation. </w:t>
            </w:r>
            <w:r w:rsidRPr="00024B38">
              <w:rPr>
                <w:rFonts w:eastAsia="Times New Roman"/>
                <w:i/>
                <w:iCs/>
                <w:noProof/>
                <w:sz w:val="16"/>
                <w:szCs w:val="16"/>
                <w:lang w:val="es-ES"/>
              </w:rPr>
              <w:t>Borradores de Economía No. 468</w:t>
            </w:r>
            <w:r w:rsidRPr="00024B38">
              <w:rPr>
                <w:rFonts w:eastAsia="Times New Roman"/>
                <w:noProof/>
                <w:sz w:val="16"/>
                <w:szCs w:val="16"/>
                <w:lang w:val="es-ES"/>
              </w:rPr>
              <w:t>.</w:t>
            </w:r>
            <w:r w:rsidRPr="00024B38">
              <w:rPr>
                <w:rFonts w:eastAsia="Times New Roman"/>
                <w:sz w:val="16"/>
                <w:szCs w:val="16"/>
                <w:lang w:val="en-US"/>
              </w:rPr>
              <w:fldChar w:fldCharType="end"/>
            </w:r>
          </w:p>
        </w:tc>
      </w:tr>
    </w:tbl>
    <w:p w14:paraId="43236718" w14:textId="77777777" w:rsidR="00024B38" w:rsidRDefault="00024B38" w:rsidP="0046218E">
      <w:pPr>
        <w:ind w:right="49"/>
        <w:jc w:val="both"/>
        <w:rPr>
          <w:rFonts w:eastAsia="Times New Roman"/>
          <w:bCs/>
          <w:lang w:val="es-MX"/>
        </w:rPr>
      </w:pPr>
    </w:p>
    <w:p w14:paraId="59367678" w14:textId="2C02F248" w:rsidR="0046218E" w:rsidRDefault="0046218E" w:rsidP="0046218E">
      <w:pPr>
        <w:ind w:right="49"/>
        <w:jc w:val="both"/>
        <w:rPr>
          <w:rFonts w:eastAsia="Times New Roman"/>
          <w:bCs/>
          <w:lang w:val="es-MX"/>
        </w:rPr>
      </w:pPr>
      <w:r w:rsidRPr="00712A78">
        <w:rPr>
          <w:rFonts w:eastAsia="Times New Roman"/>
          <w:bCs/>
          <w:lang w:val="es-MX"/>
        </w:rPr>
        <w:t>Los pronósticos para el comercio exterior en 2022 muestran una ralentización</w:t>
      </w:r>
      <w:r>
        <w:rPr>
          <w:rFonts w:eastAsia="Times New Roman"/>
          <w:bCs/>
          <w:lang w:val="es-MX"/>
        </w:rPr>
        <w:t xml:space="preserve"> alta</w:t>
      </w:r>
      <w:r w:rsidRPr="00712A78">
        <w:rPr>
          <w:rFonts w:eastAsia="Times New Roman"/>
          <w:bCs/>
          <w:lang w:val="es-MX"/>
        </w:rPr>
        <w:t xml:space="preserve"> respecto al 2021</w:t>
      </w:r>
      <w:r>
        <w:rPr>
          <w:rFonts w:eastAsia="Times New Roman"/>
          <w:bCs/>
          <w:lang w:val="es-MX"/>
        </w:rPr>
        <w:t>,</w:t>
      </w:r>
      <w:r w:rsidRPr="00712A78">
        <w:rPr>
          <w:rFonts w:eastAsia="Times New Roman"/>
          <w:bCs/>
          <w:lang w:val="es-MX"/>
        </w:rPr>
        <w:t xml:space="preserve"> proyectando el </w:t>
      </w:r>
      <w:r>
        <w:rPr>
          <w:rFonts w:eastAsia="Times New Roman"/>
          <w:bCs/>
          <w:lang w:val="es-MX"/>
        </w:rPr>
        <w:t xml:space="preserve">Banguat, en su escenario medio, </w:t>
      </w:r>
      <w:r w:rsidRPr="00712A78">
        <w:rPr>
          <w:rFonts w:eastAsia="Times New Roman"/>
          <w:bCs/>
          <w:lang w:val="es-MX"/>
        </w:rPr>
        <w:t>un crecimiento de las exportaciones de 7.5% en diciembre del 2021</w:t>
      </w:r>
      <w:r>
        <w:rPr>
          <w:rFonts w:eastAsia="Times New Roman"/>
          <w:bCs/>
          <w:lang w:val="es-MX"/>
        </w:rPr>
        <w:t>,</w:t>
      </w:r>
      <w:r w:rsidRPr="00712A78">
        <w:rPr>
          <w:rFonts w:eastAsia="Times New Roman"/>
          <w:bCs/>
          <w:lang w:val="es-MX"/>
        </w:rPr>
        <w:t xml:space="preserve"> el cual mantuvo sin ninguna variación en enero del 2022, sin embargo, en abril proyect</w:t>
      </w:r>
      <w:r>
        <w:rPr>
          <w:rFonts w:eastAsia="Times New Roman"/>
          <w:bCs/>
          <w:lang w:val="es-MX"/>
        </w:rPr>
        <w:t>ó</w:t>
      </w:r>
      <w:r w:rsidRPr="00712A78">
        <w:rPr>
          <w:rFonts w:eastAsia="Times New Roman"/>
          <w:bCs/>
          <w:lang w:val="es-MX"/>
        </w:rPr>
        <w:t xml:space="preserve"> un crecimiento de 10.0% es decir una variación positiva de </w:t>
      </w:r>
      <w:r>
        <w:rPr>
          <w:rFonts w:eastAsia="Times New Roman"/>
          <w:bCs/>
          <w:lang w:val="es-MX"/>
        </w:rPr>
        <w:t>2</w:t>
      </w:r>
      <w:r w:rsidRPr="00712A78">
        <w:rPr>
          <w:rFonts w:eastAsia="Times New Roman"/>
          <w:bCs/>
          <w:lang w:val="es-MX"/>
        </w:rPr>
        <w:t>.5 puntos porcentuales derivado de las buenas expectativas del comercio al final del año</w:t>
      </w:r>
      <w:r w:rsidRPr="00E31852">
        <w:rPr>
          <w:rFonts w:eastAsia="Times New Roman"/>
          <w:bCs/>
          <w:lang w:val="es-MX"/>
        </w:rPr>
        <w:t>; a</w:t>
      </w:r>
      <w:r>
        <w:rPr>
          <w:rFonts w:eastAsia="Times New Roman"/>
          <w:bCs/>
          <w:lang w:val="es-MX"/>
        </w:rPr>
        <w:t xml:space="preserve"> mayo del 2022, se observa un</w:t>
      </w:r>
      <w:r w:rsidRPr="00E31852">
        <w:rPr>
          <w:rFonts w:eastAsia="Times New Roman"/>
          <w:bCs/>
          <w:lang w:val="es-MX"/>
        </w:rPr>
        <w:t xml:space="preserve"> comportamiento creciente de esta variable </w:t>
      </w:r>
      <w:r>
        <w:rPr>
          <w:rFonts w:eastAsia="Times New Roman"/>
          <w:bCs/>
          <w:lang w:val="es-MX"/>
        </w:rPr>
        <w:t>con un</w:t>
      </w:r>
      <w:r w:rsidRPr="00E31852">
        <w:rPr>
          <w:rFonts w:eastAsia="Times New Roman"/>
          <w:bCs/>
          <w:lang w:val="es-MX"/>
        </w:rPr>
        <w:t xml:space="preserve"> crecimiento acumulado de 24.8%.</w:t>
      </w:r>
    </w:p>
    <w:p w14:paraId="57C34D79" w14:textId="77777777" w:rsidR="0046218E" w:rsidRDefault="0046218E" w:rsidP="0046218E">
      <w:pPr>
        <w:ind w:right="49"/>
        <w:jc w:val="both"/>
        <w:rPr>
          <w:rFonts w:eastAsia="Times New Roman"/>
          <w:bCs/>
          <w:lang w:val="es-MX"/>
        </w:rPr>
      </w:pPr>
      <w:r w:rsidRPr="00712A78">
        <w:rPr>
          <w:rFonts w:eastAsia="Times New Roman"/>
          <w:bCs/>
          <w:lang w:val="es-MX"/>
        </w:rPr>
        <w:t>En el caso de la proyecci</w:t>
      </w:r>
      <w:r>
        <w:rPr>
          <w:rFonts w:eastAsia="Times New Roman"/>
          <w:bCs/>
          <w:lang w:val="es-MX"/>
        </w:rPr>
        <w:t xml:space="preserve">ón de </w:t>
      </w:r>
      <w:r w:rsidRPr="00712A78">
        <w:rPr>
          <w:rFonts w:eastAsia="Times New Roman"/>
          <w:bCs/>
          <w:lang w:val="es-MX"/>
        </w:rPr>
        <w:t xml:space="preserve">las importaciones, estas </w:t>
      </w:r>
      <w:r>
        <w:rPr>
          <w:rFonts w:eastAsia="Times New Roman"/>
          <w:bCs/>
          <w:lang w:val="es-MX"/>
        </w:rPr>
        <w:t>muestran un comportamiento</w:t>
      </w:r>
      <w:r w:rsidRPr="00712A78">
        <w:rPr>
          <w:rFonts w:eastAsia="Times New Roman"/>
          <w:bCs/>
          <w:lang w:val="es-MX"/>
        </w:rPr>
        <w:t xml:space="preserve"> similar a </w:t>
      </w:r>
      <w:r>
        <w:rPr>
          <w:rFonts w:eastAsia="Times New Roman"/>
          <w:bCs/>
          <w:lang w:val="es-MX"/>
        </w:rPr>
        <w:t xml:space="preserve">las </w:t>
      </w:r>
      <w:r w:rsidRPr="00712A78">
        <w:rPr>
          <w:rFonts w:eastAsia="Times New Roman"/>
          <w:bCs/>
          <w:lang w:val="es-MX"/>
        </w:rPr>
        <w:t xml:space="preserve">exportaciones, ya que el </w:t>
      </w:r>
      <w:r>
        <w:rPr>
          <w:rFonts w:eastAsia="Times New Roman"/>
          <w:bCs/>
          <w:lang w:val="es-MX"/>
        </w:rPr>
        <w:t>Banguat</w:t>
      </w:r>
      <w:r w:rsidRPr="00712A78">
        <w:rPr>
          <w:rFonts w:eastAsia="Times New Roman"/>
          <w:bCs/>
          <w:lang w:val="es-MX"/>
        </w:rPr>
        <w:t xml:space="preserve"> proyect</w:t>
      </w:r>
      <w:r>
        <w:rPr>
          <w:rFonts w:eastAsia="Times New Roman"/>
          <w:bCs/>
          <w:lang w:val="es-MX"/>
        </w:rPr>
        <w:t>ó</w:t>
      </w:r>
      <w:r w:rsidRPr="00712A78">
        <w:rPr>
          <w:rFonts w:eastAsia="Times New Roman"/>
          <w:bCs/>
          <w:lang w:val="es-MX"/>
        </w:rPr>
        <w:t xml:space="preserve"> un crecimiento en diciembre del 2021 de 7.5%</w:t>
      </w:r>
      <w:r>
        <w:rPr>
          <w:rFonts w:eastAsia="Times New Roman"/>
          <w:bCs/>
          <w:lang w:val="es-MX"/>
        </w:rPr>
        <w:t>,</w:t>
      </w:r>
      <w:r w:rsidRPr="00712A78">
        <w:rPr>
          <w:rFonts w:eastAsia="Times New Roman"/>
          <w:bCs/>
          <w:lang w:val="es-MX"/>
        </w:rPr>
        <w:t xml:space="preserve"> el cual mantuvo en enero del 2022 en el mismo nivel, sin embargo, en abril la proyección creció significativamente registrando un crecimiento de 12.0%</w:t>
      </w:r>
      <w:r>
        <w:rPr>
          <w:rFonts w:eastAsia="Times New Roman"/>
          <w:bCs/>
          <w:lang w:val="es-MX"/>
        </w:rPr>
        <w:t>,</w:t>
      </w:r>
      <w:r w:rsidRPr="00712A78">
        <w:rPr>
          <w:rFonts w:eastAsia="Times New Roman"/>
          <w:bCs/>
          <w:lang w:val="es-MX"/>
        </w:rPr>
        <w:t xml:space="preserve"> es decir una variación positiva de 4.5 puntos porcentuales</w:t>
      </w:r>
      <w:r>
        <w:rPr>
          <w:rFonts w:eastAsia="Times New Roman"/>
          <w:bCs/>
          <w:lang w:val="es-MX"/>
        </w:rPr>
        <w:t xml:space="preserve"> respecto al pronóstico anterior; </w:t>
      </w:r>
      <w:r w:rsidRPr="00E31852">
        <w:rPr>
          <w:rFonts w:eastAsia="Times New Roman"/>
          <w:bCs/>
          <w:lang w:val="es-MX"/>
        </w:rPr>
        <w:t xml:space="preserve">para el caso de las importaciones </w:t>
      </w:r>
      <w:r>
        <w:rPr>
          <w:rFonts w:eastAsia="Times New Roman"/>
          <w:bCs/>
          <w:lang w:val="es-MX"/>
        </w:rPr>
        <w:t>estas se han ralentizado</w:t>
      </w:r>
      <w:r w:rsidRPr="00E31852">
        <w:rPr>
          <w:rFonts w:eastAsia="Times New Roman"/>
          <w:bCs/>
          <w:lang w:val="es-MX"/>
        </w:rPr>
        <w:t>, registrando un crecimiento de 34.7% a mayo del 2022.</w:t>
      </w:r>
    </w:p>
    <w:p w14:paraId="7A7FFB89" w14:textId="77777777" w:rsidR="0046218E" w:rsidRPr="00712A78" w:rsidRDefault="0046218E" w:rsidP="0046218E">
      <w:pPr>
        <w:ind w:right="49"/>
        <w:jc w:val="both"/>
        <w:rPr>
          <w:rFonts w:eastAsia="Times New Roman"/>
          <w:bCs/>
          <w:lang w:val="es-MX"/>
        </w:rPr>
      </w:pPr>
    </w:p>
    <w:tbl>
      <w:tblPr>
        <w:tblStyle w:val="Tablaconcuadrcula32"/>
        <w:tblW w:w="9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92"/>
      </w:tblGrid>
      <w:tr w:rsidR="0046218E" w:rsidRPr="00F628D6" w14:paraId="6032EB71" w14:textId="77777777" w:rsidTr="00ED483A">
        <w:trPr>
          <w:trHeight w:val="2941"/>
          <w:jc w:val="center"/>
        </w:trPr>
        <w:tc>
          <w:tcPr>
            <w:tcW w:w="4739" w:type="dxa"/>
          </w:tcPr>
          <w:p w14:paraId="1AE1BC25" w14:textId="78887BF9" w:rsidR="0046218E" w:rsidRPr="001749DD" w:rsidRDefault="001749DD" w:rsidP="001749DD">
            <w:pPr>
              <w:pStyle w:val="Descripcin"/>
              <w:keepNext/>
              <w:rPr>
                <w:color w:val="auto"/>
                <w:sz w:val="24"/>
                <w:szCs w:val="24"/>
              </w:rPr>
            </w:pPr>
            <w:bookmarkStart w:id="29" w:name="_Toc114493855"/>
            <w:r w:rsidRPr="001749DD">
              <w:rPr>
                <w:color w:val="auto"/>
                <w:sz w:val="24"/>
                <w:szCs w:val="24"/>
              </w:rPr>
              <w:t xml:space="preserve">Gráfico </w:t>
            </w:r>
            <w:r w:rsidRPr="001749DD">
              <w:rPr>
                <w:color w:val="auto"/>
              </w:rPr>
              <w:fldChar w:fldCharType="begin"/>
            </w:r>
            <w:r w:rsidRPr="001749DD">
              <w:rPr>
                <w:color w:val="auto"/>
                <w:sz w:val="24"/>
                <w:szCs w:val="24"/>
              </w:rPr>
              <w:instrText xml:space="preserve"> SEQ Gráfico \* ARABIC </w:instrText>
            </w:r>
            <w:r w:rsidRPr="001749DD">
              <w:rPr>
                <w:color w:val="auto"/>
              </w:rPr>
              <w:fldChar w:fldCharType="separate"/>
            </w:r>
            <w:r w:rsidR="002E7809">
              <w:rPr>
                <w:noProof/>
                <w:color w:val="auto"/>
                <w:sz w:val="24"/>
                <w:szCs w:val="24"/>
              </w:rPr>
              <w:t>13</w:t>
            </w:r>
            <w:r w:rsidRPr="001749DD">
              <w:rPr>
                <w:color w:val="auto"/>
              </w:rPr>
              <w:fldChar w:fldCharType="end"/>
            </w:r>
            <w:r w:rsidRPr="001749DD">
              <w:rPr>
                <w:color w:val="auto"/>
                <w:sz w:val="24"/>
                <w:szCs w:val="24"/>
              </w:rPr>
              <w:t xml:space="preserve">.  </w:t>
            </w:r>
            <w:r w:rsidR="0046218E" w:rsidRPr="001749DD">
              <w:rPr>
                <w:color w:val="auto"/>
                <w:sz w:val="24"/>
                <w:szCs w:val="24"/>
                <w:lang w:val="es-ES_tradnl" w:eastAsia="es-ES"/>
              </w:rPr>
              <w:t>Pronóstico de exportaciones de 2022</w:t>
            </w:r>
            <w:bookmarkEnd w:id="29"/>
          </w:p>
          <w:p w14:paraId="60FB9734" w14:textId="77777777" w:rsidR="0046218E" w:rsidRPr="00F628D6" w:rsidRDefault="0046218E" w:rsidP="00ED483A">
            <w:pPr>
              <w:ind w:right="49"/>
              <w:jc w:val="center"/>
              <w:rPr>
                <w:noProof/>
                <w:lang w:val="es-ES_tradnl" w:eastAsia="es-ES"/>
              </w:rPr>
            </w:pPr>
            <w:r w:rsidRPr="00F628D6">
              <w:rPr>
                <w:noProof/>
              </w:rPr>
              <w:drawing>
                <wp:inline distT="0" distB="0" distL="0" distR="0" wp14:anchorId="3821F774" wp14:editId="1D16EB67">
                  <wp:extent cx="2594610" cy="1742536"/>
                  <wp:effectExtent l="0" t="0" r="0" b="0"/>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92" w:type="dxa"/>
          </w:tcPr>
          <w:p w14:paraId="2EE495D6" w14:textId="55D674CF" w:rsidR="0046218E" w:rsidRPr="001749DD" w:rsidRDefault="001749DD" w:rsidP="001749DD">
            <w:pPr>
              <w:pStyle w:val="Descripcin"/>
              <w:keepNext/>
              <w:rPr>
                <w:color w:val="auto"/>
                <w:sz w:val="24"/>
                <w:szCs w:val="24"/>
              </w:rPr>
            </w:pPr>
            <w:bookmarkStart w:id="30" w:name="_Toc114493856"/>
            <w:r w:rsidRPr="001749DD">
              <w:rPr>
                <w:color w:val="auto"/>
                <w:sz w:val="24"/>
                <w:szCs w:val="24"/>
              </w:rPr>
              <w:t xml:space="preserve">Gráfico </w:t>
            </w:r>
            <w:r w:rsidRPr="001749DD">
              <w:rPr>
                <w:color w:val="auto"/>
              </w:rPr>
              <w:fldChar w:fldCharType="begin"/>
            </w:r>
            <w:r w:rsidRPr="001749DD">
              <w:rPr>
                <w:color w:val="auto"/>
                <w:sz w:val="24"/>
                <w:szCs w:val="24"/>
              </w:rPr>
              <w:instrText xml:space="preserve"> SEQ Gráfico \* ARABIC </w:instrText>
            </w:r>
            <w:r w:rsidRPr="001749DD">
              <w:rPr>
                <w:color w:val="auto"/>
              </w:rPr>
              <w:fldChar w:fldCharType="separate"/>
            </w:r>
            <w:r w:rsidR="002E7809">
              <w:rPr>
                <w:noProof/>
                <w:color w:val="auto"/>
                <w:sz w:val="24"/>
                <w:szCs w:val="24"/>
              </w:rPr>
              <w:t>14</w:t>
            </w:r>
            <w:r w:rsidRPr="001749DD">
              <w:rPr>
                <w:color w:val="auto"/>
              </w:rPr>
              <w:fldChar w:fldCharType="end"/>
            </w:r>
            <w:r w:rsidRPr="001749DD">
              <w:rPr>
                <w:color w:val="auto"/>
                <w:sz w:val="24"/>
                <w:szCs w:val="24"/>
              </w:rPr>
              <w:t xml:space="preserve">.  </w:t>
            </w:r>
            <w:r w:rsidR="0046218E" w:rsidRPr="001749DD">
              <w:rPr>
                <w:color w:val="auto"/>
                <w:sz w:val="24"/>
                <w:szCs w:val="24"/>
                <w:lang w:val="es-ES_tradnl" w:eastAsia="es-ES"/>
              </w:rPr>
              <w:t>Pronóstico de importaciones de 2022</w:t>
            </w:r>
            <w:bookmarkEnd w:id="30"/>
          </w:p>
          <w:p w14:paraId="1254F475" w14:textId="77777777" w:rsidR="0046218E" w:rsidRPr="00F628D6" w:rsidRDefault="0046218E" w:rsidP="00ED483A">
            <w:pPr>
              <w:jc w:val="center"/>
              <w:rPr>
                <w:noProof/>
                <w:lang w:val="es-ES_tradnl" w:eastAsia="es-ES"/>
              </w:rPr>
            </w:pPr>
            <w:r w:rsidRPr="00F628D6">
              <w:rPr>
                <w:noProof/>
              </w:rPr>
              <w:drawing>
                <wp:inline distT="0" distB="0" distL="0" distR="0" wp14:anchorId="61CD6327" wp14:editId="0CAC3C33">
                  <wp:extent cx="2579370" cy="1742440"/>
                  <wp:effectExtent l="0" t="0" r="0" b="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tbl>
      <w:tblPr>
        <w:tblStyle w:val="Tablaconcuadrcula33"/>
        <w:tblpPr w:leftFromText="180" w:rightFromText="180" w:vertAnchor="text" w:horzAnchor="page" w:tblpX="1753" w:tblpY="41"/>
        <w:tblW w:w="9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1"/>
      </w:tblGrid>
      <w:tr w:rsidR="0046218E" w:rsidRPr="00F628D6" w14:paraId="4EA4A286" w14:textId="77777777" w:rsidTr="00ED483A">
        <w:trPr>
          <w:trHeight w:val="291"/>
        </w:trPr>
        <w:tc>
          <w:tcPr>
            <w:tcW w:w="9931" w:type="dxa"/>
          </w:tcPr>
          <w:p w14:paraId="1C7F3E12" w14:textId="77777777" w:rsidR="0046218E" w:rsidRPr="00F628D6" w:rsidRDefault="0046218E" w:rsidP="00ED483A">
            <w:pPr>
              <w:ind w:right="49"/>
              <w:jc w:val="both"/>
              <w:rPr>
                <w:sz w:val="16"/>
                <w:szCs w:val="11"/>
                <w:lang w:val="es-ES_tradnl" w:eastAsia="es-ES"/>
              </w:rPr>
            </w:pPr>
            <w:r w:rsidRPr="00F628D6">
              <w:rPr>
                <w:sz w:val="16"/>
                <w:szCs w:val="11"/>
                <w:lang w:val="es-ES_tradnl" w:eastAsia="es-ES"/>
              </w:rPr>
              <w:t>Fuente:  Ministerio de Finanzas Públicas con información de BANGUAT</w:t>
            </w:r>
          </w:p>
          <w:p w14:paraId="587D0138" w14:textId="77777777" w:rsidR="0046218E" w:rsidRPr="00F628D6" w:rsidRDefault="0046218E" w:rsidP="00ED483A">
            <w:pPr>
              <w:ind w:right="49"/>
              <w:jc w:val="both"/>
              <w:rPr>
                <w:sz w:val="24"/>
                <w:szCs w:val="24"/>
                <w:lang w:val="es-MX" w:eastAsia="es-ES"/>
              </w:rPr>
            </w:pPr>
            <w:r w:rsidRPr="00F628D6">
              <w:rPr>
                <w:sz w:val="16"/>
                <w:szCs w:val="11"/>
                <w:lang w:val="es-ES_tradnl" w:eastAsia="es-ES"/>
              </w:rPr>
              <w:t>Nota: La desviación es con respecto al pronóstico de diciembre de 2021</w:t>
            </w:r>
            <w:r w:rsidRPr="000731EF">
              <w:rPr>
                <w:sz w:val="16"/>
                <w:szCs w:val="11"/>
                <w:lang w:val="es-ES_tradnl" w:eastAsia="es-ES"/>
              </w:rPr>
              <w:t>, escenario medio</w:t>
            </w:r>
          </w:p>
        </w:tc>
      </w:tr>
    </w:tbl>
    <w:p w14:paraId="1CFBDF13" w14:textId="77777777" w:rsidR="0046218E" w:rsidRPr="00712A78" w:rsidRDefault="0046218E" w:rsidP="0046218E">
      <w:pPr>
        <w:ind w:right="49"/>
        <w:jc w:val="both"/>
        <w:rPr>
          <w:rFonts w:ascii="Calibri" w:eastAsia="Times New Roman" w:hAnsi="Calibri"/>
          <w:lang w:val="es-MX"/>
        </w:rPr>
      </w:pPr>
    </w:p>
    <w:p w14:paraId="05A9A111" w14:textId="77777777" w:rsidR="0046218E" w:rsidRDefault="0046218E" w:rsidP="0046218E">
      <w:pPr>
        <w:ind w:right="49"/>
        <w:jc w:val="both"/>
        <w:rPr>
          <w:rFonts w:eastAsia="Times New Roman"/>
          <w:bCs/>
          <w:lang w:val="es-MX"/>
        </w:rPr>
      </w:pPr>
      <w:r w:rsidRPr="00712A78">
        <w:rPr>
          <w:rFonts w:eastAsia="Times New Roman"/>
          <w:bCs/>
          <w:lang w:val="es-MX"/>
        </w:rPr>
        <w:t>En el inicio del año la inflación se situó dentro del rango de meta establecido por el Ban</w:t>
      </w:r>
      <w:r>
        <w:rPr>
          <w:rFonts w:eastAsia="Times New Roman"/>
          <w:bCs/>
          <w:lang w:val="es-MX"/>
        </w:rPr>
        <w:t>guat</w:t>
      </w:r>
      <w:r w:rsidRPr="00712A78">
        <w:rPr>
          <w:rFonts w:eastAsia="Times New Roman"/>
          <w:bCs/>
          <w:lang w:val="es-MX"/>
        </w:rPr>
        <w:t xml:space="preserve"> de 4.0% +/- 1%, sin embargo</w:t>
      </w:r>
      <w:r>
        <w:rPr>
          <w:rFonts w:eastAsia="Times New Roman"/>
          <w:bCs/>
          <w:lang w:val="es-MX"/>
        </w:rPr>
        <w:t xml:space="preserve"> en el año se ha </w:t>
      </w:r>
      <w:r w:rsidRPr="00712A78">
        <w:rPr>
          <w:rFonts w:eastAsia="Times New Roman"/>
          <w:bCs/>
          <w:lang w:val="es-MX"/>
        </w:rPr>
        <w:t>experiment</w:t>
      </w:r>
      <w:r>
        <w:rPr>
          <w:rFonts w:eastAsia="Times New Roman"/>
          <w:bCs/>
          <w:lang w:val="es-MX"/>
        </w:rPr>
        <w:t>ado</w:t>
      </w:r>
      <w:r w:rsidRPr="00712A78">
        <w:rPr>
          <w:rFonts w:eastAsia="Times New Roman"/>
          <w:bCs/>
          <w:lang w:val="es-MX"/>
        </w:rPr>
        <w:t xml:space="preserve"> una tendencia al alza a partir del alza </w:t>
      </w:r>
      <w:r>
        <w:rPr>
          <w:rFonts w:eastAsia="Times New Roman"/>
          <w:bCs/>
          <w:lang w:val="es-MX"/>
        </w:rPr>
        <w:t>de los</w:t>
      </w:r>
      <w:r w:rsidRPr="00712A78">
        <w:rPr>
          <w:rFonts w:eastAsia="Times New Roman"/>
          <w:bCs/>
          <w:lang w:val="es-MX"/>
        </w:rPr>
        <w:t xml:space="preserve"> precio internacional</w:t>
      </w:r>
      <w:r>
        <w:rPr>
          <w:rFonts w:eastAsia="Times New Roman"/>
          <w:bCs/>
          <w:lang w:val="es-MX"/>
        </w:rPr>
        <w:t>es</w:t>
      </w:r>
      <w:r w:rsidRPr="00712A78">
        <w:rPr>
          <w:rFonts w:eastAsia="Times New Roman"/>
          <w:bCs/>
          <w:lang w:val="es-MX"/>
        </w:rPr>
        <w:t xml:space="preserve"> del petróleo y sus derivados y con ello la tendencia al alza de</w:t>
      </w:r>
      <w:r>
        <w:rPr>
          <w:rFonts w:eastAsia="Times New Roman"/>
          <w:bCs/>
          <w:lang w:val="es-MX"/>
        </w:rPr>
        <w:t xml:space="preserve">l </w:t>
      </w:r>
      <w:r w:rsidRPr="00712A78">
        <w:rPr>
          <w:rFonts w:eastAsia="Times New Roman"/>
          <w:bCs/>
          <w:lang w:val="es-MX"/>
        </w:rPr>
        <w:t xml:space="preserve">precio en </w:t>
      </w:r>
      <w:r>
        <w:rPr>
          <w:rFonts w:eastAsia="Times New Roman"/>
          <w:bCs/>
          <w:lang w:val="es-MX"/>
        </w:rPr>
        <w:t xml:space="preserve">el </w:t>
      </w:r>
      <w:r w:rsidRPr="00712A78">
        <w:rPr>
          <w:rFonts w:eastAsia="Times New Roman"/>
          <w:bCs/>
          <w:lang w:val="es-MX"/>
        </w:rPr>
        <w:t>transporte, alimentos y de algunos productos principalmente de origen importado, para mayo se registró una inflación de 5.82% por arriba del límite superior de la meta</w:t>
      </w:r>
      <w:r>
        <w:rPr>
          <w:rFonts w:eastAsia="Times New Roman"/>
          <w:bCs/>
          <w:lang w:val="es-MX"/>
        </w:rPr>
        <w:t>,</w:t>
      </w:r>
      <w:r w:rsidRPr="00712A78">
        <w:rPr>
          <w:rFonts w:eastAsia="Times New Roman"/>
          <w:bCs/>
          <w:lang w:val="es-MX"/>
        </w:rPr>
        <w:t xml:space="preserve"> pero en junio el crecimiento fue mayor al registr</w:t>
      </w:r>
      <w:r>
        <w:rPr>
          <w:rFonts w:eastAsia="Times New Roman"/>
          <w:bCs/>
          <w:lang w:val="es-MX"/>
        </w:rPr>
        <w:t>ar</w:t>
      </w:r>
      <w:r w:rsidRPr="00712A78">
        <w:rPr>
          <w:rFonts w:eastAsia="Times New Roman"/>
          <w:bCs/>
          <w:lang w:val="es-MX"/>
        </w:rPr>
        <w:t xml:space="preserve"> un nivel de 7.55%.</w:t>
      </w:r>
    </w:p>
    <w:p w14:paraId="493B10FA" w14:textId="77777777" w:rsidR="005333C3" w:rsidRPr="00712A78" w:rsidRDefault="005333C3" w:rsidP="0046218E">
      <w:pPr>
        <w:ind w:right="49"/>
        <w:jc w:val="both"/>
        <w:rPr>
          <w:rFonts w:eastAsia="Times New Roman"/>
          <w:bCs/>
          <w:lang w:val="es-MX"/>
        </w:rPr>
      </w:pPr>
    </w:p>
    <w:p w14:paraId="5794AF63" w14:textId="77777777" w:rsidR="0046218E" w:rsidRPr="00712A78" w:rsidRDefault="0046218E" w:rsidP="0046218E">
      <w:pPr>
        <w:jc w:val="both"/>
        <w:rPr>
          <w:b/>
          <w:bCs/>
          <w:sz w:val="6"/>
          <w:szCs w:val="6"/>
        </w:rPr>
      </w:pPr>
    </w:p>
    <w:p w14:paraId="7E195B3A" w14:textId="77777777" w:rsidR="0046218E" w:rsidRDefault="0046218E" w:rsidP="00A9708A">
      <w:pPr>
        <w:pStyle w:val="Prrafodelista"/>
        <w:numPr>
          <w:ilvl w:val="2"/>
          <w:numId w:val="32"/>
        </w:numPr>
        <w:ind w:left="851" w:hanging="284"/>
        <w:jc w:val="both"/>
        <w:rPr>
          <w:b/>
          <w:bCs/>
        </w:rPr>
      </w:pPr>
      <w:r w:rsidRPr="009800C2">
        <w:rPr>
          <w:b/>
          <w:bCs/>
        </w:rPr>
        <w:t>Desviaciones de los pronósticos fiscales</w:t>
      </w:r>
    </w:p>
    <w:p w14:paraId="25683DAC" w14:textId="77777777" w:rsidR="001573DF" w:rsidRDefault="001573DF" w:rsidP="0046218E">
      <w:pPr>
        <w:ind w:right="49"/>
        <w:jc w:val="both"/>
        <w:rPr>
          <w:lang w:val="es-MX"/>
        </w:rPr>
      </w:pPr>
      <w:bookmarkStart w:id="31" w:name="_Hlk107410736"/>
    </w:p>
    <w:p w14:paraId="2DCDC059" w14:textId="62AC53E9" w:rsidR="0046218E" w:rsidRDefault="0046218E" w:rsidP="0046218E">
      <w:pPr>
        <w:ind w:right="49"/>
        <w:jc w:val="both"/>
        <w:rPr>
          <w:lang w:val="es-MX"/>
        </w:rPr>
      </w:pPr>
      <w:r w:rsidRPr="009800C2">
        <w:rPr>
          <w:lang w:val="es-MX"/>
        </w:rPr>
        <w:t xml:space="preserve">En 2021 se presentó un caso inédito en la historia democrática del país, al no ser aprobado el Proyecto de Presupuesto por segunda vez consecutiva. Nuevamente el gobierno tuvo que arrancar el ejercicio fiscal con un presupuesto que no correspondía a las necesidades y no se encontraba alineado con la realidad existente del país en ese momento. </w:t>
      </w:r>
    </w:p>
    <w:p w14:paraId="081BEAF6" w14:textId="77777777" w:rsidR="001573DF" w:rsidRPr="009800C2" w:rsidRDefault="001573DF" w:rsidP="0046218E">
      <w:pPr>
        <w:ind w:right="49"/>
        <w:jc w:val="both"/>
        <w:rPr>
          <w:lang w:val="es-MX"/>
        </w:rPr>
      </w:pPr>
    </w:p>
    <w:p w14:paraId="4958EEF9" w14:textId="77777777" w:rsidR="0046218E" w:rsidRPr="009800C2" w:rsidRDefault="0046218E" w:rsidP="0046218E">
      <w:pPr>
        <w:ind w:right="49"/>
        <w:jc w:val="both"/>
        <w:rPr>
          <w:rFonts w:eastAsia="Times New Roman"/>
          <w:bCs/>
          <w:lang w:val="es-MX"/>
        </w:rPr>
      </w:pPr>
      <w:r w:rsidRPr="009800C2">
        <w:rPr>
          <w:rFonts w:eastAsia="Times New Roman"/>
          <w:bCs/>
          <w:lang w:val="es-MX"/>
        </w:rPr>
        <w:t>Por lo anterior, para el ejercicio fiscal 2021 entró en vigencia el último presupuesto aprobado siendo el del ejercicio fiscal 2019, más las tres ampliaciones presupuestarias que fueron autorizadas mediante Decretos 12-2020, 13-2020 y 20-2020 del Organismo Legislativo para la atención del COV</w:t>
      </w:r>
      <w:r>
        <w:rPr>
          <w:rFonts w:eastAsia="Times New Roman"/>
          <w:bCs/>
          <w:lang w:val="es-MX"/>
        </w:rPr>
        <w:t>I</w:t>
      </w:r>
      <w:r w:rsidRPr="009800C2">
        <w:rPr>
          <w:rFonts w:eastAsia="Times New Roman"/>
          <w:bCs/>
          <w:lang w:val="es-MX"/>
        </w:rPr>
        <w:t>D-19 y otros gastos, siendo finalmente el presupuesto en vigencia de Q107,521.0 millones.</w:t>
      </w:r>
    </w:p>
    <w:p w14:paraId="73D49BB9" w14:textId="77777777" w:rsidR="0046218E" w:rsidRPr="009800C2" w:rsidRDefault="0046218E" w:rsidP="0046218E">
      <w:pPr>
        <w:ind w:left="567" w:right="49"/>
        <w:jc w:val="both"/>
        <w:rPr>
          <w:rFonts w:eastAsia="Times New Roman"/>
          <w:bCs/>
          <w:lang w:val="es-MX"/>
        </w:rPr>
      </w:pPr>
    </w:p>
    <w:p w14:paraId="3E66FD2C" w14:textId="77777777" w:rsidR="0046218E" w:rsidRPr="009800C2" w:rsidRDefault="0046218E" w:rsidP="0046218E">
      <w:pPr>
        <w:ind w:right="49"/>
        <w:jc w:val="both"/>
        <w:rPr>
          <w:rFonts w:eastAsia="Times New Roman"/>
          <w:bCs/>
          <w:lang w:val="es-MX"/>
        </w:rPr>
      </w:pPr>
      <w:r w:rsidRPr="009800C2">
        <w:rPr>
          <w:rFonts w:eastAsia="Times New Roman"/>
          <w:bCs/>
          <w:lang w:val="es-MX"/>
        </w:rPr>
        <w:t>En lo que respecta a los ingresos tributarios, el 2021 se enmarca como un año de recuperación. La SAT emprendió una serie de acciones administrativas para aumentar la recaudación tributaria luego de la caída observada en 2020 como producto del confinamiento y las medidas adoptadas por el COVID-19.</w:t>
      </w:r>
      <w:r>
        <w:rPr>
          <w:rFonts w:eastAsia="Times New Roman"/>
          <w:bCs/>
          <w:lang w:val="es-MX"/>
        </w:rPr>
        <w:t xml:space="preserve"> </w:t>
      </w:r>
      <w:r w:rsidRPr="009800C2">
        <w:rPr>
          <w:rFonts w:eastAsia="Times New Roman"/>
          <w:bCs/>
          <w:lang w:val="es-MX"/>
        </w:rPr>
        <w:t>De esta cuenta al cierre del ejercicio se reportaron ingresos por 12.4% del PIB</w:t>
      </w:r>
      <w:r>
        <w:rPr>
          <w:rFonts w:eastAsia="Times New Roman"/>
          <w:bCs/>
          <w:lang w:val="es-MX"/>
        </w:rPr>
        <w:t>,</w:t>
      </w:r>
      <w:r w:rsidRPr="009800C2">
        <w:rPr>
          <w:rFonts w:eastAsia="Times New Roman"/>
          <w:bCs/>
          <w:lang w:val="es-MX"/>
        </w:rPr>
        <w:t xml:space="preserve"> con una desviación positiva de 2.1 puntos porcentuales respecto al presupuesto vigente explicado por el desempeño positivo en la recaudación tributaria que generó una brecha positiva respecto a la meta de Q13,991.4 millones.</w:t>
      </w:r>
    </w:p>
    <w:p w14:paraId="100B494B" w14:textId="77777777" w:rsidR="0046218E" w:rsidRPr="009800C2" w:rsidRDefault="0046218E" w:rsidP="0046218E">
      <w:pPr>
        <w:ind w:left="567" w:right="49"/>
        <w:jc w:val="both"/>
        <w:rPr>
          <w:rFonts w:eastAsia="Times New Roman"/>
          <w:bCs/>
          <w:lang w:val="es-MX"/>
        </w:rPr>
      </w:pPr>
    </w:p>
    <w:p w14:paraId="1C078097" w14:textId="77777777" w:rsidR="0046218E" w:rsidRPr="009800C2" w:rsidRDefault="0046218E" w:rsidP="0046218E">
      <w:pPr>
        <w:ind w:right="49"/>
        <w:jc w:val="both"/>
        <w:rPr>
          <w:rFonts w:eastAsia="Times New Roman"/>
          <w:bCs/>
          <w:lang w:val="es-MX"/>
        </w:rPr>
      </w:pPr>
      <w:r w:rsidRPr="009800C2">
        <w:rPr>
          <w:rFonts w:eastAsia="Times New Roman"/>
          <w:bCs/>
          <w:lang w:val="es-MX"/>
        </w:rPr>
        <w:t>Por parte de la ejecución del gasto, al no aprobarse el presupuesto, el Organismo Ejecutivo comunicó que el gasto máximo en el que se incurriría en el 2021 era de Q94,354.0 millones siendo un presupuesto operativo que le daba certeza a las entidades del espacio real de ejecución y eliminaba virtualmente los recursos que no podían ser ejecutados en el 2021 por carecer de financiamiento.</w:t>
      </w:r>
      <w:r>
        <w:rPr>
          <w:rFonts w:eastAsia="Times New Roman"/>
          <w:bCs/>
          <w:lang w:val="es-MX"/>
        </w:rPr>
        <w:t xml:space="preserve"> </w:t>
      </w:r>
      <w:r w:rsidRPr="009800C2">
        <w:rPr>
          <w:rFonts w:eastAsia="Times New Roman"/>
          <w:bCs/>
          <w:lang w:val="es-MX"/>
        </w:rPr>
        <w:t>Por ello, el gasto público (sin incluir amortizaciones de la deuda) se ubicó en 13.5% del PIB con una desviación negativa de 2.2 puntos porcentuales respecto al presupuesto vigente (que contemplaba las ampliaciones presupuestarias del 2020), mientras que respecto al presupuesto operativo la desviación fue únicamente de 0.1 puntos porcentuales. Es importante considerar que la ejecución del gasto en 2021 sufrió una contracción derivada que los programas sociales y económicos en atención al COVID-19 implementados en 2020 no estuvieron vigentes en 2021.</w:t>
      </w:r>
    </w:p>
    <w:p w14:paraId="66DCD920" w14:textId="77777777" w:rsidR="0046218E" w:rsidRPr="009800C2" w:rsidRDefault="0046218E" w:rsidP="0046218E">
      <w:pPr>
        <w:ind w:left="567" w:right="49"/>
        <w:jc w:val="both"/>
        <w:rPr>
          <w:rFonts w:eastAsia="Times New Roman"/>
          <w:bCs/>
          <w:lang w:val="es-MX"/>
        </w:rPr>
      </w:pPr>
    </w:p>
    <w:p w14:paraId="41828A46" w14:textId="3A808FCB" w:rsidR="0046218E" w:rsidRDefault="0046218E" w:rsidP="0046218E">
      <w:pPr>
        <w:ind w:right="49"/>
        <w:jc w:val="both"/>
        <w:rPr>
          <w:rFonts w:eastAsia="Times New Roman"/>
          <w:bCs/>
          <w:lang w:val="es-MX"/>
        </w:rPr>
      </w:pPr>
      <w:r w:rsidRPr="009800C2">
        <w:rPr>
          <w:rFonts w:eastAsia="Times New Roman"/>
          <w:bCs/>
          <w:lang w:val="es-MX"/>
        </w:rPr>
        <w:t xml:space="preserve">Dada la dinámica entre los ingresos y gastos, el déficit fiscal observado fue de 1.2% del PIB, menor al presupuestado en 4.2 puntos porcentuales, mientras que respecto al presupuesto operativo fue menor por 2.1 puntos porcentuales. </w:t>
      </w:r>
    </w:p>
    <w:p w14:paraId="39F44556" w14:textId="73A3BCE4" w:rsidR="001573DF" w:rsidRPr="009800C2" w:rsidRDefault="001573DF" w:rsidP="0046218E">
      <w:pPr>
        <w:ind w:right="49"/>
        <w:jc w:val="both"/>
        <w:rPr>
          <w:rFonts w:eastAsia="Times New Roman"/>
          <w:bCs/>
          <w:lang w:val="es-MX"/>
        </w:rPr>
      </w:pPr>
    </w:p>
    <w:tbl>
      <w:tblPr>
        <w:tblStyle w:val="Tablaconcuadrcula1"/>
        <w:tblW w:w="9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31"/>
      </w:tblGrid>
      <w:tr w:rsidR="001573DF" w:rsidRPr="009800C2" w14:paraId="59BEDA4A" w14:textId="77777777" w:rsidTr="00ED483A">
        <w:tc>
          <w:tcPr>
            <w:tcW w:w="4746" w:type="dxa"/>
          </w:tcPr>
          <w:p w14:paraId="54B4E71A" w14:textId="00486D92" w:rsidR="001573DF" w:rsidRPr="001573DF" w:rsidRDefault="001573DF" w:rsidP="001573DF">
            <w:pPr>
              <w:pStyle w:val="Descripcin"/>
              <w:keepNext/>
              <w:rPr>
                <w:rFonts w:ascii="Times New Roman" w:hAnsi="Times New Roman"/>
                <w:color w:val="auto"/>
                <w:sz w:val="24"/>
              </w:rPr>
            </w:pPr>
            <w:bookmarkStart w:id="32" w:name="_Toc114493857"/>
            <w:r w:rsidRPr="001573DF">
              <w:rPr>
                <w:rFonts w:ascii="Times New Roman" w:hAnsi="Times New Roman"/>
                <w:color w:val="auto"/>
                <w:sz w:val="24"/>
              </w:rPr>
              <w:t xml:space="preserve">Gráfico </w:t>
            </w:r>
            <w:r w:rsidRPr="001573DF">
              <w:rPr>
                <w:color w:val="auto"/>
              </w:rPr>
              <w:fldChar w:fldCharType="begin"/>
            </w:r>
            <w:r w:rsidRPr="001573DF">
              <w:rPr>
                <w:rFonts w:ascii="Times New Roman" w:hAnsi="Times New Roman"/>
                <w:color w:val="auto"/>
                <w:sz w:val="24"/>
              </w:rPr>
              <w:instrText xml:space="preserve"> SEQ Gráfico \* ARABIC </w:instrText>
            </w:r>
            <w:r w:rsidRPr="001573DF">
              <w:rPr>
                <w:color w:val="auto"/>
              </w:rPr>
              <w:fldChar w:fldCharType="separate"/>
            </w:r>
            <w:r w:rsidR="002E7809">
              <w:rPr>
                <w:rFonts w:ascii="Times New Roman" w:hAnsi="Times New Roman"/>
                <w:noProof/>
                <w:color w:val="auto"/>
                <w:sz w:val="24"/>
              </w:rPr>
              <w:t>15</w:t>
            </w:r>
            <w:r w:rsidRPr="001573DF">
              <w:rPr>
                <w:color w:val="auto"/>
              </w:rPr>
              <w:fldChar w:fldCharType="end"/>
            </w:r>
            <w:r w:rsidRPr="001573DF">
              <w:rPr>
                <w:rFonts w:ascii="Times New Roman" w:hAnsi="Times New Roman"/>
                <w:color w:val="auto"/>
                <w:sz w:val="24"/>
              </w:rPr>
              <w:t xml:space="preserve">.  </w:t>
            </w:r>
            <w:r w:rsidRPr="001573DF">
              <w:rPr>
                <w:rFonts w:ascii="Times New Roman" w:eastAsia="Times New Roman" w:hAnsi="Times New Roman"/>
                <w:bCs/>
                <w:color w:val="auto"/>
                <w:sz w:val="24"/>
                <w:lang w:val="es-MX"/>
              </w:rPr>
              <w:t>Variables fiscales</w:t>
            </w:r>
            <w:bookmarkEnd w:id="32"/>
          </w:p>
        </w:tc>
        <w:tc>
          <w:tcPr>
            <w:tcW w:w="4531" w:type="dxa"/>
          </w:tcPr>
          <w:p w14:paraId="3B12C290" w14:textId="4A301A83" w:rsidR="001573DF" w:rsidRPr="001573DF" w:rsidRDefault="001573DF" w:rsidP="004827DE">
            <w:pPr>
              <w:pStyle w:val="Descripcin"/>
              <w:keepNext/>
              <w:rPr>
                <w:rFonts w:ascii="Times New Roman" w:hAnsi="Times New Roman"/>
                <w:color w:val="auto"/>
                <w:sz w:val="24"/>
              </w:rPr>
            </w:pPr>
            <w:bookmarkStart w:id="33" w:name="_Toc114493858"/>
            <w:r w:rsidRPr="001573DF">
              <w:rPr>
                <w:rFonts w:ascii="Times New Roman" w:hAnsi="Times New Roman"/>
                <w:color w:val="auto"/>
                <w:sz w:val="24"/>
              </w:rPr>
              <w:t xml:space="preserve">Gráfico </w:t>
            </w:r>
            <w:r w:rsidRPr="001573DF">
              <w:rPr>
                <w:color w:val="auto"/>
              </w:rPr>
              <w:fldChar w:fldCharType="begin"/>
            </w:r>
            <w:r w:rsidRPr="001573DF">
              <w:rPr>
                <w:rFonts w:ascii="Times New Roman" w:hAnsi="Times New Roman"/>
                <w:color w:val="auto"/>
                <w:sz w:val="24"/>
              </w:rPr>
              <w:instrText xml:space="preserve"> SEQ Gráfico \* ARABIC </w:instrText>
            </w:r>
            <w:r w:rsidRPr="001573DF">
              <w:rPr>
                <w:color w:val="auto"/>
              </w:rPr>
              <w:fldChar w:fldCharType="separate"/>
            </w:r>
            <w:r w:rsidR="002E7809">
              <w:rPr>
                <w:rFonts w:ascii="Times New Roman" w:hAnsi="Times New Roman"/>
                <w:noProof/>
                <w:color w:val="auto"/>
                <w:sz w:val="24"/>
              </w:rPr>
              <w:t>16</w:t>
            </w:r>
            <w:r w:rsidRPr="001573DF">
              <w:rPr>
                <w:color w:val="auto"/>
              </w:rPr>
              <w:fldChar w:fldCharType="end"/>
            </w:r>
            <w:r w:rsidRPr="001573DF">
              <w:rPr>
                <w:rFonts w:ascii="Times New Roman" w:hAnsi="Times New Roman"/>
                <w:color w:val="auto"/>
                <w:sz w:val="24"/>
              </w:rPr>
              <w:t xml:space="preserve">.  </w:t>
            </w:r>
            <w:r w:rsidRPr="001573DF">
              <w:rPr>
                <w:rFonts w:ascii="Times New Roman" w:hAnsi="Times New Roman"/>
                <w:bCs/>
                <w:noProof/>
                <w:color w:val="auto"/>
                <w:sz w:val="24"/>
                <w:lang w:eastAsia="es-GT"/>
              </w:rPr>
              <w:t>Desviaciones fiscales con respecto al PIB en 2021</w:t>
            </w:r>
            <w:bookmarkEnd w:id="33"/>
          </w:p>
        </w:tc>
      </w:tr>
      <w:tr w:rsidR="0046218E" w:rsidRPr="009800C2" w14:paraId="4961B2B5" w14:textId="77777777" w:rsidTr="00ED483A">
        <w:tc>
          <w:tcPr>
            <w:tcW w:w="4746" w:type="dxa"/>
          </w:tcPr>
          <w:p w14:paraId="47FF7D9D" w14:textId="77777777" w:rsidR="0046218E" w:rsidRPr="001573DF" w:rsidRDefault="0046218E" w:rsidP="00ED483A">
            <w:pPr>
              <w:ind w:right="49"/>
              <w:jc w:val="both"/>
              <w:rPr>
                <w:rFonts w:ascii="Times New Roman" w:hAnsi="Times New Roman"/>
                <w:bCs/>
                <w:sz w:val="16"/>
                <w:szCs w:val="16"/>
                <w:lang w:val="es-MX"/>
              </w:rPr>
            </w:pPr>
            <w:r w:rsidRPr="001573DF">
              <w:rPr>
                <w:b/>
                <w:noProof/>
                <w:lang w:eastAsia="es-GT"/>
              </w:rPr>
              <w:drawing>
                <wp:anchor distT="0" distB="0" distL="114300" distR="114300" simplePos="0" relativeHeight="251659264" behindDoc="0" locked="0" layoutInCell="1" allowOverlap="1" wp14:anchorId="05F8A5B7" wp14:editId="44B3C6C5">
                  <wp:simplePos x="0" y="0"/>
                  <wp:positionH relativeFrom="column">
                    <wp:posOffset>-5715</wp:posOffset>
                  </wp:positionH>
                  <wp:positionV relativeFrom="paragraph">
                    <wp:posOffset>0</wp:posOffset>
                  </wp:positionV>
                  <wp:extent cx="2872740" cy="1863090"/>
                  <wp:effectExtent l="0" t="0" r="3810" b="3810"/>
                  <wp:wrapSquare wrapText="bothSides"/>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1573DF">
              <w:rPr>
                <w:rFonts w:ascii="Times New Roman" w:hAnsi="Times New Roman"/>
                <w:bCs/>
                <w:sz w:val="16"/>
                <w:szCs w:val="14"/>
                <w:lang w:val="es-MX"/>
              </w:rPr>
              <w:t>Fuente: Ministerio de Finanzas Públicas, se toma en consideración la cifra revisada del PIB del Banguat</w:t>
            </w:r>
          </w:p>
        </w:tc>
        <w:tc>
          <w:tcPr>
            <w:tcW w:w="4531" w:type="dxa"/>
          </w:tcPr>
          <w:p w14:paraId="2F82D63D" w14:textId="77777777" w:rsidR="0046218E" w:rsidRPr="009800C2" w:rsidRDefault="0046218E" w:rsidP="00ED483A">
            <w:pPr>
              <w:ind w:right="49"/>
              <w:jc w:val="both"/>
              <w:rPr>
                <w:bCs/>
                <w:sz w:val="24"/>
                <w:lang w:val="es-MX"/>
              </w:rPr>
            </w:pPr>
            <w:r w:rsidRPr="009800C2">
              <w:rPr>
                <w:b/>
                <w:noProof/>
                <w:lang w:eastAsia="es-GT"/>
              </w:rPr>
              <w:drawing>
                <wp:inline distT="0" distB="0" distL="0" distR="0" wp14:anchorId="48F6895C" wp14:editId="3EF78B5E">
                  <wp:extent cx="2708910" cy="1863090"/>
                  <wp:effectExtent l="0" t="0" r="0" b="3810"/>
                  <wp:docPr id="2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4411ADB5" w14:textId="77777777" w:rsidR="0046218E" w:rsidRPr="001C0BBF" w:rsidRDefault="0046218E" w:rsidP="0046218E">
      <w:pPr>
        <w:jc w:val="both"/>
        <w:rPr>
          <w:b/>
          <w:bCs/>
          <w:sz w:val="22"/>
          <w:szCs w:val="8"/>
        </w:rPr>
      </w:pPr>
    </w:p>
    <w:p w14:paraId="7541DE6E" w14:textId="77777777" w:rsidR="0046218E" w:rsidRDefault="0046218E" w:rsidP="0046218E">
      <w:pPr>
        <w:ind w:right="49"/>
        <w:jc w:val="both"/>
        <w:rPr>
          <w:rFonts w:eastAsia="Times New Roman"/>
          <w:bCs/>
          <w:lang w:val="es-MX"/>
        </w:rPr>
      </w:pPr>
      <w:r w:rsidRPr="009800C2">
        <w:rPr>
          <w:rFonts w:eastAsia="Times New Roman"/>
          <w:bCs/>
          <w:lang w:val="es-MX"/>
        </w:rPr>
        <w:t>El 2022 arranc</w:t>
      </w:r>
      <w:r>
        <w:rPr>
          <w:rFonts w:eastAsia="Times New Roman"/>
          <w:bCs/>
          <w:lang w:val="es-MX"/>
        </w:rPr>
        <w:t>ó</w:t>
      </w:r>
      <w:r w:rsidRPr="009800C2">
        <w:rPr>
          <w:rFonts w:eastAsia="Times New Roman"/>
          <w:bCs/>
          <w:lang w:val="es-MX"/>
        </w:rPr>
        <w:t xml:space="preserve"> con la particularidad de contar con un presupuesto aprobado por el Congreso de la República, luego de dos años de no contar con un presupuesto propio. </w:t>
      </w:r>
    </w:p>
    <w:p w14:paraId="7AFF0E74" w14:textId="77777777" w:rsidR="0046218E" w:rsidRDefault="0046218E" w:rsidP="0046218E">
      <w:pPr>
        <w:ind w:right="49"/>
        <w:jc w:val="both"/>
        <w:rPr>
          <w:rFonts w:eastAsia="Times New Roman"/>
          <w:bCs/>
          <w:lang w:val="es-MX"/>
        </w:rPr>
      </w:pPr>
    </w:p>
    <w:p w14:paraId="25DA78F2" w14:textId="77777777" w:rsidR="0046218E" w:rsidRDefault="0046218E" w:rsidP="0046218E">
      <w:pPr>
        <w:ind w:right="49"/>
        <w:jc w:val="both"/>
        <w:rPr>
          <w:rFonts w:eastAsia="Times New Roman"/>
          <w:bCs/>
          <w:lang w:val="es-MX"/>
        </w:rPr>
      </w:pPr>
      <w:r w:rsidRPr="009800C2">
        <w:rPr>
          <w:rFonts w:eastAsia="Times New Roman"/>
          <w:bCs/>
          <w:lang w:val="es-MX"/>
        </w:rPr>
        <w:t>Del lado de los ingresos tributarios, la meta de recaudación a junio fue superada por sexto mes consecutivo</w:t>
      </w:r>
      <w:r>
        <w:rPr>
          <w:rFonts w:eastAsia="Times New Roman"/>
          <w:bCs/>
          <w:lang w:val="es-MX"/>
        </w:rPr>
        <w:t>.</w:t>
      </w:r>
      <w:r w:rsidRPr="009800C2">
        <w:rPr>
          <w:rFonts w:ascii="Calibri" w:eastAsia="Times New Roman" w:hAnsi="Calibri"/>
          <w:lang w:val="es-ES"/>
        </w:rPr>
        <w:t xml:space="preserve"> </w:t>
      </w:r>
      <w:r w:rsidRPr="009800C2">
        <w:rPr>
          <w:rFonts w:eastAsia="Times New Roman"/>
          <w:bCs/>
          <w:lang w:val="es-MX"/>
        </w:rPr>
        <w:t>De acuerdo a la estimación de cierre, los ingresos totales podrían ubicarse en 12.3% del PIB, con una desviación positiva de 0.8 puntos porcentuales respecto al presupuesto vigente, mientras que los ingresos tributarios podrían reportar una variación positiva de 0.9 puntos porcentuales, derivado del comportamiento observado hasta junio. Se podría esperar que la evolución positiva de la recaudación tributaria se mantenga a lo largo del año.</w:t>
      </w:r>
    </w:p>
    <w:p w14:paraId="4901E7AC" w14:textId="6CD59A16" w:rsidR="009701B8" w:rsidRPr="009800C2" w:rsidRDefault="009701B8" w:rsidP="0046218E">
      <w:pPr>
        <w:ind w:right="49"/>
        <w:jc w:val="both"/>
        <w:rPr>
          <w:rFonts w:eastAsia="Times New Roman"/>
          <w:bCs/>
          <w:lang w:val="es-MX"/>
        </w:rPr>
      </w:pPr>
    </w:p>
    <w:p w14:paraId="495E98AE" w14:textId="77777777" w:rsidR="0046218E" w:rsidRPr="009800C2" w:rsidRDefault="0046218E" w:rsidP="0046218E">
      <w:pPr>
        <w:ind w:right="49"/>
        <w:jc w:val="both"/>
        <w:rPr>
          <w:rFonts w:eastAsia="Times New Roman"/>
          <w:bCs/>
          <w:lang w:val="es-MX"/>
        </w:rPr>
      </w:pPr>
      <w:r w:rsidRPr="009800C2">
        <w:rPr>
          <w:rFonts w:eastAsia="Times New Roman"/>
          <w:bCs/>
          <w:lang w:val="es-MX"/>
        </w:rPr>
        <w:t>Por su parte, el gasto público al cierre del ejercicio podría ubicarse en 14.7% del PIB, con una desviación negativa de 0.</w:t>
      </w:r>
      <w:r>
        <w:rPr>
          <w:rFonts w:eastAsia="Times New Roman"/>
          <w:bCs/>
          <w:lang w:val="es-MX"/>
        </w:rPr>
        <w:t>6</w:t>
      </w:r>
      <w:r w:rsidRPr="009800C2">
        <w:rPr>
          <w:rFonts w:eastAsia="Times New Roman"/>
          <w:bCs/>
          <w:lang w:val="es-MX"/>
        </w:rPr>
        <w:t xml:space="preserve"> puntos porcentuales respecto al presupuesto vigente, mientras que respecto al presupuesto inicial la desviación podría ser positiva en 0.4 puntos porcentuales. Es importante considerar que, durante el año, se han </w:t>
      </w:r>
      <w:r>
        <w:rPr>
          <w:rFonts w:eastAsia="Times New Roman"/>
          <w:bCs/>
          <w:lang w:val="es-MX"/>
        </w:rPr>
        <w:t>realizado</w:t>
      </w:r>
      <w:r w:rsidRPr="009800C2">
        <w:rPr>
          <w:rFonts w:eastAsia="Times New Roman"/>
          <w:bCs/>
          <w:lang w:val="es-MX"/>
        </w:rPr>
        <w:t xml:space="preserve"> ampliaciones presupuestarias, las cuales han sido necesarias para atender las medidas temporales adoptadas en apoyo a la población guatemalteca ante el alza sostenida de los precios internacionales de los combustibles y para aumentar la infraestructura estratégica del país. </w:t>
      </w:r>
    </w:p>
    <w:p w14:paraId="4D1430F7" w14:textId="77777777" w:rsidR="0046218E" w:rsidRPr="009800C2" w:rsidRDefault="0046218E" w:rsidP="0046218E">
      <w:pPr>
        <w:ind w:left="567" w:right="49"/>
        <w:jc w:val="both"/>
        <w:rPr>
          <w:rFonts w:eastAsia="Times New Roman"/>
          <w:bCs/>
          <w:lang w:val="es-MX"/>
        </w:rPr>
      </w:pPr>
    </w:p>
    <w:p w14:paraId="1AA740D6" w14:textId="77777777" w:rsidR="0046218E" w:rsidRPr="009800C2" w:rsidRDefault="0046218E" w:rsidP="0046218E">
      <w:pPr>
        <w:ind w:right="49"/>
        <w:jc w:val="both"/>
        <w:rPr>
          <w:rFonts w:eastAsia="Times New Roman"/>
          <w:bCs/>
          <w:lang w:val="es-MX"/>
        </w:rPr>
      </w:pPr>
      <w:r w:rsidRPr="009800C2">
        <w:rPr>
          <w:rFonts w:eastAsia="Times New Roman"/>
          <w:bCs/>
          <w:lang w:val="es-MX"/>
        </w:rPr>
        <w:t>Entre las medidas temporales destaca: el subsidio al gas propano; el subsidio al diésel y la gasolina regular, que en una etapa posterior incluyó a la gasolina superior; y la ampliación de la tarifa social de energía eléctrica. El subsidio del gas propano ha sido prorrogado dos veces y el subsidio a las gasolinas una vez, derivado que las tensiones geopolíticas por la guerra entre Rusia y Ucrania persisten y esto continúa generando problemas especulativos con presiones y volatilidad en los precios internacionales.</w:t>
      </w:r>
    </w:p>
    <w:p w14:paraId="1D6F01B3" w14:textId="77777777" w:rsidR="0046218E" w:rsidRPr="009800C2" w:rsidRDefault="0046218E" w:rsidP="0046218E">
      <w:pPr>
        <w:ind w:left="567" w:right="49"/>
        <w:jc w:val="both"/>
        <w:rPr>
          <w:rFonts w:eastAsia="Times New Roman"/>
          <w:bCs/>
          <w:lang w:val="es-MX"/>
        </w:rPr>
      </w:pPr>
    </w:p>
    <w:p w14:paraId="46A0ED18" w14:textId="77777777" w:rsidR="0046218E" w:rsidRPr="009800C2" w:rsidRDefault="0046218E" w:rsidP="0046218E">
      <w:pPr>
        <w:ind w:right="49"/>
        <w:jc w:val="both"/>
        <w:rPr>
          <w:rFonts w:eastAsia="Times New Roman"/>
          <w:bCs/>
          <w:lang w:val="es-MX"/>
        </w:rPr>
      </w:pPr>
      <w:r w:rsidRPr="009800C2">
        <w:rPr>
          <w:rFonts w:eastAsia="Times New Roman"/>
          <w:bCs/>
          <w:lang w:val="es-MX"/>
        </w:rPr>
        <w:t>Al tomar en cuenta las ampliaciones presupuestarias realizadas a la fecha, la perspectiva de déficit fiscal es que se situé en torno al 2.</w:t>
      </w:r>
      <w:r>
        <w:rPr>
          <w:rFonts w:eastAsia="Times New Roman"/>
          <w:bCs/>
          <w:lang w:val="es-MX"/>
        </w:rPr>
        <w:t>4</w:t>
      </w:r>
      <w:r w:rsidRPr="009800C2">
        <w:rPr>
          <w:rFonts w:eastAsia="Times New Roman"/>
          <w:bCs/>
          <w:lang w:val="es-MX"/>
        </w:rPr>
        <w:t>% del PIB, al cierre del presente año; siendo una desviación negativa de 1.</w:t>
      </w:r>
      <w:r>
        <w:rPr>
          <w:rFonts w:eastAsia="Times New Roman"/>
          <w:bCs/>
          <w:lang w:val="es-MX"/>
        </w:rPr>
        <w:t>4</w:t>
      </w:r>
      <w:r w:rsidRPr="009800C2">
        <w:rPr>
          <w:rFonts w:eastAsia="Times New Roman"/>
          <w:bCs/>
          <w:lang w:val="es-MX"/>
        </w:rPr>
        <w:t xml:space="preserve"> puntos porcentuales respecto al presupuesto vigente y de 0.4 puntos porcentuales respecto al presupuesto inicial. Esto derivado que no se tenía contemplado que la dinámica positiva en la recaudación se extendiera a lo largo de los meses y derivado de ello es necesario incurrir en un menor déficit fiscal.</w:t>
      </w:r>
    </w:p>
    <w:p w14:paraId="26B48CFC" w14:textId="77777777" w:rsidR="0046218E" w:rsidRPr="009800C2" w:rsidRDefault="0046218E" w:rsidP="0046218E">
      <w:pPr>
        <w:ind w:left="567" w:right="49"/>
        <w:jc w:val="both"/>
        <w:rPr>
          <w:rFonts w:eastAsia="Times New Roman"/>
          <w:bCs/>
          <w:lang w:val="es-MX"/>
        </w:rPr>
      </w:pPr>
    </w:p>
    <w:tbl>
      <w:tblPr>
        <w:tblStyle w:val="Tablaconcuadrcula1"/>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413"/>
      </w:tblGrid>
      <w:tr w:rsidR="004827DE" w:rsidRPr="009800C2" w14:paraId="78222CD1" w14:textId="77777777" w:rsidTr="00ED483A">
        <w:tc>
          <w:tcPr>
            <w:tcW w:w="4678" w:type="dxa"/>
          </w:tcPr>
          <w:p w14:paraId="159B97CF" w14:textId="652DFF7C" w:rsidR="004827DE" w:rsidRPr="004827DE" w:rsidRDefault="004827DE" w:rsidP="004827DE">
            <w:pPr>
              <w:pStyle w:val="Descripcin"/>
              <w:keepNext/>
              <w:rPr>
                <w:rFonts w:ascii="Times New Roman" w:hAnsi="Times New Roman"/>
                <w:color w:val="auto"/>
                <w:sz w:val="24"/>
              </w:rPr>
            </w:pPr>
            <w:bookmarkStart w:id="34" w:name="_Toc114493859"/>
            <w:r w:rsidRPr="004827DE">
              <w:rPr>
                <w:rFonts w:ascii="Times New Roman" w:hAnsi="Times New Roman"/>
                <w:color w:val="auto"/>
                <w:sz w:val="24"/>
              </w:rPr>
              <w:t xml:space="preserve">Gráfico </w:t>
            </w:r>
            <w:r w:rsidRPr="004827DE">
              <w:rPr>
                <w:color w:val="auto"/>
              </w:rPr>
              <w:fldChar w:fldCharType="begin"/>
            </w:r>
            <w:r w:rsidRPr="004827DE">
              <w:rPr>
                <w:rFonts w:ascii="Times New Roman" w:hAnsi="Times New Roman"/>
                <w:color w:val="auto"/>
                <w:sz w:val="24"/>
              </w:rPr>
              <w:instrText xml:space="preserve"> SEQ Gráfico \* ARABIC </w:instrText>
            </w:r>
            <w:r w:rsidRPr="004827DE">
              <w:rPr>
                <w:color w:val="auto"/>
              </w:rPr>
              <w:fldChar w:fldCharType="separate"/>
            </w:r>
            <w:r w:rsidR="002E7809">
              <w:rPr>
                <w:rFonts w:ascii="Times New Roman" w:hAnsi="Times New Roman"/>
                <w:noProof/>
                <w:color w:val="auto"/>
                <w:sz w:val="24"/>
              </w:rPr>
              <w:t>17</w:t>
            </w:r>
            <w:r w:rsidRPr="004827DE">
              <w:rPr>
                <w:color w:val="auto"/>
              </w:rPr>
              <w:fldChar w:fldCharType="end"/>
            </w:r>
            <w:r w:rsidRPr="004827DE">
              <w:rPr>
                <w:rFonts w:ascii="Times New Roman" w:hAnsi="Times New Roman"/>
                <w:color w:val="auto"/>
                <w:sz w:val="24"/>
              </w:rPr>
              <w:t xml:space="preserve">.  </w:t>
            </w:r>
            <w:r w:rsidRPr="004827DE">
              <w:rPr>
                <w:rFonts w:ascii="Times New Roman" w:hAnsi="Times New Roman"/>
                <w:noProof/>
                <w:color w:val="auto"/>
                <w:sz w:val="24"/>
                <w:lang w:eastAsia="es-GT"/>
              </w:rPr>
              <w:t>Variables fiscales</w:t>
            </w:r>
            <w:bookmarkEnd w:id="34"/>
          </w:p>
        </w:tc>
        <w:tc>
          <w:tcPr>
            <w:tcW w:w="4413" w:type="dxa"/>
          </w:tcPr>
          <w:p w14:paraId="0D1BA1FD" w14:textId="1C348E58" w:rsidR="004827DE" w:rsidRPr="004827DE" w:rsidRDefault="004827DE" w:rsidP="004827DE">
            <w:pPr>
              <w:pStyle w:val="Descripcin"/>
              <w:keepNext/>
              <w:rPr>
                <w:rFonts w:ascii="Times New Roman" w:hAnsi="Times New Roman"/>
              </w:rPr>
            </w:pPr>
            <w:bookmarkStart w:id="35" w:name="_Toc114493860"/>
            <w:r w:rsidRPr="004827DE">
              <w:rPr>
                <w:rFonts w:ascii="Times New Roman" w:hAnsi="Times New Roman"/>
                <w:color w:val="auto"/>
                <w:sz w:val="24"/>
              </w:rPr>
              <w:t xml:space="preserve">Gráfico </w:t>
            </w:r>
            <w:r w:rsidRPr="004827DE">
              <w:rPr>
                <w:color w:val="auto"/>
              </w:rPr>
              <w:fldChar w:fldCharType="begin"/>
            </w:r>
            <w:r w:rsidRPr="004827DE">
              <w:rPr>
                <w:rFonts w:ascii="Times New Roman" w:hAnsi="Times New Roman"/>
                <w:color w:val="auto"/>
                <w:sz w:val="24"/>
              </w:rPr>
              <w:instrText xml:space="preserve"> SEQ Gráfico \* ARABIC </w:instrText>
            </w:r>
            <w:r w:rsidRPr="004827DE">
              <w:rPr>
                <w:color w:val="auto"/>
              </w:rPr>
              <w:fldChar w:fldCharType="separate"/>
            </w:r>
            <w:r w:rsidR="002E7809">
              <w:rPr>
                <w:rFonts w:ascii="Times New Roman" w:hAnsi="Times New Roman"/>
                <w:noProof/>
                <w:color w:val="auto"/>
                <w:sz w:val="24"/>
              </w:rPr>
              <w:t>18</w:t>
            </w:r>
            <w:r w:rsidRPr="004827DE">
              <w:rPr>
                <w:color w:val="auto"/>
              </w:rPr>
              <w:fldChar w:fldCharType="end"/>
            </w:r>
            <w:r w:rsidRPr="004827DE">
              <w:rPr>
                <w:rFonts w:ascii="Times New Roman" w:hAnsi="Times New Roman"/>
                <w:color w:val="auto"/>
                <w:sz w:val="24"/>
              </w:rPr>
              <w:t xml:space="preserve">.  </w:t>
            </w:r>
            <w:r w:rsidRPr="004827DE">
              <w:rPr>
                <w:rFonts w:ascii="Times New Roman" w:hAnsi="Times New Roman"/>
                <w:bCs/>
                <w:noProof/>
                <w:color w:val="auto"/>
                <w:sz w:val="24"/>
                <w:lang w:eastAsia="es-GT"/>
              </w:rPr>
              <w:t>Desviaciones fiscales con respecto al PIB en 2022</w:t>
            </w:r>
            <w:bookmarkEnd w:id="35"/>
          </w:p>
        </w:tc>
      </w:tr>
      <w:tr w:rsidR="0046218E" w:rsidRPr="009800C2" w14:paraId="1E42A140" w14:textId="77777777" w:rsidTr="00ED483A">
        <w:tc>
          <w:tcPr>
            <w:tcW w:w="4678" w:type="dxa"/>
          </w:tcPr>
          <w:p w14:paraId="77915C29" w14:textId="77777777" w:rsidR="0046218E" w:rsidRPr="00E1614A" w:rsidRDefault="0046218E" w:rsidP="00ED483A">
            <w:pPr>
              <w:ind w:right="49"/>
              <w:jc w:val="both"/>
              <w:rPr>
                <w:rFonts w:ascii="Times New Roman" w:hAnsi="Times New Roman"/>
                <w:bCs/>
                <w:sz w:val="16"/>
                <w:szCs w:val="16"/>
                <w:lang w:val="es-MX"/>
              </w:rPr>
            </w:pPr>
            <w:r w:rsidRPr="00E1614A">
              <w:rPr>
                <w:b/>
                <w:noProof/>
                <w:sz w:val="16"/>
                <w:szCs w:val="16"/>
                <w:lang w:eastAsia="es-GT"/>
              </w:rPr>
              <w:drawing>
                <wp:anchor distT="0" distB="0" distL="114300" distR="114300" simplePos="0" relativeHeight="251660288" behindDoc="0" locked="0" layoutInCell="1" allowOverlap="1" wp14:anchorId="6AC98E3A" wp14:editId="7A65ADD8">
                  <wp:simplePos x="0" y="0"/>
                  <wp:positionH relativeFrom="column">
                    <wp:posOffset>-5715</wp:posOffset>
                  </wp:positionH>
                  <wp:positionV relativeFrom="paragraph">
                    <wp:posOffset>0</wp:posOffset>
                  </wp:positionV>
                  <wp:extent cx="2872740" cy="1918970"/>
                  <wp:effectExtent l="0" t="0" r="3810" b="5080"/>
                  <wp:wrapSquare wrapText="bothSides"/>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E1614A">
              <w:rPr>
                <w:rFonts w:ascii="Times New Roman" w:hAnsi="Times New Roman"/>
                <w:bCs/>
                <w:sz w:val="16"/>
                <w:szCs w:val="16"/>
                <w:lang w:val="es-MX"/>
              </w:rPr>
              <w:t>Fuente: Ministerio de Finanzas Públicas, se toma en consideración la cifra revisada del PIB del Banguat</w:t>
            </w:r>
          </w:p>
        </w:tc>
        <w:tc>
          <w:tcPr>
            <w:tcW w:w="4413" w:type="dxa"/>
          </w:tcPr>
          <w:p w14:paraId="1E898F13" w14:textId="77777777" w:rsidR="0046218E" w:rsidRPr="009800C2" w:rsidRDefault="0046218E" w:rsidP="00ED483A">
            <w:pPr>
              <w:ind w:right="49"/>
              <w:jc w:val="both"/>
              <w:rPr>
                <w:bCs/>
                <w:sz w:val="24"/>
                <w:lang w:val="es-MX"/>
              </w:rPr>
            </w:pPr>
            <w:r w:rsidRPr="009800C2">
              <w:rPr>
                <w:b/>
                <w:noProof/>
                <w:lang w:eastAsia="es-GT"/>
              </w:rPr>
              <w:drawing>
                <wp:inline distT="0" distB="0" distL="0" distR="0" wp14:anchorId="3F4FDD0A" wp14:editId="4C214C9B">
                  <wp:extent cx="2633980" cy="1975449"/>
                  <wp:effectExtent l="0" t="0" r="0" b="635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7D30C374" w14:textId="77777777" w:rsidR="0046218E" w:rsidRPr="009800C2" w:rsidRDefault="0046218E" w:rsidP="0046218E">
      <w:pPr>
        <w:ind w:left="567" w:right="49"/>
        <w:jc w:val="both"/>
        <w:rPr>
          <w:rFonts w:eastAsia="Times New Roman"/>
          <w:bCs/>
          <w:lang w:val="es-MX"/>
        </w:rPr>
      </w:pPr>
    </w:p>
    <w:p w14:paraId="52C7239D" w14:textId="77777777" w:rsidR="0046218E" w:rsidRPr="009800C2" w:rsidRDefault="0046218E" w:rsidP="0046218E">
      <w:pPr>
        <w:ind w:right="49"/>
        <w:jc w:val="both"/>
        <w:rPr>
          <w:rFonts w:eastAsia="Times New Roman"/>
          <w:bCs/>
          <w:lang w:val="es-MX"/>
        </w:rPr>
      </w:pPr>
      <w:r w:rsidRPr="009800C2">
        <w:rPr>
          <w:rFonts w:eastAsia="Times New Roman"/>
          <w:bCs/>
          <w:lang w:val="es-MX"/>
        </w:rPr>
        <w:t xml:space="preserve">En los últimos años el mundo ha sufrido dos shocks que han condicionado la trayectoria de las variables macroeconómicas y fiscales, la pandemia COVID-19 y la guerra de Rusia-Ucrania que ha desencadenado una espiral inflacionaria. Por lo anterior, la materialización de riesgos en las variables macroeconómicas afecta de forma directa el desempeño y diseño de la política fiscal, lo que ha ocasionado la reorientación del gasto público y la inyección de más recursos para atender las emergencias. </w:t>
      </w:r>
    </w:p>
    <w:p w14:paraId="3CAE1C38" w14:textId="77777777" w:rsidR="0046218E" w:rsidRPr="009800C2" w:rsidRDefault="0046218E" w:rsidP="0046218E">
      <w:pPr>
        <w:ind w:left="567" w:right="49"/>
        <w:jc w:val="both"/>
        <w:rPr>
          <w:rFonts w:eastAsia="Times New Roman"/>
          <w:bCs/>
          <w:lang w:val="es-MX"/>
        </w:rPr>
      </w:pPr>
    </w:p>
    <w:p w14:paraId="7E7D768B" w14:textId="77777777" w:rsidR="0046218E" w:rsidRPr="009800C2" w:rsidRDefault="0046218E" w:rsidP="0046218E">
      <w:pPr>
        <w:ind w:right="49"/>
        <w:jc w:val="both"/>
        <w:rPr>
          <w:lang w:val="es-MX"/>
        </w:rPr>
      </w:pPr>
      <w:r w:rsidRPr="009800C2">
        <w:rPr>
          <w:rFonts w:eastAsia="Times New Roman"/>
          <w:bCs/>
          <w:lang w:val="es-MX"/>
        </w:rPr>
        <w:t xml:space="preserve">La consolidación fiscal podría estar condicionada en el futuro por las nuevas variantes del COVID-19. Asimismo, una prolongación de las tensiones geopolíticas en Rusia-Ucrania podrían </w:t>
      </w:r>
      <w:r>
        <w:rPr>
          <w:rFonts w:eastAsia="Times New Roman"/>
          <w:bCs/>
          <w:lang w:val="es-MX"/>
        </w:rPr>
        <w:t>mantener altos</w:t>
      </w:r>
      <w:r w:rsidRPr="009800C2">
        <w:rPr>
          <w:rFonts w:eastAsia="Times New Roman"/>
          <w:bCs/>
          <w:lang w:val="es-MX"/>
        </w:rPr>
        <w:t xml:space="preserve"> los precios internacionales</w:t>
      </w:r>
      <w:r>
        <w:rPr>
          <w:rFonts w:eastAsia="Times New Roman"/>
          <w:bCs/>
          <w:lang w:val="es-MX"/>
        </w:rPr>
        <w:t xml:space="preserve"> de los commodities</w:t>
      </w:r>
      <w:r w:rsidRPr="009800C2">
        <w:rPr>
          <w:rFonts w:eastAsia="Times New Roman"/>
          <w:bCs/>
          <w:lang w:val="es-MX"/>
        </w:rPr>
        <w:t>, siendo necesario continuar con programas que apoyen los bolsillos de los grupos más golpeados ante los incrementos.</w:t>
      </w:r>
      <w:bookmarkEnd w:id="31"/>
    </w:p>
    <w:p w14:paraId="79047A98" w14:textId="77777777" w:rsidR="006D26FA" w:rsidRDefault="006D26FA" w:rsidP="00BA2759">
      <w:pPr>
        <w:widowControl/>
        <w:ind w:left="567" w:right="49" w:hanging="360"/>
        <w:rPr>
          <w:lang w:val="es-MX"/>
        </w:rPr>
      </w:pPr>
    </w:p>
    <w:p w14:paraId="6C6FE459" w14:textId="77777777" w:rsidR="00604B92" w:rsidRPr="002333A9" w:rsidRDefault="00604B92" w:rsidP="00A9708A">
      <w:pPr>
        <w:pStyle w:val="Ttulo2"/>
        <w:numPr>
          <w:ilvl w:val="1"/>
          <w:numId w:val="32"/>
        </w:numPr>
        <w:ind w:left="567" w:hanging="283"/>
        <w:rPr>
          <w:color w:val="auto"/>
        </w:rPr>
      </w:pPr>
      <w:bookmarkStart w:id="36" w:name="_Toc114495238"/>
      <w:r w:rsidRPr="002333A9">
        <w:rPr>
          <w:color w:val="auto"/>
        </w:rPr>
        <w:t>Riegos asociados a las variaciones en los precios internacionales del petróleo</w:t>
      </w:r>
      <w:bookmarkEnd w:id="36"/>
    </w:p>
    <w:p w14:paraId="6F1CE43D" w14:textId="77777777" w:rsidR="00604B92" w:rsidRPr="00B83FCC" w:rsidRDefault="00604B92" w:rsidP="00604B92">
      <w:pPr>
        <w:jc w:val="both"/>
        <w:rPr>
          <w:b/>
          <w:bCs/>
          <w:sz w:val="28"/>
          <w:szCs w:val="28"/>
        </w:rPr>
      </w:pPr>
    </w:p>
    <w:p w14:paraId="1B981E2C" w14:textId="62CB9FAA" w:rsidR="00604B92" w:rsidRDefault="00604B92" w:rsidP="00604B92">
      <w:pPr>
        <w:jc w:val="both"/>
      </w:pPr>
      <w:r w:rsidRPr="00B83FCC">
        <w:t xml:space="preserve">El </w:t>
      </w:r>
      <w:r>
        <w:t>petróleo crudo y sus derivados son</w:t>
      </w:r>
      <w:r w:rsidRPr="00B83FCC">
        <w:t xml:space="preserve"> una fuerza fundamental en la economía mundial y los cambios en su precio tienen efectos significativos en el crecimiento económico y en el bienestar de los hogares. Los choques en los precios se transmiten a la economía por varios canales, en el caso del sector privado un aumento positivo en el precio del crudo aumentará los </w:t>
      </w:r>
      <w:r>
        <w:t>costos de los</w:t>
      </w:r>
      <w:r w:rsidRPr="00B83FCC">
        <w:t xml:space="preserve"> derivados que son utilizados por los hogares y las firmas, teniendo un particular efecto en l</w:t>
      </w:r>
      <w:r>
        <w:t xml:space="preserve">a disminución del ingreso real </w:t>
      </w:r>
      <w:r w:rsidRPr="00B83FCC">
        <w:t xml:space="preserve">de los hogares más vulnerables. Asimismo, estos impactos </w:t>
      </w:r>
      <w:r>
        <w:t>pueden deteriorar indicadore</w:t>
      </w:r>
      <w:r w:rsidR="009701B8">
        <w:t>s</w:t>
      </w:r>
      <w:r>
        <w:t xml:space="preserve"> macroeconómicos, fiscales y sociales dependiendo de las</w:t>
      </w:r>
      <w:r w:rsidRPr="00B83FCC">
        <w:t xml:space="preserve"> características estructurales</w:t>
      </w:r>
      <w:r>
        <w:t xml:space="preserve"> de cada país.</w:t>
      </w:r>
    </w:p>
    <w:p w14:paraId="3ED785BB" w14:textId="77777777" w:rsidR="004827DE" w:rsidRPr="00B83FCC" w:rsidRDefault="004827DE" w:rsidP="00604B92">
      <w:pPr>
        <w:jc w:val="both"/>
      </w:pPr>
    </w:p>
    <w:p w14:paraId="35CA50EE" w14:textId="77777777" w:rsidR="00604B92" w:rsidRDefault="00604B92" w:rsidP="00604B92">
      <w:pPr>
        <w:jc w:val="both"/>
      </w:pPr>
      <w:r w:rsidRPr="00B83FCC">
        <w:t xml:space="preserve">La usual volatilidad </w:t>
      </w:r>
      <w:r>
        <w:t>en el mercado del petróleo crudo</w:t>
      </w:r>
      <w:r w:rsidRPr="00B83FCC">
        <w:t xml:space="preserve"> dificulta a los países importadores realizar presupuestos robustos, esto debido a la incertidumbre en los ingresos, </w:t>
      </w:r>
      <w:r>
        <w:t xml:space="preserve">además por el </w:t>
      </w:r>
      <w:r w:rsidRPr="00B83FCC">
        <w:t>gasto</w:t>
      </w:r>
      <w:r>
        <w:t xml:space="preserve"> </w:t>
      </w:r>
      <w:r w:rsidRPr="00B83FCC">
        <w:t xml:space="preserve">en subsidios para proteger a las firmas y los hogares, particularmente en países en desarrollo. No obstante, estos subsidios exponen a los gobiernos en riesgos fiscales, </w:t>
      </w:r>
      <w:r>
        <w:t>aumentan los</w:t>
      </w:r>
      <w:r w:rsidRPr="00B83FCC">
        <w:t xml:space="preserve"> costos ambientales, crean desincentivos para el uso eficiente de la energía y se desplazan los recursos para la educación, salud y otras inversiones para el desarrollo de los países</w:t>
      </w:r>
      <w:r>
        <w:t xml:space="preserve">. </w:t>
      </w:r>
      <w:r w:rsidRPr="00B83FCC">
        <w:t>Por lo que</w:t>
      </w:r>
      <w:r>
        <w:t>,</w:t>
      </w:r>
      <w:r w:rsidRPr="00B83FCC">
        <w:t xml:space="preserve"> para el caso de Guatemala se analizarán los posibles riesgos fiscales originados por los cambios en los precios del petróleo. Para esto se realizará un énfasis especial en los posibles impactos </w:t>
      </w:r>
      <w:r>
        <w:t>fiscales de escenarios de alza o disminución de precios en el año 2023.</w:t>
      </w:r>
    </w:p>
    <w:p w14:paraId="0A417D8E" w14:textId="77777777" w:rsidR="00604B92" w:rsidRDefault="00604B92" w:rsidP="00604B92">
      <w:pPr>
        <w:jc w:val="both"/>
      </w:pPr>
    </w:p>
    <w:p w14:paraId="06655FEF" w14:textId="77777777" w:rsidR="004827DE" w:rsidRPr="004827DE" w:rsidRDefault="004827DE" w:rsidP="004827DE">
      <w:pPr>
        <w:pStyle w:val="Prrafodelista"/>
        <w:keepNext/>
        <w:numPr>
          <w:ilvl w:val="0"/>
          <w:numId w:val="33"/>
        </w:numPr>
        <w:contextualSpacing w:val="0"/>
        <w:outlineLvl w:val="2"/>
        <w:rPr>
          <w:b/>
          <w:bCs/>
          <w:vanish/>
        </w:rPr>
      </w:pPr>
      <w:bookmarkStart w:id="37" w:name="_Toc110522920"/>
      <w:bookmarkStart w:id="38" w:name="_Toc114066619"/>
      <w:bookmarkStart w:id="39" w:name="_Toc114473941"/>
      <w:bookmarkStart w:id="40" w:name="_Toc114475988"/>
      <w:bookmarkStart w:id="41" w:name="_Toc114476095"/>
      <w:bookmarkStart w:id="42" w:name="_Toc114476180"/>
      <w:bookmarkStart w:id="43" w:name="_Toc114476247"/>
      <w:bookmarkStart w:id="44" w:name="_Toc114476321"/>
      <w:bookmarkStart w:id="45" w:name="_Toc114476387"/>
      <w:bookmarkStart w:id="46" w:name="_Toc114492473"/>
      <w:bookmarkStart w:id="47" w:name="_Toc114492674"/>
      <w:bookmarkStart w:id="48" w:name="_Toc114493784"/>
      <w:bookmarkStart w:id="49" w:name="_Toc114495239"/>
      <w:bookmarkEnd w:id="37"/>
      <w:bookmarkEnd w:id="38"/>
      <w:bookmarkEnd w:id="39"/>
      <w:bookmarkEnd w:id="40"/>
      <w:bookmarkEnd w:id="41"/>
      <w:bookmarkEnd w:id="42"/>
      <w:bookmarkEnd w:id="43"/>
      <w:bookmarkEnd w:id="44"/>
      <w:bookmarkEnd w:id="45"/>
      <w:bookmarkEnd w:id="46"/>
      <w:bookmarkEnd w:id="47"/>
      <w:bookmarkEnd w:id="48"/>
      <w:bookmarkEnd w:id="49"/>
    </w:p>
    <w:p w14:paraId="6EE2516F" w14:textId="77777777" w:rsidR="004827DE" w:rsidRPr="004827DE" w:rsidRDefault="004827DE" w:rsidP="004827DE">
      <w:pPr>
        <w:pStyle w:val="Prrafodelista"/>
        <w:keepNext/>
        <w:numPr>
          <w:ilvl w:val="1"/>
          <w:numId w:val="33"/>
        </w:numPr>
        <w:contextualSpacing w:val="0"/>
        <w:outlineLvl w:val="2"/>
        <w:rPr>
          <w:b/>
          <w:bCs/>
          <w:vanish/>
        </w:rPr>
      </w:pPr>
      <w:bookmarkStart w:id="50" w:name="_Toc110522921"/>
      <w:bookmarkStart w:id="51" w:name="_Toc114066620"/>
      <w:bookmarkStart w:id="52" w:name="_Toc114473942"/>
      <w:bookmarkStart w:id="53" w:name="_Toc114475989"/>
      <w:bookmarkStart w:id="54" w:name="_Toc114476096"/>
      <w:bookmarkStart w:id="55" w:name="_Toc114476181"/>
      <w:bookmarkStart w:id="56" w:name="_Toc114476248"/>
      <w:bookmarkStart w:id="57" w:name="_Toc114476322"/>
      <w:bookmarkStart w:id="58" w:name="_Toc114476388"/>
      <w:bookmarkStart w:id="59" w:name="_Toc114492474"/>
      <w:bookmarkStart w:id="60" w:name="_Toc114492675"/>
      <w:bookmarkStart w:id="61" w:name="_Toc114493785"/>
      <w:bookmarkStart w:id="62" w:name="_Toc114495240"/>
      <w:bookmarkEnd w:id="50"/>
      <w:bookmarkEnd w:id="51"/>
      <w:bookmarkEnd w:id="52"/>
      <w:bookmarkEnd w:id="53"/>
      <w:bookmarkEnd w:id="54"/>
      <w:bookmarkEnd w:id="55"/>
      <w:bookmarkEnd w:id="56"/>
      <w:bookmarkEnd w:id="57"/>
      <w:bookmarkEnd w:id="58"/>
      <w:bookmarkEnd w:id="59"/>
      <w:bookmarkEnd w:id="60"/>
      <w:bookmarkEnd w:id="61"/>
      <w:bookmarkEnd w:id="62"/>
    </w:p>
    <w:p w14:paraId="6BD7A92C" w14:textId="77777777" w:rsidR="004827DE" w:rsidRPr="004827DE" w:rsidRDefault="004827DE" w:rsidP="004827DE">
      <w:pPr>
        <w:pStyle w:val="Prrafodelista"/>
        <w:keepNext/>
        <w:numPr>
          <w:ilvl w:val="1"/>
          <w:numId w:val="33"/>
        </w:numPr>
        <w:contextualSpacing w:val="0"/>
        <w:outlineLvl w:val="2"/>
        <w:rPr>
          <w:b/>
          <w:bCs/>
          <w:vanish/>
        </w:rPr>
      </w:pPr>
      <w:bookmarkStart w:id="63" w:name="_Toc110522922"/>
      <w:bookmarkStart w:id="64" w:name="_Toc114066621"/>
      <w:bookmarkStart w:id="65" w:name="_Toc114473943"/>
      <w:bookmarkStart w:id="66" w:name="_Toc114475990"/>
      <w:bookmarkStart w:id="67" w:name="_Toc114476097"/>
      <w:bookmarkStart w:id="68" w:name="_Toc114476182"/>
      <w:bookmarkStart w:id="69" w:name="_Toc114476249"/>
      <w:bookmarkStart w:id="70" w:name="_Toc114476323"/>
      <w:bookmarkStart w:id="71" w:name="_Toc114476389"/>
      <w:bookmarkStart w:id="72" w:name="_Toc114492475"/>
      <w:bookmarkStart w:id="73" w:name="_Toc114492676"/>
      <w:bookmarkStart w:id="74" w:name="_Toc114493786"/>
      <w:bookmarkStart w:id="75" w:name="_Toc114495241"/>
      <w:bookmarkEnd w:id="63"/>
      <w:bookmarkEnd w:id="64"/>
      <w:bookmarkEnd w:id="65"/>
      <w:bookmarkEnd w:id="66"/>
      <w:bookmarkEnd w:id="67"/>
      <w:bookmarkEnd w:id="68"/>
      <w:bookmarkEnd w:id="69"/>
      <w:bookmarkEnd w:id="70"/>
      <w:bookmarkEnd w:id="71"/>
      <w:bookmarkEnd w:id="72"/>
      <w:bookmarkEnd w:id="73"/>
      <w:bookmarkEnd w:id="74"/>
      <w:bookmarkEnd w:id="75"/>
    </w:p>
    <w:p w14:paraId="52400A30" w14:textId="77777777" w:rsidR="004827DE" w:rsidRPr="004827DE" w:rsidRDefault="004827DE" w:rsidP="004827DE">
      <w:pPr>
        <w:pStyle w:val="Prrafodelista"/>
        <w:keepNext/>
        <w:numPr>
          <w:ilvl w:val="1"/>
          <w:numId w:val="33"/>
        </w:numPr>
        <w:contextualSpacing w:val="0"/>
        <w:outlineLvl w:val="2"/>
        <w:rPr>
          <w:b/>
          <w:bCs/>
          <w:vanish/>
        </w:rPr>
      </w:pPr>
      <w:bookmarkStart w:id="76" w:name="_Toc110522923"/>
      <w:bookmarkStart w:id="77" w:name="_Toc114066622"/>
      <w:bookmarkStart w:id="78" w:name="_Toc114473944"/>
      <w:bookmarkStart w:id="79" w:name="_Toc114475991"/>
      <w:bookmarkStart w:id="80" w:name="_Toc114476098"/>
      <w:bookmarkStart w:id="81" w:name="_Toc114476183"/>
      <w:bookmarkStart w:id="82" w:name="_Toc114476250"/>
      <w:bookmarkStart w:id="83" w:name="_Toc114476324"/>
      <w:bookmarkStart w:id="84" w:name="_Toc114476390"/>
      <w:bookmarkStart w:id="85" w:name="_Toc114492476"/>
      <w:bookmarkStart w:id="86" w:name="_Toc114492677"/>
      <w:bookmarkStart w:id="87" w:name="_Toc114493787"/>
      <w:bookmarkStart w:id="88" w:name="_Toc114495242"/>
      <w:bookmarkEnd w:id="76"/>
      <w:bookmarkEnd w:id="77"/>
      <w:bookmarkEnd w:id="78"/>
      <w:bookmarkEnd w:id="79"/>
      <w:bookmarkEnd w:id="80"/>
      <w:bookmarkEnd w:id="81"/>
      <w:bookmarkEnd w:id="82"/>
      <w:bookmarkEnd w:id="83"/>
      <w:bookmarkEnd w:id="84"/>
      <w:bookmarkEnd w:id="85"/>
      <w:bookmarkEnd w:id="86"/>
      <w:bookmarkEnd w:id="87"/>
      <w:bookmarkEnd w:id="88"/>
    </w:p>
    <w:p w14:paraId="2D8F9739" w14:textId="4B81EBCE" w:rsidR="00604B92" w:rsidRPr="004827DE" w:rsidRDefault="00604B92" w:rsidP="00A9708A">
      <w:pPr>
        <w:pStyle w:val="Ttulo3"/>
        <w:numPr>
          <w:ilvl w:val="2"/>
          <w:numId w:val="33"/>
        </w:numPr>
        <w:ind w:left="851" w:hanging="284"/>
        <w:rPr>
          <w:bCs/>
          <w:sz w:val="24"/>
          <w:u w:val="none"/>
        </w:rPr>
      </w:pPr>
      <w:bookmarkStart w:id="89" w:name="_Toc114495243"/>
      <w:r w:rsidRPr="004827DE">
        <w:rPr>
          <w:bCs/>
          <w:sz w:val="24"/>
          <w:u w:val="none"/>
        </w:rPr>
        <w:t>Impacto en las finanzas públicas por alza en los precios del petróleo</w:t>
      </w:r>
      <w:bookmarkEnd w:id="89"/>
      <w:r w:rsidRPr="004827DE">
        <w:rPr>
          <w:bCs/>
          <w:sz w:val="24"/>
          <w:u w:val="none"/>
        </w:rPr>
        <w:t xml:space="preserve"> </w:t>
      </w:r>
    </w:p>
    <w:p w14:paraId="1A17ABBA" w14:textId="77777777" w:rsidR="004827DE" w:rsidRDefault="004827DE" w:rsidP="00604B92">
      <w:pPr>
        <w:jc w:val="both"/>
      </w:pPr>
    </w:p>
    <w:p w14:paraId="78A93A99" w14:textId="17BBC8EB" w:rsidR="00604B92" w:rsidRDefault="00604B92" w:rsidP="00604B92">
      <w:pPr>
        <w:jc w:val="both"/>
      </w:pPr>
      <w:r>
        <w:t>El primer impacto que se observa en las finanzas públicas por el alza del precio del petróleo es a través de un aumento significativo en los ingresos fiscales, específicamente de origen tributario en el Impuesto al Valor Agregado -IVA-. Esto debido que al aumento de precios del petróleo se transmite a sus derivados y por lo tanto esto ocasiona un incremento de los impuestos que su base es el precio. Tomando como base las importaciones CIF de comercio exterior y las proyecciones del precio del crudo para el segundo semestre de la EIA se proyectó que el efecto positivo del precio en la recaudación del IVA importaciones sería alrededor de Q1,220.4 millones para el cierre del 2022.</w:t>
      </w:r>
    </w:p>
    <w:p w14:paraId="2CDBE5C9" w14:textId="77777777" w:rsidR="00604B92" w:rsidRDefault="00604B92" w:rsidP="00604B92">
      <w:pPr>
        <w:jc w:val="both"/>
      </w:pPr>
    </w:p>
    <w:p w14:paraId="0F39F812" w14:textId="77777777" w:rsidR="00604B92" w:rsidRDefault="00604B92" w:rsidP="00604B92">
      <w:pPr>
        <w:jc w:val="both"/>
      </w:pPr>
      <w:r>
        <w:t xml:space="preserve">Sin embargo, si bien el impacto es positivo por el lado fiscal, por el aumento de los ingresos, dependiendo de la magnitud del alza en los precios de los combustibles, podría requerir la intervención del gobierno para mitigar el efecto de este fenómeno sobre la economía nacional, principalmente relacionada con la inflación.  </w:t>
      </w:r>
    </w:p>
    <w:p w14:paraId="46CBD919" w14:textId="77777777" w:rsidR="00604B92" w:rsidRDefault="00604B92" w:rsidP="00604B92">
      <w:pPr>
        <w:jc w:val="both"/>
      </w:pPr>
    </w:p>
    <w:p w14:paraId="3DEE8103" w14:textId="77777777" w:rsidR="00604B92" w:rsidRDefault="00604B92" w:rsidP="00604B92">
      <w:pPr>
        <w:jc w:val="both"/>
        <w:rPr>
          <w:rFonts w:eastAsiaTheme="minorEastAsia"/>
        </w:rPr>
      </w:pPr>
      <w:r>
        <w:t xml:space="preserve">De esa cuenta, se elaboró un modelo para determinar el impacto que pueda tener sobre la demanda de combustibles y sobre las finanzas públicas en particular, la adopción de un subsidio para las empresas distribuidoras de este producto. Dicho modelo considera en la estimación a través de econometría, la relación que existe entre la variación del precio real interanual </w:t>
      </w:r>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oMath>
      <w:r>
        <w:rPr>
          <w:rFonts w:eastAsiaTheme="minorEastAsia"/>
        </w:rPr>
        <w:t xml:space="preserve"> de</w:t>
      </w:r>
      <w:r>
        <w:t xml:space="preserve"> cada combustible </w:t>
      </w:r>
      <m:oMath>
        <m:r>
          <w:rPr>
            <w:rFonts w:ascii="Cambria Math" w:eastAsiaTheme="minorEastAsia" w:hAnsi="Cambria Math"/>
          </w:rPr>
          <m:t>j∈{super,regular,diesel}</m:t>
        </m:r>
      </m:oMath>
      <w:r>
        <w:rPr>
          <w:rFonts w:eastAsiaTheme="minorEastAsia"/>
        </w:rPr>
        <w:t xml:space="preserve"> y las variaciones internacionales de los precios reales del precio del crudo WTI </w:t>
      </w:r>
      <m:oMath>
        <m:sSub>
          <m:sSubPr>
            <m:ctrlPr>
              <w:rPr>
                <w:rFonts w:ascii="Cambria Math" w:hAnsi="Cambria Math"/>
                <w:i/>
              </w:rPr>
            </m:ctrlPr>
          </m:sSubPr>
          <m:e>
            <m:r>
              <w:rPr>
                <w:rFonts w:ascii="Cambria Math" w:hAnsi="Cambria Math"/>
              </w:rPr>
              <m:t>(dwti</m:t>
            </m:r>
          </m:e>
          <m:sub>
            <m:r>
              <w:rPr>
                <w:rFonts w:ascii="Cambria Math" w:hAnsi="Cambria Math"/>
              </w:rPr>
              <m:t>t</m:t>
            </m:r>
          </m:sub>
        </m:sSub>
        <m:r>
          <w:rPr>
            <w:rFonts w:ascii="Cambria Math" w:hAnsi="Cambria Math"/>
          </w:rPr>
          <m:t>)</m:t>
        </m:r>
      </m:oMath>
      <w:r>
        <w:rPr>
          <w:rFonts w:eastAsiaTheme="minorEastAsia"/>
        </w:rPr>
        <w:t xml:space="preserve">  y los costos de refinación (</w:t>
      </w:r>
      <m:oMath>
        <m:sSub>
          <m:sSubPr>
            <m:ctrlPr>
              <w:rPr>
                <w:rFonts w:ascii="Cambria Math" w:hAnsi="Cambria Math"/>
                <w:i/>
              </w:rPr>
            </m:ctrlPr>
          </m:sSubPr>
          <m:e>
            <m:r>
              <w:rPr>
                <w:rFonts w:ascii="Cambria Math" w:hAnsi="Cambria Math"/>
              </w:rPr>
              <m:t>dcr</m:t>
            </m:r>
          </m:e>
          <m:sub>
            <m:r>
              <w:rPr>
                <w:rFonts w:ascii="Cambria Math" w:hAnsi="Cambria Math"/>
              </w:rPr>
              <m:t>t</m:t>
            </m:r>
          </m:sub>
        </m:sSub>
      </m:oMath>
      <w:r>
        <w:rPr>
          <w:rFonts w:eastAsiaTheme="minorEastAsia"/>
        </w:rPr>
        <w:t xml:space="preserve">), ambos en quetzales. Esto debido a que estos componentes forman la mayor parte de la estructura porcentual de los precios CIF de dichos combustibles. </w:t>
      </w:r>
    </w:p>
    <w:p w14:paraId="62983D7A" w14:textId="77777777" w:rsidR="00604B92" w:rsidRPr="009701B8" w:rsidRDefault="00604B92" w:rsidP="00604B92">
      <w:pPr>
        <w:jc w:val="both"/>
        <w:rPr>
          <w:sz w:val="20"/>
        </w:rPr>
      </w:pPr>
    </w:p>
    <w:p w14:paraId="01D82BF5" w14:textId="77777777" w:rsidR="00604B92" w:rsidRPr="00604B92" w:rsidRDefault="00604B92" w:rsidP="00604B92">
      <w:pPr>
        <w:jc w:val="both"/>
        <w:rPr>
          <w:rFonts w:eastAsiaTheme="minorEastAsia"/>
          <w:sz w:val="20"/>
          <w:szCs w:val="20"/>
        </w:rPr>
      </w:pPr>
      <m:oMathPara>
        <m:oMath>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jt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dwti</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dwti</m:t>
              </m:r>
            </m:e>
            <m:sub>
              <m:r>
                <w:rPr>
                  <w:rFonts w:ascii="Cambria Math" w:hAnsi="Cambria Math"/>
                  <w:sz w:val="20"/>
                  <w:szCs w:val="20"/>
                </w:rPr>
                <m:t>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dcr</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4</m:t>
              </m:r>
            </m:sub>
          </m:sSub>
          <m:sSub>
            <m:sSubPr>
              <m:ctrlPr>
                <w:rPr>
                  <w:rFonts w:ascii="Cambria Math" w:hAnsi="Cambria Math"/>
                  <w:i/>
                  <w:sz w:val="20"/>
                  <w:szCs w:val="20"/>
                </w:rPr>
              </m:ctrlPr>
            </m:sSubPr>
            <m:e>
              <m:r>
                <w:rPr>
                  <w:rFonts w:ascii="Cambria Math" w:hAnsi="Cambria Math"/>
                  <w:sz w:val="20"/>
                  <w:szCs w:val="20"/>
                </w:rPr>
                <m:t>dcr</m:t>
              </m:r>
            </m:e>
            <m:sub>
              <m:r>
                <w:rPr>
                  <w:rFonts w:ascii="Cambria Math" w:hAnsi="Cambria Math"/>
                  <w:sz w:val="20"/>
                  <w:szCs w:val="20"/>
                </w:rPr>
                <m:t>jt-1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jt</m:t>
              </m:r>
            </m:sub>
          </m:sSub>
        </m:oMath>
      </m:oMathPara>
    </w:p>
    <w:p w14:paraId="66CE2C41" w14:textId="77777777" w:rsidR="00604B92" w:rsidRPr="000A658D" w:rsidRDefault="00604B92" w:rsidP="00604B92">
      <w:pPr>
        <w:jc w:val="both"/>
        <w:rPr>
          <w:rFonts w:eastAsiaTheme="minorEastAsia"/>
          <w:sz w:val="20"/>
          <w:szCs w:val="20"/>
        </w:rPr>
      </w:pPr>
    </w:p>
    <w:p w14:paraId="5D1AFDA4" w14:textId="0AB03368" w:rsidR="00604B92" w:rsidRDefault="00604B92" w:rsidP="00604B92">
      <w:pPr>
        <w:jc w:val="both"/>
        <w:rPr>
          <w:rFonts w:eastAsiaTheme="minorEastAsia"/>
        </w:rPr>
      </w:pPr>
      <w:r w:rsidRPr="00B83FCC">
        <w:t>Los resultados sugieren</w:t>
      </w:r>
      <w:r>
        <w:t>, por ejemplo,</w:t>
      </w:r>
      <w:r w:rsidRPr="00B83FCC">
        <w:t xml:space="preserve"> un aumento de un punto porcentual en la tasa de variación internacional del precio real del crudo WTI genera un aumento de 0.38 </w:t>
      </w:r>
      <w:r>
        <w:t xml:space="preserve">puntos porcentuales en el precio real de la gasolina </w:t>
      </w:r>
      <w:r w:rsidR="002B0B2B">
        <w:t>súper</w:t>
      </w:r>
      <w:r>
        <w:t>, 0.41 puntos porcentuales de la gasolina regular y 0.46 puntos porcentuales en la gasolina diésel</w:t>
      </w:r>
      <w:r w:rsidRPr="00B83FCC">
        <w:rPr>
          <w:rFonts w:eastAsiaTheme="minorEastAsia"/>
        </w:rPr>
        <w:t>. Asimismo, un aumento de un punto porcentual en la tasa de variación interanual de los costos reales de refinación genera un aumento de 0.09 puntos porcentuales en la tasa de variación del precio real</w:t>
      </w:r>
      <w:r>
        <w:rPr>
          <w:rFonts w:eastAsiaTheme="minorEastAsia"/>
        </w:rPr>
        <w:t xml:space="preserve"> de la </w:t>
      </w:r>
      <w:r w:rsidR="002B0B2B">
        <w:rPr>
          <w:rFonts w:eastAsiaTheme="minorEastAsia"/>
        </w:rPr>
        <w:t>súper</w:t>
      </w:r>
      <w:r>
        <w:rPr>
          <w:rFonts w:eastAsiaTheme="minorEastAsia"/>
        </w:rPr>
        <w:t>.</w:t>
      </w:r>
    </w:p>
    <w:p w14:paraId="6A1652CE" w14:textId="77777777" w:rsidR="00604B92" w:rsidRPr="00861C02" w:rsidRDefault="00604B92" w:rsidP="00604B92">
      <w:pPr>
        <w:jc w:val="both"/>
        <w:rPr>
          <w:rFonts w:eastAsiaTheme="minorEastAsia"/>
        </w:rPr>
      </w:pPr>
    </w:p>
    <w:p w14:paraId="6F8159CA" w14:textId="7B8AB02D" w:rsidR="00604B92" w:rsidRPr="002B0B2B" w:rsidRDefault="002B0B2B" w:rsidP="002B0B2B">
      <w:pPr>
        <w:pStyle w:val="Descripcin"/>
        <w:keepNext/>
        <w:rPr>
          <w:color w:val="auto"/>
        </w:rPr>
      </w:pPr>
      <w:bookmarkStart w:id="90" w:name="_Toc114493926"/>
      <w:r w:rsidRPr="002B0B2B">
        <w:rPr>
          <w:color w:val="auto"/>
        </w:rPr>
        <w:t xml:space="preserve">Tabla </w:t>
      </w:r>
      <w:r w:rsidRPr="002B0B2B">
        <w:rPr>
          <w:color w:val="auto"/>
        </w:rPr>
        <w:fldChar w:fldCharType="begin"/>
      </w:r>
      <w:r w:rsidRPr="002B0B2B">
        <w:rPr>
          <w:color w:val="auto"/>
        </w:rPr>
        <w:instrText xml:space="preserve"> SEQ Tabla \* ARABIC </w:instrText>
      </w:r>
      <w:r w:rsidRPr="002B0B2B">
        <w:rPr>
          <w:color w:val="auto"/>
        </w:rPr>
        <w:fldChar w:fldCharType="separate"/>
      </w:r>
      <w:r w:rsidR="002E7809">
        <w:rPr>
          <w:noProof/>
          <w:color w:val="auto"/>
        </w:rPr>
        <w:t>3</w:t>
      </w:r>
      <w:r w:rsidRPr="002B0B2B">
        <w:rPr>
          <w:color w:val="auto"/>
        </w:rPr>
        <w:fldChar w:fldCharType="end"/>
      </w:r>
      <w:r w:rsidRPr="002B0B2B">
        <w:rPr>
          <w:color w:val="auto"/>
        </w:rPr>
        <w:t xml:space="preserve">.  </w:t>
      </w:r>
      <w:r w:rsidR="00604B92" w:rsidRPr="002B0B2B">
        <w:rPr>
          <w:rFonts w:eastAsiaTheme="minorEastAsia"/>
          <w:bCs/>
          <w:color w:val="auto"/>
        </w:rPr>
        <w:t>Estimación de los coeficientes del precio de los combustibles.</w:t>
      </w:r>
      <w:bookmarkEnd w:id="90"/>
    </w:p>
    <w:tbl>
      <w:tblPr>
        <w:tblStyle w:val="Tablaconcuadrcula"/>
        <w:tblW w:w="0" w:type="auto"/>
        <w:jc w:val="center"/>
        <w:tblLook w:val="04A0" w:firstRow="1" w:lastRow="0" w:firstColumn="1" w:lastColumn="0" w:noHBand="0" w:noVBand="1"/>
      </w:tblPr>
      <w:tblGrid>
        <w:gridCol w:w="1064"/>
        <w:gridCol w:w="820"/>
        <w:gridCol w:w="820"/>
        <w:gridCol w:w="820"/>
        <w:gridCol w:w="820"/>
        <w:gridCol w:w="820"/>
        <w:gridCol w:w="820"/>
      </w:tblGrid>
      <w:tr w:rsidR="00604B92" w14:paraId="71C9AA52" w14:textId="77777777" w:rsidTr="00ED483A">
        <w:trPr>
          <w:trHeight w:val="234"/>
          <w:jc w:val="center"/>
        </w:trPr>
        <w:tc>
          <w:tcPr>
            <w:tcW w:w="1064" w:type="dxa"/>
          </w:tcPr>
          <w:p w14:paraId="505E89BA" w14:textId="77777777" w:rsidR="00604B92" w:rsidRPr="002D302A" w:rsidRDefault="00604B92" w:rsidP="00ED483A">
            <w:pPr>
              <w:jc w:val="both"/>
              <w:rPr>
                <w:rFonts w:eastAsiaTheme="minorEastAsia"/>
                <w:b/>
                <w:bCs/>
                <w:sz w:val="16"/>
                <w:szCs w:val="16"/>
              </w:rPr>
            </w:pPr>
            <w:r w:rsidRPr="002D302A">
              <w:rPr>
                <w:rFonts w:eastAsiaTheme="minorEastAsia"/>
                <w:b/>
                <w:bCs/>
                <w:sz w:val="16"/>
                <w:szCs w:val="16"/>
              </w:rPr>
              <w:t>Precio</w:t>
            </w:r>
          </w:p>
        </w:tc>
        <w:tc>
          <w:tcPr>
            <w:tcW w:w="820" w:type="dxa"/>
          </w:tcPr>
          <w:p w14:paraId="55D67B69"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β</m:t>
                        </m:r>
                      </m:e>
                      <m:sub>
                        <m:r>
                          <m:rPr>
                            <m:sty m:val="bi"/>
                          </m:rPr>
                          <w:rPr>
                            <w:rFonts w:ascii="Cambria Math" w:hAnsi="Cambria Math"/>
                            <w:sz w:val="16"/>
                            <w:szCs w:val="16"/>
                          </w:rPr>
                          <m:t>0</m:t>
                        </m:r>
                      </m:sub>
                    </m:sSub>
                  </m:e>
                </m:acc>
              </m:oMath>
            </m:oMathPara>
          </w:p>
        </w:tc>
        <w:tc>
          <w:tcPr>
            <w:tcW w:w="820" w:type="dxa"/>
          </w:tcPr>
          <w:p w14:paraId="204958FE"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β</m:t>
                        </m:r>
                      </m:e>
                      <m:sub>
                        <m:r>
                          <m:rPr>
                            <m:sty m:val="bi"/>
                          </m:rPr>
                          <w:rPr>
                            <w:rFonts w:ascii="Cambria Math" w:hAnsi="Cambria Math"/>
                            <w:sz w:val="16"/>
                            <w:szCs w:val="16"/>
                          </w:rPr>
                          <m:t>1</m:t>
                        </m:r>
                      </m:sub>
                    </m:sSub>
                  </m:e>
                </m:acc>
              </m:oMath>
            </m:oMathPara>
          </w:p>
        </w:tc>
        <w:tc>
          <w:tcPr>
            <w:tcW w:w="820" w:type="dxa"/>
          </w:tcPr>
          <w:p w14:paraId="38E7C6B1"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β</m:t>
                        </m:r>
                      </m:e>
                      <m:sub>
                        <m:r>
                          <m:rPr>
                            <m:sty m:val="bi"/>
                          </m:rPr>
                          <w:rPr>
                            <w:rFonts w:ascii="Cambria Math" w:hAnsi="Cambria Math"/>
                            <w:sz w:val="16"/>
                            <w:szCs w:val="16"/>
                          </w:rPr>
                          <m:t>2</m:t>
                        </m:r>
                      </m:sub>
                    </m:sSub>
                  </m:e>
                </m:acc>
              </m:oMath>
            </m:oMathPara>
          </w:p>
        </w:tc>
        <w:tc>
          <w:tcPr>
            <w:tcW w:w="820" w:type="dxa"/>
          </w:tcPr>
          <w:p w14:paraId="2EBE338B"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β</m:t>
                        </m:r>
                      </m:e>
                      <m:sub>
                        <m:r>
                          <m:rPr>
                            <m:sty m:val="bi"/>
                          </m:rPr>
                          <w:rPr>
                            <w:rFonts w:ascii="Cambria Math" w:hAnsi="Cambria Math"/>
                            <w:sz w:val="16"/>
                            <w:szCs w:val="16"/>
                          </w:rPr>
                          <m:t>3</m:t>
                        </m:r>
                      </m:sub>
                    </m:sSub>
                  </m:e>
                </m:acc>
              </m:oMath>
            </m:oMathPara>
          </w:p>
        </w:tc>
        <w:tc>
          <w:tcPr>
            <w:tcW w:w="820" w:type="dxa"/>
          </w:tcPr>
          <w:p w14:paraId="51CC1AA9"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β</m:t>
                        </m:r>
                      </m:e>
                      <m:sub>
                        <m:r>
                          <m:rPr>
                            <m:sty m:val="bi"/>
                          </m:rPr>
                          <w:rPr>
                            <w:rFonts w:ascii="Cambria Math" w:hAnsi="Cambria Math"/>
                            <w:sz w:val="16"/>
                            <w:szCs w:val="16"/>
                          </w:rPr>
                          <m:t>4</m:t>
                        </m:r>
                      </m:sub>
                    </m:sSub>
                  </m:e>
                </m:acc>
              </m:oMath>
            </m:oMathPara>
          </w:p>
        </w:tc>
        <w:tc>
          <w:tcPr>
            <w:tcW w:w="820" w:type="dxa"/>
          </w:tcPr>
          <w:p w14:paraId="1E27A3F5" w14:textId="77777777" w:rsidR="00604B92" w:rsidRPr="002D302A" w:rsidRDefault="00844849" w:rsidP="00ED483A">
            <w:pPr>
              <w:jc w:val="both"/>
              <w:rPr>
                <w:rFonts w:eastAsiaTheme="minorEastAsia"/>
                <w:b/>
                <w:bCs/>
                <w:sz w:val="16"/>
                <w:szCs w:val="16"/>
              </w:rPr>
            </w:pPr>
            <m:oMathPara>
              <m:oMath>
                <m:sSup>
                  <m:sSupPr>
                    <m:ctrlPr>
                      <w:rPr>
                        <w:rFonts w:ascii="Cambria Math" w:eastAsiaTheme="minorEastAsia" w:hAnsi="Cambria Math"/>
                        <w:b/>
                        <w:bCs/>
                        <w:i/>
                        <w:sz w:val="16"/>
                        <w:szCs w:val="16"/>
                      </w:rPr>
                    </m:ctrlPr>
                  </m:sSupPr>
                  <m:e>
                    <m:r>
                      <m:rPr>
                        <m:sty m:val="bi"/>
                      </m:rPr>
                      <w:rPr>
                        <w:rFonts w:ascii="Cambria Math" w:eastAsiaTheme="minorEastAsia" w:hAnsi="Cambria Math"/>
                        <w:sz w:val="16"/>
                        <w:szCs w:val="16"/>
                      </w:rPr>
                      <m:t>R</m:t>
                    </m:r>
                  </m:e>
                  <m:sup>
                    <m:r>
                      <m:rPr>
                        <m:sty m:val="bi"/>
                      </m:rPr>
                      <w:rPr>
                        <w:rFonts w:ascii="Cambria Math" w:eastAsiaTheme="minorEastAsia" w:hAnsi="Cambria Math"/>
                        <w:sz w:val="16"/>
                        <w:szCs w:val="16"/>
                      </w:rPr>
                      <m:t>2</m:t>
                    </m:r>
                  </m:sup>
                </m:sSup>
              </m:oMath>
            </m:oMathPara>
          </w:p>
        </w:tc>
      </w:tr>
      <w:tr w:rsidR="00604B92" w14:paraId="64FA5720" w14:textId="77777777" w:rsidTr="00ED483A">
        <w:trPr>
          <w:trHeight w:val="242"/>
          <w:jc w:val="center"/>
        </w:trPr>
        <w:tc>
          <w:tcPr>
            <w:tcW w:w="1064" w:type="dxa"/>
          </w:tcPr>
          <w:p w14:paraId="6097EE18" w14:textId="77777777" w:rsidR="00604B92" w:rsidRPr="002D302A" w:rsidRDefault="00604B92" w:rsidP="00ED483A">
            <w:pPr>
              <w:jc w:val="center"/>
              <w:rPr>
                <w:rFonts w:eastAsiaTheme="minorEastAsia"/>
                <w:sz w:val="16"/>
                <w:szCs w:val="16"/>
              </w:rPr>
            </w:pPr>
            <m:oMathPara>
              <m:oMath>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supert</m:t>
                    </m:r>
                  </m:sub>
                </m:sSub>
              </m:oMath>
            </m:oMathPara>
          </w:p>
        </w:tc>
        <w:tc>
          <w:tcPr>
            <w:tcW w:w="820" w:type="dxa"/>
          </w:tcPr>
          <w:p w14:paraId="3F95F48C" w14:textId="77777777" w:rsidR="00604B92" w:rsidRPr="002D302A" w:rsidRDefault="00604B92" w:rsidP="00ED483A">
            <w:pPr>
              <w:jc w:val="center"/>
              <w:rPr>
                <w:rFonts w:ascii="Calibri" w:hAnsi="Calibri" w:cs="Calibri"/>
                <w:color w:val="000000"/>
                <w:sz w:val="16"/>
                <w:szCs w:val="16"/>
              </w:rPr>
            </w:pPr>
            <w:r w:rsidRPr="002D302A">
              <w:rPr>
                <w:sz w:val="16"/>
                <w:szCs w:val="16"/>
              </w:rPr>
              <w:t>-0.02</w:t>
            </w:r>
          </w:p>
        </w:tc>
        <w:tc>
          <w:tcPr>
            <w:tcW w:w="820" w:type="dxa"/>
          </w:tcPr>
          <w:p w14:paraId="76D372ED" w14:textId="77777777" w:rsidR="00604B92" w:rsidRPr="002D302A" w:rsidRDefault="00604B92" w:rsidP="00ED483A">
            <w:pPr>
              <w:jc w:val="center"/>
              <w:rPr>
                <w:rFonts w:ascii="Calibri" w:hAnsi="Calibri" w:cs="Calibri"/>
                <w:color w:val="000000"/>
                <w:sz w:val="16"/>
                <w:szCs w:val="16"/>
              </w:rPr>
            </w:pPr>
            <w:r w:rsidRPr="002D302A">
              <w:rPr>
                <w:sz w:val="16"/>
                <w:szCs w:val="16"/>
              </w:rPr>
              <w:t>0.38</w:t>
            </w:r>
          </w:p>
        </w:tc>
        <w:tc>
          <w:tcPr>
            <w:tcW w:w="820" w:type="dxa"/>
          </w:tcPr>
          <w:p w14:paraId="28ECE6A9" w14:textId="77777777" w:rsidR="00604B92" w:rsidRPr="002D302A" w:rsidRDefault="00604B92" w:rsidP="00ED483A">
            <w:pPr>
              <w:jc w:val="center"/>
              <w:rPr>
                <w:rFonts w:eastAsiaTheme="minorEastAsia"/>
                <w:sz w:val="16"/>
                <w:szCs w:val="16"/>
              </w:rPr>
            </w:pPr>
            <w:r w:rsidRPr="002D302A">
              <w:rPr>
                <w:sz w:val="16"/>
                <w:szCs w:val="16"/>
              </w:rPr>
              <w:t>0.14</w:t>
            </w:r>
          </w:p>
        </w:tc>
        <w:tc>
          <w:tcPr>
            <w:tcW w:w="820" w:type="dxa"/>
          </w:tcPr>
          <w:p w14:paraId="23599EEA" w14:textId="77777777" w:rsidR="00604B92" w:rsidRPr="002D302A" w:rsidRDefault="00604B92" w:rsidP="00ED483A">
            <w:pPr>
              <w:jc w:val="center"/>
              <w:rPr>
                <w:rFonts w:eastAsiaTheme="minorEastAsia"/>
                <w:sz w:val="16"/>
                <w:szCs w:val="16"/>
              </w:rPr>
            </w:pPr>
            <w:r w:rsidRPr="002D302A">
              <w:rPr>
                <w:sz w:val="16"/>
                <w:szCs w:val="16"/>
              </w:rPr>
              <w:t>0.09</w:t>
            </w:r>
          </w:p>
        </w:tc>
        <w:tc>
          <w:tcPr>
            <w:tcW w:w="820" w:type="dxa"/>
          </w:tcPr>
          <w:p w14:paraId="40322F5B" w14:textId="77777777" w:rsidR="00604B92" w:rsidRPr="002D302A" w:rsidRDefault="00604B92" w:rsidP="00ED483A">
            <w:pPr>
              <w:jc w:val="center"/>
              <w:rPr>
                <w:rFonts w:eastAsiaTheme="minorEastAsia"/>
                <w:sz w:val="16"/>
                <w:szCs w:val="16"/>
              </w:rPr>
            </w:pPr>
            <w:r w:rsidRPr="002D302A">
              <w:rPr>
                <w:rFonts w:eastAsiaTheme="minorEastAsia"/>
                <w:sz w:val="16"/>
                <w:szCs w:val="16"/>
              </w:rPr>
              <w:t>0.0</w:t>
            </w:r>
          </w:p>
        </w:tc>
        <w:tc>
          <w:tcPr>
            <w:tcW w:w="820" w:type="dxa"/>
          </w:tcPr>
          <w:p w14:paraId="604F8050" w14:textId="77777777" w:rsidR="00604B92" w:rsidRPr="002D302A" w:rsidRDefault="00604B92" w:rsidP="00ED483A">
            <w:pPr>
              <w:jc w:val="center"/>
              <w:rPr>
                <w:rFonts w:eastAsiaTheme="minorEastAsia"/>
                <w:sz w:val="16"/>
                <w:szCs w:val="16"/>
              </w:rPr>
            </w:pPr>
            <w:r w:rsidRPr="002D302A">
              <w:rPr>
                <w:sz w:val="16"/>
                <w:szCs w:val="16"/>
              </w:rPr>
              <w:t>0.95</w:t>
            </w:r>
          </w:p>
        </w:tc>
      </w:tr>
      <w:tr w:rsidR="00604B92" w14:paraId="21340519" w14:textId="77777777" w:rsidTr="00ED483A">
        <w:trPr>
          <w:trHeight w:val="170"/>
          <w:jc w:val="center"/>
        </w:trPr>
        <w:tc>
          <w:tcPr>
            <w:tcW w:w="1064" w:type="dxa"/>
          </w:tcPr>
          <w:p w14:paraId="72ED4D33" w14:textId="77777777" w:rsidR="00604B92" w:rsidRPr="002D302A" w:rsidRDefault="00604B92" w:rsidP="00ED483A">
            <w:pPr>
              <w:jc w:val="center"/>
              <w:rPr>
                <w:rFonts w:eastAsiaTheme="minorEastAsia"/>
                <w:sz w:val="16"/>
                <w:szCs w:val="16"/>
              </w:rPr>
            </w:pPr>
            <m:oMathPara>
              <m:oMath>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regulart</m:t>
                    </m:r>
                  </m:sub>
                </m:sSub>
              </m:oMath>
            </m:oMathPara>
          </w:p>
        </w:tc>
        <w:tc>
          <w:tcPr>
            <w:tcW w:w="820" w:type="dxa"/>
          </w:tcPr>
          <w:p w14:paraId="14B790EB" w14:textId="77777777" w:rsidR="00604B92" w:rsidRPr="002D302A" w:rsidRDefault="00604B92" w:rsidP="00ED483A">
            <w:pPr>
              <w:jc w:val="center"/>
              <w:rPr>
                <w:rFonts w:eastAsiaTheme="minorEastAsia"/>
                <w:sz w:val="16"/>
                <w:szCs w:val="16"/>
              </w:rPr>
            </w:pPr>
            <w:r w:rsidRPr="002D302A">
              <w:rPr>
                <w:sz w:val="16"/>
                <w:szCs w:val="16"/>
              </w:rPr>
              <w:t>-0.02</w:t>
            </w:r>
          </w:p>
        </w:tc>
        <w:tc>
          <w:tcPr>
            <w:tcW w:w="820" w:type="dxa"/>
          </w:tcPr>
          <w:p w14:paraId="613F56B8" w14:textId="77777777" w:rsidR="00604B92" w:rsidRPr="002D302A" w:rsidRDefault="00604B92" w:rsidP="00ED483A">
            <w:pPr>
              <w:jc w:val="center"/>
              <w:rPr>
                <w:rFonts w:eastAsiaTheme="minorEastAsia"/>
                <w:sz w:val="16"/>
                <w:szCs w:val="16"/>
              </w:rPr>
            </w:pPr>
            <w:r w:rsidRPr="002D302A">
              <w:rPr>
                <w:sz w:val="16"/>
                <w:szCs w:val="16"/>
              </w:rPr>
              <w:t>0.41</w:t>
            </w:r>
          </w:p>
        </w:tc>
        <w:tc>
          <w:tcPr>
            <w:tcW w:w="820" w:type="dxa"/>
          </w:tcPr>
          <w:p w14:paraId="55EEB865" w14:textId="77777777" w:rsidR="00604B92" w:rsidRPr="002D302A" w:rsidRDefault="00604B92" w:rsidP="00ED483A">
            <w:pPr>
              <w:jc w:val="center"/>
              <w:rPr>
                <w:rFonts w:eastAsiaTheme="minorEastAsia"/>
                <w:sz w:val="16"/>
                <w:szCs w:val="16"/>
              </w:rPr>
            </w:pPr>
            <w:r w:rsidRPr="002D302A">
              <w:rPr>
                <w:sz w:val="16"/>
                <w:szCs w:val="16"/>
              </w:rPr>
              <w:t>0.15</w:t>
            </w:r>
          </w:p>
        </w:tc>
        <w:tc>
          <w:tcPr>
            <w:tcW w:w="820" w:type="dxa"/>
          </w:tcPr>
          <w:p w14:paraId="4224D594" w14:textId="77777777" w:rsidR="00604B92" w:rsidRPr="002D302A" w:rsidRDefault="00604B92" w:rsidP="00ED483A">
            <w:pPr>
              <w:jc w:val="center"/>
              <w:rPr>
                <w:rFonts w:eastAsiaTheme="minorEastAsia"/>
                <w:sz w:val="16"/>
                <w:szCs w:val="16"/>
              </w:rPr>
            </w:pPr>
            <w:r w:rsidRPr="002D302A">
              <w:rPr>
                <w:sz w:val="16"/>
                <w:szCs w:val="16"/>
              </w:rPr>
              <w:t>0.10</w:t>
            </w:r>
          </w:p>
        </w:tc>
        <w:tc>
          <w:tcPr>
            <w:tcW w:w="820" w:type="dxa"/>
          </w:tcPr>
          <w:p w14:paraId="1A227545" w14:textId="77777777" w:rsidR="00604B92" w:rsidRPr="002D302A" w:rsidRDefault="00604B92" w:rsidP="00ED483A">
            <w:pPr>
              <w:jc w:val="center"/>
              <w:rPr>
                <w:rFonts w:eastAsiaTheme="minorEastAsia"/>
                <w:sz w:val="16"/>
                <w:szCs w:val="16"/>
              </w:rPr>
            </w:pPr>
            <w:r w:rsidRPr="002D302A">
              <w:rPr>
                <w:rFonts w:eastAsiaTheme="minorEastAsia"/>
                <w:sz w:val="16"/>
                <w:szCs w:val="16"/>
              </w:rPr>
              <w:t>0.0</w:t>
            </w:r>
          </w:p>
        </w:tc>
        <w:tc>
          <w:tcPr>
            <w:tcW w:w="820" w:type="dxa"/>
          </w:tcPr>
          <w:p w14:paraId="36F99E20" w14:textId="77777777" w:rsidR="00604B92" w:rsidRPr="002D302A" w:rsidRDefault="00604B92" w:rsidP="00ED483A">
            <w:pPr>
              <w:jc w:val="center"/>
              <w:rPr>
                <w:rFonts w:eastAsiaTheme="minorEastAsia"/>
                <w:sz w:val="16"/>
                <w:szCs w:val="16"/>
              </w:rPr>
            </w:pPr>
            <w:r w:rsidRPr="002D302A">
              <w:rPr>
                <w:sz w:val="16"/>
                <w:szCs w:val="16"/>
              </w:rPr>
              <w:t>0.93</w:t>
            </w:r>
          </w:p>
        </w:tc>
      </w:tr>
      <w:tr w:rsidR="00604B92" w14:paraId="07F91574" w14:textId="77777777" w:rsidTr="00ED483A">
        <w:trPr>
          <w:trHeight w:val="89"/>
          <w:jc w:val="center"/>
        </w:trPr>
        <w:tc>
          <w:tcPr>
            <w:tcW w:w="1064" w:type="dxa"/>
          </w:tcPr>
          <w:p w14:paraId="63B450E5" w14:textId="77777777" w:rsidR="00604B92" w:rsidRPr="002D302A" w:rsidRDefault="00604B92" w:rsidP="00ED483A">
            <w:pPr>
              <w:jc w:val="center"/>
              <w:rPr>
                <w:rFonts w:eastAsiaTheme="minorEastAsia"/>
                <w:sz w:val="16"/>
                <w:szCs w:val="16"/>
              </w:rPr>
            </w:pPr>
            <m:oMathPara>
              <m:oMath>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dieselt</m:t>
                    </m:r>
                  </m:sub>
                </m:sSub>
              </m:oMath>
            </m:oMathPara>
          </w:p>
        </w:tc>
        <w:tc>
          <w:tcPr>
            <w:tcW w:w="820" w:type="dxa"/>
          </w:tcPr>
          <w:p w14:paraId="17903F9B" w14:textId="77777777" w:rsidR="00604B92" w:rsidRPr="002D302A" w:rsidRDefault="00604B92" w:rsidP="00ED483A">
            <w:pPr>
              <w:jc w:val="center"/>
              <w:rPr>
                <w:rFonts w:eastAsiaTheme="minorEastAsia"/>
                <w:sz w:val="16"/>
                <w:szCs w:val="16"/>
              </w:rPr>
            </w:pPr>
            <w:r w:rsidRPr="002D302A">
              <w:rPr>
                <w:sz w:val="16"/>
                <w:szCs w:val="16"/>
              </w:rPr>
              <w:t>-0.02</w:t>
            </w:r>
          </w:p>
        </w:tc>
        <w:tc>
          <w:tcPr>
            <w:tcW w:w="820" w:type="dxa"/>
          </w:tcPr>
          <w:p w14:paraId="13E4CBB1" w14:textId="77777777" w:rsidR="00604B92" w:rsidRPr="002D302A" w:rsidRDefault="00604B92" w:rsidP="00ED483A">
            <w:pPr>
              <w:jc w:val="center"/>
              <w:rPr>
                <w:rFonts w:eastAsiaTheme="minorEastAsia"/>
                <w:sz w:val="16"/>
                <w:szCs w:val="16"/>
              </w:rPr>
            </w:pPr>
            <w:r w:rsidRPr="002D302A">
              <w:rPr>
                <w:sz w:val="16"/>
                <w:szCs w:val="16"/>
              </w:rPr>
              <w:t>0.46</w:t>
            </w:r>
          </w:p>
        </w:tc>
        <w:tc>
          <w:tcPr>
            <w:tcW w:w="820" w:type="dxa"/>
          </w:tcPr>
          <w:p w14:paraId="4B67097C" w14:textId="77777777" w:rsidR="00604B92" w:rsidRPr="002D302A" w:rsidRDefault="00604B92" w:rsidP="00ED483A">
            <w:pPr>
              <w:jc w:val="center"/>
              <w:rPr>
                <w:rFonts w:eastAsiaTheme="minorEastAsia"/>
                <w:sz w:val="16"/>
                <w:szCs w:val="16"/>
              </w:rPr>
            </w:pPr>
            <w:r w:rsidRPr="002D302A">
              <w:rPr>
                <w:sz w:val="16"/>
                <w:szCs w:val="16"/>
              </w:rPr>
              <w:t>0.15</w:t>
            </w:r>
          </w:p>
        </w:tc>
        <w:tc>
          <w:tcPr>
            <w:tcW w:w="820" w:type="dxa"/>
          </w:tcPr>
          <w:p w14:paraId="4AE3BF20" w14:textId="77777777" w:rsidR="00604B92" w:rsidRPr="002D302A" w:rsidRDefault="00604B92" w:rsidP="00ED483A">
            <w:pPr>
              <w:jc w:val="center"/>
              <w:rPr>
                <w:rFonts w:eastAsiaTheme="minorEastAsia"/>
                <w:sz w:val="16"/>
                <w:szCs w:val="16"/>
              </w:rPr>
            </w:pPr>
            <w:r w:rsidRPr="002D302A">
              <w:rPr>
                <w:sz w:val="16"/>
                <w:szCs w:val="16"/>
              </w:rPr>
              <w:t>0.08</w:t>
            </w:r>
          </w:p>
        </w:tc>
        <w:tc>
          <w:tcPr>
            <w:tcW w:w="820" w:type="dxa"/>
          </w:tcPr>
          <w:p w14:paraId="1E2809BD" w14:textId="77777777" w:rsidR="00604B92" w:rsidRPr="002D302A" w:rsidRDefault="00604B92" w:rsidP="00ED483A">
            <w:pPr>
              <w:jc w:val="center"/>
              <w:rPr>
                <w:rFonts w:eastAsiaTheme="minorEastAsia"/>
                <w:sz w:val="16"/>
                <w:szCs w:val="16"/>
              </w:rPr>
            </w:pPr>
            <w:r w:rsidRPr="002D302A">
              <w:rPr>
                <w:sz w:val="16"/>
                <w:szCs w:val="16"/>
              </w:rPr>
              <w:t>0.05</w:t>
            </w:r>
          </w:p>
        </w:tc>
        <w:tc>
          <w:tcPr>
            <w:tcW w:w="820" w:type="dxa"/>
          </w:tcPr>
          <w:p w14:paraId="010A6CB5" w14:textId="77777777" w:rsidR="00604B92" w:rsidRPr="002D302A" w:rsidRDefault="00604B92" w:rsidP="00ED483A">
            <w:pPr>
              <w:jc w:val="center"/>
              <w:rPr>
                <w:rFonts w:eastAsiaTheme="minorEastAsia"/>
                <w:sz w:val="16"/>
                <w:szCs w:val="16"/>
              </w:rPr>
            </w:pPr>
            <w:r w:rsidRPr="002D302A">
              <w:rPr>
                <w:sz w:val="16"/>
                <w:szCs w:val="16"/>
              </w:rPr>
              <w:t>0.96</w:t>
            </w:r>
          </w:p>
        </w:tc>
      </w:tr>
    </w:tbl>
    <w:p w14:paraId="79B8B15F" w14:textId="5C6024EE" w:rsidR="00604B92" w:rsidRPr="002B0B2B" w:rsidRDefault="00604B92" w:rsidP="00604B92">
      <w:pPr>
        <w:jc w:val="both"/>
        <w:rPr>
          <w:sz w:val="16"/>
          <w:szCs w:val="18"/>
        </w:rPr>
      </w:pPr>
      <w:r w:rsidRPr="002B0B2B">
        <w:rPr>
          <w:sz w:val="16"/>
          <w:szCs w:val="18"/>
        </w:rPr>
        <w:t xml:space="preserve">                            </w:t>
      </w:r>
      <w:r w:rsidR="002B0B2B" w:rsidRPr="002B0B2B">
        <w:rPr>
          <w:sz w:val="16"/>
          <w:szCs w:val="18"/>
        </w:rPr>
        <w:t xml:space="preserve">  </w:t>
      </w:r>
      <w:r w:rsidR="002B0B2B">
        <w:rPr>
          <w:sz w:val="16"/>
          <w:szCs w:val="18"/>
        </w:rPr>
        <w:t xml:space="preserve">    </w:t>
      </w:r>
      <w:r w:rsidR="002B0B2B" w:rsidRPr="002B0B2B">
        <w:rPr>
          <w:sz w:val="16"/>
          <w:szCs w:val="18"/>
        </w:rPr>
        <w:t xml:space="preserve">  Fuente: Ministerio de Finanzas Públicas</w:t>
      </w:r>
    </w:p>
    <w:p w14:paraId="6EC471D9" w14:textId="77777777" w:rsidR="00604B92" w:rsidRDefault="00604B92" w:rsidP="00604B92">
      <w:pPr>
        <w:jc w:val="both"/>
        <w:rPr>
          <w:rFonts w:eastAsiaTheme="minorEastAsia"/>
        </w:rPr>
      </w:pPr>
    </w:p>
    <w:p w14:paraId="3D7971A0" w14:textId="75739913" w:rsidR="00604B92" w:rsidRDefault="00604B92" w:rsidP="00604B92">
      <w:pPr>
        <w:jc w:val="both"/>
        <w:rPr>
          <w:rFonts w:eastAsiaTheme="minorEastAsia"/>
        </w:rPr>
      </w:pPr>
      <w:r w:rsidRPr="00B83FCC">
        <w:rPr>
          <w:rFonts w:eastAsiaTheme="minorEastAsia"/>
        </w:rPr>
        <w:t xml:space="preserve">Asimismo, se procedió a estimar el efecto de los precios nacionales en el consumo de combustibles, que como sugieren </w:t>
      </w:r>
      <w:r>
        <w:rPr>
          <w:rFonts w:eastAsiaTheme="minorEastAsia"/>
        </w:rPr>
        <w:t>(Labanderia et al, 2017)</w:t>
      </w:r>
      <w:r>
        <w:rPr>
          <w:rStyle w:val="Refdenotaalpie"/>
          <w:rFonts w:eastAsiaTheme="minorEastAsia"/>
        </w:rPr>
        <w:footnoteReference w:id="1"/>
      </w:r>
      <w:r>
        <w:rPr>
          <w:rFonts w:eastAsiaTheme="minorEastAsia"/>
        </w:rPr>
        <w:t xml:space="preserve"> </w:t>
      </w:r>
      <w:r w:rsidRPr="00B83FCC">
        <w:rPr>
          <w:rFonts w:eastAsiaTheme="minorEastAsia"/>
          <w:color w:val="000000" w:themeColor="text1"/>
        </w:rPr>
        <w:t xml:space="preserve">la elasticidad precio-demanda de la gasolina es negativa alrededor de 0.29. Para estimar la relación para Guatemala se utilizó </w:t>
      </w:r>
      <w:r>
        <w:rPr>
          <w:rFonts w:eastAsiaTheme="minorEastAsia"/>
          <w:color w:val="000000" w:themeColor="text1"/>
        </w:rPr>
        <w:t xml:space="preserve">el modelo, considerando </w:t>
      </w:r>
      <w:r w:rsidRPr="00B83FCC">
        <w:rPr>
          <w:rFonts w:eastAsiaTheme="minorEastAsia"/>
        </w:rPr>
        <w:t>la variación interanual del consumo del combustible</w:t>
      </w:r>
      <w:r>
        <w:rPr>
          <w:rFonts w:eastAsiaTheme="minorEastAsia"/>
        </w:rPr>
        <w:t xml:space="preserve"> (</w:t>
      </w: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oMath>
      <w:r>
        <w:rPr>
          <w:rFonts w:eastAsiaTheme="minorEastAsia"/>
        </w:rPr>
        <w:t>, la variación interanual del ingreso real (</w:t>
      </w:r>
      <m:oMath>
        <m:sSub>
          <m:sSubPr>
            <m:ctrlPr>
              <w:rPr>
                <w:rFonts w:ascii="Cambria Math" w:hAnsi="Cambria Math"/>
                <w:i/>
              </w:rPr>
            </m:ctrlPr>
          </m:sSubPr>
          <m:e>
            <m:r>
              <w:rPr>
                <w:rFonts w:ascii="Cambria Math" w:hAnsi="Cambria Math"/>
              </w:rPr>
              <m:t>drgpib</m:t>
            </m:r>
          </m:e>
          <m:sub>
            <m:r>
              <w:rPr>
                <w:rFonts w:ascii="Cambria Math" w:hAnsi="Cambria Math"/>
              </w:rPr>
              <m:t>t</m:t>
            </m:r>
          </m:sub>
        </m:sSub>
      </m:oMath>
      <w:r>
        <w:rPr>
          <w:rFonts w:eastAsiaTheme="minorEastAsia"/>
        </w:rPr>
        <w:t xml:space="preserve">) y la variación interanual del precio de cada combustible </w:t>
      </w:r>
      <m:oMath>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t</m:t>
                </m:r>
              </m:sub>
            </m:sSub>
          </m:e>
        </m:d>
        <m:r>
          <w:rPr>
            <w:rFonts w:ascii="Cambria Math" w:hAnsi="Cambria Math"/>
          </w:rPr>
          <m:t xml:space="preserve">, </m:t>
        </m:r>
      </m:oMath>
      <w:r>
        <w:rPr>
          <w:rFonts w:eastAsiaTheme="minorEastAsia"/>
        </w:rPr>
        <w:t>como se muestra a continuación:</w:t>
      </w:r>
    </w:p>
    <w:p w14:paraId="108F4A01" w14:textId="77777777" w:rsidR="00604B92" w:rsidRPr="009701B8" w:rsidRDefault="00604B92" w:rsidP="00604B92">
      <w:pPr>
        <w:jc w:val="both"/>
        <w:rPr>
          <w:rFonts w:eastAsiaTheme="minorEastAsia"/>
          <w:color w:val="000000" w:themeColor="text1"/>
          <w:sz w:val="20"/>
        </w:rPr>
      </w:pPr>
    </w:p>
    <w:p w14:paraId="7708DCC4" w14:textId="77777777" w:rsidR="00604B92" w:rsidRPr="00604B92" w:rsidRDefault="00604B92" w:rsidP="00604B92">
      <w:pPr>
        <w:jc w:val="both"/>
        <w:rPr>
          <w:rFonts w:eastAsiaTheme="minorEastAsia"/>
          <w:sz w:val="20"/>
          <w:szCs w:val="20"/>
        </w:rPr>
      </w:pPr>
      <m:oMathPara>
        <m:oMath>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jt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dp</m:t>
              </m:r>
            </m:e>
            <m:sub>
              <m:r>
                <w:rPr>
                  <w:rFonts w:ascii="Cambria Math" w:hAnsi="Cambria Math"/>
                  <w:sz w:val="20"/>
                  <w:szCs w:val="20"/>
                </w:rPr>
                <m:t>jt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dc</m:t>
              </m:r>
            </m:e>
            <m:sub>
              <m:r>
                <w:rPr>
                  <w:rFonts w:ascii="Cambria Math" w:hAnsi="Cambria Math"/>
                  <w:sz w:val="20"/>
                  <w:szCs w:val="20"/>
                </w:rPr>
                <m:t>jt-1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drgpib</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jt</m:t>
              </m:r>
            </m:sub>
          </m:sSub>
        </m:oMath>
      </m:oMathPara>
    </w:p>
    <w:p w14:paraId="57537739" w14:textId="77777777" w:rsidR="00604B92" w:rsidRPr="000A658D" w:rsidRDefault="00604B92" w:rsidP="00604B92">
      <w:pPr>
        <w:jc w:val="both"/>
        <w:rPr>
          <w:rFonts w:eastAsiaTheme="minorEastAsia"/>
          <w:sz w:val="20"/>
          <w:szCs w:val="20"/>
        </w:rPr>
      </w:pPr>
    </w:p>
    <w:p w14:paraId="2A0A3CA5" w14:textId="6F8412C8" w:rsidR="00604B92" w:rsidRDefault="00604B92" w:rsidP="00604B92">
      <w:pPr>
        <w:jc w:val="both"/>
      </w:pPr>
      <w:r w:rsidRPr="00B83FCC">
        <w:rPr>
          <w:rFonts w:eastAsiaTheme="minorEastAsia"/>
          <w:color w:val="000000" w:themeColor="text1"/>
        </w:rPr>
        <w:t>De los resultados se observa que</w:t>
      </w:r>
      <w:r>
        <w:rPr>
          <w:rFonts w:eastAsiaTheme="minorEastAsia"/>
          <w:color w:val="000000" w:themeColor="text1"/>
        </w:rPr>
        <w:t>,</w:t>
      </w:r>
      <w:r w:rsidRPr="00B83FCC">
        <w:rPr>
          <w:rFonts w:eastAsiaTheme="minorEastAsia"/>
          <w:color w:val="000000" w:themeColor="text1"/>
        </w:rPr>
        <w:t xml:space="preserve"> un aumento de un punto porcentual </w:t>
      </w:r>
      <w:r>
        <w:rPr>
          <w:rFonts w:eastAsiaTheme="minorEastAsia"/>
          <w:color w:val="000000" w:themeColor="text1"/>
        </w:rPr>
        <w:t>en la tasa de variación del</w:t>
      </w:r>
      <w:r w:rsidRPr="00B83FCC">
        <w:rPr>
          <w:rFonts w:eastAsiaTheme="minorEastAsia"/>
          <w:color w:val="000000" w:themeColor="text1"/>
        </w:rPr>
        <w:t xml:space="preserve"> de la gasolina </w:t>
      </w:r>
      <w:r w:rsidR="002B0B2B" w:rsidRPr="00B83FCC">
        <w:rPr>
          <w:rFonts w:eastAsiaTheme="minorEastAsia"/>
          <w:color w:val="000000" w:themeColor="text1"/>
        </w:rPr>
        <w:t>súper</w:t>
      </w:r>
      <w:r w:rsidRPr="00B83FCC">
        <w:rPr>
          <w:rFonts w:eastAsiaTheme="minorEastAsia"/>
          <w:color w:val="000000" w:themeColor="text1"/>
        </w:rPr>
        <w:t xml:space="preserve"> genera una disminución de 0.25 puntos porcentuales </w:t>
      </w:r>
      <w:r>
        <w:rPr>
          <w:rFonts w:eastAsiaTheme="minorEastAsia"/>
          <w:color w:val="000000" w:themeColor="text1"/>
        </w:rPr>
        <w:t>la tasa de variación de su</w:t>
      </w:r>
      <w:r w:rsidRPr="00B83FCC">
        <w:rPr>
          <w:rFonts w:eastAsiaTheme="minorEastAsia"/>
          <w:color w:val="000000" w:themeColor="text1"/>
        </w:rPr>
        <w:t xml:space="preserve"> consumo</w:t>
      </w:r>
      <w:r>
        <w:rPr>
          <w:rFonts w:eastAsiaTheme="minorEastAsia"/>
          <w:color w:val="000000" w:themeColor="text1"/>
        </w:rPr>
        <w:t xml:space="preserve">, lo mismo sucede con la gasolina regular. Por otro lado, un aumento de un punto porcentual la tasa de variación en el precio de la gasolina diésel ocasiona una </w:t>
      </w:r>
      <w:r w:rsidRPr="002D6097">
        <w:rPr>
          <w:rFonts w:eastAsiaTheme="minorEastAsia"/>
          <w:color w:val="000000" w:themeColor="text1"/>
        </w:rPr>
        <w:t xml:space="preserve">disminución de 0.15 puntos porcentuales en la tasa de variación del diésel. Es importante indicar que en estas relaciones el parque vehicular no aportó mayor explicación por lo que no se consideró, siendo una posible razón que existan muchos vehículos que no estén en uso. Además, no se pudo incluir una variable que explique la intensidad del manejo como sugiere </w:t>
      </w:r>
      <w:r w:rsidRPr="00861C02">
        <w:t>(Uusitalo &amp; Djerf, 1983)</w:t>
      </w:r>
      <w:r w:rsidRPr="00861C02">
        <w:rPr>
          <w:rStyle w:val="Refdenotaalpie"/>
        </w:rPr>
        <w:footnoteReference w:id="2"/>
      </w:r>
      <w:r>
        <w:t>.</w:t>
      </w:r>
    </w:p>
    <w:p w14:paraId="1B27A13C" w14:textId="77777777" w:rsidR="00604B92" w:rsidRPr="002D302A" w:rsidRDefault="00604B92" w:rsidP="00604B92">
      <w:pPr>
        <w:jc w:val="both"/>
      </w:pPr>
    </w:p>
    <w:p w14:paraId="65C56014" w14:textId="0D7E2180" w:rsidR="00604B92" w:rsidRPr="002B0B2B" w:rsidRDefault="002B0B2B" w:rsidP="002B0B2B">
      <w:pPr>
        <w:pStyle w:val="Descripcin"/>
        <w:keepNext/>
        <w:rPr>
          <w:color w:val="auto"/>
        </w:rPr>
      </w:pPr>
      <w:bookmarkStart w:id="91" w:name="_Toc114493927"/>
      <w:r w:rsidRPr="002B0B2B">
        <w:rPr>
          <w:color w:val="auto"/>
        </w:rPr>
        <w:t xml:space="preserve">Tabla </w:t>
      </w:r>
      <w:r w:rsidRPr="002B0B2B">
        <w:rPr>
          <w:color w:val="auto"/>
        </w:rPr>
        <w:fldChar w:fldCharType="begin"/>
      </w:r>
      <w:r w:rsidRPr="002B0B2B">
        <w:rPr>
          <w:color w:val="auto"/>
        </w:rPr>
        <w:instrText xml:space="preserve"> SEQ Tabla \* ARABIC </w:instrText>
      </w:r>
      <w:r w:rsidRPr="002B0B2B">
        <w:rPr>
          <w:color w:val="auto"/>
        </w:rPr>
        <w:fldChar w:fldCharType="separate"/>
      </w:r>
      <w:r w:rsidR="002E7809">
        <w:rPr>
          <w:noProof/>
          <w:color w:val="auto"/>
        </w:rPr>
        <w:t>4</w:t>
      </w:r>
      <w:r w:rsidRPr="002B0B2B">
        <w:rPr>
          <w:color w:val="auto"/>
        </w:rPr>
        <w:fldChar w:fldCharType="end"/>
      </w:r>
      <w:r w:rsidRPr="002B0B2B">
        <w:rPr>
          <w:color w:val="auto"/>
        </w:rPr>
        <w:t xml:space="preserve">.  </w:t>
      </w:r>
      <w:r w:rsidR="00604B92" w:rsidRPr="002B0B2B">
        <w:rPr>
          <w:rFonts w:eastAsiaTheme="minorEastAsia"/>
          <w:bCs/>
          <w:color w:val="auto"/>
        </w:rPr>
        <w:t>Estimación de los coeficientes del consumo de combustibles</w:t>
      </w:r>
      <w:bookmarkEnd w:id="91"/>
    </w:p>
    <w:tbl>
      <w:tblPr>
        <w:tblStyle w:val="Tablaconcuadrcula"/>
        <w:tblW w:w="0" w:type="auto"/>
        <w:jc w:val="center"/>
        <w:tblLook w:val="04A0" w:firstRow="1" w:lastRow="0" w:firstColumn="1" w:lastColumn="0" w:noHBand="0" w:noVBand="1"/>
      </w:tblPr>
      <w:tblGrid>
        <w:gridCol w:w="969"/>
        <w:gridCol w:w="673"/>
        <w:gridCol w:w="673"/>
        <w:gridCol w:w="673"/>
        <w:gridCol w:w="673"/>
        <w:gridCol w:w="673"/>
      </w:tblGrid>
      <w:tr w:rsidR="00604B92" w:rsidRPr="002F162A" w14:paraId="33EE7481" w14:textId="77777777" w:rsidTr="00ED483A">
        <w:trPr>
          <w:trHeight w:val="222"/>
          <w:jc w:val="center"/>
        </w:trPr>
        <w:tc>
          <w:tcPr>
            <w:tcW w:w="969" w:type="dxa"/>
          </w:tcPr>
          <w:p w14:paraId="6003CCCF" w14:textId="77777777" w:rsidR="00604B92" w:rsidRPr="002D302A" w:rsidRDefault="00604B92" w:rsidP="00ED483A">
            <w:pPr>
              <w:jc w:val="both"/>
              <w:rPr>
                <w:rFonts w:eastAsiaTheme="minorEastAsia"/>
                <w:b/>
                <w:bCs/>
                <w:sz w:val="16"/>
                <w:szCs w:val="16"/>
              </w:rPr>
            </w:pPr>
            <w:r w:rsidRPr="002D302A">
              <w:rPr>
                <w:rFonts w:eastAsiaTheme="minorEastAsia"/>
                <w:b/>
                <w:bCs/>
                <w:sz w:val="16"/>
                <w:szCs w:val="16"/>
              </w:rPr>
              <w:t>Consumo</w:t>
            </w:r>
          </w:p>
        </w:tc>
        <w:tc>
          <w:tcPr>
            <w:tcW w:w="673" w:type="dxa"/>
          </w:tcPr>
          <w:p w14:paraId="0CD51079"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0</m:t>
                        </m:r>
                      </m:sub>
                    </m:sSub>
                  </m:e>
                </m:acc>
              </m:oMath>
            </m:oMathPara>
          </w:p>
        </w:tc>
        <w:tc>
          <w:tcPr>
            <w:tcW w:w="673" w:type="dxa"/>
          </w:tcPr>
          <w:p w14:paraId="64E59B51"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1</m:t>
                        </m:r>
                      </m:sub>
                    </m:sSub>
                  </m:e>
                </m:acc>
              </m:oMath>
            </m:oMathPara>
          </w:p>
        </w:tc>
        <w:tc>
          <w:tcPr>
            <w:tcW w:w="673" w:type="dxa"/>
          </w:tcPr>
          <w:p w14:paraId="57845674"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2</m:t>
                        </m:r>
                      </m:sub>
                    </m:sSub>
                  </m:e>
                </m:acc>
              </m:oMath>
            </m:oMathPara>
          </w:p>
        </w:tc>
        <w:tc>
          <w:tcPr>
            <w:tcW w:w="673" w:type="dxa"/>
          </w:tcPr>
          <w:p w14:paraId="0AF58CCA" w14:textId="77777777" w:rsidR="00604B92" w:rsidRPr="002D302A" w:rsidRDefault="00844849" w:rsidP="00ED483A">
            <w:pPr>
              <w:jc w:val="both"/>
              <w:rPr>
                <w:rFonts w:eastAsiaTheme="minorEastAsia"/>
                <w:b/>
                <w:bCs/>
                <w:sz w:val="16"/>
                <w:szCs w:val="16"/>
              </w:rPr>
            </w:pPr>
            <m:oMathPara>
              <m:oMath>
                <m:acc>
                  <m:accPr>
                    <m:ctrlPr>
                      <w:rPr>
                        <w:rFonts w:ascii="Cambria Math" w:hAnsi="Cambria Math"/>
                        <w:b/>
                        <w:bCs/>
                        <w:i/>
                        <w:sz w:val="16"/>
                        <w:szCs w:val="16"/>
                      </w:rPr>
                    </m:ctrlPr>
                  </m:accPr>
                  <m:e>
                    <m:sSub>
                      <m:sSubPr>
                        <m:ctrlPr>
                          <w:rPr>
                            <w:rFonts w:ascii="Cambria Math" w:hAnsi="Cambria Math"/>
                            <w:b/>
                            <w:bCs/>
                            <w:i/>
                            <w:sz w:val="16"/>
                            <w:szCs w:val="16"/>
                          </w:rPr>
                        </m:ctrlPr>
                      </m:sSubPr>
                      <m:e>
                        <m:r>
                          <m:rPr>
                            <m:sty m:val="bi"/>
                          </m:rPr>
                          <w:rPr>
                            <w:rFonts w:ascii="Cambria Math" w:hAnsi="Cambria Math"/>
                            <w:sz w:val="16"/>
                            <w:szCs w:val="16"/>
                          </w:rPr>
                          <m:t>α</m:t>
                        </m:r>
                      </m:e>
                      <m:sub>
                        <m:r>
                          <m:rPr>
                            <m:sty m:val="bi"/>
                          </m:rPr>
                          <w:rPr>
                            <w:rFonts w:ascii="Cambria Math" w:hAnsi="Cambria Math"/>
                            <w:sz w:val="16"/>
                            <w:szCs w:val="16"/>
                          </w:rPr>
                          <m:t>3</m:t>
                        </m:r>
                      </m:sub>
                    </m:sSub>
                  </m:e>
                </m:acc>
              </m:oMath>
            </m:oMathPara>
          </w:p>
        </w:tc>
        <w:tc>
          <w:tcPr>
            <w:tcW w:w="673" w:type="dxa"/>
          </w:tcPr>
          <w:p w14:paraId="0926E366" w14:textId="77777777" w:rsidR="00604B92" w:rsidRPr="002D302A" w:rsidRDefault="00844849" w:rsidP="00ED483A">
            <w:pPr>
              <w:jc w:val="both"/>
              <w:rPr>
                <w:rFonts w:eastAsiaTheme="minorEastAsia"/>
                <w:b/>
                <w:bCs/>
                <w:sz w:val="16"/>
                <w:szCs w:val="16"/>
              </w:rPr>
            </w:pPr>
            <m:oMathPara>
              <m:oMath>
                <m:sSup>
                  <m:sSupPr>
                    <m:ctrlPr>
                      <w:rPr>
                        <w:rFonts w:ascii="Cambria Math" w:eastAsiaTheme="minorEastAsia" w:hAnsi="Cambria Math"/>
                        <w:b/>
                        <w:bCs/>
                        <w:i/>
                        <w:sz w:val="16"/>
                        <w:szCs w:val="16"/>
                      </w:rPr>
                    </m:ctrlPr>
                  </m:sSupPr>
                  <m:e>
                    <m:r>
                      <m:rPr>
                        <m:sty m:val="bi"/>
                      </m:rPr>
                      <w:rPr>
                        <w:rFonts w:ascii="Cambria Math" w:eastAsiaTheme="minorEastAsia" w:hAnsi="Cambria Math"/>
                        <w:sz w:val="16"/>
                        <w:szCs w:val="16"/>
                      </w:rPr>
                      <m:t>R</m:t>
                    </m:r>
                  </m:e>
                  <m:sup>
                    <m:r>
                      <m:rPr>
                        <m:sty m:val="bi"/>
                      </m:rPr>
                      <w:rPr>
                        <w:rFonts w:ascii="Cambria Math" w:eastAsiaTheme="minorEastAsia" w:hAnsi="Cambria Math"/>
                        <w:sz w:val="16"/>
                        <w:szCs w:val="16"/>
                      </w:rPr>
                      <m:t>2</m:t>
                    </m:r>
                  </m:sup>
                </m:sSup>
              </m:oMath>
            </m:oMathPara>
          </w:p>
        </w:tc>
      </w:tr>
      <w:tr w:rsidR="00604B92" w:rsidRPr="002F162A" w14:paraId="0DF26791" w14:textId="77777777" w:rsidTr="00ED483A">
        <w:trPr>
          <w:trHeight w:val="126"/>
          <w:jc w:val="center"/>
        </w:trPr>
        <w:tc>
          <w:tcPr>
            <w:tcW w:w="969" w:type="dxa"/>
          </w:tcPr>
          <w:p w14:paraId="5DF85865" w14:textId="77777777" w:rsidR="00604B92" w:rsidRPr="002D302A" w:rsidRDefault="00604B92" w:rsidP="00ED483A">
            <w:pPr>
              <w:jc w:val="center"/>
              <w:rPr>
                <w:rFonts w:eastAsiaTheme="minorEastAsia"/>
                <w:sz w:val="16"/>
                <w:szCs w:val="16"/>
              </w:rPr>
            </w:pPr>
            <m:oMathPara>
              <m:oMath>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st</m:t>
                    </m:r>
                  </m:sub>
                </m:sSub>
              </m:oMath>
            </m:oMathPara>
          </w:p>
        </w:tc>
        <w:tc>
          <w:tcPr>
            <w:tcW w:w="673" w:type="dxa"/>
          </w:tcPr>
          <w:p w14:paraId="1B640B3C" w14:textId="77777777" w:rsidR="00604B92" w:rsidRPr="002D302A" w:rsidRDefault="00604B92" w:rsidP="00ED483A">
            <w:pPr>
              <w:jc w:val="center"/>
              <w:rPr>
                <w:rFonts w:ascii="Calibri" w:hAnsi="Calibri" w:cs="Calibri"/>
                <w:color w:val="000000"/>
                <w:sz w:val="16"/>
                <w:szCs w:val="16"/>
              </w:rPr>
            </w:pPr>
            <w:r w:rsidRPr="002D302A">
              <w:rPr>
                <w:sz w:val="16"/>
                <w:szCs w:val="16"/>
              </w:rPr>
              <w:t>-0.01</w:t>
            </w:r>
          </w:p>
        </w:tc>
        <w:tc>
          <w:tcPr>
            <w:tcW w:w="673" w:type="dxa"/>
          </w:tcPr>
          <w:p w14:paraId="680FCFE4" w14:textId="77777777" w:rsidR="00604B92" w:rsidRPr="002D302A" w:rsidRDefault="00604B92" w:rsidP="00ED483A">
            <w:pPr>
              <w:jc w:val="center"/>
              <w:rPr>
                <w:rFonts w:ascii="Calibri" w:hAnsi="Calibri" w:cs="Calibri"/>
                <w:color w:val="000000"/>
                <w:sz w:val="16"/>
                <w:szCs w:val="16"/>
              </w:rPr>
            </w:pPr>
            <w:r w:rsidRPr="002D302A">
              <w:rPr>
                <w:sz w:val="16"/>
                <w:szCs w:val="16"/>
              </w:rPr>
              <w:t>-0.25</w:t>
            </w:r>
          </w:p>
        </w:tc>
        <w:tc>
          <w:tcPr>
            <w:tcW w:w="673" w:type="dxa"/>
          </w:tcPr>
          <w:p w14:paraId="41A74887" w14:textId="77777777" w:rsidR="00604B92" w:rsidRPr="002D302A" w:rsidRDefault="00604B92" w:rsidP="00ED483A">
            <w:pPr>
              <w:jc w:val="center"/>
              <w:rPr>
                <w:rFonts w:eastAsiaTheme="minorEastAsia"/>
                <w:sz w:val="16"/>
                <w:szCs w:val="16"/>
              </w:rPr>
            </w:pPr>
            <w:r w:rsidRPr="002D302A">
              <w:rPr>
                <w:sz w:val="16"/>
                <w:szCs w:val="16"/>
              </w:rPr>
              <w:t>0.50</w:t>
            </w:r>
          </w:p>
        </w:tc>
        <w:tc>
          <w:tcPr>
            <w:tcW w:w="673" w:type="dxa"/>
          </w:tcPr>
          <w:p w14:paraId="49962FB2" w14:textId="77777777" w:rsidR="00604B92" w:rsidRPr="002D302A" w:rsidRDefault="00604B92" w:rsidP="00ED483A">
            <w:pPr>
              <w:jc w:val="center"/>
              <w:rPr>
                <w:rFonts w:eastAsiaTheme="minorEastAsia"/>
                <w:sz w:val="16"/>
                <w:szCs w:val="16"/>
              </w:rPr>
            </w:pPr>
            <w:r w:rsidRPr="002D302A">
              <w:rPr>
                <w:sz w:val="16"/>
                <w:szCs w:val="16"/>
              </w:rPr>
              <w:t>0.55</w:t>
            </w:r>
          </w:p>
        </w:tc>
        <w:tc>
          <w:tcPr>
            <w:tcW w:w="673" w:type="dxa"/>
          </w:tcPr>
          <w:p w14:paraId="21B09289" w14:textId="77777777" w:rsidR="00604B92" w:rsidRPr="002D302A" w:rsidRDefault="00604B92" w:rsidP="00ED483A">
            <w:pPr>
              <w:jc w:val="center"/>
              <w:rPr>
                <w:rFonts w:eastAsiaTheme="minorEastAsia"/>
                <w:sz w:val="16"/>
                <w:szCs w:val="16"/>
              </w:rPr>
            </w:pPr>
            <w:r w:rsidRPr="002D302A">
              <w:rPr>
                <w:sz w:val="16"/>
                <w:szCs w:val="16"/>
              </w:rPr>
              <w:t>0.81</w:t>
            </w:r>
          </w:p>
        </w:tc>
      </w:tr>
      <w:tr w:rsidR="00604B92" w:rsidRPr="002F162A" w14:paraId="42B9AB5B" w14:textId="77777777" w:rsidTr="00ED483A">
        <w:trPr>
          <w:trHeight w:val="215"/>
          <w:jc w:val="center"/>
        </w:trPr>
        <w:tc>
          <w:tcPr>
            <w:tcW w:w="969" w:type="dxa"/>
          </w:tcPr>
          <w:p w14:paraId="277BD854" w14:textId="77777777" w:rsidR="00604B92" w:rsidRPr="002D302A" w:rsidRDefault="00604B92" w:rsidP="00ED483A">
            <w:pPr>
              <w:jc w:val="center"/>
              <w:rPr>
                <w:rFonts w:eastAsiaTheme="minorEastAsia"/>
                <w:sz w:val="16"/>
                <w:szCs w:val="16"/>
              </w:rPr>
            </w:pPr>
            <m:oMathPara>
              <m:oMath>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rt</m:t>
                    </m:r>
                  </m:sub>
                </m:sSub>
              </m:oMath>
            </m:oMathPara>
          </w:p>
        </w:tc>
        <w:tc>
          <w:tcPr>
            <w:tcW w:w="673" w:type="dxa"/>
          </w:tcPr>
          <w:p w14:paraId="5526E043" w14:textId="77777777" w:rsidR="00604B92" w:rsidRPr="002D302A" w:rsidRDefault="00604B92" w:rsidP="00ED483A">
            <w:pPr>
              <w:jc w:val="center"/>
              <w:rPr>
                <w:rFonts w:eastAsiaTheme="minorEastAsia"/>
                <w:sz w:val="16"/>
                <w:szCs w:val="16"/>
              </w:rPr>
            </w:pPr>
            <w:r w:rsidRPr="002D302A">
              <w:rPr>
                <w:sz w:val="16"/>
                <w:szCs w:val="16"/>
              </w:rPr>
              <w:t>0.01</w:t>
            </w:r>
          </w:p>
        </w:tc>
        <w:tc>
          <w:tcPr>
            <w:tcW w:w="673" w:type="dxa"/>
          </w:tcPr>
          <w:p w14:paraId="4F764AB2" w14:textId="77777777" w:rsidR="00604B92" w:rsidRPr="002D302A" w:rsidRDefault="00604B92" w:rsidP="00ED483A">
            <w:pPr>
              <w:jc w:val="center"/>
              <w:rPr>
                <w:rFonts w:eastAsiaTheme="minorEastAsia"/>
                <w:sz w:val="16"/>
                <w:szCs w:val="16"/>
              </w:rPr>
            </w:pPr>
            <w:r w:rsidRPr="002D302A">
              <w:rPr>
                <w:sz w:val="16"/>
                <w:szCs w:val="16"/>
              </w:rPr>
              <w:t>-0.25</w:t>
            </w:r>
          </w:p>
        </w:tc>
        <w:tc>
          <w:tcPr>
            <w:tcW w:w="673" w:type="dxa"/>
          </w:tcPr>
          <w:p w14:paraId="081C7F23" w14:textId="77777777" w:rsidR="00604B92" w:rsidRPr="002D302A" w:rsidRDefault="00604B92" w:rsidP="00ED483A">
            <w:pPr>
              <w:jc w:val="center"/>
              <w:rPr>
                <w:rFonts w:eastAsiaTheme="minorEastAsia"/>
                <w:sz w:val="16"/>
                <w:szCs w:val="16"/>
              </w:rPr>
            </w:pPr>
            <w:r w:rsidRPr="002D302A">
              <w:rPr>
                <w:sz w:val="16"/>
                <w:szCs w:val="16"/>
              </w:rPr>
              <w:t>0.29</w:t>
            </w:r>
          </w:p>
        </w:tc>
        <w:tc>
          <w:tcPr>
            <w:tcW w:w="673" w:type="dxa"/>
          </w:tcPr>
          <w:p w14:paraId="4846077B" w14:textId="77777777" w:rsidR="00604B92" w:rsidRPr="002D302A" w:rsidRDefault="00604B92" w:rsidP="00ED483A">
            <w:pPr>
              <w:jc w:val="center"/>
              <w:rPr>
                <w:rFonts w:eastAsiaTheme="minorEastAsia"/>
                <w:sz w:val="16"/>
                <w:szCs w:val="16"/>
              </w:rPr>
            </w:pPr>
            <w:r w:rsidRPr="002D302A">
              <w:rPr>
                <w:sz w:val="16"/>
                <w:szCs w:val="16"/>
              </w:rPr>
              <w:t>0.0</w:t>
            </w:r>
          </w:p>
        </w:tc>
        <w:tc>
          <w:tcPr>
            <w:tcW w:w="673" w:type="dxa"/>
          </w:tcPr>
          <w:p w14:paraId="4199C224" w14:textId="77777777" w:rsidR="00604B92" w:rsidRPr="002D302A" w:rsidRDefault="00604B92" w:rsidP="00ED483A">
            <w:pPr>
              <w:jc w:val="center"/>
              <w:rPr>
                <w:rFonts w:eastAsiaTheme="minorEastAsia"/>
                <w:sz w:val="16"/>
                <w:szCs w:val="16"/>
              </w:rPr>
            </w:pPr>
            <w:r w:rsidRPr="002D302A">
              <w:rPr>
                <w:sz w:val="16"/>
                <w:szCs w:val="16"/>
              </w:rPr>
              <w:t>0.68</w:t>
            </w:r>
          </w:p>
        </w:tc>
      </w:tr>
      <w:tr w:rsidR="00604B92" w:rsidRPr="002F162A" w14:paraId="2CF3EACE" w14:textId="77777777" w:rsidTr="00ED483A">
        <w:trPr>
          <w:trHeight w:val="132"/>
          <w:jc w:val="center"/>
        </w:trPr>
        <w:tc>
          <w:tcPr>
            <w:tcW w:w="969" w:type="dxa"/>
          </w:tcPr>
          <w:p w14:paraId="67EF9873" w14:textId="77777777" w:rsidR="00604B92" w:rsidRPr="002D302A" w:rsidRDefault="00604B92" w:rsidP="00ED483A">
            <w:pPr>
              <w:jc w:val="center"/>
              <w:rPr>
                <w:rFonts w:eastAsiaTheme="minorEastAsia"/>
                <w:sz w:val="16"/>
                <w:szCs w:val="16"/>
              </w:rPr>
            </w:pPr>
            <m:oMathPara>
              <m:oMath>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dt</m:t>
                    </m:r>
                  </m:sub>
                </m:sSub>
              </m:oMath>
            </m:oMathPara>
          </w:p>
        </w:tc>
        <w:tc>
          <w:tcPr>
            <w:tcW w:w="673" w:type="dxa"/>
          </w:tcPr>
          <w:p w14:paraId="6DB85E2C" w14:textId="77777777" w:rsidR="00604B92" w:rsidRPr="002D302A" w:rsidRDefault="00604B92" w:rsidP="00ED483A">
            <w:pPr>
              <w:jc w:val="center"/>
              <w:rPr>
                <w:rFonts w:eastAsiaTheme="minorEastAsia"/>
                <w:sz w:val="16"/>
                <w:szCs w:val="16"/>
              </w:rPr>
            </w:pPr>
            <w:r w:rsidRPr="002D302A">
              <w:rPr>
                <w:sz w:val="16"/>
                <w:szCs w:val="16"/>
              </w:rPr>
              <w:t>-0.02</w:t>
            </w:r>
          </w:p>
        </w:tc>
        <w:tc>
          <w:tcPr>
            <w:tcW w:w="673" w:type="dxa"/>
          </w:tcPr>
          <w:p w14:paraId="5501BB7D" w14:textId="77777777" w:rsidR="00604B92" w:rsidRPr="002D302A" w:rsidRDefault="00604B92" w:rsidP="00ED483A">
            <w:pPr>
              <w:jc w:val="center"/>
              <w:rPr>
                <w:rFonts w:eastAsiaTheme="minorEastAsia"/>
                <w:sz w:val="16"/>
                <w:szCs w:val="16"/>
              </w:rPr>
            </w:pPr>
            <w:r w:rsidRPr="002D302A">
              <w:rPr>
                <w:sz w:val="16"/>
                <w:szCs w:val="16"/>
              </w:rPr>
              <w:t>-0.15</w:t>
            </w:r>
          </w:p>
        </w:tc>
        <w:tc>
          <w:tcPr>
            <w:tcW w:w="673" w:type="dxa"/>
          </w:tcPr>
          <w:p w14:paraId="3E828DD7" w14:textId="77777777" w:rsidR="00604B92" w:rsidRPr="002D302A" w:rsidRDefault="00604B92" w:rsidP="00ED483A">
            <w:pPr>
              <w:jc w:val="center"/>
              <w:rPr>
                <w:rFonts w:eastAsiaTheme="minorEastAsia"/>
                <w:sz w:val="16"/>
                <w:szCs w:val="16"/>
              </w:rPr>
            </w:pPr>
            <w:r w:rsidRPr="002D302A">
              <w:rPr>
                <w:sz w:val="16"/>
                <w:szCs w:val="16"/>
              </w:rPr>
              <w:t>0.47</w:t>
            </w:r>
          </w:p>
        </w:tc>
        <w:tc>
          <w:tcPr>
            <w:tcW w:w="673" w:type="dxa"/>
          </w:tcPr>
          <w:p w14:paraId="31884C5F" w14:textId="77777777" w:rsidR="00604B92" w:rsidRPr="002D302A" w:rsidRDefault="00604B92" w:rsidP="00ED483A">
            <w:pPr>
              <w:jc w:val="center"/>
              <w:rPr>
                <w:rFonts w:eastAsiaTheme="minorEastAsia"/>
                <w:sz w:val="16"/>
                <w:szCs w:val="16"/>
              </w:rPr>
            </w:pPr>
            <w:r w:rsidRPr="002D302A">
              <w:rPr>
                <w:sz w:val="16"/>
                <w:szCs w:val="16"/>
              </w:rPr>
              <w:t>1.06</w:t>
            </w:r>
          </w:p>
        </w:tc>
        <w:tc>
          <w:tcPr>
            <w:tcW w:w="673" w:type="dxa"/>
          </w:tcPr>
          <w:p w14:paraId="54E69521" w14:textId="77777777" w:rsidR="00604B92" w:rsidRPr="002D302A" w:rsidRDefault="00604B92" w:rsidP="00ED483A">
            <w:pPr>
              <w:jc w:val="center"/>
              <w:rPr>
                <w:rFonts w:eastAsiaTheme="minorEastAsia"/>
                <w:sz w:val="16"/>
                <w:szCs w:val="16"/>
              </w:rPr>
            </w:pPr>
            <w:r w:rsidRPr="002D302A">
              <w:rPr>
                <w:sz w:val="16"/>
                <w:szCs w:val="16"/>
              </w:rPr>
              <w:t>0.66</w:t>
            </w:r>
          </w:p>
        </w:tc>
      </w:tr>
    </w:tbl>
    <w:p w14:paraId="2483B62E" w14:textId="6A328750" w:rsidR="00604B92" w:rsidRPr="002B0B2B" w:rsidRDefault="00604B92" w:rsidP="00604B92">
      <w:pPr>
        <w:jc w:val="both"/>
        <w:rPr>
          <w:sz w:val="16"/>
          <w:szCs w:val="18"/>
        </w:rPr>
      </w:pPr>
      <w:r w:rsidRPr="002F162A">
        <w:rPr>
          <w:sz w:val="18"/>
          <w:szCs w:val="18"/>
        </w:rPr>
        <w:t xml:space="preserve">                        </w:t>
      </w:r>
      <w:r>
        <w:rPr>
          <w:sz w:val="18"/>
          <w:szCs w:val="18"/>
        </w:rPr>
        <w:t xml:space="preserve">        </w:t>
      </w:r>
      <w:r w:rsidRPr="002F162A">
        <w:rPr>
          <w:sz w:val="18"/>
          <w:szCs w:val="18"/>
        </w:rPr>
        <w:t xml:space="preserve">        </w:t>
      </w:r>
      <w:r>
        <w:rPr>
          <w:sz w:val="18"/>
          <w:szCs w:val="18"/>
        </w:rPr>
        <w:t xml:space="preserve">          </w:t>
      </w:r>
      <w:r w:rsidRPr="002F162A">
        <w:rPr>
          <w:sz w:val="18"/>
          <w:szCs w:val="18"/>
        </w:rPr>
        <w:t xml:space="preserve">Fuente: </w:t>
      </w:r>
      <w:r w:rsidR="002B0B2B" w:rsidRPr="002B0B2B">
        <w:rPr>
          <w:sz w:val="16"/>
          <w:szCs w:val="18"/>
        </w:rPr>
        <w:t>Ministerio de Finanzas Públicas</w:t>
      </w:r>
    </w:p>
    <w:p w14:paraId="6CF809F5" w14:textId="77777777" w:rsidR="00D00AD0" w:rsidRDefault="00D00AD0" w:rsidP="00604B92">
      <w:pPr>
        <w:jc w:val="both"/>
      </w:pPr>
    </w:p>
    <w:p w14:paraId="6BF0D847" w14:textId="5797933A" w:rsidR="00604B92" w:rsidRDefault="00604B92" w:rsidP="00604B92">
      <w:pPr>
        <w:jc w:val="both"/>
      </w:pPr>
      <w:r w:rsidRPr="00B83FCC">
        <w:t>Con los modelos descritos anteriormente y con el escenario de precios de petróleo de la EIA se diseñ</w:t>
      </w:r>
      <w:r>
        <w:t>ó</w:t>
      </w:r>
      <w:r w:rsidRPr="00B83FCC">
        <w:t xml:space="preserve"> un escenario en el 2023 en el cual el precio del crudo WTI se mantiene en </w:t>
      </w:r>
      <w:r>
        <w:t xml:space="preserve">promedio en </w:t>
      </w:r>
      <w:r w:rsidRPr="00B83FCC">
        <w:t>US$</w:t>
      </w:r>
      <w:r>
        <w:t>112.0, según lo observado en promedio en los meses de mayo y junio 2022,</w:t>
      </w:r>
      <w:r w:rsidRPr="00B83FCC">
        <w:t xml:space="preserve"> y aumentan los costos de refinanciación</w:t>
      </w:r>
      <w:r>
        <w:t>,</w:t>
      </w:r>
      <w:r w:rsidRPr="00B83FCC">
        <w:t xml:space="preserve"> se </w:t>
      </w:r>
      <w:r>
        <w:t>estima</w:t>
      </w:r>
      <w:r w:rsidRPr="00B83FCC">
        <w:t xml:space="preserve"> el efecto en los precios de los combustibles, su consumo y el gasto estimado de un subsidio de Q</w:t>
      </w:r>
      <w:r>
        <w:t>2</w:t>
      </w:r>
      <w:r w:rsidRPr="00B83FCC">
        <w:t xml:space="preserve">.0 para gasolinas </w:t>
      </w:r>
      <w:r w:rsidR="002B0B2B" w:rsidRPr="00B83FCC">
        <w:t>súper</w:t>
      </w:r>
      <w:r w:rsidRPr="00B83FCC">
        <w:t xml:space="preserve"> y regular y de Q5.0 para diésel durante todo el año.</w:t>
      </w:r>
    </w:p>
    <w:p w14:paraId="6046E1EC" w14:textId="5B4D7673" w:rsidR="00604B92" w:rsidRDefault="00604B92" w:rsidP="00604B92">
      <w:pPr>
        <w:jc w:val="both"/>
      </w:pPr>
    </w:p>
    <w:p w14:paraId="45C5FD82" w14:textId="77777777" w:rsidR="00D00AD0" w:rsidRPr="00B83FCC" w:rsidRDefault="00D00AD0" w:rsidP="00604B92">
      <w:pPr>
        <w:jc w:val="both"/>
      </w:pPr>
    </w:p>
    <w:p w14:paraId="2A6A8785" w14:textId="5E166223" w:rsidR="002B0B2B" w:rsidRPr="002B0B2B" w:rsidRDefault="002B0B2B" w:rsidP="002B0B2B">
      <w:pPr>
        <w:pStyle w:val="Descripcin"/>
        <w:keepNext/>
        <w:rPr>
          <w:color w:val="auto"/>
        </w:rPr>
      </w:pPr>
      <w:bookmarkStart w:id="92" w:name="_Toc114493861"/>
      <w:r w:rsidRPr="002B0B2B">
        <w:rPr>
          <w:color w:val="auto"/>
        </w:rPr>
        <w:t xml:space="preserve">Gráfico </w:t>
      </w:r>
      <w:r w:rsidRPr="002B0B2B">
        <w:rPr>
          <w:color w:val="auto"/>
        </w:rPr>
        <w:fldChar w:fldCharType="begin"/>
      </w:r>
      <w:r w:rsidRPr="002B0B2B">
        <w:rPr>
          <w:color w:val="auto"/>
        </w:rPr>
        <w:instrText xml:space="preserve"> SEQ Gráfico \* ARABIC </w:instrText>
      </w:r>
      <w:r w:rsidRPr="002B0B2B">
        <w:rPr>
          <w:color w:val="auto"/>
        </w:rPr>
        <w:fldChar w:fldCharType="separate"/>
      </w:r>
      <w:r w:rsidR="002E7809">
        <w:rPr>
          <w:noProof/>
          <w:color w:val="auto"/>
        </w:rPr>
        <w:t>19</w:t>
      </w:r>
      <w:r w:rsidRPr="002B0B2B">
        <w:rPr>
          <w:color w:val="auto"/>
        </w:rPr>
        <w:fldChar w:fldCharType="end"/>
      </w:r>
      <w:r w:rsidRPr="002B0B2B">
        <w:rPr>
          <w:color w:val="auto"/>
        </w:rPr>
        <w:t xml:space="preserve">.  </w:t>
      </w:r>
      <w:r w:rsidRPr="002B0B2B">
        <w:rPr>
          <w:bCs/>
          <w:color w:val="auto"/>
        </w:rPr>
        <w:t>Precios proyectados del crudo y de combustibles nacionales</w:t>
      </w:r>
      <w:bookmarkEnd w:id="92"/>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401"/>
        <w:gridCol w:w="2163"/>
        <w:gridCol w:w="2165"/>
      </w:tblGrid>
      <w:tr w:rsidR="00604B92" w14:paraId="294B3CE4" w14:textId="77777777" w:rsidTr="00ED483A">
        <w:trPr>
          <w:trHeight w:val="189"/>
        </w:trPr>
        <w:tc>
          <w:tcPr>
            <w:tcW w:w="8897" w:type="dxa"/>
            <w:gridSpan w:val="4"/>
          </w:tcPr>
          <w:p w14:paraId="11A60645" w14:textId="3C20A281" w:rsidR="00604B92" w:rsidRPr="009701B8" w:rsidRDefault="00604B92" w:rsidP="009701B8">
            <w:pPr>
              <w:rPr>
                <w:b/>
                <w:bCs/>
                <w:sz w:val="8"/>
              </w:rPr>
            </w:pPr>
          </w:p>
        </w:tc>
      </w:tr>
      <w:tr w:rsidR="00604B92" w14:paraId="2D4B8EAC" w14:textId="77777777" w:rsidTr="00ED483A">
        <w:trPr>
          <w:trHeight w:val="82"/>
        </w:trPr>
        <w:tc>
          <w:tcPr>
            <w:tcW w:w="8897" w:type="dxa"/>
            <w:gridSpan w:val="4"/>
          </w:tcPr>
          <w:p w14:paraId="466BB6AB" w14:textId="77777777" w:rsidR="00604B92" w:rsidRPr="0015366E" w:rsidRDefault="00604B92" w:rsidP="00ED483A">
            <w:pPr>
              <w:jc w:val="center"/>
              <w:rPr>
                <w:b/>
                <w:bCs/>
                <w:sz w:val="18"/>
                <w:szCs w:val="18"/>
              </w:rPr>
            </w:pPr>
            <w:r>
              <w:rPr>
                <w:noProof/>
              </w:rPr>
              <w:drawing>
                <wp:inline distT="0" distB="0" distL="0" distR="0" wp14:anchorId="46E10574" wp14:editId="419B2076">
                  <wp:extent cx="4484536" cy="233918"/>
                  <wp:effectExtent l="0" t="0" r="0" b="0"/>
                  <wp:docPr id="1428" name="Imagen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6932" cy="248126"/>
                          </a:xfrm>
                          <a:prstGeom prst="rect">
                            <a:avLst/>
                          </a:prstGeom>
                        </pic:spPr>
                      </pic:pic>
                    </a:graphicData>
                  </a:graphic>
                </wp:inline>
              </w:drawing>
            </w:r>
          </w:p>
        </w:tc>
      </w:tr>
      <w:tr w:rsidR="00604B92" w14:paraId="7D9BE36B" w14:textId="77777777" w:rsidTr="002B0B2B">
        <w:trPr>
          <w:trHeight w:val="169"/>
        </w:trPr>
        <w:tc>
          <w:tcPr>
            <w:tcW w:w="2168" w:type="dxa"/>
          </w:tcPr>
          <w:p w14:paraId="46AD1A13" w14:textId="77777777" w:rsidR="00604B92" w:rsidRPr="00AA3855" w:rsidRDefault="00604B92" w:rsidP="00ED483A">
            <w:pPr>
              <w:jc w:val="center"/>
              <w:rPr>
                <w:sz w:val="18"/>
                <w:szCs w:val="18"/>
              </w:rPr>
            </w:pPr>
            <w:r w:rsidRPr="00AA3855">
              <w:rPr>
                <w:sz w:val="18"/>
                <w:szCs w:val="18"/>
              </w:rPr>
              <w:t>WTI (USD$)</w:t>
            </w:r>
          </w:p>
        </w:tc>
        <w:tc>
          <w:tcPr>
            <w:tcW w:w="2401" w:type="dxa"/>
          </w:tcPr>
          <w:p w14:paraId="79CE3094" w14:textId="2D607AED" w:rsidR="00604B92" w:rsidRPr="00AA3855" w:rsidRDefault="009701B8" w:rsidP="00ED483A">
            <w:pPr>
              <w:jc w:val="center"/>
              <w:rPr>
                <w:sz w:val="18"/>
                <w:szCs w:val="18"/>
              </w:rPr>
            </w:pPr>
            <w:r w:rsidRPr="00AA3855">
              <w:rPr>
                <w:sz w:val="18"/>
                <w:szCs w:val="18"/>
              </w:rPr>
              <w:t>Súper</w:t>
            </w:r>
            <w:r w:rsidR="00604B92" w:rsidRPr="00AA3855">
              <w:rPr>
                <w:sz w:val="18"/>
                <w:szCs w:val="18"/>
              </w:rPr>
              <w:t xml:space="preserve"> (Q.)</w:t>
            </w:r>
          </w:p>
        </w:tc>
        <w:tc>
          <w:tcPr>
            <w:tcW w:w="2163" w:type="dxa"/>
          </w:tcPr>
          <w:p w14:paraId="762A8A42" w14:textId="77777777" w:rsidR="00604B92" w:rsidRPr="00AA3855" w:rsidRDefault="00604B92" w:rsidP="00ED483A">
            <w:pPr>
              <w:jc w:val="center"/>
              <w:rPr>
                <w:sz w:val="18"/>
                <w:szCs w:val="18"/>
              </w:rPr>
            </w:pPr>
            <w:r w:rsidRPr="00AA3855">
              <w:rPr>
                <w:sz w:val="18"/>
                <w:szCs w:val="18"/>
              </w:rPr>
              <w:t>Regular (Q.)</w:t>
            </w:r>
          </w:p>
        </w:tc>
        <w:tc>
          <w:tcPr>
            <w:tcW w:w="2165" w:type="dxa"/>
          </w:tcPr>
          <w:p w14:paraId="590706C7" w14:textId="77777777" w:rsidR="00604B92" w:rsidRPr="00AA3855" w:rsidRDefault="00604B92" w:rsidP="00ED483A">
            <w:pPr>
              <w:jc w:val="center"/>
              <w:rPr>
                <w:sz w:val="18"/>
                <w:szCs w:val="18"/>
              </w:rPr>
            </w:pPr>
            <w:r w:rsidRPr="00AA3855">
              <w:rPr>
                <w:sz w:val="18"/>
                <w:szCs w:val="18"/>
              </w:rPr>
              <w:t>Diésel (Q.)</w:t>
            </w:r>
          </w:p>
        </w:tc>
      </w:tr>
      <w:tr w:rsidR="00604B92" w14:paraId="1812E74A" w14:textId="77777777" w:rsidTr="002B0B2B">
        <w:tblPrEx>
          <w:tblCellMar>
            <w:left w:w="70" w:type="dxa"/>
            <w:right w:w="70" w:type="dxa"/>
          </w:tblCellMar>
        </w:tblPrEx>
        <w:trPr>
          <w:trHeight w:val="1892"/>
        </w:trPr>
        <w:tc>
          <w:tcPr>
            <w:tcW w:w="2168" w:type="dxa"/>
          </w:tcPr>
          <w:p w14:paraId="60708BFC" w14:textId="77777777" w:rsidR="00604B92" w:rsidRDefault="00604B92" w:rsidP="00ED483A">
            <w:pPr>
              <w:jc w:val="both"/>
            </w:pPr>
            <w:r>
              <w:rPr>
                <w:noProof/>
              </w:rPr>
              <w:drawing>
                <wp:inline distT="0" distB="0" distL="0" distR="0" wp14:anchorId="7739293A" wp14:editId="0911FDD2">
                  <wp:extent cx="1262380" cy="1181100"/>
                  <wp:effectExtent l="0" t="0" r="0" b="0"/>
                  <wp:docPr id="1429" name="Gráfico 1429">
                    <a:extLst xmlns:a="http://schemas.openxmlformats.org/drawingml/2006/main">
                      <a:ext uri="{FF2B5EF4-FFF2-40B4-BE49-F238E27FC236}">
                        <a16:creationId xmlns:a16="http://schemas.microsoft.com/office/drawing/2014/main" id="{717642D7-2DC8-414C-BC09-D959E3A40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401" w:type="dxa"/>
          </w:tcPr>
          <w:p w14:paraId="58B73629" w14:textId="77777777" w:rsidR="00604B92" w:rsidRDefault="00604B92" w:rsidP="00ED483A">
            <w:pPr>
              <w:jc w:val="both"/>
            </w:pPr>
            <w:r>
              <w:rPr>
                <w:noProof/>
              </w:rPr>
              <w:drawing>
                <wp:inline distT="0" distB="0" distL="0" distR="0" wp14:anchorId="10BB094D" wp14:editId="625DF8F5">
                  <wp:extent cx="1259840" cy="1181100"/>
                  <wp:effectExtent l="0" t="0" r="0" b="0"/>
                  <wp:docPr id="1430" name="Gráfico 1430">
                    <a:extLst xmlns:a="http://schemas.openxmlformats.org/drawingml/2006/main">
                      <a:ext uri="{FF2B5EF4-FFF2-40B4-BE49-F238E27FC236}">
                        <a16:creationId xmlns:a16="http://schemas.microsoft.com/office/drawing/2014/main" id="{5460FCC3-0243-4348-9E07-4A801B859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2163" w:type="dxa"/>
          </w:tcPr>
          <w:p w14:paraId="07A5A727" w14:textId="77777777" w:rsidR="00604B92" w:rsidRDefault="00604B92" w:rsidP="00ED483A">
            <w:pPr>
              <w:jc w:val="both"/>
            </w:pPr>
            <w:r>
              <w:rPr>
                <w:noProof/>
              </w:rPr>
              <w:drawing>
                <wp:inline distT="0" distB="0" distL="0" distR="0" wp14:anchorId="7B2BAAF0" wp14:editId="747E6C85">
                  <wp:extent cx="1259840" cy="1181100"/>
                  <wp:effectExtent l="0" t="0" r="0" b="0"/>
                  <wp:docPr id="1431" name="Gráfico 1431">
                    <a:extLst xmlns:a="http://schemas.openxmlformats.org/drawingml/2006/main">
                      <a:ext uri="{FF2B5EF4-FFF2-40B4-BE49-F238E27FC236}">
                        <a16:creationId xmlns:a16="http://schemas.microsoft.com/office/drawing/2014/main" id="{118FD7F1-D94A-4A3D-80A6-5287DB081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165" w:type="dxa"/>
          </w:tcPr>
          <w:p w14:paraId="790A37FD" w14:textId="77777777" w:rsidR="00604B92" w:rsidRDefault="00604B92" w:rsidP="00ED483A">
            <w:pPr>
              <w:jc w:val="both"/>
            </w:pPr>
            <w:r>
              <w:rPr>
                <w:noProof/>
              </w:rPr>
              <w:drawing>
                <wp:inline distT="0" distB="0" distL="0" distR="0" wp14:anchorId="07B90A52" wp14:editId="6A0B1EBF">
                  <wp:extent cx="1259840" cy="1181100"/>
                  <wp:effectExtent l="0" t="0" r="0" b="0"/>
                  <wp:docPr id="1432" name="Gráfico 1432">
                    <a:extLst xmlns:a="http://schemas.openxmlformats.org/drawingml/2006/main">
                      <a:ext uri="{FF2B5EF4-FFF2-40B4-BE49-F238E27FC236}">
                        <a16:creationId xmlns:a16="http://schemas.microsoft.com/office/drawing/2014/main" id="{2A391A08-02E5-40A0-997C-3AC15DA2E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604B92" w14:paraId="2F6DD879" w14:textId="77777777" w:rsidTr="00ED483A">
        <w:tblPrEx>
          <w:tblCellMar>
            <w:left w:w="70" w:type="dxa"/>
            <w:right w:w="70" w:type="dxa"/>
          </w:tblCellMar>
        </w:tblPrEx>
        <w:trPr>
          <w:trHeight w:val="189"/>
        </w:trPr>
        <w:tc>
          <w:tcPr>
            <w:tcW w:w="8897" w:type="dxa"/>
            <w:gridSpan w:val="4"/>
          </w:tcPr>
          <w:p w14:paraId="283FB775" w14:textId="77777777" w:rsidR="00604B92" w:rsidRDefault="00604B92" w:rsidP="00ED483A">
            <w:pPr>
              <w:jc w:val="center"/>
              <w:rPr>
                <w:noProof/>
              </w:rPr>
            </w:pPr>
            <w:r w:rsidRPr="0015366E">
              <w:rPr>
                <w:b/>
                <w:bCs/>
              </w:rPr>
              <w:t>Proyección de consumo de combustibles</w:t>
            </w:r>
          </w:p>
        </w:tc>
      </w:tr>
      <w:tr w:rsidR="00604B92" w14:paraId="5C77828E" w14:textId="77777777" w:rsidTr="002B0B2B">
        <w:tblPrEx>
          <w:tblCellMar>
            <w:left w:w="70" w:type="dxa"/>
            <w:right w:w="70" w:type="dxa"/>
          </w:tblCellMar>
        </w:tblPrEx>
        <w:trPr>
          <w:trHeight w:val="169"/>
        </w:trPr>
        <w:tc>
          <w:tcPr>
            <w:tcW w:w="2168" w:type="dxa"/>
          </w:tcPr>
          <w:p w14:paraId="2416730C" w14:textId="77777777" w:rsidR="00604B92" w:rsidRPr="00AA3855" w:rsidRDefault="00604B92" w:rsidP="00ED483A">
            <w:pPr>
              <w:jc w:val="center"/>
              <w:rPr>
                <w:sz w:val="18"/>
                <w:szCs w:val="18"/>
              </w:rPr>
            </w:pPr>
            <w:r w:rsidRPr="00AA3855">
              <w:rPr>
                <w:sz w:val="18"/>
                <w:szCs w:val="18"/>
              </w:rPr>
              <w:t>Total</w:t>
            </w:r>
          </w:p>
        </w:tc>
        <w:tc>
          <w:tcPr>
            <w:tcW w:w="2401" w:type="dxa"/>
          </w:tcPr>
          <w:p w14:paraId="0C486C14" w14:textId="4D0E73D2" w:rsidR="00604B92" w:rsidRPr="00AA3855" w:rsidRDefault="009701B8" w:rsidP="00ED483A">
            <w:pPr>
              <w:jc w:val="center"/>
              <w:rPr>
                <w:sz w:val="18"/>
                <w:szCs w:val="18"/>
              </w:rPr>
            </w:pPr>
            <w:r w:rsidRPr="00AA3855">
              <w:rPr>
                <w:sz w:val="18"/>
                <w:szCs w:val="18"/>
              </w:rPr>
              <w:t>Súper</w:t>
            </w:r>
          </w:p>
        </w:tc>
        <w:tc>
          <w:tcPr>
            <w:tcW w:w="2163" w:type="dxa"/>
          </w:tcPr>
          <w:p w14:paraId="5166F123" w14:textId="77777777" w:rsidR="00604B92" w:rsidRPr="00AA3855" w:rsidRDefault="00604B92" w:rsidP="00ED483A">
            <w:pPr>
              <w:jc w:val="center"/>
              <w:rPr>
                <w:sz w:val="18"/>
                <w:szCs w:val="18"/>
              </w:rPr>
            </w:pPr>
            <w:r w:rsidRPr="00AA3855">
              <w:rPr>
                <w:sz w:val="18"/>
                <w:szCs w:val="18"/>
              </w:rPr>
              <w:t>Regular</w:t>
            </w:r>
          </w:p>
        </w:tc>
        <w:tc>
          <w:tcPr>
            <w:tcW w:w="2165" w:type="dxa"/>
          </w:tcPr>
          <w:p w14:paraId="753DBC8E" w14:textId="77777777" w:rsidR="00604B92" w:rsidRPr="00AA3855" w:rsidRDefault="00604B92" w:rsidP="00ED483A">
            <w:pPr>
              <w:jc w:val="center"/>
              <w:rPr>
                <w:sz w:val="18"/>
                <w:szCs w:val="18"/>
              </w:rPr>
            </w:pPr>
            <w:r w:rsidRPr="00AA3855">
              <w:rPr>
                <w:sz w:val="18"/>
                <w:szCs w:val="18"/>
              </w:rPr>
              <w:t>Diésel</w:t>
            </w:r>
          </w:p>
        </w:tc>
      </w:tr>
      <w:tr w:rsidR="00604B92" w14:paraId="00A4D9E7" w14:textId="77777777" w:rsidTr="002B0B2B">
        <w:tblPrEx>
          <w:tblCellMar>
            <w:left w:w="70" w:type="dxa"/>
            <w:right w:w="70" w:type="dxa"/>
          </w:tblCellMar>
        </w:tblPrEx>
        <w:trPr>
          <w:trHeight w:val="1892"/>
        </w:trPr>
        <w:tc>
          <w:tcPr>
            <w:tcW w:w="2168" w:type="dxa"/>
          </w:tcPr>
          <w:p w14:paraId="6FD85BDF" w14:textId="77777777" w:rsidR="00604B92" w:rsidRDefault="00604B92" w:rsidP="00ED483A">
            <w:pPr>
              <w:jc w:val="both"/>
              <w:rPr>
                <w:noProof/>
              </w:rPr>
            </w:pPr>
            <w:r>
              <w:rPr>
                <w:noProof/>
              </w:rPr>
              <w:drawing>
                <wp:inline distT="0" distB="0" distL="0" distR="0" wp14:anchorId="4C74D917" wp14:editId="39B918E1">
                  <wp:extent cx="1260001" cy="1260000"/>
                  <wp:effectExtent l="0" t="0" r="0" b="0"/>
                  <wp:docPr id="1433" name="Gráfico 1433">
                    <a:extLst xmlns:a="http://schemas.openxmlformats.org/drawingml/2006/main">
                      <a:ext uri="{FF2B5EF4-FFF2-40B4-BE49-F238E27FC236}">
                        <a16:creationId xmlns:a16="http://schemas.microsoft.com/office/drawing/2014/main" id="{B82DB84F-B8AD-400D-8082-53EE8A83C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401" w:type="dxa"/>
          </w:tcPr>
          <w:p w14:paraId="5A49757E" w14:textId="77777777" w:rsidR="00604B92" w:rsidRDefault="00604B92" w:rsidP="00ED483A">
            <w:pPr>
              <w:jc w:val="both"/>
              <w:rPr>
                <w:noProof/>
              </w:rPr>
            </w:pPr>
            <w:r>
              <w:rPr>
                <w:noProof/>
              </w:rPr>
              <w:drawing>
                <wp:inline distT="0" distB="0" distL="0" distR="0" wp14:anchorId="0CFC3B32" wp14:editId="43779D45">
                  <wp:extent cx="1260000" cy="1260000"/>
                  <wp:effectExtent l="0" t="0" r="0" b="0"/>
                  <wp:docPr id="1434" name="Gráfico 1434">
                    <a:extLst xmlns:a="http://schemas.openxmlformats.org/drawingml/2006/main">
                      <a:ext uri="{FF2B5EF4-FFF2-40B4-BE49-F238E27FC236}">
                        <a16:creationId xmlns:a16="http://schemas.microsoft.com/office/drawing/2014/main" id="{C3CC6C05-AADE-46E4-91AF-01A70AE66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163" w:type="dxa"/>
          </w:tcPr>
          <w:p w14:paraId="4F2D49CD" w14:textId="77777777" w:rsidR="00604B92" w:rsidRDefault="00604B92" w:rsidP="00ED483A">
            <w:pPr>
              <w:jc w:val="both"/>
              <w:rPr>
                <w:noProof/>
              </w:rPr>
            </w:pPr>
            <w:r>
              <w:rPr>
                <w:noProof/>
              </w:rPr>
              <w:drawing>
                <wp:inline distT="0" distB="0" distL="0" distR="0" wp14:anchorId="5ED92B11" wp14:editId="4C56248F">
                  <wp:extent cx="1260000" cy="1260000"/>
                  <wp:effectExtent l="0" t="0" r="0" b="0"/>
                  <wp:docPr id="1435" name="Gráfico 1435">
                    <a:extLst xmlns:a="http://schemas.openxmlformats.org/drawingml/2006/main">
                      <a:ext uri="{FF2B5EF4-FFF2-40B4-BE49-F238E27FC236}">
                        <a16:creationId xmlns:a16="http://schemas.microsoft.com/office/drawing/2014/main" id="{E1898352-59AC-4826-9343-BD1C4B79E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165" w:type="dxa"/>
          </w:tcPr>
          <w:p w14:paraId="17750DF3" w14:textId="77777777" w:rsidR="00604B92" w:rsidRDefault="00604B92" w:rsidP="00ED483A">
            <w:pPr>
              <w:jc w:val="both"/>
              <w:rPr>
                <w:noProof/>
              </w:rPr>
            </w:pPr>
            <w:r>
              <w:rPr>
                <w:noProof/>
              </w:rPr>
              <w:drawing>
                <wp:inline distT="0" distB="0" distL="0" distR="0" wp14:anchorId="1FC565AE" wp14:editId="72DA94FB">
                  <wp:extent cx="1260001" cy="1260000"/>
                  <wp:effectExtent l="0" t="0" r="0" b="0"/>
                  <wp:docPr id="1436" name="Gráfico 1436">
                    <a:extLst xmlns:a="http://schemas.openxmlformats.org/drawingml/2006/main">
                      <a:ext uri="{FF2B5EF4-FFF2-40B4-BE49-F238E27FC236}">
                        <a16:creationId xmlns:a16="http://schemas.microsoft.com/office/drawing/2014/main" id="{2DBF8EF8-4BAE-461B-8061-544354B8F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604B92" w14:paraId="38C4695A" w14:textId="77777777" w:rsidTr="00ED483A">
        <w:trPr>
          <w:trHeight w:val="169"/>
        </w:trPr>
        <w:tc>
          <w:tcPr>
            <w:tcW w:w="8897" w:type="dxa"/>
            <w:gridSpan w:val="4"/>
          </w:tcPr>
          <w:p w14:paraId="4F48365A" w14:textId="77777777" w:rsidR="00604B92" w:rsidRPr="002B0B2B" w:rsidRDefault="00604B92" w:rsidP="00ED483A">
            <w:pPr>
              <w:rPr>
                <w:sz w:val="16"/>
                <w:szCs w:val="18"/>
              </w:rPr>
            </w:pPr>
            <w:r w:rsidRPr="002B0B2B">
              <w:rPr>
                <w:sz w:val="16"/>
                <w:szCs w:val="18"/>
              </w:rPr>
              <w:t>Fuente: EIA, MEM y resultados de la investigación</w:t>
            </w:r>
          </w:p>
          <w:p w14:paraId="205A06D2" w14:textId="77777777" w:rsidR="00604B92" w:rsidRPr="00900EDF" w:rsidRDefault="00604B92" w:rsidP="00ED483A">
            <w:pPr>
              <w:rPr>
                <w:sz w:val="18"/>
                <w:szCs w:val="18"/>
              </w:rPr>
            </w:pPr>
          </w:p>
        </w:tc>
      </w:tr>
    </w:tbl>
    <w:p w14:paraId="620A6AF9" w14:textId="7ECBDB36" w:rsidR="00604B92" w:rsidRDefault="00604B92" w:rsidP="00604B92">
      <w:pPr>
        <w:jc w:val="both"/>
      </w:pPr>
      <w:r>
        <w:t>Es importante indicar que las respuestas son el valor medio del pronóstico</w:t>
      </w:r>
      <w:r w:rsidR="00C9330B">
        <w:t>.</w:t>
      </w:r>
      <w:r>
        <w:t xml:space="preserve"> </w:t>
      </w:r>
      <w:r w:rsidR="00C9330B">
        <w:t>N</w:t>
      </w:r>
      <w:r>
        <w:t>o obstante, la respuesta puede ser mayor por variables no observables que no se pueden modelar con facilidad, como la incertidumbre de los agentes económicos ante situaciones de crisis, una mayor respuesta de los precios de los combustibles al pasar el precio del crudo cierto lumbral, los rápidos incrementos y lentas disminuciones como lo sugiere el efecto conocido como cohete y pluma, entre otros.</w:t>
      </w:r>
    </w:p>
    <w:p w14:paraId="73010A1E" w14:textId="77777777" w:rsidR="00604B92" w:rsidRPr="009701B8" w:rsidRDefault="00604B92" w:rsidP="00604B92">
      <w:pPr>
        <w:jc w:val="both"/>
        <w:rPr>
          <w:sz w:val="20"/>
        </w:rPr>
      </w:pPr>
    </w:p>
    <w:p w14:paraId="44B6C506" w14:textId="3C83CA25" w:rsidR="00604B92" w:rsidRDefault="00604B92" w:rsidP="00604B92">
      <w:pPr>
        <w:jc w:val="both"/>
      </w:pPr>
      <w:r>
        <w:t xml:space="preserve">Se estimó que el monto total del subsidio es de Q4,207.2 millones para todo el año, del cual Q578.8 millones es de gasolina </w:t>
      </w:r>
      <w:r w:rsidR="002B0B2B">
        <w:t>súper</w:t>
      </w:r>
      <w:r>
        <w:t>, Q664.6 millones es de gasolina regular y Q2,963.8 millones de diésel, representando un costo promedio mensual de esta medida de Q350.6 millones. Por lo que, se observa que el costo fiscal del uso de este tipo de subsidio es alto y puede deteriorar el espacio fiscal de forma acelerada si se mantiene en el tiempo.</w:t>
      </w:r>
    </w:p>
    <w:p w14:paraId="0D8A4A71" w14:textId="77777777" w:rsidR="00604B92" w:rsidRPr="009701B8" w:rsidRDefault="00604B92" w:rsidP="00604B92">
      <w:pPr>
        <w:jc w:val="both"/>
        <w:rPr>
          <w:sz w:val="20"/>
        </w:rPr>
      </w:pPr>
    </w:p>
    <w:p w14:paraId="32B1469B" w14:textId="4E8AA9A7" w:rsidR="00604B92" w:rsidRPr="002B0B2B" w:rsidRDefault="002B0B2B" w:rsidP="002B0B2B">
      <w:pPr>
        <w:pStyle w:val="Descripcin"/>
        <w:keepNext/>
        <w:rPr>
          <w:color w:val="auto"/>
        </w:rPr>
      </w:pPr>
      <w:bookmarkStart w:id="93" w:name="_Toc114493928"/>
      <w:r w:rsidRPr="002B0B2B">
        <w:rPr>
          <w:color w:val="auto"/>
        </w:rPr>
        <w:t xml:space="preserve">Tabla </w:t>
      </w:r>
      <w:r w:rsidRPr="002B0B2B">
        <w:rPr>
          <w:color w:val="auto"/>
        </w:rPr>
        <w:fldChar w:fldCharType="begin"/>
      </w:r>
      <w:r w:rsidRPr="002B0B2B">
        <w:rPr>
          <w:color w:val="auto"/>
        </w:rPr>
        <w:instrText xml:space="preserve"> SEQ Tabla \* ARABIC </w:instrText>
      </w:r>
      <w:r w:rsidRPr="002B0B2B">
        <w:rPr>
          <w:color w:val="auto"/>
        </w:rPr>
        <w:fldChar w:fldCharType="separate"/>
      </w:r>
      <w:r w:rsidR="002E7809">
        <w:rPr>
          <w:noProof/>
          <w:color w:val="auto"/>
        </w:rPr>
        <w:t>5</w:t>
      </w:r>
      <w:r w:rsidRPr="002B0B2B">
        <w:rPr>
          <w:color w:val="auto"/>
        </w:rPr>
        <w:fldChar w:fldCharType="end"/>
      </w:r>
      <w:r w:rsidRPr="002B0B2B">
        <w:rPr>
          <w:color w:val="auto"/>
        </w:rPr>
        <w:t xml:space="preserve">.  </w:t>
      </w:r>
      <w:r w:rsidR="00604B92" w:rsidRPr="002B0B2B">
        <w:rPr>
          <w:bCs/>
          <w:color w:val="auto"/>
        </w:rPr>
        <w:t>Costo fiscal del subsidio en millones de quetzales en 2023</w:t>
      </w:r>
      <w:bookmarkEnd w:id="93"/>
    </w:p>
    <w:tbl>
      <w:tblPr>
        <w:tblW w:w="8442" w:type="dxa"/>
        <w:jc w:val="center"/>
        <w:tblCellMar>
          <w:left w:w="70" w:type="dxa"/>
          <w:right w:w="70" w:type="dxa"/>
        </w:tblCellMar>
        <w:tblLook w:val="04A0" w:firstRow="1" w:lastRow="0" w:firstColumn="1" w:lastColumn="0" w:noHBand="0" w:noVBand="1"/>
      </w:tblPr>
      <w:tblGrid>
        <w:gridCol w:w="896"/>
        <w:gridCol w:w="1085"/>
        <w:gridCol w:w="1085"/>
        <w:gridCol w:w="1603"/>
        <w:gridCol w:w="1603"/>
        <w:gridCol w:w="1135"/>
        <w:gridCol w:w="1035"/>
      </w:tblGrid>
      <w:tr w:rsidR="00604B92" w:rsidRPr="00DA70DA" w14:paraId="77372ABE" w14:textId="77777777" w:rsidTr="00ED483A">
        <w:trPr>
          <w:trHeight w:val="397"/>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E7077" w14:textId="77777777" w:rsidR="00604B92" w:rsidRPr="009701B8" w:rsidRDefault="00604B92" w:rsidP="00ED483A">
            <w:pPr>
              <w:jc w:val="center"/>
              <w:rPr>
                <w:rFonts w:eastAsia="Times New Roman"/>
                <w:b/>
                <w:bCs/>
                <w:color w:val="000000"/>
                <w:sz w:val="16"/>
                <w:szCs w:val="18"/>
                <w:lang w:eastAsia="es-GT"/>
              </w:rPr>
            </w:pPr>
            <w:r w:rsidRPr="009701B8">
              <w:rPr>
                <w:rFonts w:eastAsia="Times New Roman"/>
                <w:b/>
                <w:bCs/>
                <w:color w:val="000000"/>
                <w:sz w:val="16"/>
                <w:szCs w:val="18"/>
                <w:lang w:eastAsia="es-GT"/>
              </w:rPr>
              <w:t>Gasolina</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75D5C00" w14:textId="77777777" w:rsidR="00604B92" w:rsidRPr="009701B8" w:rsidRDefault="00604B92" w:rsidP="00ED483A">
            <w:pPr>
              <w:jc w:val="center"/>
              <w:rPr>
                <w:rFonts w:eastAsia="Times New Roman"/>
                <w:b/>
                <w:bCs/>
                <w:color w:val="000000"/>
                <w:sz w:val="16"/>
                <w:szCs w:val="18"/>
                <w:lang w:eastAsia="es-GT"/>
              </w:rPr>
            </w:pPr>
            <w:r w:rsidRPr="009701B8">
              <w:rPr>
                <w:rFonts w:eastAsia="Times New Roman"/>
                <w:b/>
                <w:bCs/>
                <w:color w:val="000000"/>
                <w:sz w:val="16"/>
                <w:szCs w:val="18"/>
                <w:lang w:eastAsia="es-GT"/>
              </w:rPr>
              <w:t>I 2023</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9F2C84" w14:textId="77777777" w:rsidR="00604B92" w:rsidRPr="009701B8" w:rsidRDefault="00604B92" w:rsidP="00ED483A">
            <w:pPr>
              <w:jc w:val="center"/>
              <w:rPr>
                <w:rFonts w:eastAsia="Times New Roman"/>
                <w:b/>
                <w:bCs/>
                <w:color w:val="000000"/>
                <w:sz w:val="16"/>
                <w:szCs w:val="18"/>
                <w:lang w:eastAsia="es-GT"/>
              </w:rPr>
            </w:pPr>
            <w:r w:rsidRPr="009701B8">
              <w:rPr>
                <w:rFonts w:eastAsia="Times New Roman"/>
                <w:b/>
                <w:bCs/>
                <w:color w:val="000000"/>
                <w:sz w:val="16"/>
                <w:szCs w:val="18"/>
                <w:lang w:eastAsia="es-GT"/>
              </w:rPr>
              <w:t>II 2023</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5C7B867D" w14:textId="77777777" w:rsidR="00604B92" w:rsidRPr="009701B8" w:rsidRDefault="00604B92" w:rsidP="00ED483A">
            <w:pPr>
              <w:jc w:val="center"/>
              <w:rPr>
                <w:rFonts w:eastAsia="Times New Roman"/>
                <w:b/>
                <w:bCs/>
                <w:color w:val="000000"/>
                <w:sz w:val="16"/>
                <w:szCs w:val="18"/>
                <w:lang w:eastAsia="es-GT"/>
              </w:rPr>
            </w:pPr>
            <w:r w:rsidRPr="009701B8">
              <w:rPr>
                <w:rFonts w:eastAsia="Times New Roman"/>
                <w:b/>
                <w:bCs/>
                <w:color w:val="000000"/>
                <w:sz w:val="16"/>
                <w:szCs w:val="18"/>
                <w:lang w:eastAsia="es-GT"/>
              </w:rPr>
              <w:t>III 2023</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09E34EA4" w14:textId="77777777" w:rsidR="00604B92" w:rsidRPr="009701B8" w:rsidRDefault="00604B92" w:rsidP="00ED483A">
            <w:pPr>
              <w:jc w:val="center"/>
              <w:rPr>
                <w:rFonts w:eastAsia="Times New Roman"/>
                <w:b/>
                <w:bCs/>
                <w:color w:val="000000"/>
                <w:sz w:val="16"/>
                <w:szCs w:val="18"/>
                <w:lang w:eastAsia="es-GT"/>
              </w:rPr>
            </w:pPr>
            <w:r w:rsidRPr="009701B8">
              <w:rPr>
                <w:rFonts w:eastAsia="Times New Roman"/>
                <w:b/>
                <w:bCs/>
                <w:color w:val="000000"/>
                <w:sz w:val="16"/>
                <w:szCs w:val="18"/>
                <w:lang w:eastAsia="es-GT"/>
              </w:rPr>
              <w:t>IV 2023</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704CAC43" w14:textId="77777777" w:rsidR="00604B92" w:rsidRPr="009701B8" w:rsidRDefault="00604B92" w:rsidP="00ED483A">
            <w:pPr>
              <w:jc w:val="center"/>
              <w:rPr>
                <w:rFonts w:eastAsia="Times New Roman"/>
                <w:b/>
                <w:bCs/>
                <w:color w:val="000000"/>
                <w:sz w:val="16"/>
                <w:szCs w:val="18"/>
                <w:lang w:eastAsia="es-GT"/>
              </w:rPr>
            </w:pPr>
            <w:r w:rsidRPr="009701B8">
              <w:rPr>
                <w:rFonts w:eastAsia="Times New Roman"/>
                <w:b/>
                <w:bCs/>
                <w:color w:val="000000"/>
                <w:sz w:val="16"/>
                <w:szCs w:val="18"/>
                <w:lang w:eastAsia="es-GT"/>
              </w:rPr>
              <w:t>Total</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48797981" w14:textId="77777777" w:rsidR="00604B92" w:rsidRPr="009701B8" w:rsidRDefault="00604B92" w:rsidP="00ED483A">
            <w:pPr>
              <w:jc w:val="center"/>
              <w:rPr>
                <w:rFonts w:eastAsia="Times New Roman"/>
                <w:b/>
                <w:bCs/>
                <w:color w:val="000000"/>
                <w:sz w:val="16"/>
                <w:szCs w:val="18"/>
                <w:lang w:eastAsia="es-GT"/>
              </w:rPr>
            </w:pPr>
            <w:r w:rsidRPr="009701B8">
              <w:rPr>
                <w:rFonts w:eastAsia="Times New Roman"/>
                <w:b/>
                <w:bCs/>
                <w:color w:val="000000"/>
                <w:sz w:val="16"/>
                <w:szCs w:val="18"/>
                <w:lang w:eastAsia="es-GT"/>
              </w:rPr>
              <w:t>Promedio mensual</w:t>
            </w:r>
          </w:p>
        </w:tc>
      </w:tr>
      <w:tr w:rsidR="00604B92" w:rsidRPr="00DA70DA" w14:paraId="158879A0" w14:textId="77777777" w:rsidTr="009701B8">
        <w:trPr>
          <w:trHeight w:val="84"/>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A6FB5E9" w14:textId="04999FAA" w:rsidR="00604B92" w:rsidRPr="00861C02" w:rsidRDefault="00604B92" w:rsidP="00ED483A">
            <w:pPr>
              <w:rPr>
                <w:rFonts w:eastAsia="Times New Roman"/>
                <w:b/>
                <w:bCs/>
                <w:color w:val="000000"/>
                <w:sz w:val="18"/>
                <w:szCs w:val="18"/>
                <w:lang w:eastAsia="es-GT"/>
              </w:rPr>
            </w:pPr>
            <w:r w:rsidRPr="00861C02">
              <w:rPr>
                <w:rFonts w:eastAsia="Times New Roman"/>
                <w:b/>
                <w:bCs/>
                <w:color w:val="000000"/>
                <w:sz w:val="18"/>
                <w:szCs w:val="18"/>
                <w:lang w:eastAsia="es-GT"/>
              </w:rPr>
              <w:t xml:space="preserve"> </w:t>
            </w:r>
            <w:r w:rsidR="009701B8" w:rsidRPr="00861C02">
              <w:rPr>
                <w:rFonts w:eastAsia="Times New Roman"/>
                <w:b/>
                <w:bCs/>
                <w:color w:val="000000"/>
                <w:sz w:val="18"/>
                <w:szCs w:val="18"/>
                <w:lang w:eastAsia="es-GT"/>
              </w:rPr>
              <w:t>Súper</w:t>
            </w:r>
            <w:r w:rsidRPr="00861C02">
              <w:rPr>
                <w:rFonts w:eastAsia="Times New Roman"/>
                <w:b/>
                <w:bCs/>
                <w:color w:val="000000"/>
                <w:sz w:val="18"/>
                <w:szCs w:val="18"/>
                <w:lang w:eastAsia="es-GT"/>
              </w:rPr>
              <w:t xml:space="preserve">  </w:t>
            </w:r>
          </w:p>
        </w:tc>
        <w:tc>
          <w:tcPr>
            <w:tcW w:w="1085" w:type="dxa"/>
            <w:tcBorders>
              <w:top w:val="nil"/>
              <w:left w:val="nil"/>
              <w:bottom w:val="single" w:sz="4" w:space="0" w:color="auto"/>
              <w:right w:val="single" w:sz="4" w:space="0" w:color="auto"/>
            </w:tcBorders>
            <w:shd w:val="clear" w:color="auto" w:fill="auto"/>
            <w:noWrap/>
            <w:vAlign w:val="bottom"/>
            <w:hideMark/>
          </w:tcPr>
          <w:p w14:paraId="4AA25AED"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142.5</w:t>
            </w:r>
          </w:p>
        </w:tc>
        <w:tc>
          <w:tcPr>
            <w:tcW w:w="1085" w:type="dxa"/>
            <w:tcBorders>
              <w:top w:val="nil"/>
              <w:left w:val="nil"/>
              <w:bottom w:val="single" w:sz="4" w:space="0" w:color="auto"/>
              <w:right w:val="single" w:sz="4" w:space="0" w:color="auto"/>
            </w:tcBorders>
            <w:shd w:val="clear" w:color="auto" w:fill="auto"/>
            <w:noWrap/>
            <w:vAlign w:val="bottom"/>
            <w:hideMark/>
          </w:tcPr>
          <w:p w14:paraId="5187012D"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137.9</w:t>
            </w:r>
          </w:p>
        </w:tc>
        <w:tc>
          <w:tcPr>
            <w:tcW w:w="1603" w:type="dxa"/>
            <w:tcBorders>
              <w:top w:val="nil"/>
              <w:left w:val="nil"/>
              <w:bottom w:val="single" w:sz="4" w:space="0" w:color="auto"/>
              <w:right w:val="single" w:sz="4" w:space="0" w:color="auto"/>
            </w:tcBorders>
            <w:shd w:val="clear" w:color="auto" w:fill="auto"/>
            <w:noWrap/>
            <w:vAlign w:val="bottom"/>
            <w:hideMark/>
          </w:tcPr>
          <w:p w14:paraId="4344F556"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141.4</w:t>
            </w:r>
          </w:p>
        </w:tc>
        <w:tc>
          <w:tcPr>
            <w:tcW w:w="1603" w:type="dxa"/>
            <w:tcBorders>
              <w:top w:val="nil"/>
              <w:left w:val="nil"/>
              <w:bottom w:val="single" w:sz="4" w:space="0" w:color="auto"/>
              <w:right w:val="single" w:sz="4" w:space="0" w:color="auto"/>
            </w:tcBorders>
            <w:shd w:val="clear" w:color="auto" w:fill="auto"/>
            <w:noWrap/>
            <w:vAlign w:val="bottom"/>
            <w:hideMark/>
          </w:tcPr>
          <w:p w14:paraId="4784C3DA"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157.0</w:t>
            </w:r>
          </w:p>
        </w:tc>
        <w:tc>
          <w:tcPr>
            <w:tcW w:w="1135" w:type="dxa"/>
            <w:tcBorders>
              <w:top w:val="nil"/>
              <w:left w:val="nil"/>
              <w:bottom w:val="single" w:sz="4" w:space="0" w:color="auto"/>
              <w:right w:val="single" w:sz="4" w:space="0" w:color="auto"/>
            </w:tcBorders>
            <w:shd w:val="clear" w:color="auto" w:fill="auto"/>
            <w:noWrap/>
            <w:vAlign w:val="bottom"/>
            <w:hideMark/>
          </w:tcPr>
          <w:p w14:paraId="4B5A5358"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578.8</w:t>
            </w:r>
          </w:p>
        </w:tc>
        <w:tc>
          <w:tcPr>
            <w:tcW w:w="1035" w:type="dxa"/>
            <w:tcBorders>
              <w:top w:val="nil"/>
              <w:left w:val="nil"/>
              <w:bottom w:val="single" w:sz="4" w:space="0" w:color="auto"/>
              <w:right w:val="single" w:sz="4" w:space="0" w:color="auto"/>
            </w:tcBorders>
            <w:shd w:val="clear" w:color="auto" w:fill="auto"/>
            <w:noWrap/>
            <w:vAlign w:val="bottom"/>
            <w:hideMark/>
          </w:tcPr>
          <w:p w14:paraId="633C25F1"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48.2</w:t>
            </w:r>
          </w:p>
        </w:tc>
      </w:tr>
      <w:tr w:rsidR="00604B92" w:rsidRPr="00DA70DA" w14:paraId="5B2340D0" w14:textId="77777777" w:rsidTr="009701B8">
        <w:trPr>
          <w:trHeight w:val="70"/>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FAEB842" w14:textId="77777777" w:rsidR="00604B92" w:rsidRPr="00861C02" w:rsidRDefault="00604B92" w:rsidP="00ED483A">
            <w:pPr>
              <w:rPr>
                <w:rFonts w:eastAsia="Times New Roman"/>
                <w:b/>
                <w:bCs/>
                <w:color w:val="000000"/>
                <w:sz w:val="18"/>
                <w:szCs w:val="18"/>
                <w:lang w:eastAsia="es-GT"/>
              </w:rPr>
            </w:pPr>
            <w:r w:rsidRPr="00861C02">
              <w:rPr>
                <w:rFonts w:eastAsia="Times New Roman"/>
                <w:b/>
                <w:bCs/>
                <w:color w:val="000000"/>
                <w:sz w:val="18"/>
                <w:szCs w:val="18"/>
                <w:lang w:eastAsia="es-GT"/>
              </w:rPr>
              <w:t xml:space="preserve"> Regular </w:t>
            </w:r>
          </w:p>
        </w:tc>
        <w:tc>
          <w:tcPr>
            <w:tcW w:w="1085" w:type="dxa"/>
            <w:tcBorders>
              <w:top w:val="nil"/>
              <w:left w:val="nil"/>
              <w:bottom w:val="single" w:sz="4" w:space="0" w:color="auto"/>
              <w:right w:val="single" w:sz="4" w:space="0" w:color="auto"/>
            </w:tcBorders>
            <w:shd w:val="clear" w:color="auto" w:fill="auto"/>
            <w:noWrap/>
            <w:vAlign w:val="bottom"/>
            <w:hideMark/>
          </w:tcPr>
          <w:p w14:paraId="5CDF7A3E"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164.5</w:t>
            </w:r>
          </w:p>
        </w:tc>
        <w:tc>
          <w:tcPr>
            <w:tcW w:w="1085" w:type="dxa"/>
            <w:tcBorders>
              <w:top w:val="nil"/>
              <w:left w:val="nil"/>
              <w:bottom w:val="single" w:sz="4" w:space="0" w:color="auto"/>
              <w:right w:val="single" w:sz="4" w:space="0" w:color="auto"/>
            </w:tcBorders>
            <w:shd w:val="clear" w:color="auto" w:fill="auto"/>
            <w:noWrap/>
            <w:vAlign w:val="bottom"/>
            <w:hideMark/>
          </w:tcPr>
          <w:p w14:paraId="04617432"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160.8</w:t>
            </w:r>
          </w:p>
        </w:tc>
        <w:tc>
          <w:tcPr>
            <w:tcW w:w="1603" w:type="dxa"/>
            <w:tcBorders>
              <w:top w:val="nil"/>
              <w:left w:val="nil"/>
              <w:bottom w:val="single" w:sz="4" w:space="0" w:color="auto"/>
              <w:right w:val="single" w:sz="4" w:space="0" w:color="auto"/>
            </w:tcBorders>
            <w:shd w:val="clear" w:color="auto" w:fill="auto"/>
            <w:noWrap/>
            <w:vAlign w:val="bottom"/>
            <w:hideMark/>
          </w:tcPr>
          <w:p w14:paraId="29B34336"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162.0</w:t>
            </w:r>
          </w:p>
        </w:tc>
        <w:tc>
          <w:tcPr>
            <w:tcW w:w="1603" w:type="dxa"/>
            <w:tcBorders>
              <w:top w:val="nil"/>
              <w:left w:val="nil"/>
              <w:bottom w:val="single" w:sz="4" w:space="0" w:color="auto"/>
              <w:right w:val="single" w:sz="4" w:space="0" w:color="auto"/>
            </w:tcBorders>
            <w:shd w:val="clear" w:color="auto" w:fill="auto"/>
            <w:noWrap/>
            <w:vAlign w:val="bottom"/>
            <w:hideMark/>
          </w:tcPr>
          <w:p w14:paraId="5D262610"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177.2</w:t>
            </w:r>
          </w:p>
        </w:tc>
        <w:tc>
          <w:tcPr>
            <w:tcW w:w="1135" w:type="dxa"/>
            <w:tcBorders>
              <w:top w:val="nil"/>
              <w:left w:val="nil"/>
              <w:bottom w:val="single" w:sz="4" w:space="0" w:color="auto"/>
              <w:right w:val="single" w:sz="4" w:space="0" w:color="auto"/>
            </w:tcBorders>
            <w:shd w:val="clear" w:color="auto" w:fill="auto"/>
            <w:noWrap/>
            <w:vAlign w:val="bottom"/>
            <w:hideMark/>
          </w:tcPr>
          <w:p w14:paraId="1B8F1D8A"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664.6</w:t>
            </w:r>
          </w:p>
        </w:tc>
        <w:tc>
          <w:tcPr>
            <w:tcW w:w="1035" w:type="dxa"/>
            <w:tcBorders>
              <w:top w:val="nil"/>
              <w:left w:val="nil"/>
              <w:bottom w:val="single" w:sz="4" w:space="0" w:color="auto"/>
              <w:right w:val="single" w:sz="4" w:space="0" w:color="auto"/>
            </w:tcBorders>
            <w:shd w:val="clear" w:color="auto" w:fill="auto"/>
            <w:noWrap/>
            <w:vAlign w:val="bottom"/>
            <w:hideMark/>
          </w:tcPr>
          <w:p w14:paraId="5C6CF5EC"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55.4</w:t>
            </w:r>
          </w:p>
        </w:tc>
      </w:tr>
      <w:tr w:rsidR="00604B92" w:rsidRPr="00DA70DA" w14:paraId="2F59618B" w14:textId="77777777" w:rsidTr="009701B8">
        <w:trPr>
          <w:trHeight w:val="76"/>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27A62D8" w14:textId="77777777" w:rsidR="00604B92" w:rsidRPr="00861C02" w:rsidRDefault="00604B92" w:rsidP="00ED483A">
            <w:pPr>
              <w:rPr>
                <w:rFonts w:eastAsia="Times New Roman"/>
                <w:b/>
                <w:bCs/>
                <w:color w:val="000000"/>
                <w:sz w:val="18"/>
                <w:szCs w:val="18"/>
                <w:lang w:eastAsia="es-GT"/>
              </w:rPr>
            </w:pPr>
            <w:r w:rsidRPr="00861C02">
              <w:rPr>
                <w:rFonts w:eastAsia="Times New Roman"/>
                <w:b/>
                <w:bCs/>
                <w:color w:val="000000"/>
                <w:sz w:val="18"/>
                <w:szCs w:val="18"/>
                <w:lang w:eastAsia="es-GT"/>
              </w:rPr>
              <w:t xml:space="preserve"> Diésel </w:t>
            </w:r>
          </w:p>
        </w:tc>
        <w:tc>
          <w:tcPr>
            <w:tcW w:w="1085" w:type="dxa"/>
            <w:tcBorders>
              <w:top w:val="nil"/>
              <w:left w:val="nil"/>
              <w:bottom w:val="single" w:sz="4" w:space="0" w:color="auto"/>
              <w:right w:val="single" w:sz="4" w:space="0" w:color="auto"/>
            </w:tcBorders>
            <w:shd w:val="clear" w:color="auto" w:fill="auto"/>
            <w:noWrap/>
            <w:vAlign w:val="bottom"/>
            <w:hideMark/>
          </w:tcPr>
          <w:p w14:paraId="5C2EFF43"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797.3</w:t>
            </w:r>
          </w:p>
        </w:tc>
        <w:tc>
          <w:tcPr>
            <w:tcW w:w="1085" w:type="dxa"/>
            <w:tcBorders>
              <w:top w:val="nil"/>
              <w:left w:val="nil"/>
              <w:bottom w:val="single" w:sz="4" w:space="0" w:color="auto"/>
              <w:right w:val="single" w:sz="4" w:space="0" w:color="auto"/>
            </w:tcBorders>
            <w:shd w:val="clear" w:color="auto" w:fill="auto"/>
            <w:noWrap/>
            <w:vAlign w:val="bottom"/>
            <w:hideMark/>
          </w:tcPr>
          <w:p w14:paraId="1203A4DB"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719.1</w:t>
            </w:r>
          </w:p>
        </w:tc>
        <w:tc>
          <w:tcPr>
            <w:tcW w:w="1603" w:type="dxa"/>
            <w:tcBorders>
              <w:top w:val="nil"/>
              <w:left w:val="nil"/>
              <w:bottom w:val="single" w:sz="4" w:space="0" w:color="auto"/>
              <w:right w:val="single" w:sz="4" w:space="0" w:color="auto"/>
            </w:tcBorders>
            <w:shd w:val="clear" w:color="auto" w:fill="auto"/>
            <w:noWrap/>
            <w:vAlign w:val="bottom"/>
            <w:hideMark/>
          </w:tcPr>
          <w:p w14:paraId="30D80E2C"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683.5</w:t>
            </w:r>
          </w:p>
        </w:tc>
        <w:tc>
          <w:tcPr>
            <w:tcW w:w="1603" w:type="dxa"/>
            <w:tcBorders>
              <w:top w:val="nil"/>
              <w:left w:val="nil"/>
              <w:bottom w:val="single" w:sz="4" w:space="0" w:color="auto"/>
              <w:right w:val="single" w:sz="4" w:space="0" w:color="auto"/>
            </w:tcBorders>
            <w:shd w:val="clear" w:color="auto" w:fill="auto"/>
            <w:noWrap/>
            <w:vAlign w:val="bottom"/>
            <w:hideMark/>
          </w:tcPr>
          <w:p w14:paraId="6BA472B1"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763.9</w:t>
            </w:r>
          </w:p>
        </w:tc>
        <w:tc>
          <w:tcPr>
            <w:tcW w:w="1135" w:type="dxa"/>
            <w:tcBorders>
              <w:top w:val="nil"/>
              <w:left w:val="nil"/>
              <w:bottom w:val="single" w:sz="4" w:space="0" w:color="auto"/>
              <w:right w:val="single" w:sz="4" w:space="0" w:color="auto"/>
            </w:tcBorders>
            <w:shd w:val="clear" w:color="auto" w:fill="auto"/>
            <w:noWrap/>
            <w:vAlign w:val="bottom"/>
            <w:hideMark/>
          </w:tcPr>
          <w:p w14:paraId="1ED0DFCC"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2,963.8</w:t>
            </w:r>
          </w:p>
        </w:tc>
        <w:tc>
          <w:tcPr>
            <w:tcW w:w="1035" w:type="dxa"/>
            <w:tcBorders>
              <w:top w:val="nil"/>
              <w:left w:val="nil"/>
              <w:bottom w:val="single" w:sz="4" w:space="0" w:color="auto"/>
              <w:right w:val="single" w:sz="4" w:space="0" w:color="auto"/>
            </w:tcBorders>
            <w:shd w:val="clear" w:color="auto" w:fill="auto"/>
            <w:noWrap/>
            <w:vAlign w:val="bottom"/>
            <w:hideMark/>
          </w:tcPr>
          <w:p w14:paraId="4E265360" w14:textId="77777777" w:rsidR="00604B92" w:rsidRPr="00861C02" w:rsidRDefault="00604B92" w:rsidP="00ED483A">
            <w:pPr>
              <w:jc w:val="center"/>
              <w:rPr>
                <w:rFonts w:eastAsia="Times New Roman"/>
                <w:color w:val="000000"/>
                <w:sz w:val="18"/>
                <w:szCs w:val="18"/>
                <w:lang w:eastAsia="es-GT"/>
              </w:rPr>
            </w:pPr>
            <w:r w:rsidRPr="00861C02">
              <w:rPr>
                <w:color w:val="000000"/>
                <w:sz w:val="18"/>
                <w:szCs w:val="18"/>
              </w:rPr>
              <w:t>247.0</w:t>
            </w:r>
          </w:p>
        </w:tc>
      </w:tr>
      <w:tr w:rsidR="00604B92" w:rsidRPr="00DA70DA" w14:paraId="2AB16BD7" w14:textId="77777777" w:rsidTr="009701B8">
        <w:trPr>
          <w:trHeight w:val="70"/>
          <w:jc w:val="center"/>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2FFD8E8" w14:textId="77777777" w:rsidR="00604B92" w:rsidRPr="00861C02" w:rsidRDefault="00604B92" w:rsidP="00ED483A">
            <w:pPr>
              <w:rPr>
                <w:rFonts w:eastAsia="Times New Roman"/>
                <w:b/>
                <w:bCs/>
                <w:color w:val="000000"/>
                <w:sz w:val="18"/>
                <w:szCs w:val="18"/>
                <w:lang w:eastAsia="es-GT"/>
              </w:rPr>
            </w:pPr>
            <w:r w:rsidRPr="00861C02">
              <w:rPr>
                <w:rFonts w:eastAsia="Times New Roman"/>
                <w:b/>
                <w:bCs/>
                <w:color w:val="000000"/>
                <w:sz w:val="18"/>
                <w:szCs w:val="18"/>
                <w:lang w:eastAsia="es-GT"/>
              </w:rPr>
              <w:t xml:space="preserve"> Total </w:t>
            </w:r>
          </w:p>
        </w:tc>
        <w:tc>
          <w:tcPr>
            <w:tcW w:w="1085" w:type="dxa"/>
            <w:tcBorders>
              <w:top w:val="nil"/>
              <w:left w:val="nil"/>
              <w:bottom w:val="single" w:sz="4" w:space="0" w:color="auto"/>
              <w:right w:val="single" w:sz="4" w:space="0" w:color="auto"/>
            </w:tcBorders>
            <w:shd w:val="clear" w:color="auto" w:fill="auto"/>
            <w:noWrap/>
            <w:vAlign w:val="bottom"/>
            <w:hideMark/>
          </w:tcPr>
          <w:p w14:paraId="7C30F3BA" w14:textId="77777777" w:rsidR="00604B92" w:rsidRPr="00861C02" w:rsidRDefault="00604B92" w:rsidP="00ED483A">
            <w:pPr>
              <w:jc w:val="center"/>
              <w:rPr>
                <w:rFonts w:eastAsia="Times New Roman"/>
                <w:b/>
                <w:bCs/>
                <w:color w:val="000000"/>
                <w:sz w:val="18"/>
                <w:szCs w:val="18"/>
                <w:lang w:eastAsia="es-GT"/>
              </w:rPr>
            </w:pPr>
            <w:r w:rsidRPr="00861C02">
              <w:rPr>
                <w:b/>
                <w:bCs/>
                <w:color w:val="000000"/>
                <w:sz w:val="18"/>
                <w:szCs w:val="18"/>
              </w:rPr>
              <w:t>1,104.4</w:t>
            </w:r>
          </w:p>
        </w:tc>
        <w:tc>
          <w:tcPr>
            <w:tcW w:w="1085" w:type="dxa"/>
            <w:tcBorders>
              <w:top w:val="nil"/>
              <w:left w:val="nil"/>
              <w:bottom w:val="single" w:sz="4" w:space="0" w:color="auto"/>
              <w:right w:val="single" w:sz="4" w:space="0" w:color="auto"/>
            </w:tcBorders>
            <w:shd w:val="clear" w:color="auto" w:fill="auto"/>
            <w:noWrap/>
            <w:vAlign w:val="bottom"/>
            <w:hideMark/>
          </w:tcPr>
          <w:p w14:paraId="7D03104A" w14:textId="77777777" w:rsidR="00604B92" w:rsidRPr="00861C02" w:rsidRDefault="00604B92" w:rsidP="00ED483A">
            <w:pPr>
              <w:jc w:val="center"/>
              <w:rPr>
                <w:rFonts w:eastAsia="Times New Roman"/>
                <w:b/>
                <w:bCs/>
                <w:color w:val="000000"/>
                <w:sz w:val="18"/>
                <w:szCs w:val="18"/>
                <w:lang w:eastAsia="es-GT"/>
              </w:rPr>
            </w:pPr>
            <w:r w:rsidRPr="00861C02">
              <w:rPr>
                <w:b/>
                <w:bCs/>
                <w:color w:val="000000"/>
                <w:sz w:val="18"/>
                <w:szCs w:val="18"/>
              </w:rPr>
              <w:t>1,017.9</w:t>
            </w:r>
          </w:p>
        </w:tc>
        <w:tc>
          <w:tcPr>
            <w:tcW w:w="1603" w:type="dxa"/>
            <w:tcBorders>
              <w:top w:val="nil"/>
              <w:left w:val="nil"/>
              <w:bottom w:val="single" w:sz="4" w:space="0" w:color="auto"/>
              <w:right w:val="single" w:sz="4" w:space="0" w:color="auto"/>
            </w:tcBorders>
            <w:shd w:val="clear" w:color="auto" w:fill="auto"/>
            <w:noWrap/>
            <w:vAlign w:val="bottom"/>
            <w:hideMark/>
          </w:tcPr>
          <w:p w14:paraId="7994F279" w14:textId="77777777" w:rsidR="00604B92" w:rsidRPr="00861C02" w:rsidRDefault="00604B92" w:rsidP="00ED483A">
            <w:pPr>
              <w:jc w:val="center"/>
              <w:rPr>
                <w:rFonts w:eastAsia="Times New Roman"/>
                <w:b/>
                <w:bCs/>
                <w:color w:val="000000"/>
                <w:sz w:val="18"/>
                <w:szCs w:val="18"/>
                <w:lang w:eastAsia="es-GT"/>
              </w:rPr>
            </w:pPr>
            <w:r w:rsidRPr="00861C02">
              <w:rPr>
                <w:b/>
                <w:bCs/>
                <w:color w:val="000000"/>
                <w:sz w:val="18"/>
                <w:szCs w:val="18"/>
              </w:rPr>
              <w:t>986.9</w:t>
            </w:r>
          </w:p>
        </w:tc>
        <w:tc>
          <w:tcPr>
            <w:tcW w:w="1603" w:type="dxa"/>
            <w:tcBorders>
              <w:top w:val="nil"/>
              <w:left w:val="nil"/>
              <w:bottom w:val="single" w:sz="4" w:space="0" w:color="auto"/>
              <w:right w:val="single" w:sz="4" w:space="0" w:color="auto"/>
            </w:tcBorders>
            <w:shd w:val="clear" w:color="auto" w:fill="auto"/>
            <w:noWrap/>
            <w:vAlign w:val="bottom"/>
            <w:hideMark/>
          </w:tcPr>
          <w:p w14:paraId="6226F514" w14:textId="77777777" w:rsidR="00604B92" w:rsidRPr="00861C02" w:rsidRDefault="00604B92" w:rsidP="00ED483A">
            <w:pPr>
              <w:jc w:val="center"/>
              <w:rPr>
                <w:rFonts w:eastAsia="Times New Roman"/>
                <w:b/>
                <w:bCs/>
                <w:color w:val="000000"/>
                <w:sz w:val="18"/>
                <w:szCs w:val="18"/>
                <w:lang w:eastAsia="es-GT"/>
              </w:rPr>
            </w:pPr>
            <w:r w:rsidRPr="00861C02">
              <w:rPr>
                <w:b/>
                <w:bCs/>
                <w:color w:val="000000"/>
                <w:sz w:val="18"/>
                <w:szCs w:val="18"/>
              </w:rPr>
              <w:t>1,098.1</w:t>
            </w:r>
          </w:p>
        </w:tc>
        <w:tc>
          <w:tcPr>
            <w:tcW w:w="1135" w:type="dxa"/>
            <w:tcBorders>
              <w:top w:val="nil"/>
              <w:left w:val="nil"/>
              <w:bottom w:val="single" w:sz="4" w:space="0" w:color="auto"/>
              <w:right w:val="single" w:sz="4" w:space="0" w:color="auto"/>
            </w:tcBorders>
            <w:shd w:val="clear" w:color="auto" w:fill="auto"/>
            <w:noWrap/>
            <w:vAlign w:val="bottom"/>
            <w:hideMark/>
          </w:tcPr>
          <w:p w14:paraId="0B94FA7A" w14:textId="77777777" w:rsidR="00604B92" w:rsidRPr="00861C02" w:rsidRDefault="00604B92" w:rsidP="00ED483A">
            <w:pPr>
              <w:jc w:val="center"/>
              <w:rPr>
                <w:rFonts w:eastAsia="Times New Roman"/>
                <w:b/>
                <w:bCs/>
                <w:color w:val="000000"/>
                <w:sz w:val="18"/>
                <w:szCs w:val="18"/>
                <w:lang w:eastAsia="es-GT"/>
              </w:rPr>
            </w:pPr>
            <w:r w:rsidRPr="00861C02">
              <w:rPr>
                <w:b/>
                <w:bCs/>
                <w:color w:val="000000"/>
                <w:sz w:val="18"/>
                <w:szCs w:val="18"/>
              </w:rPr>
              <w:t>4,207.2</w:t>
            </w:r>
          </w:p>
        </w:tc>
        <w:tc>
          <w:tcPr>
            <w:tcW w:w="1035" w:type="dxa"/>
            <w:tcBorders>
              <w:top w:val="nil"/>
              <w:left w:val="nil"/>
              <w:bottom w:val="single" w:sz="4" w:space="0" w:color="auto"/>
              <w:right w:val="single" w:sz="4" w:space="0" w:color="auto"/>
            </w:tcBorders>
            <w:shd w:val="clear" w:color="auto" w:fill="auto"/>
            <w:noWrap/>
            <w:vAlign w:val="bottom"/>
            <w:hideMark/>
          </w:tcPr>
          <w:p w14:paraId="6D59D79C" w14:textId="77777777" w:rsidR="00604B92" w:rsidRPr="00861C02" w:rsidRDefault="00604B92" w:rsidP="00ED483A">
            <w:pPr>
              <w:jc w:val="center"/>
              <w:rPr>
                <w:rFonts w:eastAsia="Times New Roman"/>
                <w:b/>
                <w:bCs/>
                <w:color w:val="000000"/>
                <w:sz w:val="18"/>
                <w:szCs w:val="18"/>
                <w:lang w:eastAsia="es-GT"/>
              </w:rPr>
            </w:pPr>
            <w:r w:rsidRPr="00861C02">
              <w:rPr>
                <w:b/>
                <w:bCs/>
                <w:color w:val="000000"/>
                <w:sz w:val="18"/>
                <w:szCs w:val="18"/>
              </w:rPr>
              <w:t>350.6</w:t>
            </w:r>
          </w:p>
        </w:tc>
      </w:tr>
    </w:tbl>
    <w:p w14:paraId="7382EDCB" w14:textId="6DA5B0EF" w:rsidR="00604B92" w:rsidRDefault="00604B92" w:rsidP="00604B92">
      <w:pPr>
        <w:jc w:val="both"/>
        <w:rPr>
          <w:sz w:val="16"/>
          <w:szCs w:val="18"/>
        </w:rPr>
      </w:pPr>
      <w:r w:rsidRPr="002B0B2B">
        <w:rPr>
          <w:sz w:val="16"/>
          <w:szCs w:val="18"/>
        </w:rPr>
        <w:t xml:space="preserve">   Fuente: Elaboración propia con los resultados de la investigación</w:t>
      </w:r>
    </w:p>
    <w:p w14:paraId="0881A6A8" w14:textId="77777777" w:rsidR="00C9330B" w:rsidRPr="002B0B2B" w:rsidRDefault="00C9330B" w:rsidP="00604B92">
      <w:pPr>
        <w:jc w:val="both"/>
        <w:rPr>
          <w:sz w:val="16"/>
          <w:szCs w:val="18"/>
        </w:rPr>
      </w:pPr>
    </w:p>
    <w:p w14:paraId="00E98B06" w14:textId="77777777" w:rsidR="00604B92" w:rsidRPr="004827DE" w:rsidRDefault="00604B92" w:rsidP="00A9708A">
      <w:pPr>
        <w:pStyle w:val="Ttulo3"/>
        <w:numPr>
          <w:ilvl w:val="2"/>
          <w:numId w:val="33"/>
        </w:numPr>
        <w:ind w:left="851" w:hanging="284"/>
        <w:rPr>
          <w:bCs/>
          <w:sz w:val="24"/>
          <w:u w:val="none"/>
        </w:rPr>
      </w:pPr>
      <w:bookmarkStart w:id="94" w:name="_Toc114495244"/>
      <w:r w:rsidRPr="004827DE">
        <w:rPr>
          <w:bCs/>
          <w:sz w:val="24"/>
          <w:u w:val="none"/>
        </w:rPr>
        <w:t>Impacto fiscal por una disminución en los precios del petróleo</w:t>
      </w:r>
      <w:bookmarkEnd w:id="94"/>
      <w:r w:rsidRPr="004827DE">
        <w:rPr>
          <w:bCs/>
          <w:sz w:val="24"/>
          <w:u w:val="none"/>
        </w:rPr>
        <w:t xml:space="preserve"> </w:t>
      </w:r>
    </w:p>
    <w:p w14:paraId="19B77547" w14:textId="77777777" w:rsidR="004827DE" w:rsidRDefault="004827DE" w:rsidP="00604B92">
      <w:pPr>
        <w:jc w:val="both"/>
      </w:pPr>
    </w:p>
    <w:p w14:paraId="1A87057A" w14:textId="59C98DD3" w:rsidR="00604B92" w:rsidRDefault="00604B92" w:rsidP="00604B92">
      <w:pPr>
        <w:jc w:val="both"/>
      </w:pPr>
      <w:r w:rsidRPr="00B83FCC">
        <w:t xml:space="preserve">Una </w:t>
      </w:r>
      <w:r>
        <w:t>disminución</w:t>
      </w:r>
      <w:r w:rsidRPr="00B83FCC">
        <w:t xml:space="preserve"> en los precios del petróleo puede causar una </w:t>
      </w:r>
      <w:r>
        <w:t>reducción</w:t>
      </w:r>
      <w:r w:rsidRPr="00B83FCC">
        <w:t xml:space="preserve"> en los ingresos tributarios dependiendo de su magnitud. De una forma directa la variación de los precios del crudo afecta de forma acelerada a la variación de los precios de importación CIF de sus derivados y por lo tanto la variación de la recaudación de estos productos</w:t>
      </w:r>
      <w:r>
        <w:t xml:space="preserve"> y</w:t>
      </w:r>
      <w:r w:rsidRPr="00B83FCC">
        <w:t xml:space="preserve"> de los impuestos que su base </w:t>
      </w:r>
      <w:r>
        <w:t>sea</w:t>
      </w:r>
      <w:r w:rsidRPr="00B83FCC">
        <w:t xml:space="preserve"> el precio.</w:t>
      </w:r>
      <w:r>
        <w:t xml:space="preserve"> Asimismo, los</w:t>
      </w:r>
      <w:r w:rsidRPr="00B83FCC">
        <w:t xml:space="preserve"> precios medios </w:t>
      </w:r>
      <w:r>
        <w:t xml:space="preserve">de los combustibles </w:t>
      </w:r>
      <w:r w:rsidRPr="00B83FCC">
        <w:t xml:space="preserve">llevan una alta correlación con el precio del crudo por las razones indicadas anteriormente, al igual que el IVA importaciones y esto se debe a que los </w:t>
      </w:r>
      <w:r>
        <w:t>combustibles</w:t>
      </w:r>
      <w:r w:rsidRPr="00B83FCC">
        <w:t xml:space="preserve"> </w:t>
      </w:r>
      <w:r>
        <w:t xml:space="preserve">muestran </w:t>
      </w:r>
      <w:r w:rsidRPr="00B83FCC">
        <w:t>una proporción significativa (</w:t>
      </w:r>
      <w:r>
        <w:t>13.9</w:t>
      </w:r>
      <w:r w:rsidRPr="00B83FCC">
        <w:t>% en los últimos 5 años) del total de importaciones de territorio aduanero.</w:t>
      </w:r>
    </w:p>
    <w:p w14:paraId="2452B47E" w14:textId="77777777" w:rsidR="002B0B2B" w:rsidRPr="00B83FCC" w:rsidRDefault="002B0B2B" w:rsidP="00604B92">
      <w:pPr>
        <w:jc w:val="both"/>
      </w:pPr>
    </w:p>
    <w:tbl>
      <w:tblPr>
        <w:tblStyle w:val="Tablaconcuadrcula"/>
        <w:tblW w:w="8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467"/>
      </w:tblGrid>
      <w:tr w:rsidR="00604B92" w14:paraId="4DF4FF29" w14:textId="77777777" w:rsidTr="00ED483A">
        <w:trPr>
          <w:trHeight w:val="389"/>
        </w:trPr>
        <w:tc>
          <w:tcPr>
            <w:tcW w:w="4467" w:type="dxa"/>
          </w:tcPr>
          <w:p w14:paraId="48E9D7D0" w14:textId="75383BF5" w:rsidR="00604B92" w:rsidRPr="002B0B2B" w:rsidRDefault="002B0B2B" w:rsidP="002B0B2B">
            <w:pPr>
              <w:pStyle w:val="Descripcin"/>
              <w:keepNext/>
              <w:rPr>
                <w:sz w:val="24"/>
                <w:szCs w:val="24"/>
              </w:rPr>
            </w:pPr>
            <w:bookmarkStart w:id="95" w:name="_Toc114493862"/>
            <w:r w:rsidRPr="002B0B2B">
              <w:rPr>
                <w:color w:val="auto"/>
                <w:sz w:val="24"/>
                <w:szCs w:val="24"/>
              </w:rPr>
              <w:t xml:space="preserve">Gráfico </w:t>
            </w:r>
            <w:r w:rsidRPr="002B0B2B">
              <w:rPr>
                <w:color w:val="auto"/>
              </w:rPr>
              <w:fldChar w:fldCharType="begin"/>
            </w:r>
            <w:r w:rsidRPr="002B0B2B">
              <w:rPr>
                <w:color w:val="auto"/>
                <w:sz w:val="24"/>
                <w:szCs w:val="24"/>
              </w:rPr>
              <w:instrText xml:space="preserve"> SEQ Gráfico \* ARABIC </w:instrText>
            </w:r>
            <w:r w:rsidRPr="002B0B2B">
              <w:rPr>
                <w:color w:val="auto"/>
              </w:rPr>
              <w:fldChar w:fldCharType="separate"/>
            </w:r>
            <w:r w:rsidR="002E7809">
              <w:rPr>
                <w:noProof/>
                <w:color w:val="auto"/>
                <w:sz w:val="24"/>
                <w:szCs w:val="24"/>
              </w:rPr>
              <w:t>20</w:t>
            </w:r>
            <w:r w:rsidRPr="002B0B2B">
              <w:rPr>
                <w:color w:val="auto"/>
              </w:rPr>
              <w:fldChar w:fldCharType="end"/>
            </w:r>
            <w:r w:rsidRPr="002B0B2B">
              <w:rPr>
                <w:color w:val="auto"/>
                <w:sz w:val="24"/>
                <w:szCs w:val="24"/>
              </w:rPr>
              <w:t xml:space="preserve">.  </w:t>
            </w:r>
            <w:r w:rsidR="00604B92" w:rsidRPr="002B0B2B">
              <w:rPr>
                <w:bCs/>
                <w:color w:val="auto"/>
                <w:sz w:val="24"/>
                <w:szCs w:val="24"/>
              </w:rPr>
              <w:t>Variación interanual del WTI y el precio medio (en porcentaje)</w:t>
            </w:r>
            <w:bookmarkEnd w:id="95"/>
          </w:p>
        </w:tc>
        <w:tc>
          <w:tcPr>
            <w:tcW w:w="4467" w:type="dxa"/>
          </w:tcPr>
          <w:p w14:paraId="4E091845" w14:textId="3B54FF51" w:rsidR="00604B92" w:rsidRPr="002B0B2B" w:rsidRDefault="002B0B2B" w:rsidP="002B0B2B">
            <w:pPr>
              <w:pStyle w:val="Descripcin"/>
              <w:keepNext/>
              <w:rPr>
                <w:sz w:val="24"/>
                <w:szCs w:val="24"/>
              </w:rPr>
            </w:pPr>
            <w:bookmarkStart w:id="96" w:name="_Toc114493863"/>
            <w:r w:rsidRPr="002B0B2B">
              <w:rPr>
                <w:color w:val="auto"/>
                <w:sz w:val="24"/>
                <w:szCs w:val="24"/>
              </w:rPr>
              <w:t xml:space="preserve">Gráfico </w:t>
            </w:r>
            <w:r w:rsidRPr="002B0B2B">
              <w:rPr>
                <w:color w:val="auto"/>
              </w:rPr>
              <w:fldChar w:fldCharType="begin"/>
            </w:r>
            <w:r w:rsidRPr="002B0B2B">
              <w:rPr>
                <w:color w:val="auto"/>
                <w:sz w:val="24"/>
                <w:szCs w:val="24"/>
              </w:rPr>
              <w:instrText xml:space="preserve"> SEQ Gráfico \* ARABIC </w:instrText>
            </w:r>
            <w:r w:rsidRPr="002B0B2B">
              <w:rPr>
                <w:color w:val="auto"/>
              </w:rPr>
              <w:fldChar w:fldCharType="separate"/>
            </w:r>
            <w:r w:rsidR="002E7809">
              <w:rPr>
                <w:noProof/>
                <w:color w:val="auto"/>
                <w:sz w:val="24"/>
                <w:szCs w:val="24"/>
              </w:rPr>
              <w:t>21</w:t>
            </w:r>
            <w:r w:rsidRPr="002B0B2B">
              <w:rPr>
                <w:color w:val="auto"/>
              </w:rPr>
              <w:fldChar w:fldCharType="end"/>
            </w:r>
            <w:r w:rsidRPr="002B0B2B">
              <w:rPr>
                <w:color w:val="auto"/>
                <w:sz w:val="24"/>
                <w:szCs w:val="24"/>
              </w:rPr>
              <w:t xml:space="preserve">.  </w:t>
            </w:r>
            <w:r w:rsidR="00604B92" w:rsidRPr="002B0B2B">
              <w:rPr>
                <w:bCs/>
                <w:color w:val="auto"/>
                <w:sz w:val="24"/>
                <w:szCs w:val="24"/>
              </w:rPr>
              <w:t>Variación interanual del predio de WTI y el total del IVA importaciones (en porcentaje)</w:t>
            </w:r>
            <w:bookmarkEnd w:id="96"/>
          </w:p>
        </w:tc>
      </w:tr>
      <w:tr w:rsidR="00604B92" w14:paraId="5CAC145A" w14:textId="77777777" w:rsidTr="00ED483A">
        <w:tblPrEx>
          <w:tblCellMar>
            <w:left w:w="70" w:type="dxa"/>
            <w:right w:w="70" w:type="dxa"/>
          </w:tblCellMar>
        </w:tblPrEx>
        <w:trPr>
          <w:trHeight w:val="2119"/>
        </w:trPr>
        <w:tc>
          <w:tcPr>
            <w:tcW w:w="4467" w:type="dxa"/>
          </w:tcPr>
          <w:p w14:paraId="4AED978B" w14:textId="77777777" w:rsidR="00604B92" w:rsidRDefault="00604B92" w:rsidP="00ED483A">
            <w:pPr>
              <w:jc w:val="both"/>
            </w:pPr>
            <w:r>
              <w:rPr>
                <w:noProof/>
              </w:rPr>
              <w:t xml:space="preserve"> </w:t>
            </w:r>
            <w:r>
              <w:rPr>
                <w:noProof/>
              </w:rPr>
              <w:drawing>
                <wp:inline distT="0" distB="0" distL="0" distR="0" wp14:anchorId="46925A0B" wp14:editId="01ADFEA6">
                  <wp:extent cx="2519680" cy="1847850"/>
                  <wp:effectExtent l="0" t="0" r="0" b="5080"/>
                  <wp:docPr id="1437" name="Gráfico 1437">
                    <a:extLst xmlns:a="http://schemas.openxmlformats.org/drawingml/2006/main">
                      <a:ext uri="{FF2B5EF4-FFF2-40B4-BE49-F238E27FC236}">
                        <a16:creationId xmlns:a16="http://schemas.microsoft.com/office/drawing/2014/main" id="{03952E8D-F307-4367-8B70-7EBE65C4A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467" w:type="dxa"/>
          </w:tcPr>
          <w:p w14:paraId="17DB8C8F" w14:textId="77777777" w:rsidR="00604B92" w:rsidRDefault="00604B92" w:rsidP="00ED483A">
            <w:pPr>
              <w:jc w:val="both"/>
            </w:pPr>
            <w:r>
              <w:rPr>
                <w:noProof/>
              </w:rPr>
              <w:drawing>
                <wp:inline distT="0" distB="0" distL="0" distR="0" wp14:anchorId="31947131" wp14:editId="368A1D15">
                  <wp:extent cx="2519680" cy="1771650"/>
                  <wp:effectExtent l="0" t="0" r="0" b="5080"/>
                  <wp:docPr id="1438" name="Gráfico 1438">
                    <a:extLst xmlns:a="http://schemas.openxmlformats.org/drawingml/2006/main">
                      <a:ext uri="{FF2B5EF4-FFF2-40B4-BE49-F238E27FC236}">
                        <a16:creationId xmlns:a16="http://schemas.microsoft.com/office/drawing/2014/main" id="{F9B70DEC-D6D3-4115-A72E-AD57DAB3F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604B92" w14:paraId="719534C6" w14:textId="77777777" w:rsidTr="00ED483A">
        <w:trPr>
          <w:trHeight w:val="611"/>
        </w:trPr>
        <w:tc>
          <w:tcPr>
            <w:tcW w:w="8934" w:type="dxa"/>
            <w:gridSpan w:val="2"/>
          </w:tcPr>
          <w:p w14:paraId="5095A8B2" w14:textId="77777777" w:rsidR="00604B92" w:rsidRPr="002B0B2B" w:rsidRDefault="00604B92" w:rsidP="00ED483A">
            <w:pPr>
              <w:jc w:val="both"/>
              <w:rPr>
                <w:sz w:val="16"/>
                <w:szCs w:val="18"/>
              </w:rPr>
            </w:pPr>
            <w:r w:rsidRPr="002B0B2B">
              <w:rPr>
                <w:sz w:val="16"/>
                <w:szCs w:val="18"/>
              </w:rPr>
              <w:t>Fuente: EIA, BANGUAT, y MINFIN</w:t>
            </w:r>
          </w:p>
          <w:p w14:paraId="6AB79589" w14:textId="77777777" w:rsidR="00604B92" w:rsidRPr="002B0B2B" w:rsidRDefault="00604B92" w:rsidP="00ED483A">
            <w:pPr>
              <w:jc w:val="both"/>
              <w:rPr>
                <w:sz w:val="16"/>
                <w:szCs w:val="18"/>
              </w:rPr>
            </w:pPr>
            <w:r w:rsidRPr="002B0B2B">
              <w:rPr>
                <w:sz w:val="16"/>
                <w:szCs w:val="18"/>
              </w:rPr>
              <w:t>Nota: Los productos incluidos son el gas propano, gasolinas, diésel, kerosene, petróleo, productos minerales diversos y otros derivados del petróleo.</w:t>
            </w:r>
          </w:p>
          <w:p w14:paraId="18759300" w14:textId="3A8A67A9" w:rsidR="00604B92" w:rsidRPr="002238CB" w:rsidRDefault="00604B92" w:rsidP="00ED483A">
            <w:pPr>
              <w:jc w:val="both"/>
              <w:rPr>
                <w:sz w:val="18"/>
                <w:szCs w:val="18"/>
              </w:rPr>
            </w:pPr>
          </w:p>
        </w:tc>
      </w:tr>
    </w:tbl>
    <w:p w14:paraId="04167E9A" w14:textId="77777777" w:rsidR="00604B92" w:rsidRPr="00C61935" w:rsidRDefault="00604B92" w:rsidP="00604B92">
      <w:pPr>
        <w:jc w:val="both"/>
        <w:rPr>
          <w:sz w:val="2"/>
          <w:szCs w:val="2"/>
        </w:rPr>
      </w:pPr>
    </w:p>
    <w:p w14:paraId="6E03985C" w14:textId="07F66C39" w:rsidR="00604B92" w:rsidRDefault="00604B92" w:rsidP="00604B92">
      <w:pPr>
        <w:jc w:val="both"/>
      </w:pPr>
      <w:r w:rsidRPr="00B83FCC">
        <w:t>De lo anterior</w:t>
      </w:r>
      <w:r w:rsidR="0051413A">
        <w:t>,</w:t>
      </w:r>
      <w:r w:rsidRPr="00B83FCC">
        <w:t xml:space="preserve"> se procedió a calcular el efecto precio de lo recaudado de IVA por la importación de gasolinas y diésel, para lo cual se separ</w:t>
      </w:r>
      <w:r>
        <w:t>ó</w:t>
      </w:r>
      <w:r w:rsidRPr="00B83FCC">
        <w:t xml:space="preserve"> el efecto </w:t>
      </w:r>
      <w:r>
        <w:t>d</w:t>
      </w:r>
      <w:r w:rsidRPr="00B83FCC">
        <w:t xml:space="preserve">el volumen tomando como aproximación </w:t>
      </w:r>
      <w:r>
        <w:t>d</w:t>
      </w:r>
      <w:r w:rsidRPr="00B83FCC">
        <w:t>el peso medio</w:t>
      </w:r>
      <w:r>
        <w:t>,</w:t>
      </w:r>
      <w:r w:rsidRPr="00B83FCC">
        <w:t xml:space="preserve"> dado que este es homogéneo para estos productos. Por lo que, se </w:t>
      </w:r>
      <w:r>
        <w:t>tomó</w:t>
      </w:r>
      <w:r w:rsidRPr="00B83FCC">
        <w:t xml:space="preserve"> un escenario negativo en el cual</w:t>
      </w:r>
      <w:r>
        <w:t>,</w:t>
      </w:r>
      <w:r w:rsidRPr="00B83FCC">
        <w:t xml:space="preserve"> el precio promedio del barril se sitúa en USD$60.0</w:t>
      </w:r>
      <w:r>
        <w:t xml:space="preserve"> en 2023, con una disminución de </w:t>
      </w:r>
      <w:r w:rsidRPr="00B83FCC">
        <w:t>USD$</w:t>
      </w:r>
      <w:r>
        <w:t xml:space="preserve">38.59 con respecto al promedio estimado de la EIA en 2022, </w:t>
      </w:r>
      <w:r w:rsidRPr="00B83FCC">
        <w:t>y se estima que el efecto</w:t>
      </w:r>
      <w:r>
        <w:t xml:space="preserve"> precio</w:t>
      </w:r>
      <w:r w:rsidRPr="00B83FCC">
        <w:t xml:space="preserve"> negativo transmitido a la recaudación de IVA por las importaciones de estos productos </w:t>
      </w:r>
      <w:r>
        <w:t>sería un aproximado</w:t>
      </w:r>
      <w:r w:rsidRPr="00B83FCC">
        <w:t xml:space="preserve"> de Q1</w:t>
      </w:r>
      <w:r>
        <w:t>,726</w:t>
      </w:r>
      <w:r w:rsidRPr="00B83FCC">
        <w:t>.0 millones.</w:t>
      </w:r>
      <w:r>
        <w:t xml:space="preserve"> No obstante, existe un efecto positivo por el aumento en el consumo de los combustibles.</w:t>
      </w:r>
    </w:p>
    <w:p w14:paraId="494E44FB" w14:textId="77777777" w:rsidR="002B0B2B" w:rsidRDefault="002B0B2B" w:rsidP="00604B92">
      <w:pPr>
        <w:jc w:val="both"/>
      </w:pPr>
    </w:p>
    <w:p w14:paraId="59C3B6B5" w14:textId="79DB9657" w:rsidR="00604B92" w:rsidRPr="002B0B2B" w:rsidRDefault="002B0B2B" w:rsidP="002B0B2B">
      <w:pPr>
        <w:pStyle w:val="Descripcin"/>
        <w:keepNext/>
        <w:rPr>
          <w:color w:val="auto"/>
        </w:rPr>
      </w:pPr>
      <w:bookmarkStart w:id="97" w:name="_Toc114493929"/>
      <w:r w:rsidRPr="002B0B2B">
        <w:rPr>
          <w:color w:val="auto"/>
        </w:rPr>
        <w:t xml:space="preserve">Tabla </w:t>
      </w:r>
      <w:r w:rsidRPr="002B0B2B">
        <w:rPr>
          <w:color w:val="auto"/>
        </w:rPr>
        <w:fldChar w:fldCharType="begin"/>
      </w:r>
      <w:r w:rsidRPr="002B0B2B">
        <w:rPr>
          <w:color w:val="auto"/>
        </w:rPr>
        <w:instrText xml:space="preserve"> SEQ Tabla \* ARABIC </w:instrText>
      </w:r>
      <w:r w:rsidRPr="002B0B2B">
        <w:rPr>
          <w:color w:val="auto"/>
        </w:rPr>
        <w:fldChar w:fldCharType="separate"/>
      </w:r>
      <w:r w:rsidR="002E7809">
        <w:rPr>
          <w:noProof/>
          <w:color w:val="auto"/>
        </w:rPr>
        <w:t>6</w:t>
      </w:r>
      <w:r w:rsidRPr="002B0B2B">
        <w:rPr>
          <w:color w:val="auto"/>
        </w:rPr>
        <w:fldChar w:fldCharType="end"/>
      </w:r>
      <w:r w:rsidRPr="002B0B2B">
        <w:rPr>
          <w:color w:val="auto"/>
        </w:rPr>
        <w:t xml:space="preserve">.  </w:t>
      </w:r>
      <w:r w:rsidR="00604B92" w:rsidRPr="002B0B2B">
        <w:rPr>
          <w:bCs/>
          <w:color w:val="auto"/>
        </w:rPr>
        <w:t>Impacto en la recaudación (en millones) por una disminución del precio del WTI en 2023</w:t>
      </w:r>
      <w:bookmarkEnd w:id="97"/>
      <w:r w:rsidR="00604B92" w:rsidRPr="002B0B2B">
        <w:rPr>
          <w:bCs/>
          <w:color w:val="auto"/>
        </w:rPr>
        <w:t xml:space="preserve"> </w:t>
      </w:r>
    </w:p>
    <w:tbl>
      <w:tblPr>
        <w:tblStyle w:val="Tablaconcuadrcula"/>
        <w:tblW w:w="0" w:type="auto"/>
        <w:jc w:val="center"/>
        <w:tblLook w:val="04A0" w:firstRow="1" w:lastRow="0" w:firstColumn="1" w:lastColumn="0" w:noHBand="0" w:noVBand="1"/>
      </w:tblPr>
      <w:tblGrid>
        <w:gridCol w:w="1489"/>
        <w:gridCol w:w="1490"/>
        <w:gridCol w:w="1490"/>
      </w:tblGrid>
      <w:tr w:rsidR="00604B92" w14:paraId="08052E59" w14:textId="77777777" w:rsidTr="00FB346E">
        <w:trPr>
          <w:trHeight w:val="269"/>
          <w:jc w:val="center"/>
        </w:trPr>
        <w:tc>
          <w:tcPr>
            <w:tcW w:w="1489" w:type="dxa"/>
            <w:vAlign w:val="bottom"/>
          </w:tcPr>
          <w:p w14:paraId="44451C50" w14:textId="77777777" w:rsidR="00604B92" w:rsidRPr="00861C02" w:rsidRDefault="00604B92" w:rsidP="00ED483A">
            <w:pPr>
              <w:jc w:val="both"/>
              <w:rPr>
                <w:b/>
                <w:bCs/>
                <w:sz w:val="18"/>
                <w:szCs w:val="18"/>
              </w:rPr>
            </w:pPr>
            <w:r w:rsidRPr="00861C02">
              <w:rPr>
                <w:b/>
                <w:bCs/>
                <w:color w:val="000000"/>
                <w:sz w:val="18"/>
                <w:szCs w:val="18"/>
              </w:rPr>
              <w:t>Efecto</w:t>
            </w:r>
          </w:p>
        </w:tc>
        <w:tc>
          <w:tcPr>
            <w:tcW w:w="1490" w:type="dxa"/>
            <w:vAlign w:val="bottom"/>
          </w:tcPr>
          <w:p w14:paraId="2A5C0BBF" w14:textId="77777777" w:rsidR="00604B92" w:rsidRPr="00861C02" w:rsidRDefault="00604B92" w:rsidP="00ED483A">
            <w:pPr>
              <w:jc w:val="center"/>
              <w:rPr>
                <w:sz w:val="18"/>
                <w:szCs w:val="18"/>
              </w:rPr>
            </w:pPr>
            <w:r w:rsidRPr="00861C02">
              <w:rPr>
                <w:b/>
                <w:bCs/>
                <w:color w:val="000000"/>
                <w:sz w:val="18"/>
                <w:szCs w:val="18"/>
              </w:rPr>
              <w:t>2022</w:t>
            </w:r>
          </w:p>
        </w:tc>
        <w:tc>
          <w:tcPr>
            <w:tcW w:w="1490" w:type="dxa"/>
            <w:vAlign w:val="bottom"/>
          </w:tcPr>
          <w:p w14:paraId="283B5A55" w14:textId="7EF213A5" w:rsidR="00604B92" w:rsidRPr="00861C02" w:rsidRDefault="00604B92" w:rsidP="00ED483A">
            <w:pPr>
              <w:jc w:val="center"/>
              <w:rPr>
                <w:sz w:val="18"/>
                <w:szCs w:val="18"/>
              </w:rPr>
            </w:pPr>
            <w:r w:rsidRPr="00861C02">
              <w:rPr>
                <w:b/>
                <w:bCs/>
                <w:color w:val="000000"/>
                <w:sz w:val="18"/>
                <w:szCs w:val="18"/>
              </w:rPr>
              <w:t>202</w:t>
            </w:r>
            <w:r w:rsidR="00075478">
              <w:rPr>
                <w:b/>
                <w:bCs/>
                <w:color w:val="000000"/>
                <w:sz w:val="18"/>
                <w:szCs w:val="18"/>
              </w:rPr>
              <w:t>3</w:t>
            </w:r>
          </w:p>
        </w:tc>
      </w:tr>
      <w:tr w:rsidR="00604B92" w14:paraId="62BE9307" w14:textId="77777777" w:rsidTr="00FB346E">
        <w:trPr>
          <w:trHeight w:val="149"/>
          <w:jc w:val="center"/>
        </w:trPr>
        <w:tc>
          <w:tcPr>
            <w:tcW w:w="1489" w:type="dxa"/>
            <w:vAlign w:val="bottom"/>
          </w:tcPr>
          <w:p w14:paraId="49CFBA0A" w14:textId="77777777" w:rsidR="00604B92" w:rsidRPr="00861C02" w:rsidRDefault="00604B92" w:rsidP="00ED483A">
            <w:pPr>
              <w:jc w:val="both"/>
              <w:rPr>
                <w:sz w:val="18"/>
                <w:szCs w:val="18"/>
              </w:rPr>
            </w:pPr>
            <w:r w:rsidRPr="00861C02">
              <w:rPr>
                <w:color w:val="000000"/>
                <w:sz w:val="18"/>
                <w:szCs w:val="18"/>
              </w:rPr>
              <w:t>Volumen</w:t>
            </w:r>
          </w:p>
        </w:tc>
        <w:tc>
          <w:tcPr>
            <w:tcW w:w="1490" w:type="dxa"/>
            <w:vAlign w:val="bottom"/>
          </w:tcPr>
          <w:p w14:paraId="4120E3D4" w14:textId="77777777" w:rsidR="00604B92" w:rsidRPr="00861C02" w:rsidRDefault="00604B92" w:rsidP="00ED483A">
            <w:pPr>
              <w:jc w:val="center"/>
              <w:rPr>
                <w:sz w:val="18"/>
                <w:szCs w:val="18"/>
              </w:rPr>
            </w:pPr>
            <w:r w:rsidRPr="00861C02">
              <w:rPr>
                <w:color w:val="000000"/>
                <w:sz w:val="18"/>
                <w:szCs w:val="18"/>
              </w:rPr>
              <w:t>-35.7</w:t>
            </w:r>
          </w:p>
        </w:tc>
        <w:tc>
          <w:tcPr>
            <w:tcW w:w="1490" w:type="dxa"/>
            <w:vAlign w:val="bottom"/>
          </w:tcPr>
          <w:p w14:paraId="25D11FD2" w14:textId="77777777" w:rsidR="00604B92" w:rsidRPr="00861C02" w:rsidRDefault="00604B92" w:rsidP="00ED483A">
            <w:pPr>
              <w:jc w:val="center"/>
              <w:rPr>
                <w:sz w:val="18"/>
                <w:szCs w:val="18"/>
              </w:rPr>
            </w:pPr>
            <w:r w:rsidRPr="00861C02">
              <w:rPr>
                <w:color w:val="000000"/>
                <w:sz w:val="18"/>
                <w:szCs w:val="18"/>
              </w:rPr>
              <w:t>370.0</w:t>
            </w:r>
          </w:p>
        </w:tc>
      </w:tr>
      <w:tr w:rsidR="00604B92" w14:paraId="7EF4C74E" w14:textId="77777777" w:rsidTr="00FB346E">
        <w:trPr>
          <w:trHeight w:val="257"/>
          <w:jc w:val="center"/>
        </w:trPr>
        <w:tc>
          <w:tcPr>
            <w:tcW w:w="1489" w:type="dxa"/>
            <w:vAlign w:val="bottom"/>
          </w:tcPr>
          <w:p w14:paraId="441B6848" w14:textId="77777777" w:rsidR="00604B92" w:rsidRPr="00861C02" w:rsidRDefault="00604B92" w:rsidP="00ED483A">
            <w:pPr>
              <w:jc w:val="both"/>
              <w:rPr>
                <w:sz w:val="18"/>
                <w:szCs w:val="18"/>
              </w:rPr>
            </w:pPr>
            <w:r w:rsidRPr="00861C02">
              <w:rPr>
                <w:color w:val="000000"/>
                <w:sz w:val="18"/>
                <w:szCs w:val="18"/>
              </w:rPr>
              <w:t>Precio medio</w:t>
            </w:r>
          </w:p>
        </w:tc>
        <w:tc>
          <w:tcPr>
            <w:tcW w:w="1490" w:type="dxa"/>
            <w:vAlign w:val="bottom"/>
          </w:tcPr>
          <w:p w14:paraId="6A7C6BD8" w14:textId="77777777" w:rsidR="00604B92" w:rsidRPr="00861C02" w:rsidRDefault="00604B92" w:rsidP="00ED483A">
            <w:pPr>
              <w:jc w:val="center"/>
              <w:rPr>
                <w:sz w:val="18"/>
                <w:szCs w:val="18"/>
              </w:rPr>
            </w:pPr>
            <w:r w:rsidRPr="00861C02">
              <w:rPr>
                <w:color w:val="000000"/>
                <w:sz w:val="18"/>
                <w:szCs w:val="18"/>
              </w:rPr>
              <w:t>1,298.3</w:t>
            </w:r>
          </w:p>
        </w:tc>
        <w:tc>
          <w:tcPr>
            <w:tcW w:w="1490" w:type="dxa"/>
            <w:vAlign w:val="bottom"/>
          </w:tcPr>
          <w:p w14:paraId="42422791" w14:textId="77777777" w:rsidR="00604B92" w:rsidRPr="00861C02" w:rsidRDefault="00604B92" w:rsidP="00ED483A">
            <w:pPr>
              <w:jc w:val="center"/>
              <w:rPr>
                <w:sz w:val="18"/>
                <w:szCs w:val="18"/>
              </w:rPr>
            </w:pPr>
            <w:r w:rsidRPr="00861C02">
              <w:rPr>
                <w:color w:val="000000"/>
                <w:sz w:val="18"/>
                <w:szCs w:val="18"/>
              </w:rPr>
              <w:t>-1726.6</w:t>
            </w:r>
          </w:p>
        </w:tc>
      </w:tr>
      <w:tr w:rsidR="00604B92" w14:paraId="5F9717C5" w14:textId="77777777" w:rsidTr="00FB346E">
        <w:trPr>
          <w:trHeight w:val="139"/>
          <w:jc w:val="center"/>
        </w:trPr>
        <w:tc>
          <w:tcPr>
            <w:tcW w:w="1489" w:type="dxa"/>
            <w:vAlign w:val="bottom"/>
          </w:tcPr>
          <w:p w14:paraId="0F8EEF2E" w14:textId="77777777" w:rsidR="00604B92" w:rsidRPr="00861C02" w:rsidRDefault="00604B92" w:rsidP="00ED483A">
            <w:pPr>
              <w:jc w:val="both"/>
              <w:rPr>
                <w:sz w:val="18"/>
                <w:szCs w:val="18"/>
              </w:rPr>
            </w:pPr>
            <w:r w:rsidRPr="00861C02">
              <w:rPr>
                <w:color w:val="000000"/>
                <w:sz w:val="18"/>
                <w:szCs w:val="18"/>
              </w:rPr>
              <w:t>Total</w:t>
            </w:r>
          </w:p>
        </w:tc>
        <w:tc>
          <w:tcPr>
            <w:tcW w:w="1490" w:type="dxa"/>
            <w:vAlign w:val="bottom"/>
          </w:tcPr>
          <w:p w14:paraId="797A644A" w14:textId="77777777" w:rsidR="00604B92" w:rsidRPr="00861C02" w:rsidRDefault="00604B92" w:rsidP="00ED483A">
            <w:pPr>
              <w:jc w:val="center"/>
              <w:rPr>
                <w:sz w:val="18"/>
                <w:szCs w:val="18"/>
              </w:rPr>
            </w:pPr>
            <w:r w:rsidRPr="00861C02">
              <w:rPr>
                <w:color w:val="000000"/>
                <w:sz w:val="18"/>
                <w:szCs w:val="18"/>
              </w:rPr>
              <w:t>1,262.6</w:t>
            </w:r>
          </w:p>
        </w:tc>
        <w:tc>
          <w:tcPr>
            <w:tcW w:w="1490" w:type="dxa"/>
            <w:vAlign w:val="bottom"/>
          </w:tcPr>
          <w:p w14:paraId="67666E01" w14:textId="77777777" w:rsidR="00604B92" w:rsidRPr="00861C02" w:rsidRDefault="00604B92" w:rsidP="00ED483A">
            <w:pPr>
              <w:jc w:val="center"/>
              <w:rPr>
                <w:sz w:val="18"/>
                <w:szCs w:val="18"/>
              </w:rPr>
            </w:pPr>
            <w:r w:rsidRPr="00861C02">
              <w:rPr>
                <w:color w:val="000000"/>
                <w:sz w:val="18"/>
                <w:szCs w:val="18"/>
              </w:rPr>
              <w:t>-1,356.7</w:t>
            </w:r>
          </w:p>
        </w:tc>
      </w:tr>
    </w:tbl>
    <w:p w14:paraId="4277C0A0" w14:textId="558539B0" w:rsidR="00604B92" w:rsidRPr="002B0B2B" w:rsidRDefault="00604B92" w:rsidP="00604B92">
      <w:pPr>
        <w:jc w:val="both"/>
        <w:rPr>
          <w:sz w:val="16"/>
          <w:szCs w:val="20"/>
        </w:rPr>
      </w:pPr>
      <w:r w:rsidRPr="002B0B2B">
        <w:rPr>
          <w:sz w:val="16"/>
          <w:szCs w:val="20"/>
        </w:rPr>
        <w:t xml:space="preserve">                                           </w:t>
      </w:r>
      <w:r w:rsidR="002B0B2B">
        <w:rPr>
          <w:sz w:val="16"/>
          <w:szCs w:val="20"/>
        </w:rPr>
        <w:t xml:space="preserve">              Fuente: Ministerio de Finanzas Públicas</w:t>
      </w:r>
    </w:p>
    <w:p w14:paraId="3BE6FDED" w14:textId="77777777" w:rsidR="002B0B2B" w:rsidRDefault="002B0B2B" w:rsidP="00604B92">
      <w:pPr>
        <w:jc w:val="both"/>
      </w:pPr>
    </w:p>
    <w:p w14:paraId="07258EB9" w14:textId="6B6FD263" w:rsidR="00604B92" w:rsidRPr="00C61935" w:rsidRDefault="00604B92" w:rsidP="00604B92">
      <w:pPr>
        <w:jc w:val="both"/>
        <w:rPr>
          <w:sz w:val="20"/>
          <w:szCs w:val="20"/>
        </w:rPr>
      </w:pPr>
      <w:r>
        <w:t>Por lo que, se observa que los efectos de una disminución de precios de los derivados del petróleo pueden afectar considerablemente la recaudación tributaria únicamente por la importación de estos productos. No obstante, existen otros mecanismos por los cuales la recaudación es afectada</w:t>
      </w:r>
      <w:r w:rsidRPr="00B83FCC">
        <w:t xml:space="preserve">, </w:t>
      </w:r>
      <w:r>
        <w:t xml:space="preserve">en particular la disminución de </w:t>
      </w:r>
      <w:r w:rsidRPr="00B83FCC">
        <w:t>los costos de transporte</w:t>
      </w:r>
      <w:r>
        <w:t>, que es parte del precio CIF de los bienes importados. Asimismo, la disminución súbita de los precios del crudo regularmente es afectada por situaciones de crisis globales que causan una disminución en la demanda externa, alteran la oferta de otras materias prima y sus precios.</w:t>
      </w:r>
    </w:p>
    <w:p w14:paraId="0259C7A8" w14:textId="77777777" w:rsidR="00270CA4" w:rsidRDefault="00270CA4" w:rsidP="00BA2759">
      <w:pPr>
        <w:widowControl/>
        <w:ind w:left="567" w:right="49" w:hanging="360"/>
        <w:rPr>
          <w:lang w:val="es-MX"/>
        </w:rPr>
      </w:pPr>
    </w:p>
    <w:p w14:paraId="74D379BE" w14:textId="77777777" w:rsidR="00270CA4" w:rsidRPr="002333A9" w:rsidRDefault="00270CA4" w:rsidP="00A9708A">
      <w:pPr>
        <w:pStyle w:val="Ttulo2"/>
        <w:numPr>
          <w:ilvl w:val="1"/>
          <w:numId w:val="32"/>
        </w:numPr>
        <w:ind w:left="567" w:hanging="283"/>
        <w:rPr>
          <w:color w:val="auto"/>
        </w:rPr>
      </w:pPr>
      <w:bookmarkStart w:id="98" w:name="_Toc79746356"/>
      <w:bookmarkStart w:id="99" w:name="_Toc114495245"/>
      <w:r w:rsidRPr="002333A9">
        <w:rPr>
          <w:color w:val="auto"/>
        </w:rPr>
        <w:t>Riesgos fiscales asociados al surgimiento de las variantes del COVID-19</w:t>
      </w:r>
      <w:bookmarkEnd w:id="98"/>
      <w:bookmarkEnd w:id="99"/>
    </w:p>
    <w:p w14:paraId="6FF25A98" w14:textId="77777777" w:rsidR="00270CA4" w:rsidRDefault="00270CA4" w:rsidP="00270CA4">
      <w:pPr>
        <w:pStyle w:val="Sinespaciado"/>
        <w:ind w:left="567" w:right="49"/>
        <w:jc w:val="both"/>
        <w:rPr>
          <w:bCs/>
          <w:highlight w:val="lightGray"/>
          <w:lang w:val="es-MX"/>
        </w:rPr>
      </w:pPr>
    </w:p>
    <w:p w14:paraId="05DBE92A" w14:textId="77777777" w:rsidR="002333A9" w:rsidRDefault="00270CA4" w:rsidP="002333A9">
      <w:pPr>
        <w:jc w:val="both"/>
      </w:pPr>
      <w:r w:rsidRPr="002333A9">
        <w:t>Después de los primeros casos en el 2019 de COVID-19 en Wuhan, China, y de haberse propagado rápidamente a decenas de países en los meses posteriores, la OMS la clasificó como Pandemia en marzo de 2020, teniendo repercusiones en la economía mundial sin precedentes y de haber obligado a los gobiernos a impulsar políticas agresivas para atender las necesidades de la pandemia y reducir el impacto negativo en la economía. En el 2021, se iniciaron los procesos de vacunación que han permitido junto a las medidas sanitarias de cada país, controlar la evolución de la pandemia y disminuir los riesgos de letalidad, sobre todo en los grupos de población más vulnerables. No obstante, el surgimiento de nuevas cepas que poseen mayor transmisibilidad ha llevado a muchas economías a retomar nuevas medidas de confinamiento que afectan la demanda externa mundial, como lo ha sido el caso de China en 2022.</w:t>
      </w:r>
    </w:p>
    <w:p w14:paraId="021E0215" w14:textId="77777777" w:rsidR="002333A9" w:rsidRDefault="002333A9" w:rsidP="002333A9">
      <w:pPr>
        <w:jc w:val="both"/>
      </w:pPr>
    </w:p>
    <w:p w14:paraId="0C03E75F" w14:textId="08FC014F" w:rsidR="00270CA4" w:rsidRPr="00EC6CA7" w:rsidRDefault="00270CA4" w:rsidP="002333A9">
      <w:pPr>
        <w:jc w:val="both"/>
        <w:rPr>
          <w:bCs/>
          <w:color w:val="000000" w:themeColor="text1"/>
          <w:lang w:val="es-MX"/>
        </w:rPr>
      </w:pPr>
      <w:r>
        <w:rPr>
          <w:bCs/>
          <w:color w:val="000000" w:themeColor="text1"/>
          <w:lang w:val="es-MX"/>
        </w:rPr>
        <w:t xml:space="preserve">Por otro lado, en el presente </w:t>
      </w:r>
      <w:r w:rsidRPr="00EC6CA7">
        <w:rPr>
          <w:bCs/>
          <w:color w:val="000000" w:themeColor="text1"/>
          <w:lang w:val="es-MX"/>
        </w:rPr>
        <w:t xml:space="preserve">año se ha observado un estancamiento de la vacunación nacional con respecto a la población total, registrándose para julio el 48.9% con una dosis, 37.6% con dos dosis y 19.1% con tres dosis. Además, de nuevas olas de contagio por nuevas variantes más transmisibles, pero menos letales, como lo fue el caso de </w:t>
      </w:r>
      <w:r w:rsidR="002B0B2B" w:rsidRPr="00EC6CA7">
        <w:rPr>
          <w:bCs/>
          <w:color w:val="000000" w:themeColor="text1"/>
          <w:lang w:val="es-MX"/>
        </w:rPr>
        <w:t>Ómicron</w:t>
      </w:r>
      <w:r w:rsidRPr="00EC6CA7">
        <w:rPr>
          <w:bCs/>
          <w:color w:val="000000" w:themeColor="text1"/>
          <w:lang w:val="es-MX"/>
        </w:rPr>
        <w:t xml:space="preserve"> y sus variantes en los meses de junio y julio. </w:t>
      </w:r>
    </w:p>
    <w:p w14:paraId="0CCFF178" w14:textId="77777777" w:rsidR="00270CA4" w:rsidRDefault="00270CA4" w:rsidP="00270CA4">
      <w:pPr>
        <w:pStyle w:val="Sinespaciado"/>
        <w:ind w:left="567" w:right="49"/>
        <w:jc w:val="both"/>
        <w:rPr>
          <w:bCs/>
          <w:highlight w:val="lightGray"/>
          <w:lang w:val="es-MX"/>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4108"/>
      </w:tblGrid>
      <w:tr w:rsidR="00270CA4" w14:paraId="3147275F" w14:textId="77777777" w:rsidTr="002333A9">
        <w:trPr>
          <w:trHeight w:val="175"/>
        </w:trPr>
        <w:tc>
          <w:tcPr>
            <w:tcW w:w="3982" w:type="dxa"/>
          </w:tcPr>
          <w:p w14:paraId="206F46C9" w14:textId="010E9B7F" w:rsidR="00270CA4" w:rsidRPr="002B0B2B" w:rsidRDefault="002B0B2B" w:rsidP="002B0B2B">
            <w:pPr>
              <w:pStyle w:val="Descripcin"/>
              <w:keepNext/>
            </w:pPr>
            <w:bookmarkStart w:id="100" w:name="_Toc114493864"/>
            <w:r w:rsidRPr="002B0B2B">
              <w:rPr>
                <w:color w:val="auto"/>
                <w:sz w:val="24"/>
              </w:rPr>
              <w:t xml:space="preserve">Gráfico </w:t>
            </w:r>
            <w:r w:rsidRPr="002B0B2B">
              <w:rPr>
                <w:color w:val="auto"/>
              </w:rPr>
              <w:fldChar w:fldCharType="begin"/>
            </w:r>
            <w:r w:rsidRPr="002B0B2B">
              <w:rPr>
                <w:color w:val="auto"/>
                <w:sz w:val="24"/>
              </w:rPr>
              <w:instrText xml:space="preserve"> SEQ Gráfico \* ARABIC </w:instrText>
            </w:r>
            <w:r w:rsidRPr="002B0B2B">
              <w:rPr>
                <w:color w:val="auto"/>
              </w:rPr>
              <w:fldChar w:fldCharType="separate"/>
            </w:r>
            <w:r w:rsidR="002E7809">
              <w:rPr>
                <w:noProof/>
                <w:color w:val="auto"/>
                <w:sz w:val="24"/>
              </w:rPr>
              <w:t>22</w:t>
            </w:r>
            <w:r w:rsidRPr="002B0B2B">
              <w:rPr>
                <w:color w:val="auto"/>
              </w:rPr>
              <w:fldChar w:fldCharType="end"/>
            </w:r>
            <w:r w:rsidRPr="002B0B2B">
              <w:rPr>
                <w:color w:val="auto"/>
                <w:sz w:val="24"/>
              </w:rPr>
              <w:t xml:space="preserve">.  </w:t>
            </w:r>
            <w:r w:rsidR="00270CA4" w:rsidRPr="002B0B2B">
              <w:rPr>
                <w:bCs/>
                <w:color w:val="auto"/>
                <w:sz w:val="24"/>
              </w:rPr>
              <w:t>Población vacunada con primera dosis como proporción del total.</w:t>
            </w:r>
            <w:bookmarkEnd w:id="100"/>
          </w:p>
        </w:tc>
        <w:tc>
          <w:tcPr>
            <w:tcW w:w="3983" w:type="dxa"/>
          </w:tcPr>
          <w:p w14:paraId="67FB5DB7" w14:textId="7FF28F31" w:rsidR="00270CA4" w:rsidRPr="002B0B2B" w:rsidRDefault="002B0B2B" w:rsidP="002B0B2B">
            <w:pPr>
              <w:pStyle w:val="Descripcin"/>
              <w:keepNext/>
              <w:rPr>
                <w:sz w:val="24"/>
                <w:szCs w:val="24"/>
              </w:rPr>
            </w:pPr>
            <w:bookmarkStart w:id="101" w:name="_Toc114493865"/>
            <w:r w:rsidRPr="002B0B2B">
              <w:rPr>
                <w:color w:val="auto"/>
                <w:sz w:val="24"/>
                <w:szCs w:val="24"/>
              </w:rPr>
              <w:t xml:space="preserve">Gráfico </w:t>
            </w:r>
            <w:r w:rsidRPr="002B0B2B">
              <w:rPr>
                <w:color w:val="auto"/>
              </w:rPr>
              <w:fldChar w:fldCharType="begin"/>
            </w:r>
            <w:r w:rsidRPr="002B0B2B">
              <w:rPr>
                <w:color w:val="auto"/>
                <w:sz w:val="24"/>
                <w:szCs w:val="24"/>
              </w:rPr>
              <w:instrText xml:space="preserve"> SEQ Gráfico \* ARABIC </w:instrText>
            </w:r>
            <w:r w:rsidRPr="002B0B2B">
              <w:rPr>
                <w:color w:val="auto"/>
              </w:rPr>
              <w:fldChar w:fldCharType="separate"/>
            </w:r>
            <w:r w:rsidR="002E7809">
              <w:rPr>
                <w:noProof/>
                <w:color w:val="auto"/>
                <w:sz w:val="24"/>
                <w:szCs w:val="24"/>
              </w:rPr>
              <w:t>23</w:t>
            </w:r>
            <w:r w:rsidRPr="002B0B2B">
              <w:rPr>
                <w:color w:val="auto"/>
              </w:rPr>
              <w:fldChar w:fldCharType="end"/>
            </w:r>
            <w:r w:rsidRPr="002B0B2B">
              <w:rPr>
                <w:color w:val="auto"/>
                <w:sz w:val="24"/>
                <w:szCs w:val="24"/>
              </w:rPr>
              <w:t xml:space="preserve">.  </w:t>
            </w:r>
            <w:r w:rsidR="00270CA4" w:rsidRPr="002B0B2B">
              <w:rPr>
                <w:bCs/>
                <w:color w:val="auto"/>
                <w:sz w:val="24"/>
                <w:szCs w:val="24"/>
              </w:rPr>
              <w:t>Casos nuevos confirmados de COVID-19</w:t>
            </w:r>
            <w:bookmarkEnd w:id="101"/>
          </w:p>
        </w:tc>
      </w:tr>
      <w:tr w:rsidR="00270CA4" w14:paraId="6BCF294A" w14:textId="77777777" w:rsidTr="002333A9">
        <w:tblPrEx>
          <w:tblCellMar>
            <w:left w:w="70" w:type="dxa"/>
            <w:right w:w="70" w:type="dxa"/>
          </w:tblCellMar>
        </w:tblPrEx>
        <w:trPr>
          <w:trHeight w:val="2088"/>
        </w:trPr>
        <w:tc>
          <w:tcPr>
            <w:tcW w:w="3982" w:type="dxa"/>
          </w:tcPr>
          <w:p w14:paraId="11BE44F3" w14:textId="77777777" w:rsidR="00270CA4" w:rsidRDefault="00270CA4" w:rsidP="00ED483A">
            <w:r>
              <w:rPr>
                <w:noProof/>
              </w:rPr>
              <w:drawing>
                <wp:inline distT="0" distB="0" distL="0" distR="0" wp14:anchorId="5F1062A8" wp14:editId="3C2DBCB4">
                  <wp:extent cx="2519680" cy="1352550"/>
                  <wp:effectExtent l="0" t="0" r="0" b="0"/>
                  <wp:docPr id="28" name="Gráfico 28">
                    <a:extLst xmlns:a="http://schemas.openxmlformats.org/drawingml/2006/main">
                      <a:ext uri="{FF2B5EF4-FFF2-40B4-BE49-F238E27FC236}">
                        <a16:creationId xmlns:a16="http://schemas.microsoft.com/office/drawing/2014/main" id="{AFB5EAF7-46FC-4957-AC3B-2E234F669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983" w:type="dxa"/>
          </w:tcPr>
          <w:p w14:paraId="4B67E529" w14:textId="77777777" w:rsidR="00270CA4" w:rsidRPr="00BA0E65" w:rsidRDefault="00270CA4" w:rsidP="00ED483A">
            <w:r>
              <w:rPr>
                <w:noProof/>
              </w:rPr>
              <w:drawing>
                <wp:inline distT="0" distB="0" distL="0" distR="0" wp14:anchorId="794FA334" wp14:editId="4A199A2F">
                  <wp:extent cx="2519680" cy="1352550"/>
                  <wp:effectExtent l="0" t="0" r="0" b="0"/>
                  <wp:docPr id="29" name="Gráfico 29">
                    <a:extLst xmlns:a="http://schemas.openxmlformats.org/drawingml/2006/main">
                      <a:ext uri="{FF2B5EF4-FFF2-40B4-BE49-F238E27FC236}">
                        <a16:creationId xmlns:a16="http://schemas.microsoft.com/office/drawing/2014/main" id="{752A075F-28D2-46E7-8C72-B1AA698BF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270CA4" w14:paraId="2F5B40E3" w14:textId="77777777" w:rsidTr="002333A9">
        <w:trPr>
          <w:trHeight w:val="182"/>
        </w:trPr>
        <w:tc>
          <w:tcPr>
            <w:tcW w:w="7965" w:type="dxa"/>
            <w:gridSpan w:val="2"/>
          </w:tcPr>
          <w:p w14:paraId="056FDC18" w14:textId="27933EE4" w:rsidR="00270CA4" w:rsidRDefault="00462B5B" w:rsidP="00ED483A">
            <w:r w:rsidRPr="009701B8">
              <w:rPr>
                <w:sz w:val="16"/>
                <w:szCs w:val="18"/>
              </w:rPr>
              <w:t>Fuente: Our</w:t>
            </w:r>
            <w:r w:rsidR="00270CA4" w:rsidRPr="009701B8">
              <w:rPr>
                <w:sz w:val="16"/>
                <w:szCs w:val="18"/>
              </w:rPr>
              <w:t xml:space="preserve"> World in Data y para Guatemala del Ministerio de Salud Pública y datos poblacionales para del Instituto Nacional de Estadística de 2021.</w:t>
            </w:r>
          </w:p>
        </w:tc>
      </w:tr>
    </w:tbl>
    <w:p w14:paraId="6851B10E" w14:textId="77777777" w:rsidR="009701B8" w:rsidRDefault="009701B8" w:rsidP="002333A9">
      <w:pPr>
        <w:jc w:val="both"/>
        <w:rPr>
          <w:bCs/>
          <w:color w:val="000000" w:themeColor="text1"/>
          <w:lang w:val="es-MX"/>
        </w:rPr>
      </w:pPr>
    </w:p>
    <w:p w14:paraId="3C269173" w14:textId="1EA2D853" w:rsidR="00270CA4" w:rsidRPr="002333A9" w:rsidRDefault="00270CA4" w:rsidP="002333A9">
      <w:pPr>
        <w:jc w:val="both"/>
        <w:rPr>
          <w:bCs/>
          <w:color w:val="000000" w:themeColor="text1"/>
          <w:lang w:val="es-MX"/>
        </w:rPr>
      </w:pPr>
      <w:r w:rsidRPr="002333A9">
        <w:rPr>
          <w:bCs/>
          <w:color w:val="000000" w:themeColor="text1"/>
          <w:lang w:val="es-MX"/>
        </w:rPr>
        <w:t xml:space="preserve">Por lo que para estimar los posibles escenarios macroeconómicos y su impacto fiscal por el riesgo persistente del surgimiento de la propagación de diferentes cepas que muestren un mayor nivel de transmisibilidad, letalidad y de las cuales las vacunas sean menos efectivas que lleven al gobierno a implementar medidas de contención en 2023 muy similares a las observadas durante 2020, se siguió de cerca la metodología del Fondo Monetario Internacional de la Prueba de Estrés Fiscal COVID-19 (FST por sus siglas en inglés). Esta metodología consiste en determinar el rigor de las medidas de los gobiernos para contener nuevos brotes del COVID-19 y estimar el efecto adverso en la actividad económica. </w:t>
      </w:r>
    </w:p>
    <w:p w14:paraId="2EA6BC19" w14:textId="77777777" w:rsidR="00270CA4" w:rsidRPr="002333A9" w:rsidRDefault="00270CA4" w:rsidP="002333A9">
      <w:pPr>
        <w:jc w:val="both"/>
        <w:rPr>
          <w:bCs/>
          <w:color w:val="000000" w:themeColor="text1"/>
          <w:lang w:val="es-MX"/>
        </w:rPr>
      </w:pPr>
    </w:p>
    <w:p w14:paraId="4D8AE452" w14:textId="77777777" w:rsidR="00270CA4" w:rsidRDefault="00270CA4" w:rsidP="002333A9">
      <w:pPr>
        <w:jc w:val="both"/>
        <w:rPr>
          <w:bCs/>
          <w:lang w:val="es-MX"/>
        </w:rPr>
      </w:pPr>
      <w:r w:rsidRPr="002333A9">
        <w:rPr>
          <w:bCs/>
          <w:color w:val="000000" w:themeColor="text1"/>
          <w:lang w:val="es-MX"/>
        </w:rPr>
        <w:t>El índice de rigor de OXFORD (stringency índex) mide el nivel de rigurosidad en las medidas de respuesta para contener la propagación de la pandemia por parte de los gobiernos, mientras mayor es el índice más estrictas son las medidas. El índice se calcula en base a nueve métricas, entre las cuales se encuentran: el cierre de escuelas, el cierre de espacios de trabajo, cierre de transporte, entre otras. Estas medidas afectan la demanda interna y el hecho que los socios comerciales también tengan sus propias restricciones afectan la demanda externa lo que se traduce en una disminución en el crecimiento económico. El índice de rigor para Guatemala fue en promedio de 78.0 de marzo a diciembre del 2020 y el crecimiento económico fue de -1.8%, dicho resultado muestra que a pesar de que se tuvo un índice de rigor relativamente alto con respecto a otros países, debido a la resiliencia del país por la respuesta coordinada de las políticas sanitarias, monetarias y fiscales, además de la resiliencia de las remesas familiares en dicho año.</w:t>
      </w:r>
    </w:p>
    <w:p w14:paraId="64660470" w14:textId="77777777" w:rsidR="00270CA4" w:rsidRDefault="00270CA4" w:rsidP="00270CA4">
      <w:pPr>
        <w:pStyle w:val="Sinespaciado"/>
        <w:ind w:left="567" w:right="49"/>
        <w:jc w:val="both"/>
        <w:rPr>
          <w:bCs/>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157"/>
      </w:tblGrid>
      <w:tr w:rsidR="00270CA4" w14:paraId="4F4D6C6B" w14:textId="77777777" w:rsidTr="002333A9">
        <w:tc>
          <w:tcPr>
            <w:tcW w:w="4377" w:type="dxa"/>
          </w:tcPr>
          <w:p w14:paraId="38C5370C" w14:textId="784D5B50" w:rsidR="00270CA4" w:rsidRPr="00462B5B" w:rsidRDefault="00462B5B" w:rsidP="00462B5B">
            <w:pPr>
              <w:pStyle w:val="Descripcin"/>
              <w:keepNext/>
            </w:pPr>
            <w:bookmarkStart w:id="102" w:name="_Toc114493866"/>
            <w:r w:rsidRPr="00462B5B">
              <w:rPr>
                <w:color w:val="auto"/>
                <w:sz w:val="24"/>
              </w:rPr>
              <w:t xml:space="preserve">Gráfico </w:t>
            </w:r>
            <w:r w:rsidRPr="00462B5B">
              <w:rPr>
                <w:color w:val="auto"/>
              </w:rPr>
              <w:fldChar w:fldCharType="begin"/>
            </w:r>
            <w:r w:rsidRPr="00462B5B">
              <w:rPr>
                <w:color w:val="auto"/>
                <w:sz w:val="24"/>
              </w:rPr>
              <w:instrText xml:space="preserve"> SEQ Gráfico \* ARABIC </w:instrText>
            </w:r>
            <w:r w:rsidRPr="00462B5B">
              <w:rPr>
                <w:color w:val="auto"/>
              </w:rPr>
              <w:fldChar w:fldCharType="separate"/>
            </w:r>
            <w:r w:rsidR="002E7809">
              <w:rPr>
                <w:noProof/>
                <w:color w:val="auto"/>
                <w:sz w:val="24"/>
              </w:rPr>
              <w:t>24</w:t>
            </w:r>
            <w:r w:rsidRPr="00462B5B">
              <w:rPr>
                <w:color w:val="auto"/>
              </w:rPr>
              <w:fldChar w:fldCharType="end"/>
            </w:r>
            <w:r w:rsidRPr="00462B5B">
              <w:rPr>
                <w:color w:val="auto"/>
                <w:sz w:val="24"/>
              </w:rPr>
              <w:t xml:space="preserve">.  </w:t>
            </w:r>
            <w:r w:rsidR="00270CA4" w:rsidRPr="00462B5B">
              <w:rPr>
                <w:color w:val="auto"/>
                <w:sz w:val="24"/>
                <w:lang w:val="es-MX"/>
              </w:rPr>
              <w:t>Crecimiento económico en 2020 e índice de rigor promedio de marzo a diciembre</w:t>
            </w:r>
            <w:bookmarkEnd w:id="102"/>
          </w:p>
        </w:tc>
        <w:tc>
          <w:tcPr>
            <w:tcW w:w="3894" w:type="dxa"/>
          </w:tcPr>
          <w:p w14:paraId="00DD9297" w14:textId="66427FBF" w:rsidR="00270CA4" w:rsidRPr="00462B5B" w:rsidRDefault="00462B5B" w:rsidP="00462B5B">
            <w:pPr>
              <w:pStyle w:val="Descripcin"/>
              <w:keepNext/>
            </w:pPr>
            <w:bookmarkStart w:id="103" w:name="_Toc114493867"/>
            <w:r w:rsidRPr="00462B5B">
              <w:rPr>
                <w:color w:val="auto"/>
                <w:sz w:val="24"/>
              </w:rPr>
              <w:t xml:space="preserve">Gráfico </w:t>
            </w:r>
            <w:r w:rsidRPr="00462B5B">
              <w:rPr>
                <w:color w:val="auto"/>
              </w:rPr>
              <w:fldChar w:fldCharType="begin"/>
            </w:r>
            <w:r w:rsidRPr="00462B5B">
              <w:rPr>
                <w:color w:val="auto"/>
                <w:sz w:val="24"/>
              </w:rPr>
              <w:instrText xml:space="preserve"> SEQ Gráfico \* ARABIC </w:instrText>
            </w:r>
            <w:r w:rsidRPr="00462B5B">
              <w:rPr>
                <w:color w:val="auto"/>
              </w:rPr>
              <w:fldChar w:fldCharType="separate"/>
            </w:r>
            <w:r w:rsidR="002E7809">
              <w:rPr>
                <w:noProof/>
                <w:color w:val="auto"/>
                <w:sz w:val="24"/>
              </w:rPr>
              <w:t>25</w:t>
            </w:r>
            <w:r w:rsidRPr="00462B5B">
              <w:rPr>
                <w:color w:val="auto"/>
              </w:rPr>
              <w:fldChar w:fldCharType="end"/>
            </w:r>
            <w:r w:rsidRPr="00462B5B">
              <w:rPr>
                <w:color w:val="auto"/>
                <w:sz w:val="24"/>
              </w:rPr>
              <w:t xml:space="preserve">.  </w:t>
            </w:r>
            <w:r w:rsidR="00270CA4" w:rsidRPr="00462B5B">
              <w:rPr>
                <w:color w:val="auto"/>
                <w:sz w:val="24"/>
                <w:lang w:val="es-MX"/>
              </w:rPr>
              <w:t>Índice de rigor para Guatemala</w:t>
            </w:r>
            <w:bookmarkEnd w:id="103"/>
          </w:p>
        </w:tc>
      </w:tr>
      <w:tr w:rsidR="00270CA4" w14:paraId="7E342D97" w14:textId="77777777" w:rsidTr="002333A9">
        <w:tblPrEx>
          <w:tblCellMar>
            <w:left w:w="70" w:type="dxa"/>
            <w:right w:w="70" w:type="dxa"/>
          </w:tblCellMar>
        </w:tblPrEx>
        <w:tc>
          <w:tcPr>
            <w:tcW w:w="4377" w:type="dxa"/>
          </w:tcPr>
          <w:p w14:paraId="68451C3D" w14:textId="77777777" w:rsidR="00270CA4" w:rsidRPr="006F6AD4" w:rsidRDefault="00270CA4" w:rsidP="00ED483A">
            <w:pPr>
              <w:jc w:val="center"/>
              <w:rPr>
                <w:lang w:val="es-MX"/>
              </w:rPr>
            </w:pPr>
            <w:r>
              <w:rPr>
                <w:noProof/>
              </w:rPr>
              <w:drawing>
                <wp:inline distT="0" distB="0" distL="0" distR="0" wp14:anchorId="2E9E500D" wp14:editId="06A8131F">
                  <wp:extent cx="2879725" cy="1949570"/>
                  <wp:effectExtent l="0" t="0" r="0" b="0"/>
                  <wp:docPr id="32" name="Gráfico 32">
                    <a:extLst xmlns:a="http://schemas.openxmlformats.org/drawingml/2006/main">
                      <a:ext uri="{FF2B5EF4-FFF2-40B4-BE49-F238E27FC236}">
                        <a16:creationId xmlns:a16="http://schemas.microsoft.com/office/drawing/2014/main" id="{F6AEC7A8-DAA9-4DA1-9B53-7DAFBE865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3894" w:type="dxa"/>
          </w:tcPr>
          <w:p w14:paraId="3E592D85" w14:textId="77777777" w:rsidR="00270CA4" w:rsidRDefault="00270CA4" w:rsidP="00ED483A">
            <w:pPr>
              <w:pStyle w:val="Sinespaciado"/>
              <w:ind w:right="49"/>
              <w:jc w:val="center"/>
              <w:rPr>
                <w:bCs/>
                <w:sz w:val="24"/>
                <w:szCs w:val="24"/>
                <w:lang w:val="es-MX"/>
              </w:rPr>
            </w:pPr>
            <w:r>
              <w:rPr>
                <w:noProof/>
                <w:lang w:val="es-GT"/>
              </w:rPr>
              <w:drawing>
                <wp:inline distT="0" distB="0" distL="0" distR="0" wp14:anchorId="4CA8D7AD" wp14:editId="1963D0DB">
                  <wp:extent cx="2519680" cy="1949450"/>
                  <wp:effectExtent l="0" t="0" r="0" b="0"/>
                  <wp:docPr id="33" name="Gráfico 33">
                    <a:extLst xmlns:a="http://schemas.openxmlformats.org/drawingml/2006/main">
                      <a:ext uri="{FF2B5EF4-FFF2-40B4-BE49-F238E27FC236}">
                        <a16:creationId xmlns:a16="http://schemas.microsoft.com/office/drawing/2014/main" id="{F9023445-2832-4673-BA21-B5DAE8B9E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270CA4" w14:paraId="6FBDC721" w14:textId="77777777" w:rsidTr="002333A9">
        <w:tc>
          <w:tcPr>
            <w:tcW w:w="8271" w:type="dxa"/>
            <w:gridSpan w:val="2"/>
          </w:tcPr>
          <w:p w14:paraId="32C5F7BC" w14:textId="18B3B989" w:rsidR="00270CA4" w:rsidRPr="009701B8" w:rsidRDefault="00270CA4" w:rsidP="00ED483A">
            <w:pPr>
              <w:pStyle w:val="Sinespaciado"/>
              <w:ind w:right="49"/>
              <w:jc w:val="both"/>
              <w:rPr>
                <w:bCs/>
                <w:sz w:val="16"/>
                <w:szCs w:val="18"/>
                <w:lang w:val="es-MX"/>
              </w:rPr>
            </w:pPr>
            <w:r w:rsidRPr="009701B8">
              <w:rPr>
                <w:bCs/>
                <w:sz w:val="16"/>
                <w:szCs w:val="18"/>
                <w:lang w:val="es-MX"/>
              </w:rPr>
              <w:t>Fuente: FMI para el crecimiento económico y Our</w:t>
            </w:r>
            <w:r w:rsidR="00462B5B" w:rsidRPr="009701B8">
              <w:rPr>
                <w:bCs/>
                <w:sz w:val="16"/>
                <w:szCs w:val="18"/>
                <w:lang w:val="es-MX"/>
              </w:rPr>
              <w:t xml:space="preserve"> </w:t>
            </w:r>
            <w:r w:rsidRPr="009701B8">
              <w:rPr>
                <w:bCs/>
                <w:sz w:val="16"/>
                <w:szCs w:val="18"/>
                <w:lang w:val="es-MX"/>
              </w:rPr>
              <w:t>world in Data para el índice de rigor</w:t>
            </w:r>
          </w:p>
        </w:tc>
      </w:tr>
    </w:tbl>
    <w:p w14:paraId="5E8D230A" w14:textId="77777777" w:rsidR="00270CA4" w:rsidRDefault="00270CA4" w:rsidP="00270CA4">
      <w:pPr>
        <w:pStyle w:val="Sinespaciado"/>
        <w:ind w:right="49"/>
        <w:jc w:val="both"/>
        <w:rPr>
          <w:bCs/>
          <w:lang w:val="es-MX"/>
        </w:rPr>
      </w:pPr>
    </w:p>
    <w:p w14:paraId="67861FC1" w14:textId="77777777" w:rsidR="00270CA4" w:rsidRPr="002333A9" w:rsidRDefault="00270CA4" w:rsidP="002333A9">
      <w:pPr>
        <w:jc w:val="both"/>
        <w:rPr>
          <w:bCs/>
          <w:color w:val="000000" w:themeColor="text1"/>
          <w:lang w:val="es-MX"/>
        </w:rPr>
      </w:pPr>
      <w:r w:rsidRPr="002333A9">
        <w:rPr>
          <w:bCs/>
          <w:color w:val="000000" w:themeColor="text1"/>
          <w:lang w:val="es-MX"/>
        </w:rPr>
        <w:t>Con el propósito de determinar el impacto del nivel del índice de rigor en la actividad económica para 2023, se estimó la respuesta de cada actividad económica (a través de parámetros) dado diferentes niveles en el índice de rigor con respecto al escenario base proyectado para dicho año, el cual es congruente con el escenario bajo previsto por el Banco de Guatemala. Para calcular los valores de los parámetros se tomó como base el efecto negativo en la economía originado por la pandemia en 2020 y se realizó un comparativo con respecto al desempeño por actividad económica previo a la pandemia y se determinó la sensibilidad de cada uno.</w:t>
      </w:r>
    </w:p>
    <w:p w14:paraId="1F7D2940" w14:textId="77777777" w:rsidR="00270CA4" w:rsidRPr="002333A9" w:rsidRDefault="00270CA4" w:rsidP="002333A9">
      <w:pPr>
        <w:jc w:val="both"/>
        <w:rPr>
          <w:bCs/>
          <w:color w:val="000000" w:themeColor="text1"/>
          <w:lang w:val="es-MX"/>
        </w:rPr>
      </w:pPr>
    </w:p>
    <w:p w14:paraId="1FA43293" w14:textId="2DC422EA" w:rsidR="00270CA4" w:rsidRPr="002333A9" w:rsidRDefault="00270CA4" w:rsidP="002333A9">
      <w:pPr>
        <w:jc w:val="both"/>
        <w:rPr>
          <w:bCs/>
          <w:color w:val="000000" w:themeColor="text1"/>
          <w:lang w:val="es-MX"/>
        </w:rPr>
      </w:pPr>
      <w:r w:rsidRPr="002333A9">
        <w:rPr>
          <w:bCs/>
          <w:color w:val="000000" w:themeColor="text1"/>
          <w:lang w:val="es-MX"/>
        </w:rPr>
        <w:t>Con los elementos anteriores se realizaron dos escenarios, en el primero se simuló una situación en el cual</w:t>
      </w:r>
      <w:r w:rsidR="0091034C">
        <w:rPr>
          <w:bCs/>
          <w:color w:val="000000" w:themeColor="text1"/>
          <w:lang w:val="es-MX"/>
        </w:rPr>
        <w:t>,</w:t>
      </w:r>
      <w:r w:rsidRPr="002333A9">
        <w:rPr>
          <w:bCs/>
          <w:color w:val="000000" w:themeColor="text1"/>
          <w:lang w:val="es-MX"/>
        </w:rPr>
        <w:t xml:space="preserve"> el índice toma un valor de 60.0 tomando en cuenta que las medidas de confinamiento son mayores que las implementadas de enero a julio de 2022, y en la segunda el índice se estima muy similar al observado en 2020 con un valor de 80.0 ya que las medidas de confinamiento serán igualmente severas. No obstante, se prevé un menor impacto de estas medidas con respecto el 2020, debido a los avances en la vacunación y debido a la experiencia de los agentes económicos a adaptarse a los mecanismos sanitarios propuestos por el Gobierno para contener la propagación del COVID-19.</w:t>
      </w:r>
    </w:p>
    <w:p w14:paraId="7934FF53" w14:textId="77777777" w:rsidR="00270CA4" w:rsidRPr="002333A9" w:rsidRDefault="00270CA4" w:rsidP="002333A9">
      <w:pPr>
        <w:jc w:val="both"/>
        <w:rPr>
          <w:bCs/>
          <w:color w:val="000000" w:themeColor="text1"/>
          <w:lang w:val="es-MX"/>
        </w:rPr>
      </w:pPr>
    </w:p>
    <w:p w14:paraId="01340FC3" w14:textId="77777777" w:rsidR="00270CA4" w:rsidRDefault="00270CA4" w:rsidP="002333A9">
      <w:pPr>
        <w:jc w:val="both"/>
        <w:rPr>
          <w:bCs/>
          <w:lang w:val="es-MX"/>
        </w:rPr>
      </w:pPr>
      <w:r w:rsidRPr="002333A9">
        <w:rPr>
          <w:bCs/>
          <w:color w:val="000000" w:themeColor="text1"/>
          <w:lang w:val="es-MX"/>
        </w:rPr>
        <w:t>De esa cuenta, se puede observar que la agricultura, ganadería, silvicultura y pesca tienen un efecto positivo al aumentar las medidas de contención a nivel interno y externo porque la elasticidad con respecto al ingreso de los bienes de agricultura es baja. La actividad más afectada son las actividades de alojamiento y servicio de comida debido a las restricciones que afectan el turismo interno y externo. Asimismo, las actividades de transporte y almacenamiento son perjudicadas por las restricciones que afectan la movilidad y las actividades de servicios y el sector de la construcción, por los cambios en los patrones de consumo e inversión. Por lo que, tomando un escenario base en el cual la economía crece 2.5% en el 2023, dada las respuestas de las actividades económicas, el producto interno bruto se contrae aproximadamente 1.2% y 0.1% con un índice de rigor promedio de 60.0 y 80.0 respectivamente.</w:t>
      </w:r>
    </w:p>
    <w:p w14:paraId="454D6203" w14:textId="77777777" w:rsidR="00270CA4" w:rsidRDefault="00270CA4" w:rsidP="00270CA4">
      <w:pPr>
        <w:pStyle w:val="Sinespaciado"/>
        <w:ind w:left="567" w:right="49"/>
        <w:jc w:val="both"/>
        <w:rPr>
          <w:bCs/>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4"/>
      </w:tblGrid>
      <w:tr w:rsidR="00270CA4" w:rsidRPr="00110472" w14:paraId="13492001" w14:textId="77777777" w:rsidTr="00ED483A">
        <w:trPr>
          <w:trHeight w:val="252"/>
          <w:jc w:val="center"/>
        </w:trPr>
        <w:tc>
          <w:tcPr>
            <w:tcW w:w="6516" w:type="dxa"/>
            <w:shd w:val="clear" w:color="auto" w:fill="auto"/>
          </w:tcPr>
          <w:p w14:paraId="44B5F371" w14:textId="0D662107" w:rsidR="00270CA4" w:rsidRPr="00462B5B" w:rsidRDefault="00462B5B" w:rsidP="00462B5B">
            <w:pPr>
              <w:pStyle w:val="Descripcin"/>
              <w:keepNext/>
            </w:pPr>
            <w:bookmarkStart w:id="104" w:name="_Toc114493930"/>
            <w:r w:rsidRPr="00462B5B">
              <w:rPr>
                <w:color w:val="auto"/>
                <w:sz w:val="24"/>
              </w:rPr>
              <w:t xml:space="preserve">Tabla </w:t>
            </w:r>
            <w:r w:rsidRPr="00462B5B">
              <w:rPr>
                <w:color w:val="auto"/>
              </w:rPr>
              <w:fldChar w:fldCharType="begin"/>
            </w:r>
            <w:r w:rsidRPr="00462B5B">
              <w:rPr>
                <w:color w:val="auto"/>
                <w:sz w:val="24"/>
              </w:rPr>
              <w:instrText xml:space="preserve"> SEQ Tabla \* ARABIC </w:instrText>
            </w:r>
            <w:r w:rsidRPr="00462B5B">
              <w:rPr>
                <w:color w:val="auto"/>
              </w:rPr>
              <w:fldChar w:fldCharType="separate"/>
            </w:r>
            <w:r w:rsidR="002E7809">
              <w:rPr>
                <w:noProof/>
                <w:color w:val="auto"/>
                <w:sz w:val="24"/>
              </w:rPr>
              <w:t>7</w:t>
            </w:r>
            <w:r w:rsidRPr="00462B5B">
              <w:rPr>
                <w:color w:val="auto"/>
              </w:rPr>
              <w:fldChar w:fldCharType="end"/>
            </w:r>
            <w:r w:rsidRPr="00462B5B">
              <w:rPr>
                <w:color w:val="auto"/>
                <w:sz w:val="24"/>
              </w:rPr>
              <w:t xml:space="preserve">.  </w:t>
            </w:r>
            <w:r w:rsidR="00270CA4" w:rsidRPr="00462B5B">
              <w:rPr>
                <w:color w:val="auto"/>
                <w:sz w:val="24"/>
                <w:lang w:val="es-MX"/>
              </w:rPr>
              <w:t>Respuesta de las actividades económica en base al índice de rigor en 2023</w:t>
            </w:r>
            <w:bookmarkEnd w:id="104"/>
          </w:p>
        </w:tc>
      </w:tr>
      <w:tr w:rsidR="00270CA4" w:rsidRPr="00110472" w14:paraId="31F55BA5" w14:textId="77777777" w:rsidTr="00ED483A">
        <w:trPr>
          <w:trHeight w:val="3967"/>
          <w:jc w:val="center"/>
        </w:trPr>
        <w:tc>
          <w:tcPr>
            <w:tcW w:w="6516" w:type="dxa"/>
          </w:tcPr>
          <w:tbl>
            <w:tblPr>
              <w:tblW w:w="7108" w:type="dxa"/>
              <w:tblCellMar>
                <w:left w:w="70" w:type="dxa"/>
                <w:right w:w="70" w:type="dxa"/>
              </w:tblCellMar>
              <w:tblLook w:val="04A0" w:firstRow="1" w:lastRow="0" w:firstColumn="1" w:lastColumn="0" w:noHBand="0" w:noVBand="1"/>
            </w:tblPr>
            <w:tblGrid>
              <w:gridCol w:w="4283"/>
              <w:gridCol w:w="936"/>
              <w:gridCol w:w="894"/>
              <w:gridCol w:w="995"/>
            </w:tblGrid>
            <w:tr w:rsidR="00270CA4" w:rsidRPr="00132F96" w14:paraId="5E854BF7" w14:textId="77777777" w:rsidTr="00132F96">
              <w:trPr>
                <w:trHeight w:val="335"/>
              </w:trPr>
              <w:tc>
                <w:tcPr>
                  <w:tcW w:w="4283" w:type="dxa"/>
                  <w:tcBorders>
                    <w:top w:val="single" w:sz="4" w:space="0" w:color="auto"/>
                    <w:left w:val="single" w:sz="4" w:space="0" w:color="auto"/>
                    <w:bottom w:val="double" w:sz="6" w:space="0" w:color="auto"/>
                    <w:right w:val="nil"/>
                  </w:tcBorders>
                  <w:shd w:val="clear" w:color="000000" w:fill="8EA9DB"/>
                  <w:noWrap/>
                  <w:vAlign w:val="center"/>
                  <w:hideMark/>
                </w:tcPr>
                <w:p w14:paraId="775D73B1" w14:textId="77777777" w:rsidR="00270CA4" w:rsidRPr="00132F96" w:rsidRDefault="00270CA4" w:rsidP="00ED483A">
                  <w:pPr>
                    <w:widowControl/>
                    <w:rPr>
                      <w:color w:val="000000"/>
                      <w:sz w:val="18"/>
                      <w:szCs w:val="14"/>
                      <w:lang w:eastAsia="es-GT"/>
                    </w:rPr>
                  </w:pPr>
                  <w:r w:rsidRPr="00132F96">
                    <w:rPr>
                      <w:color w:val="000000"/>
                      <w:sz w:val="18"/>
                      <w:szCs w:val="14"/>
                      <w:lang w:eastAsia="es-GT"/>
                    </w:rPr>
                    <w:t>Actividad económica</w:t>
                  </w:r>
                </w:p>
              </w:tc>
              <w:tc>
                <w:tcPr>
                  <w:tcW w:w="936" w:type="dxa"/>
                  <w:tcBorders>
                    <w:top w:val="single" w:sz="4" w:space="0" w:color="auto"/>
                    <w:left w:val="single" w:sz="4" w:space="0" w:color="auto"/>
                    <w:bottom w:val="double" w:sz="6" w:space="0" w:color="auto"/>
                    <w:right w:val="nil"/>
                  </w:tcBorders>
                  <w:shd w:val="clear" w:color="000000" w:fill="8EA9DB"/>
                  <w:vAlign w:val="center"/>
                  <w:hideMark/>
                </w:tcPr>
                <w:p w14:paraId="572C4962" w14:textId="77777777" w:rsidR="00270CA4" w:rsidRPr="00132F96" w:rsidRDefault="00270CA4" w:rsidP="00ED483A">
                  <w:pPr>
                    <w:widowControl/>
                    <w:rPr>
                      <w:color w:val="000000"/>
                      <w:sz w:val="18"/>
                      <w:szCs w:val="14"/>
                      <w:lang w:eastAsia="es-GT"/>
                    </w:rPr>
                  </w:pPr>
                  <w:r w:rsidRPr="00132F96">
                    <w:rPr>
                      <w:color w:val="000000"/>
                      <w:sz w:val="18"/>
                      <w:szCs w:val="14"/>
                      <w:lang w:eastAsia="es-GT"/>
                    </w:rPr>
                    <w:t>Escenario Base</w:t>
                  </w:r>
                </w:p>
              </w:tc>
              <w:tc>
                <w:tcPr>
                  <w:tcW w:w="894" w:type="dxa"/>
                  <w:tcBorders>
                    <w:top w:val="single" w:sz="4" w:space="0" w:color="auto"/>
                    <w:left w:val="single" w:sz="4" w:space="0" w:color="auto"/>
                    <w:bottom w:val="double" w:sz="6" w:space="0" w:color="auto"/>
                    <w:right w:val="nil"/>
                  </w:tcBorders>
                  <w:shd w:val="clear" w:color="000000" w:fill="8EA9DB"/>
                  <w:vAlign w:val="center"/>
                  <w:hideMark/>
                </w:tcPr>
                <w:p w14:paraId="590806A6" w14:textId="77777777" w:rsidR="00270CA4" w:rsidRPr="00132F96" w:rsidRDefault="00270CA4" w:rsidP="00ED483A">
                  <w:pPr>
                    <w:widowControl/>
                    <w:rPr>
                      <w:color w:val="000000"/>
                      <w:sz w:val="18"/>
                      <w:szCs w:val="14"/>
                      <w:lang w:eastAsia="es-GT"/>
                    </w:rPr>
                  </w:pPr>
                  <w:r w:rsidRPr="00132F96">
                    <w:rPr>
                      <w:color w:val="000000"/>
                      <w:sz w:val="18"/>
                      <w:szCs w:val="14"/>
                      <w:lang w:eastAsia="es-GT"/>
                    </w:rPr>
                    <w:t>Índice de rigor= 60.0</w:t>
                  </w:r>
                </w:p>
              </w:tc>
              <w:tc>
                <w:tcPr>
                  <w:tcW w:w="995" w:type="dxa"/>
                  <w:tcBorders>
                    <w:top w:val="single" w:sz="4" w:space="0" w:color="auto"/>
                    <w:left w:val="single" w:sz="4" w:space="0" w:color="auto"/>
                    <w:bottom w:val="double" w:sz="6" w:space="0" w:color="auto"/>
                    <w:right w:val="single" w:sz="4" w:space="0" w:color="auto"/>
                  </w:tcBorders>
                  <w:shd w:val="clear" w:color="000000" w:fill="8EA9DB"/>
                  <w:vAlign w:val="center"/>
                  <w:hideMark/>
                </w:tcPr>
                <w:p w14:paraId="23F3E42D" w14:textId="77777777" w:rsidR="00270CA4" w:rsidRPr="00132F96" w:rsidRDefault="00270CA4" w:rsidP="00ED483A">
                  <w:pPr>
                    <w:widowControl/>
                    <w:rPr>
                      <w:color w:val="000000"/>
                      <w:sz w:val="18"/>
                      <w:szCs w:val="14"/>
                      <w:lang w:eastAsia="es-GT"/>
                    </w:rPr>
                  </w:pPr>
                  <w:r w:rsidRPr="00132F96">
                    <w:rPr>
                      <w:color w:val="000000"/>
                      <w:sz w:val="18"/>
                      <w:szCs w:val="14"/>
                      <w:lang w:eastAsia="es-GT"/>
                    </w:rPr>
                    <w:t>Índice de rigor = 80.0</w:t>
                  </w:r>
                </w:p>
              </w:tc>
            </w:tr>
            <w:tr w:rsidR="00270CA4" w:rsidRPr="00132F96" w14:paraId="7735BB69" w14:textId="77777777" w:rsidTr="00132F96">
              <w:trPr>
                <w:trHeight w:val="107"/>
              </w:trPr>
              <w:tc>
                <w:tcPr>
                  <w:tcW w:w="4283" w:type="dxa"/>
                  <w:tcBorders>
                    <w:top w:val="nil"/>
                    <w:left w:val="single" w:sz="4" w:space="0" w:color="auto"/>
                    <w:bottom w:val="nil"/>
                    <w:right w:val="nil"/>
                  </w:tcBorders>
                  <w:shd w:val="clear" w:color="000000" w:fill="FFFFFF"/>
                  <w:noWrap/>
                  <w:vAlign w:val="center"/>
                  <w:hideMark/>
                </w:tcPr>
                <w:p w14:paraId="3AC036B8" w14:textId="77777777" w:rsidR="00270CA4" w:rsidRPr="00132F96" w:rsidRDefault="00270CA4" w:rsidP="00ED483A">
                  <w:pPr>
                    <w:widowControl/>
                    <w:rPr>
                      <w:color w:val="000000"/>
                      <w:sz w:val="18"/>
                      <w:szCs w:val="14"/>
                      <w:lang w:eastAsia="es-GT"/>
                    </w:rPr>
                  </w:pPr>
                  <w:r w:rsidRPr="00132F96">
                    <w:rPr>
                      <w:color w:val="000000"/>
                      <w:sz w:val="18"/>
                      <w:szCs w:val="14"/>
                      <w:lang w:eastAsia="es-GT"/>
                    </w:rPr>
                    <w:t>Agricultura, ganadería, silvicultura y pesca</w:t>
                  </w:r>
                </w:p>
              </w:tc>
              <w:tc>
                <w:tcPr>
                  <w:tcW w:w="936" w:type="dxa"/>
                  <w:tcBorders>
                    <w:top w:val="nil"/>
                    <w:left w:val="single" w:sz="4" w:space="0" w:color="auto"/>
                    <w:bottom w:val="nil"/>
                    <w:right w:val="nil"/>
                  </w:tcBorders>
                  <w:shd w:val="clear" w:color="000000" w:fill="FFFFFF"/>
                  <w:noWrap/>
                  <w:vAlign w:val="center"/>
                  <w:hideMark/>
                </w:tcPr>
                <w:p w14:paraId="7B001193"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4CAF2159"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759F315D"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r>
            <w:tr w:rsidR="00270CA4" w:rsidRPr="00132F96" w14:paraId="0206449A"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6363AA72" w14:textId="77777777" w:rsidR="00270CA4" w:rsidRPr="00132F96" w:rsidRDefault="00270CA4" w:rsidP="00ED483A">
                  <w:pPr>
                    <w:widowControl/>
                    <w:rPr>
                      <w:color w:val="000000"/>
                      <w:sz w:val="18"/>
                      <w:szCs w:val="14"/>
                      <w:lang w:eastAsia="es-GT"/>
                    </w:rPr>
                  </w:pPr>
                  <w:r w:rsidRPr="00132F96">
                    <w:rPr>
                      <w:color w:val="000000"/>
                      <w:sz w:val="18"/>
                      <w:szCs w:val="14"/>
                      <w:lang w:eastAsia="es-GT"/>
                    </w:rPr>
                    <w:t>Explotación de minas y canteras</w:t>
                  </w:r>
                </w:p>
              </w:tc>
              <w:tc>
                <w:tcPr>
                  <w:tcW w:w="936" w:type="dxa"/>
                  <w:tcBorders>
                    <w:top w:val="nil"/>
                    <w:left w:val="single" w:sz="4" w:space="0" w:color="auto"/>
                    <w:bottom w:val="nil"/>
                    <w:right w:val="nil"/>
                  </w:tcBorders>
                  <w:shd w:val="clear" w:color="000000" w:fill="FFFFFF"/>
                  <w:noWrap/>
                  <w:vAlign w:val="center"/>
                  <w:hideMark/>
                </w:tcPr>
                <w:p w14:paraId="018EC8A3"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5DB3B3EF"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520AC3CC"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r>
            <w:tr w:rsidR="00270CA4" w:rsidRPr="00132F96" w14:paraId="01B72059"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4582731B" w14:textId="77777777" w:rsidR="00270CA4" w:rsidRPr="00132F96" w:rsidRDefault="00270CA4" w:rsidP="00ED483A">
                  <w:pPr>
                    <w:widowControl/>
                    <w:rPr>
                      <w:color w:val="000000"/>
                      <w:sz w:val="18"/>
                      <w:szCs w:val="14"/>
                      <w:lang w:eastAsia="es-GT"/>
                    </w:rPr>
                  </w:pPr>
                  <w:r w:rsidRPr="00132F96">
                    <w:rPr>
                      <w:color w:val="000000"/>
                      <w:sz w:val="18"/>
                      <w:szCs w:val="14"/>
                      <w:lang w:eastAsia="es-GT"/>
                    </w:rPr>
                    <w:t>Industrias manufactureras</w:t>
                  </w:r>
                </w:p>
              </w:tc>
              <w:tc>
                <w:tcPr>
                  <w:tcW w:w="936" w:type="dxa"/>
                  <w:tcBorders>
                    <w:top w:val="nil"/>
                    <w:left w:val="single" w:sz="4" w:space="0" w:color="auto"/>
                    <w:bottom w:val="nil"/>
                    <w:right w:val="nil"/>
                  </w:tcBorders>
                  <w:shd w:val="clear" w:color="000000" w:fill="FFFFFF"/>
                  <w:noWrap/>
                  <w:vAlign w:val="center"/>
                  <w:hideMark/>
                </w:tcPr>
                <w:p w14:paraId="38869E44"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1F725DD0"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0185B681"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0.98</w:t>
                  </w:r>
                </w:p>
              </w:tc>
            </w:tr>
            <w:tr w:rsidR="00270CA4" w:rsidRPr="00132F96" w14:paraId="2D33BEAC"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6960B39F" w14:textId="77777777" w:rsidR="00270CA4" w:rsidRPr="00132F96" w:rsidRDefault="00270CA4" w:rsidP="00ED483A">
                  <w:pPr>
                    <w:widowControl/>
                    <w:rPr>
                      <w:color w:val="000000"/>
                      <w:sz w:val="18"/>
                      <w:szCs w:val="14"/>
                      <w:lang w:eastAsia="es-GT"/>
                    </w:rPr>
                  </w:pPr>
                  <w:r w:rsidRPr="00132F96">
                    <w:rPr>
                      <w:color w:val="000000"/>
                      <w:sz w:val="18"/>
                      <w:szCs w:val="14"/>
                      <w:lang w:eastAsia="es-GT"/>
                    </w:rPr>
                    <w:t>Suministro de electricidad, agua y etc.</w:t>
                  </w:r>
                </w:p>
              </w:tc>
              <w:tc>
                <w:tcPr>
                  <w:tcW w:w="936" w:type="dxa"/>
                  <w:tcBorders>
                    <w:top w:val="nil"/>
                    <w:left w:val="single" w:sz="4" w:space="0" w:color="auto"/>
                    <w:bottom w:val="nil"/>
                    <w:right w:val="nil"/>
                  </w:tcBorders>
                  <w:shd w:val="clear" w:color="000000" w:fill="FFFFFF"/>
                  <w:noWrap/>
                  <w:vAlign w:val="center"/>
                  <w:hideMark/>
                </w:tcPr>
                <w:p w14:paraId="3DD7D66E"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1C4A0843"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995" w:type="dxa"/>
                  <w:tcBorders>
                    <w:top w:val="nil"/>
                    <w:left w:val="single" w:sz="4" w:space="0" w:color="auto"/>
                    <w:bottom w:val="nil"/>
                    <w:right w:val="single" w:sz="4" w:space="0" w:color="auto"/>
                  </w:tcBorders>
                  <w:shd w:val="clear" w:color="000000" w:fill="FFFFFF"/>
                  <w:noWrap/>
                  <w:vAlign w:val="center"/>
                  <w:hideMark/>
                </w:tcPr>
                <w:p w14:paraId="5F2BC50F"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r>
            <w:tr w:rsidR="00270CA4" w:rsidRPr="00132F96" w14:paraId="1C320A11"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35268761" w14:textId="77777777" w:rsidR="00270CA4" w:rsidRPr="00132F96" w:rsidRDefault="00270CA4" w:rsidP="00ED483A">
                  <w:pPr>
                    <w:widowControl/>
                    <w:rPr>
                      <w:color w:val="000000"/>
                      <w:sz w:val="18"/>
                      <w:szCs w:val="14"/>
                      <w:lang w:eastAsia="es-GT"/>
                    </w:rPr>
                  </w:pPr>
                  <w:r w:rsidRPr="00132F96">
                    <w:rPr>
                      <w:color w:val="000000"/>
                      <w:sz w:val="18"/>
                      <w:szCs w:val="14"/>
                      <w:lang w:eastAsia="es-GT"/>
                    </w:rPr>
                    <w:t>Construcción</w:t>
                  </w:r>
                </w:p>
              </w:tc>
              <w:tc>
                <w:tcPr>
                  <w:tcW w:w="936" w:type="dxa"/>
                  <w:tcBorders>
                    <w:top w:val="nil"/>
                    <w:left w:val="single" w:sz="4" w:space="0" w:color="auto"/>
                    <w:bottom w:val="nil"/>
                    <w:right w:val="nil"/>
                  </w:tcBorders>
                  <w:shd w:val="clear" w:color="000000" w:fill="FFFFFF"/>
                  <w:noWrap/>
                  <w:vAlign w:val="center"/>
                  <w:hideMark/>
                </w:tcPr>
                <w:p w14:paraId="2224653D"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694C9632"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0.98</w:t>
                  </w:r>
                </w:p>
              </w:tc>
              <w:tc>
                <w:tcPr>
                  <w:tcW w:w="995" w:type="dxa"/>
                  <w:tcBorders>
                    <w:top w:val="nil"/>
                    <w:left w:val="single" w:sz="4" w:space="0" w:color="auto"/>
                    <w:bottom w:val="nil"/>
                    <w:right w:val="single" w:sz="4" w:space="0" w:color="auto"/>
                  </w:tcBorders>
                  <w:shd w:val="clear" w:color="000000" w:fill="FFFFFF"/>
                  <w:noWrap/>
                  <w:vAlign w:val="center"/>
                  <w:hideMark/>
                </w:tcPr>
                <w:p w14:paraId="3A2AEF7B"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0.96</w:t>
                  </w:r>
                </w:p>
              </w:tc>
            </w:tr>
            <w:tr w:rsidR="00270CA4" w:rsidRPr="00132F96" w14:paraId="19F6F303"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46B8F37C" w14:textId="77777777" w:rsidR="00270CA4" w:rsidRPr="00132F96" w:rsidRDefault="00270CA4" w:rsidP="00ED483A">
                  <w:pPr>
                    <w:widowControl/>
                    <w:rPr>
                      <w:color w:val="000000"/>
                      <w:sz w:val="18"/>
                      <w:szCs w:val="14"/>
                      <w:lang w:eastAsia="es-GT"/>
                    </w:rPr>
                  </w:pPr>
                  <w:r w:rsidRPr="00132F96">
                    <w:rPr>
                      <w:color w:val="000000"/>
                      <w:sz w:val="18"/>
                      <w:szCs w:val="14"/>
                      <w:lang w:eastAsia="es-GT"/>
                    </w:rPr>
                    <w:t>Comercio al por mayor y al por menor (y rep. de vehículos)</w:t>
                  </w:r>
                </w:p>
              </w:tc>
              <w:tc>
                <w:tcPr>
                  <w:tcW w:w="936" w:type="dxa"/>
                  <w:tcBorders>
                    <w:top w:val="nil"/>
                    <w:left w:val="single" w:sz="4" w:space="0" w:color="auto"/>
                    <w:bottom w:val="nil"/>
                    <w:right w:val="nil"/>
                  </w:tcBorders>
                  <w:shd w:val="clear" w:color="000000" w:fill="FFFFFF"/>
                  <w:noWrap/>
                  <w:vAlign w:val="center"/>
                  <w:hideMark/>
                </w:tcPr>
                <w:p w14:paraId="4061B690"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7FA575F8"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09ABAC20"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r>
            <w:tr w:rsidR="00270CA4" w:rsidRPr="00132F96" w14:paraId="01F14A2F"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31D57416" w14:textId="77777777" w:rsidR="00270CA4" w:rsidRPr="00132F96" w:rsidRDefault="00270CA4" w:rsidP="00ED483A">
                  <w:pPr>
                    <w:widowControl/>
                    <w:rPr>
                      <w:color w:val="000000"/>
                      <w:sz w:val="18"/>
                      <w:szCs w:val="14"/>
                      <w:lang w:eastAsia="es-GT"/>
                    </w:rPr>
                  </w:pPr>
                  <w:r w:rsidRPr="00132F96">
                    <w:rPr>
                      <w:color w:val="000000"/>
                      <w:sz w:val="18"/>
                      <w:szCs w:val="14"/>
                      <w:lang w:eastAsia="es-GT"/>
                    </w:rPr>
                    <w:t>Transporte y almacenamiento</w:t>
                  </w:r>
                </w:p>
              </w:tc>
              <w:tc>
                <w:tcPr>
                  <w:tcW w:w="936" w:type="dxa"/>
                  <w:tcBorders>
                    <w:top w:val="nil"/>
                    <w:left w:val="single" w:sz="4" w:space="0" w:color="auto"/>
                    <w:bottom w:val="nil"/>
                    <w:right w:val="nil"/>
                  </w:tcBorders>
                  <w:shd w:val="clear" w:color="000000" w:fill="FFFFFF"/>
                  <w:noWrap/>
                  <w:vAlign w:val="center"/>
                  <w:hideMark/>
                </w:tcPr>
                <w:p w14:paraId="64D33A18"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16689D36"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0.96</w:t>
                  </w:r>
                </w:p>
              </w:tc>
              <w:tc>
                <w:tcPr>
                  <w:tcW w:w="995" w:type="dxa"/>
                  <w:tcBorders>
                    <w:top w:val="nil"/>
                    <w:left w:val="single" w:sz="4" w:space="0" w:color="auto"/>
                    <w:bottom w:val="nil"/>
                    <w:right w:val="single" w:sz="4" w:space="0" w:color="auto"/>
                  </w:tcBorders>
                  <w:shd w:val="clear" w:color="000000" w:fill="FFFFFF"/>
                  <w:noWrap/>
                  <w:vAlign w:val="center"/>
                  <w:hideMark/>
                </w:tcPr>
                <w:p w14:paraId="4663E913"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0.93</w:t>
                  </w:r>
                </w:p>
              </w:tc>
            </w:tr>
            <w:tr w:rsidR="00270CA4" w:rsidRPr="00132F96" w14:paraId="55816645"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20B79D1B" w14:textId="77777777" w:rsidR="00270CA4" w:rsidRPr="00132F96" w:rsidRDefault="00270CA4" w:rsidP="00ED483A">
                  <w:pPr>
                    <w:widowControl/>
                    <w:rPr>
                      <w:color w:val="000000"/>
                      <w:sz w:val="18"/>
                      <w:szCs w:val="14"/>
                      <w:lang w:eastAsia="es-GT"/>
                    </w:rPr>
                  </w:pPr>
                  <w:r w:rsidRPr="00132F96">
                    <w:rPr>
                      <w:color w:val="000000"/>
                      <w:sz w:val="18"/>
                      <w:szCs w:val="14"/>
                      <w:lang w:eastAsia="es-GT"/>
                    </w:rPr>
                    <w:t>Actividades de alojamiento y de servicio de comidas</w:t>
                  </w:r>
                </w:p>
              </w:tc>
              <w:tc>
                <w:tcPr>
                  <w:tcW w:w="936" w:type="dxa"/>
                  <w:tcBorders>
                    <w:top w:val="nil"/>
                    <w:left w:val="single" w:sz="4" w:space="0" w:color="auto"/>
                    <w:bottom w:val="nil"/>
                    <w:right w:val="nil"/>
                  </w:tcBorders>
                  <w:shd w:val="clear" w:color="000000" w:fill="FFFFFF"/>
                  <w:noWrap/>
                  <w:vAlign w:val="center"/>
                  <w:hideMark/>
                </w:tcPr>
                <w:p w14:paraId="3F12D8D9"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5115C49D"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0.93</w:t>
                  </w:r>
                </w:p>
              </w:tc>
              <w:tc>
                <w:tcPr>
                  <w:tcW w:w="995" w:type="dxa"/>
                  <w:tcBorders>
                    <w:top w:val="nil"/>
                    <w:left w:val="single" w:sz="4" w:space="0" w:color="auto"/>
                    <w:bottom w:val="nil"/>
                    <w:right w:val="single" w:sz="4" w:space="0" w:color="auto"/>
                  </w:tcBorders>
                  <w:shd w:val="clear" w:color="000000" w:fill="FFFFFF"/>
                  <w:noWrap/>
                  <w:vAlign w:val="center"/>
                  <w:hideMark/>
                </w:tcPr>
                <w:p w14:paraId="4B249553"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0.87</w:t>
                  </w:r>
                </w:p>
              </w:tc>
            </w:tr>
            <w:tr w:rsidR="00270CA4" w:rsidRPr="00132F96" w14:paraId="7638130B"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603D4C17" w14:textId="77777777" w:rsidR="00270CA4" w:rsidRPr="00132F96" w:rsidRDefault="00270CA4" w:rsidP="00ED483A">
                  <w:pPr>
                    <w:widowControl/>
                    <w:rPr>
                      <w:color w:val="000000"/>
                      <w:sz w:val="18"/>
                      <w:szCs w:val="14"/>
                      <w:lang w:eastAsia="es-GT"/>
                    </w:rPr>
                  </w:pPr>
                  <w:r w:rsidRPr="00132F96">
                    <w:rPr>
                      <w:color w:val="000000"/>
                      <w:sz w:val="18"/>
                      <w:szCs w:val="14"/>
                      <w:lang w:eastAsia="es-GT"/>
                    </w:rPr>
                    <w:t>Información y comunicaciones</w:t>
                  </w:r>
                </w:p>
              </w:tc>
              <w:tc>
                <w:tcPr>
                  <w:tcW w:w="936" w:type="dxa"/>
                  <w:tcBorders>
                    <w:top w:val="nil"/>
                    <w:left w:val="single" w:sz="4" w:space="0" w:color="auto"/>
                    <w:bottom w:val="nil"/>
                    <w:right w:val="nil"/>
                  </w:tcBorders>
                  <w:shd w:val="clear" w:color="000000" w:fill="FFFFFF"/>
                  <w:noWrap/>
                  <w:vAlign w:val="center"/>
                  <w:hideMark/>
                </w:tcPr>
                <w:p w14:paraId="2A9D0532"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64DD05C9"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0E33D9D2"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0.98</w:t>
                  </w:r>
                </w:p>
              </w:tc>
            </w:tr>
            <w:tr w:rsidR="00270CA4" w:rsidRPr="00132F96" w14:paraId="410D170A"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603F9151" w14:textId="77777777" w:rsidR="00270CA4" w:rsidRPr="00132F96" w:rsidRDefault="00270CA4" w:rsidP="00ED483A">
                  <w:pPr>
                    <w:widowControl/>
                    <w:rPr>
                      <w:color w:val="000000"/>
                      <w:sz w:val="18"/>
                      <w:szCs w:val="14"/>
                      <w:lang w:eastAsia="es-GT"/>
                    </w:rPr>
                  </w:pPr>
                  <w:r w:rsidRPr="00132F96">
                    <w:rPr>
                      <w:color w:val="000000"/>
                      <w:sz w:val="18"/>
                      <w:szCs w:val="14"/>
                      <w:lang w:eastAsia="es-GT"/>
                    </w:rPr>
                    <w:t>Actividades financieras y de seguros</w:t>
                  </w:r>
                </w:p>
              </w:tc>
              <w:tc>
                <w:tcPr>
                  <w:tcW w:w="936" w:type="dxa"/>
                  <w:tcBorders>
                    <w:top w:val="nil"/>
                    <w:left w:val="single" w:sz="4" w:space="0" w:color="auto"/>
                    <w:bottom w:val="nil"/>
                    <w:right w:val="nil"/>
                  </w:tcBorders>
                  <w:shd w:val="clear" w:color="000000" w:fill="FFFFFF"/>
                  <w:noWrap/>
                  <w:vAlign w:val="center"/>
                  <w:hideMark/>
                </w:tcPr>
                <w:p w14:paraId="01B6C83E"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5C2C90A5"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34B5E488"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r>
            <w:tr w:rsidR="00270CA4" w:rsidRPr="00132F96" w14:paraId="73028499"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2E39A81C" w14:textId="77777777" w:rsidR="00270CA4" w:rsidRPr="00132F96" w:rsidRDefault="00270CA4" w:rsidP="00ED483A">
                  <w:pPr>
                    <w:widowControl/>
                    <w:rPr>
                      <w:color w:val="000000"/>
                      <w:sz w:val="18"/>
                      <w:szCs w:val="14"/>
                      <w:lang w:eastAsia="es-GT"/>
                    </w:rPr>
                  </w:pPr>
                  <w:r w:rsidRPr="00132F96">
                    <w:rPr>
                      <w:color w:val="000000"/>
                      <w:sz w:val="18"/>
                      <w:szCs w:val="14"/>
                      <w:lang w:eastAsia="es-GT"/>
                    </w:rPr>
                    <w:t>Actividades inmobiliarias</w:t>
                  </w:r>
                </w:p>
              </w:tc>
              <w:tc>
                <w:tcPr>
                  <w:tcW w:w="936" w:type="dxa"/>
                  <w:tcBorders>
                    <w:top w:val="nil"/>
                    <w:left w:val="single" w:sz="4" w:space="0" w:color="auto"/>
                    <w:bottom w:val="nil"/>
                    <w:right w:val="nil"/>
                  </w:tcBorders>
                  <w:shd w:val="clear" w:color="000000" w:fill="FFFFFF"/>
                  <w:noWrap/>
                  <w:vAlign w:val="center"/>
                  <w:hideMark/>
                </w:tcPr>
                <w:p w14:paraId="74F30CF7"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2B4554EB"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995" w:type="dxa"/>
                  <w:tcBorders>
                    <w:top w:val="nil"/>
                    <w:left w:val="single" w:sz="4" w:space="0" w:color="auto"/>
                    <w:bottom w:val="nil"/>
                    <w:right w:val="single" w:sz="4" w:space="0" w:color="auto"/>
                  </w:tcBorders>
                  <w:shd w:val="clear" w:color="000000" w:fill="FFFFFF"/>
                  <w:noWrap/>
                  <w:vAlign w:val="center"/>
                  <w:hideMark/>
                </w:tcPr>
                <w:p w14:paraId="1DD79882"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r>
            <w:tr w:rsidR="00270CA4" w:rsidRPr="00132F96" w14:paraId="7707D184"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42A5C576" w14:textId="77777777" w:rsidR="00270CA4" w:rsidRPr="00132F96" w:rsidRDefault="00270CA4" w:rsidP="00ED483A">
                  <w:pPr>
                    <w:widowControl/>
                    <w:rPr>
                      <w:color w:val="000000"/>
                      <w:sz w:val="18"/>
                      <w:szCs w:val="14"/>
                      <w:lang w:eastAsia="es-GT"/>
                    </w:rPr>
                  </w:pPr>
                  <w:r w:rsidRPr="00132F96">
                    <w:rPr>
                      <w:color w:val="000000"/>
                      <w:sz w:val="18"/>
                      <w:szCs w:val="14"/>
                      <w:lang w:eastAsia="es-GT"/>
                    </w:rPr>
                    <w:t>Actividades profesionales, científicas y técnicas</w:t>
                  </w:r>
                </w:p>
              </w:tc>
              <w:tc>
                <w:tcPr>
                  <w:tcW w:w="936" w:type="dxa"/>
                  <w:tcBorders>
                    <w:top w:val="nil"/>
                    <w:left w:val="single" w:sz="4" w:space="0" w:color="auto"/>
                    <w:bottom w:val="nil"/>
                    <w:right w:val="nil"/>
                  </w:tcBorders>
                  <w:shd w:val="clear" w:color="000000" w:fill="FFFFFF"/>
                  <w:noWrap/>
                  <w:vAlign w:val="center"/>
                  <w:hideMark/>
                </w:tcPr>
                <w:p w14:paraId="6C951EA6"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2FC5BDE4"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0.98</w:t>
                  </w:r>
                </w:p>
              </w:tc>
              <w:tc>
                <w:tcPr>
                  <w:tcW w:w="995" w:type="dxa"/>
                  <w:tcBorders>
                    <w:top w:val="nil"/>
                    <w:left w:val="single" w:sz="4" w:space="0" w:color="auto"/>
                    <w:bottom w:val="nil"/>
                    <w:right w:val="single" w:sz="4" w:space="0" w:color="auto"/>
                  </w:tcBorders>
                  <w:shd w:val="clear" w:color="000000" w:fill="FFFFFF"/>
                  <w:noWrap/>
                  <w:vAlign w:val="center"/>
                  <w:hideMark/>
                </w:tcPr>
                <w:p w14:paraId="5012A9C5"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0.97</w:t>
                  </w:r>
                </w:p>
              </w:tc>
            </w:tr>
            <w:tr w:rsidR="00270CA4" w:rsidRPr="00132F96" w14:paraId="2F228E49"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01FDA4D3" w14:textId="77777777" w:rsidR="00270CA4" w:rsidRPr="00132F96" w:rsidRDefault="00270CA4" w:rsidP="00ED483A">
                  <w:pPr>
                    <w:widowControl/>
                    <w:rPr>
                      <w:color w:val="000000"/>
                      <w:sz w:val="18"/>
                      <w:szCs w:val="14"/>
                      <w:lang w:eastAsia="es-GT"/>
                    </w:rPr>
                  </w:pPr>
                  <w:r w:rsidRPr="00132F96">
                    <w:rPr>
                      <w:color w:val="000000"/>
                      <w:sz w:val="18"/>
                      <w:szCs w:val="14"/>
                      <w:lang w:eastAsia="es-GT"/>
                    </w:rPr>
                    <w:t>Actividades de servicios administrativos y de apoyo</w:t>
                  </w:r>
                </w:p>
              </w:tc>
              <w:tc>
                <w:tcPr>
                  <w:tcW w:w="936" w:type="dxa"/>
                  <w:tcBorders>
                    <w:top w:val="nil"/>
                    <w:left w:val="single" w:sz="4" w:space="0" w:color="auto"/>
                    <w:bottom w:val="nil"/>
                    <w:right w:val="nil"/>
                  </w:tcBorders>
                  <w:shd w:val="clear" w:color="000000" w:fill="FFFFFF"/>
                  <w:noWrap/>
                  <w:vAlign w:val="center"/>
                  <w:hideMark/>
                </w:tcPr>
                <w:p w14:paraId="7AA8ED78"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3DAB04FD"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0.98</w:t>
                  </w:r>
                </w:p>
              </w:tc>
              <w:tc>
                <w:tcPr>
                  <w:tcW w:w="995" w:type="dxa"/>
                  <w:tcBorders>
                    <w:top w:val="nil"/>
                    <w:left w:val="single" w:sz="4" w:space="0" w:color="auto"/>
                    <w:bottom w:val="nil"/>
                    <w:right w:val="single" w:sz="4" w:space="0" w:color="auto"/>
                  </w:tcBorders>
                  <w:shd w:val="clear" w:color="000000" w:fill="FFFFFF"/>
                  <w:noWrap/>
                  <w:vAlign w:val="center"/>
                  <w:hideMark/>
                </w:tcPr>
                <w:p w14:paraId="64EB3A25"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0.97</w:t>
                  </w:r>
                </w:p>
              </w:tc>
            </w:tr>
            <w:tr w:rsidR="00270CA4" w:rsidRPr="00132F96" w14:paraId="7D725ECE"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5BB94F20" w14:textId="77777777" w:rsidR="00270CA4" w:rsidRPr="00132F96" w:rsidRDefault="00270CA4" w:rsidP="00ED483A">
                  <w:pPr>
                    <w:widowControl/>
                    <w:rPr>
                      <w:color w:val="000000"/>
                      <w:sz w:val="18"/>
                      <w:szCs w:val="14"/>
                      <w:lang w:eastAsia="es-GT"/>
                    </w:rPr>
                  </w:pPr>
                  <w:r w:rsidRPr="00132F96">
                    <w:rPr>
                      <w:color w:val="000000"/>
                      <w:sz w:val="18"/>
                      <w:szCs w:val="14"/>
                      <w:lang w:eastAsia="es-GT"/>
                    </w:rPr>
                    <w:t>Administración pública y defensa</w:t>
                  </w:r>
                </w:p>
              </w:tc>
              <w:tc>
                <w:tcPr>
                  <w:tcW w:w="936" w:type="dxa"/>
                  <w:tcBorders>
                    <w:top w:val="nil"/>
                    <w:left w:val="single" w:sz="4" w:space="0" w:color="auto"/>
                    <w:bottom w:val="nil"/>
                    <w:right w:val="nil"/>
                  </w:tcBorders>
                  <w:shd w:val="clear" w:color="000000" w:fill="FFFFFF"/>
                  <w:noWrap/>
                  <w:vAlign w:val="center"/>
                  <w:hideMark/>
                </w:tcPr>
                <w:p w14:paraId="6F1D58D6"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53E5FE41"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3957EED6"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r>
            <w:tr w:rsidR="00270CA4" w:rsidRPr="00132F96" w14:paraId="34B45C9D" w14:textId="77777777" w:rsidTr="00132F96">
              <w:trPr>
                <w:trHeight w:val="260"/>
              </w:trPr>
              <w:tc>
                <w:tcPr>
                  <w:tcW w:w="4283" w:type="dxa"/>
                  <w:tcBorders>
                    <w:top w:val="nil"/>
                    <w:left w:val="single" w:sz="4" w:space="0" w:color="auto"/>
                    <w:bottom w:val="nil"/>
                    <w:right w:val="nil"/>
                  </w:tcBorders>
                  <w:shd w:val="clear" w:color="000000" w:fill="FFFFFF"/>
                  <w:noWrap/>
                  <w:vAlign w:val="center"/>
                  <w:hideMark/>
                </w:tcPr>
                <w:p w14:paraId="27AC0796" w14:textId="77777777" w:rsidR="00270CA4" w:rsidRPr="00132F96" w:rsidRDefault="00270CA4" w:rsidP="00ED483A">
                  <w:pPr>
                    <w:widowControl/>
                    <w:rPr>
                      <w:color w:val="000000"/>
                      <w:sz w:val="18"/>
                      <w:szCs w:val="14"/>
                      <w:lang w:eastAsia="es-GT"/>
                    </w:rPr>
                  </w:pPr>
                  <w:r w:rsidRPr="00132F96">
                    <w:rPr>
                      <w:color w:val="000000"/>
                      <w:sz w:val="18"/>
                      <w:szCs w:val="14"/>
                      <w:lang w:eastAsia="es-GT"/>
                    </w:rPr>
                    <w:t>Enseñanza</w:t>
                  </w:r>
                </w:p>
              </w:tc>
              <w:tc>
                <w:tcPr>
                  <w:tcW w:w="936" w:type="dxa"/>
                  <w:tcBorders>
                    <w:top w:val="nil"/>
                    <w:left w:val="single" w:sz="4" w:space="0" w:color="auto"/>
                    <w:bottom w:val="nil"/>
                    <w:right w:val="nil"/>
                  </w:tcBorders>
                  <w:shd w:val="clear" w:color="000000" w:fill="FFFFFF"/>
                  <w:noWrap/>
                  <w:vAlign w:val="center"/>
                  <w:hideMark/>
                </w:tcPr>
                <w:p w14:paraId="0DABDDFC"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156FD3E2"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7E203594"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0.98</w:t>
                  </w:r>
                </w:p>
              </w:tc>
            </w:tr>
            <w:tr w:rsidR="00270CA4" w:rsidRPr="00132F96" w14:paraId="51D87742" w14:textId="77777777" w:rsidTr="00132F96">
              <w:trPr>
                <w:trHeight w:val="61"/>
              </w:trPr>
              <w:tc>
                <w:tcPr>
                  <w:tcW w:w="4283" w:type="dxa"/>
                  <w:tcBorders>
                    <w:top w:val="nil"/>
                    <w:left w:val="single" w:sz="4" w:space="0" w:color="auto"/>
                    <w:bottom w:val="nil"/>
                    <w:right w:val="nil"/>
                  </w:tcBorders>
                  <w:shd w:val="clear" w:color="000000" w:fill="FFFFFF"/>
                  <w:noWrap/>
                  <w:vAlign w:val="center"/>
                  <w:hideMark/>
                </w:tcPr>
                <w:p w14:paraId="0651B19B" w14:textId="77777777" w:rsidR="00270CA4" w:rsidRPr="00132F96" w:rsidRDefault="00270CA4" w:rsidP="00ED483A">
                  <w:pPr>
                    <w:widowControl/>
                    <w:rPr>
                      <w:color w:val="000000"/>
                      <w:sz w:val="18"/>
                      <w:szCs w:val="14"/>
                      <w:lang w:eastAsia="es-GT"/>
                    </w:rPr>
                  </w:pPr>
                  <w:r w:rsidRPr="00132F96">
                    <w:rPr>
                      <w:color w:val="000000"/>
                      <w:sz w:val="18"/>
                      <w:szCs w:val="14"/>
                      <w:lang w:eastAsia="es-GT"/>
                    </w:rPr>
                    <w:t>Actividades de atención de la salud humana</w:t>
                  </w:r>
                </w:p>
              </w:tc>
              <w:tc>
                <w:tcPr>
                  <w:tcW w:w="936" w:type="dxa"/>
                  <w:tcBorders>
                    <w:top w:val="nil"/>
                    <w:left w:val="single" w:sz="4" w:space="0" w:color="auto"/>
                    <w:bottom w:val="nil"/>
                    <w:right w:val="nil"/>
                  </w:tcBorders>
                  <w:shd w:val="clear" w:color="000000" w:fill="FFFFFF"/>
                  <w:noWrap/>
                  <w:vAlign w:val="center"/>
                  <w:hideMark/>
                </w:tcPr>
                <w:p w14:paraId="07172E20"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nil"/>
                    <w:right w:val="nil"/>
                  </w:tcBorders>
                  <w:shd w:val="clear" w:color="000000" w:fill="FFFFFF"/>
                  <w:noWrap/>
                  <w:vAlign w:val="center"/>
                  <w:hideMark/>
                </w:tcPr>
                <w:p w14:paraId="1F51388D"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0.99</w:t>
                  </w:r>
                </w:p>
              </w:tc>
              <w:tc>
                <w:tcPr>
                  <w:tcW w:w="995" w:type="dxa"/>
                  <w:tcBorders>
                    <w:top w:val="nil"/>
                    <w:left w:val="single" w:sz="4" w:space="0" w:color="auto"/>
                    <w:bottom w:val="nil"/>
                    <w:right w:val="single" w:sz="4" w:space="0" w:color="auto"/>
                  </w:tcBorders>
                  <w:shd w:val="clear" w:color="000000" w:fill="FFFFFF"/>
                  <w:noWrap/>
                  <w:vAlign w:val="center"/>
                  <w:hideMark/>
                </w:tcPr>
                <w:p w14:paraId="09F3322C"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0.98</w:t>
                  </w:r>
                </w:p>
              </w:tc>
            </w:tr>
            <w:tr w:rsidR="00270CA4" w:rsidRPr="00132F96" w14:paraId="1D140AE5" w14:textId="77777777" w:rsidTr="00132F96">
              <w:trPr>
                <w:trHeight w:val="260"/>
              </w:trPr>
              <w:tc>
                <w:tcPr>
                  <w:tcW w:w="4283" w:type="dxa"/>
                  <w:tcBorders>
                    <w:top w:val="nil"/>
                    <w:left w:val="single" w:sz="4" w:space="0" w:color="auto"/>
                    <w:bottom w:val="single" w:sz="4" w:space="0" w:color="auto"/>
                    <w:right w:val="nil"/>
                  </w:tcBorders>
                  <w:shd w:val="clear" w:color="000000" w:fill="FFFFFF"/>
                  <w:noWrap/>
                  <w:vAlign w:val="center"/>
                  <w:hideMark/>
                </w:tcPr>
                <w:p w14:paraId="7863FE6F" w14:textId="77777777" w:rsidR="00270CA4" w:rsidRPr="00132F96" w:rsidRDefault="00270CA4" w:rsidP="00ED483A">
                  <w:pPr>
                    <w:widowControl/>
                    <w:rPr>
                      <w:color w:val="000000"/>
                      <w:sz w:val="18"/>
                      <w:szCs w:val="14"/>
                      <w:lang w:eastAsia="es-GT"/>
                    </w:rPr>
                  </w:pPr>
                  <w:r w:rsidRPr="00132F96">
                    <w:rPr>
                      <w:color w:val="000000"/>
                      <w:sz w:val="18"/>
                      <w:szCs w:val="14"/>
                      <w:lang w:eastAsia="es-GT"/>
                    </w:rPr>
                    <w:t>Otras actividades de servicios</w:t>
                  </w:r>
                </w:p>
              </w:tc>
              <w:tc>
                <w:tcPr>
                  <w:tcW w:w="936" w:type="dxa"/>
                  <w:tcBorders>
                    <w:top w:val="nil"/>
                    <w:left w:val="single" w:sz="4" w:space="0" w:color="auto"/>
                    <w:bottom w:val="single" w:sz="4" w:space="0" w:color="auto"/>
                    <w:right w:val="nil"/>
                  </w:tcBorders>
                  <w:shd w:val="clear" w:color="000000" w:fill="FFFFFF"/>
                  <w:noWrap/>
                  <w:vAlign w:val="center"/>
                  <w:hideMark/>
                </w:tcPr>
                <w:p w14:paraId="2F24D1E6"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1.00</w:t>
                  </w:r>
                </w:p>
              </w:tc>
              <w:tc>
                <w:tcPr>
                  <w:tcW w:w="894" w:type="dxa"/>
                  <w:tcBorders>
                    <w:top w:val="nil"/>
                    <w:left w:val="single" w:sz="4" w:space="0" w:color="auto"/>
                    <w:bottom w:val="single" w:sz="4" w:space="0" w:color="auto"/>
                    <w:right w:val="nil"/>
                  </w:tcBorders>
                  <w:shd w:val="clear" w:color="000000" w:fill="FFFFFF"/>
                  <w:noWrap/>
                  <w:vAlign w:val="center"/>
                  <w:hideMark/>
                </w:tcPr>
                <w:p w14:paraId="32953BD9"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0.97</w:t>
                  </w:r>
                </w:p>
              </w:tc>
              <w:tc>
                <w:tcPr>
                  <w:tcW w:w="995" w:type="dxa"/>
                  <w:tcBorders>
                    <w:top w:val="nil"/>
                    <w:left w:val="single" w:sz="4" w:space="0" w:color="auto"/>
                    <w:bottom w:val="single" w:sz="4" w:space="0" w:color="auto"/>
                    <w:right w:val="single" w:sz="4" w:space="0" w:color="auto"/>
                  </w:tcBorders>
                  <w:shd w:val="clear" w:color="000000" w:fill="FFFFFF"/>
                  <w:noWrap/>
                  <w:vAlign w:val="center"/>
                  <w:hideMark/>
                </w:tcPr>
                <w:p w14:paraId="2225BEC3" w14:textId="77777777" w:rsidR="00270CA4" w:rsidRPr="00132F96" w:rsidRDefault="00270CA4" w:rsidP="00ED483A">
                  <w:pPr>
                    <w:widowControl/>
                    <w:jc w:val="center"/>
                    <w:rPr>
                      <w:color w:val="000000"/>
                      <w:sz w:val="18"/>
                      <w:szCs w:val="14"/>
                      <w:lang w:eastAsia="es-GT"/>
                    </w:rPr>
                  </w:pPr>
                  <w:r w:rsidRPr="00132F96">
                    <w:rPr>
                      <w:color w:val="000000"/>
                      <w:sz w:val="18"/>
                      <w:szCs w:val="14"/>
                      <w:lang w:eastAsia="es-GT"/>
                    </w:rPr>
                    <w:t>0.94</w:t>
                  </w:r>
                </w:p>
              </w:tc>
            </w:tr>
            <w:tr w:rsidR="00270CA4" w:rsidRPr="00132F96" w14:paraId="75DA7F4D" w14:textId="77777777" w:rsidTr="00132F96">
              <w:trPr>
                <w:trHeight w:val="260"/>
              </w:trPr>
              <w:tc>
                <w:tcPr>
                  <w:tcW w:w="4283" w:type="dxa"/>
                  <w:tcBorders>
                    <w:top w:val="nil"/>
                    <w:left w:val="single" w:sz="4" w:space="0" w:color="auto"/>
                    <w:bottom w:val="single" w:sz="4" w:space="0" w:color="auto"/>
                    <w:right w:val="nil"/>
                  </w:tcBorders>
                  <w:shd w:val="clear" w:color="000000" w:fill="FFFFFF"/>
                  <w:noWrap/>
                  <w:vAlign w:val="center"/>
                  <w:hideMark/>
                </w:tcPr>
                <w:p w14:paraId="24F2B4AE" w14:textId="77777777" w:rsidR="00270CA4" w:rsidRPr="00132F96" w:rsidRDefault="00270CA4" w:rsidP="00ED483A">
                  <w:pPr>
                    <w:widowControl/>
                    <w:rPr>
                      <w:b/>
                      <w:bCs/>
                      <w:color w:val="000000"/>
                      <w:sz w:val="18"/>
                      <w:szCs w:val="14"/>
                      <w:lang w:eastAsia="es-GT"/>
                    </w:rPr>
                  </w:pPr>
                  <w:r w:rsidRPr="00132F96">
                    <w:rPr>
                      <w:b/>
                      <w:bCs/>
                      <w:color w:val="000000"/>
                      <w:sz w:val="18"/>
                      <w:szCs w:val="14"/>
                      <w:lang w:eastAsia="es-GT"/>
                    </w:rPr>
                    <w:t>Crecimiento del PIB</w:t>
                  </w:r>
                </w:p>
              </w:tc>
              <w:tc>
                <w:tcPr>
                  <w:tcW w:w="936" w:type="dxa"/>
                  <w:tcBorders>
                    <w:top w:val="nil"/>
                    <w:left w:val="single" w:sz="4" w:space="0" w:color="auto"/>
                    <w:bottom w:val="single" w:sz="4" w:space="0" w:color="auto"/>
                    <w:right w:val="nil"/>
                  </w:tcBorders>
                  <w:shd w:val="clear" w:color="000000" w:fill="FFFFFF"/>
                  <w:noWrap/>
                  <w:vAlign w:val="center"/>
                  <w:hideMark/>
                </w:tcPr>
                <w:p w14:paraId="0E0A479D" w14:textId="77777777" w:rsidR="00270CA4" w:rsidRPr="00132F96" w:rsidRDefault="00270CA4" w:rsidP="00ED483A">
                  <w:pPr>
                    <w:widowControl/>
                    <w:jc w:val="center"/>
                    <w:rPr>
                      <w:b/>
                      <w:bCs/>
                      <w:color w:val="000000"/>
                      <w:sz w:val="18"/>
                      <w:szCs w:val="14"/>
                      <w:lang w:eastAsia="es-GT"/>
                    </w:rPr>
                  </w:pPr>
                  <w:r w:rsidRPr="00132F96">
                    <w:rPr>
                      <w:b/>
                      <w:bCs/>
                      <w:color w:val="000000"/>
                      <w:sz w:val="18"/>
                      <w:szCs w:val="14"/>
                      <w:lang w:eastAsia="es-GT"/>
                    </w:rPr>
                    <w:t>2.5%</w:t>
                  </w:r>
                </w:p>
              </w:tc>
              <w:tc>
                <w:tcPr>
                  <w:tcW w:w="894" w:type="dxa"/>
                  <w:tcBorders>
                    <w:top w:val="nil"/>
                    <w:left w:val="single" w:sz="4" w:space="0" w:color="auto"/>
                    <w:bottom w:val="single" w:sz="4" w:space="0" w:color="auto"/>
                    <w:right w:val="nil"/>
                  </w:tcBorders>
                  <w:shd w:val="clear" w:color="000000" w:fill="FFFFFF"/>
                  <w:noWrap/>
                  <w:vAlign w:val="center"/>
                  <w:hideMark/>
                </w:tcPr>
                <w:p w14:paraId="3B6A01B1" w14:textId="77777777" w:rsidR="00270CA4" w:rsidRPr="00132F96" w:rsidRDefault="00270CA4" w:rsidP="00ED483A">
                  <w:pPr>
                    <w:widowControl/>
                    <w:jc w:val="center"/>
                    <w:rPr>
                      <w:b/>
                      <w:bCs/>
                      <w:color w:val="000000"/>
                      <w:sz w:val="18"/>
                      <w:szCs w:val="14"/>
                      <w:lang w:eastAsia="es-GT"/>
                    </w:rPr>
                  </w:pPr>
                  <w:r w:rsidRPr="00132F96">
                    <w:rPr>
                      <w:b/>
                      <w:bCs/>
                      <w:color w:val="000000"/>
                      <w:sz w:val="18"/>
                      <w:szCs w:val="14"/>
                      <w:lang w:eastAsia="es-GT"/>
                    </w:rPr>
                    <w:t>1.2%</w:t>
                  </w:r>
                </w:p>
              </w:tc>
              <w:tc>
                <w:tcPr>
                  <w:tcW w:w="995" w:type="dxa"/>
                  <w:tcBorders>
                    <w:top w:val="nil"/>
                    <w:left w:val="single" w:sz="4" w:space="0" w:color="auto"/>
                    <w:bottom w:val="single" w:sz="4" w:space="0" w:color="auto"/>
                    <w:right w:val="single" w:sz="4" w:space="0" w:color="auto"/>
                  </w:tcBorders>
                  <w:shd w:val="clear" w:color="000000" w:fill="FFFFFF"/>
                  <w:noWrap/>
                  <w:vAlign w:val="center"/>
                  <w:hideMark/>
                </w:tcPr>
                <w:p w14:paraId="6CCFAADB" w14:textId="77777777" w:rsidR="00270CA4" w:rsidRPr="00132F96" w:rsidRDefault="00270CA4" w:rsidP="00ED483A">
                  <w:pPr>
                    <w:widowControl/>
                    <w:jc w:val="center"/>
                    <w:rPr>
                      <w:b/>
                      <w:bCs/>
                      <w:color w:val="000000"/>
                      <w:sz w:val="18"/>
                      <w:szCs w:val="14"/>
                      <w:lang w:eastAsia="es-GT"/>
                    </w:rPr>
                  </w:pPr>
                  <w:r w:rsidRPr="00132F96">
                    <w:rPr>
                      <w:b/>
                      <w:bCs/>
                      <w:color w:val="000000"/>
                      <w:sz w:val="18"/>
                      <w:szCs w:val="14"/>
                      <w:lang w:eastAsia="es-GT"/>
                    </w:rPr>
                    <w:t>0.1%</w:t>
                  </w:r>
                </w:p>
              </w:tc>
            </w:tr>
          </w:tbl>
          <w:p w14:paraId="5A52B4F7" w14:textId="77777777" w:rsidR="00270CA4" w:rsidRPr="00132F96" w:rsidRDefault="00270CA4" w:rsidP="00ED483A">
            <w:pPr>
              <w:tabs>
                <w:tab w:val="left" w:pos="1360"/>
              </w:tabs>
              <w:rPr>
                <w:sz w:val="18"/>
              </w:rPr>
            </w:pPr>
          </w:p>
        </w:tc>
      </w:tr>
      <w:tr w:rsidR="00270CA4" w14:paraId="4E73C475" w14:textId="77777777" w:rsidTr="00ED483A">
        <w:trPr>
          <w:trHeight w:val="171"/>
          <w:jc w:val="center"/>
        </w:trPr>
        <w:tc>
          <w:tcPr>
            <w:tcW w:w="6516" w:type="dxa"/>
          </w:tcPr>
          <w:p w14:paraId="2CC9A2B5" w14:textId="77777777" w:rsidR="00270CA4" w:rsidRPr="00FF4E28" w:rsidRDefault="00270CA4" w:rsidP="00ED483A">
            <w:pPr>
              <w:pStyle w:val="Sinespaciado"/>
              <w:ind w:right="49"/>
              <w:jc w:val="both"/>
              <w:rPr>
                <w:bCs/>
                <w:sz w:val="16"/>
                <w:lang w:val="es-MX"/>
              </w:rPr>
            </w:pPr>
            <w:r>
              <w:rPr>
                <w:bCs/>
                <w:sz w:val="16"/>
                <w:lang w:val="es-MX"/>
              </w:rPr>
              <w:t xml:space="preserve"> </w:t>
            </w:r>
            <w:r w:rsidRPr="00FF4E28">
              <w:rPr>
                <w:bCs/>
                <w:sz w:val="16"/>
                <w:lang w:val="es-MX"/>
              </w:rPr>
              <w:t xml:space="preserve">Fuente: Dirección de Análisis y Política Fiscal </w:t>
            </w:r>
          </w:p>
        </w:tc>
      </w:tr>
    </w:tbl>
    <w:p w14:paraId="4A449A04" w14:textId="77777777" w:rsidR="00270CA4" w:rsidRPr="00784F8A" w:rsidRDefault="00270CA4" w:rsidP="00270CA4">
      <w:pPr>
        <w:pStyle w:val="Sinespaciado"/>
        <w:ind w:right="49"/>
        <w:jc w:val="both"/>
        <w:rPr>
          <w:bCs/>
          <w:lang w:val="es-MX"/>
        </w:rPr>
      </w:pPr>
    </w:p>
    <w:p w14:paraId="44D5594E" w14:textId="643B52B3" w:rsidR="00270CA4" w:rsidRDefault="00270CA4" w:rsidP="002333A9">
      <w:pPr>
        <w:jc w:val="both"/>
        <w:rPr>
          <w:bCs/>
          <w:color w:val="000000" w:themeColor="text1"/>
          <w:lang w:val="es-MX"/>
        </w:rPr>
      </w:pPr>
      <w:r w:rsidRPr="002333A9">
        <w:rPr>
          <w:bCs/>
          <w:color w:val="000000" w:themeColor="text1"/>
          <w:lang w:val="es-MX"/>
        </w:rPr>
        <w:t xml:space="preserve">Para medir el impacto de estos escenarios del PIB real en la recaudación tributaria, fue necesario pronosticar también las posibles trayectorias de las importaciones FOB y del deflactor del PIB dado que estas tres variables explican la mayor parte de su comportamiento. Para realizar estos pronósticos se usaron modelos de cointegración y de corrección errores para estimar las relaciones de largo plazo y las elasticidades de corto plazo. Para explicar las importaciones se consideraron el índice de tipo de cambio real y la renta (PIB real) y para el deflactor del PIB se consideró el deflactor de las importaciones, el deflactor de las exportaciones y el deflactor del consumo. </w:t>
      </w:r>
    </w:p>
    <w:p w14:paraId="52E08567" w14:textId="77777777" w:rsidR="009701B8" w:rsidRPr="002333A9" w:rsidRDefault="009701B8" w:rsidP="002333A9">
      <w:pPr>
        <w:jc w:val="both"/>
        <w:rPr>
          <w:bCs/>
          <w:color w:val="000000" w:themeColor="text1"/>
          <w:lang w:val="es-MX"/>
        </w:rPr>
      </w:pPr>
    </w:p>
    <w:p w14:paraId="0B1C4542" w14:textId="713703A2" w:rsidR="00270CA4" w:rsidRDefault="00270CA4" w:rsidP="002333A9">
      <w:pPr>
        <w:jc w:val="both"/>
        <w:rPr>
          <w:bCs/>
          <w:lang w:val="es-MX"/>
        </w:rPr>
      </w:pPr>
      <w:r w:rsidRPr="002333A9">
        <w:rPr>
          <w:bCs/>
          <w:color w:val="000000" w:themeColor="text1"/>
          <w:lang w:val="es-MX"/>
        </w:rPr>
        <w:t>La simulación con un escenario de rebrote de la pandemia y un nivel de índice de rigor en promedio de 60.0 en el 2022, el crecimiento del PIB real disminuiría a 1.2%, el del deflactor a 1.5% y el de las importaciones FOB se ubicarían en 3.3%. Por otro lado, en el caso que las medidas sean más severas el índice de rigor en promedio sería de 80.0 en el 2022, en este caso el crecimiento del PIB real sería de 0.1%, el del deflactor sería de 1.0% y el de las importaciones FOB se ubicarían en 1.7%.</w:t>
      </w:r>
      <w:r>
        <w:rPr>
          <w:bCs/>
          <w:lang w:val="es-MX"/>
        </w:rPr>
        <w:t xml:space="preserve"> </w:t>
      </w:r>
    </w:p>
    <w:p w14:paraId="5699AD9F" w14:textId="77777777" w:rsidR="00270CA4" w:rsidRPr="00FF4E28" w:rsidRDefault="00270CA4" w:rsidP="00270CA4">
      <w:pPr>
        <w:pStyle w:val="Sinespaciado"/>
        <w:ind w:left="567" w:right="49"/>
        <w:jc w:val="both"/>
        <w:rPr>
          <w:bCs/>
          <w:sz w:val="10"/>
          <w:szCs w:val="10"/>
          <w:lang w:val="es-MX"/>
        </w:rPr>
      </w:pPr>
    </w:p>
    <w:tbl>
      <w:tblPr>
        <w:tblStyle w:val="Tablaconcuadrcula"/>
        <w:tblW w:w="94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0"/>
      </w:tblGrid>
      <w:tr w:rsidR="00270CA4" w14:paraId="715DFE68" w14:textId="77777777" w:rsidTr="00462B5B">
        <w:trPr>
          <w:trHeight w:val="527"/>
        </w:trPr>
        <w:tc>
          <w:tcPr>
            <w:tcW w:w="9425" w:type="dxa"/>
            <w:gridSpan w:val="2"/>
          </w:tcPr>
          <w:p w14:paraId="60A692E3" w14:textId="09865732" w:rsidR="00270CA4" w:rsidRPr="00462B5B" w:rsidRDefault="00462B5B" w:rsidP="00462B5B">
            <w:pPr>
              <w:pStyle w:val="Descripcin"/>
              <w:keepNext/>
              <w:rPr>
                <w:sz w:val="24"/>
                <w:szCs w:val="24"/>
              </w:rPr>
            </w:pPr>
            <w:bookmarkStart w:id="105" w:name="_Toc114493868"/>
            <w:r w:rsidRPr="00462B5B">
              <w:rPr>
                <w:color w:val="auto"/>
                <w:sz w:val="24"/>
                <w:szCs w:val="24"/>
              </w:rPr>
              <w:t xml:space="preserve">Gráfico </w:t>
            </w:r>
            <w:r w:rsidRPr="00462B5B">
              <w:rPr>
                <w:color w:val="auto"/>
              </w:rPr>
              <w:fldChar w:fldCharType="begin"/>
            </w:r>
            <w:r w:rsidRPr="00462B5B">
              <w:rPr>
                <w:color w:val="auto"/>
                <w:sz w:val="24"/>
                <w:szCs w:val="24"/>
              </w:rPr>
              <w:instrText xml:space="preserve"> SEQ Gráfico \* ARABIC </w:instrText>
            </w:r>
            <w:r w:rsidRPr="00462B5B">
              <w:rPr>
                <w:color w:val="auto"/>
              </w:rPr>
              <w:fldChar w:fldCharType="separate"/>
            </w:r>
            <w:r w:rsidR="002E7809">
              <w:rPr>
                <w:noProof/>
                <w:color w:val="auto"/>
                <w:sz w:val="24"/>
                <w:szCs w:val="24"/>
              </w:rPr>
              <w:t>26</w:t>
            </w:r>
            <w:r w:rsidRPr="00462B5B">
              <w:rPr>
                <w:color w:val="auto"/>
              </w:rPr>
              <w:fldChar w:fldCharType="end"/>
            </w:r>
            <w:r w:rsidRPr="00462B5B">
              <w:rPr>
                <w:color w:val="auto"/>
                <w:sz w:val="24"/>
                <w:szCs w:val="24"/>
              </w:rPr>
              <w:t xml:space="preserve">.  </w:t>
            </w:r>
            <w:r w:rsidR="00270CA4" w:rsidRPr="00462B5B">
              <w:rPr>
                <w:color w:val="auto"/>
                <w:sz w:val="24"/>
                <w:szCs w:val="24"/>
                <w:lang w:val="es-MX"/>
              </w:rPr>
              <w:t>Escenarios de las tasas de crecimiento de las variables macroeconómicas ante un rebrote de Pandemia en 2022</w:t>
            </w:r>
            <w:bookmarkEnd w:id="105"/>
          </w:p>
        </w:tc>
      </w:tr>
      <w:tr w:rsidR="00270CA4" w14:paraId="57BD00CF" w14:textId="77777777" w:rsidTr="00462B5B">
        <w:trPr>
          <w:trHeight w:val="263"/>
        </w:trPr>
        <w:tc>
          <w:tcPr>
            <w:tcW w:w="4715" w:type="dxa"/>
          </w:tcPr>
          <w:p w14:paraId="3DF5C3DB" w14:textId="77777777" w:rsidR="00270CA4" w:rsidRDefault="00270CA4" w:rsidP="00ED483A">
            <w:pPr>
              <w:pStyle w:val="Sinespaciado"/>
              <w:ind w:right="49"/>
              <w:jc w:val="center"/>
              <w:rPr>
                <w:bCs/>
                <w:sz w:val="24"/>
                <w:szCs w:val="24"/>
                <w:lang w:val="es-MX"/>
              </w:rPr>
            </w:pPr>
            <w:r>
              <w:rPr>
                <w:bCs/>
                <w:sz w:val="24"/>
                <w:szCs w:val="24"/>
                <w:lang w:val="es-MX"/>
              </w:rPr>
              <w:t>Índice de rigor = 60.0</w:t>
            </w:r>
          </w:p>
        </w:tc>
        <w:tc>
          <w:tcPr>
            <w:tcW w:w="4710" w:type="dxa"/>
          </w:tcPr>
          <w:p w14:paraId="18678DF0" w14:textId="77777777" w:rsidR="00270CA4" w:rsidRDefault="00270CA4" w:rsidP="00ED483A">
            <w:pPr>
              <w:pStyle w:val="Sinespaciado"/>
              <w:ind w:right="49"/>
              <w:jc w:val="center"/>
              <w:rPr>
                <w:bCs/>
                <w:sz w:val="24"/>
                <w:szCs w:val="24"/>
                <w:lang w:val="es-MX"/>
              </w:rPr>
            </w:pPr>
            <w:r>
              <w:rPr>
                <w:bCs/>
                <w:sz w:val="24"/>
                <w:szCs w:val="24"/>
                <w:lang w:val="es-MX"/>
              </w:rPr>
              <w:t>Índice de rigor = 80.0</w:t>
            </w:r>
          </w:p>
        </w:tc>
      </w:tr>
      <w:tr w:rsidR="00270CA4" w14:paraId="3ECE5CCC" w14:textId="77777777" w:rsidTr="00462B5B">
        <w:tblPrEx>
          <w:tblCellMar>
            <w:left w:w="70" w:type="dxa"/>
            <w:right w:w="70" w:type="dxa"/>
          </w:tblCellMar>
        </w:tblPrEx>
        <w:trPr>
          <w:trHeight w:val="2296"/>
        </w:trPr>
        <w:tc>
          <w:tcPr>
            <w:tcW w:w="4715" w:type="dxa"/>
          </w:tcPr>
          <w:p w14:paraId="08D4F020" w14:textId="77777777" w:rsidR="00270CA4" w:rsidRPr="00974983" w:rsidRDefault="00270CA4" w:rsidP="00ED483A">
            <w:pPr>
              <w:pStyle w:val="Sinespaciado"/>
              <w:ind w:right="49"/>
              <w:jc w:val="both"/>
              <w:rPr>
                <w:noProof/>
              </w:rPr>
            </w:pPr>
            <w:r>
              <w:rPr>
                <w:noProof/>
                <w:lang w:val="es-GT"/>
              </w:rPr>
              <w:drawing>
                <wp:inline distT="0" distB="0" distL="0" distR="0" wp14:anchorId="7849417D" wp14:editId="521D77F2">
                  <wp:extent cx="2799080" cy="1785668"/>
                  <wp:effectExtent l="0" t="0" r="1270" b="5080"/>
                  <wp:docPr id="35" name="Gráfico 35">
                    <a:extLst xmlns:a="http://schemas.openxmlformats.org/drawingml/2006/main">
                      <a:ext uri="{FF2B5EF4-FFF2-40B4-BE49-F238E27FC236}">
                        <a16:creationId xmlns:a16="http://schemas.microsoft.com/office/drawing/2014/main" id="{0DF0FEC1-7DA8-4BCA-A3CB-49E1067CC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710" w:type="dxa"/>
          </w:tcPr>
          <w:p w14:paraId="6C0CB6D1" w14:textId="77777777" w:rsidR="00270CA4" w:rsidRPr="00974983" w:rsidRDefault="00270CA4" w:rsidP="00ED483A">
            <w:pPr>
              <w:pStyle w:val="Sinespaciado"/>
              <w:ind w:right="49"/>
              <w:jc w:val="both"/>
              <w:rPr>
                <w:lang w:val="es-MX"/>
              </w:rPr>
            </w:pPr>
            <w:r>
              <w:rPr>
                <w:noProof/>
                <w:lang w:val="es-GT"/>
              </w:rPr>
              <w:drawing>
                <wp:inline distT="0" distB="0" distL="0" distR="0" wp14:anchorId="2F0B6683" wp14:editId="114698FC">
                  <wp:extent cx="2795270" cy="1785620"/>
                  <wp:effectExtent l="0" t="0" r="5080" b="5080"/>
                  <wp:docPr id="36" name="Gráfico 36">
                    <a:extLst xmlns:a="http://schemas.openxmlformats.org/drawingml/2006/main">
                      <a:ext uri="{FF2B5EF4-FFF2-40B4-BE49-F238E27FC236}">
                        <a16:creationId xmlns:a16="http://schemas.microsoft.com/office/drawing/2014/main" id="{1C0F7B34-1384-4A9B-9D7E-0699D87DA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270CA4" w14:paraId="395E1BDD" w14:textId="77777777" w:rsidTr="00462B5B">
        <w:trPr>
          <w:trHeight w:val="175"/>
        </w:trPr>
        <w:tc>
          <w:tcPr>
            <w:tcW w:w="9425" w:type="dxa"/>
            <w:gridSpan w:val="2"/>
          </w:tcPr>
          <w:p w14:paraId="0DCAD51B" w14:textId="77777777" w:rsidR="00270CA4" w:rsidRPr="00820823" w:rsidRDefault="00270CA4" w:rsidP="00ED483A">
            <w:pPr>
              <w:pStyle w:val="Sinespaciado"/>
              <w:ind w:right="49"/>
              <w:jc w:val="both"/>
              <w:rPr>
                <w:bCs/>
                <w:lang w:val="es-MX"/>
              </w:rPr>
            </w:pPr>
            <w:r w:rsidRPr="00306F57">
              <w:rPr>
                <w:bCs/>
                <w:sz w:val="16"/>
                <w:lang w:val="es-MX"/>
              </w:rPr>
              <w:t>Fuente: Dirección de Análisis y Política Fiscal</w:t>
            </w:r>
          </w:p>
        </w:tc>
      </w:tr>
    </w:tbl>
    <w:p w14:paraId="6A5FC9D2" w14:textId="77777777" w:rsidR="00270CA4" w:rsidRDefault="00270CA4" w:rsidP="00270CA4">
      <w:pPr>
        <w:pStyle w:val="Sinespaciado"/>
        <w:ind w:right="49"/>
        <w:jc w:val="both"/>
        <w:rPr>
          <w:bCs/>
          <w:lang w:val="es-MX"/>
        </w:rPr>
      </w:pPr>
    </w:p>
    <w:p w14:paraId="77CE63A3" w14:textId="77777777" w:rsidR="00270CA4" w:rsidRPr="002333A9" w:rsidRDefault="00270CA4" w:rsidP="002333A9">
      <w:pPr>
        <w:jc w:val="both"/>
        <w:rPr>
          <w:bCs/>
          <w:color w:val="000000" w:themeColor="text1"/>
          <w:lang w:val="es-MX"/>
        </w:rPr>
      </w:pPr>
      <w:r w:rsidRPr="002333A9">
        <w:rPr>
          <w:bCs/>
          <w:color w:val="000000" w:themeColor="text1"/>
          <w:lang w:val="es-MX"/>
        </w:rPr>
        <w:t>Para pronosticar la recaudación tributaria para cada escenario se consideraron los efectos de las variables macroeconómicas antes mencionadas y además efectos adicionales en la recaudación por el confinamiento y ajustes por recaudación extraordinaria (derivados del precio internacional del petróleo, el tipo de cambio y esfuerzos adicionales de la SAT). Al obtener los escenarios de la recaudación tributaria en base al PIB nominal se calculó la carga tributaria para cada escenario.</w:t>
      </w:r>
    </w:p>
    <w:p w14:paraId="43D16910" w14:textId="77777777" w:rsidR="00270CA4" w:rsidRPr="002333A9" w:rsidRDefault="00270CA4" w:rsidP="002333A9">
      <w:pPr>
        <w:jc w:val="both"/>
        <w:rPr>
          <w:bCs/>
          <w:color w:val="000000" w:themeColor="text1"/>
          <w:lang w:val="es-MX"/>
        </w:rPr>
      </w:pPr>
    </w:p>
    <w:p w14:paraId="53B86699" w14:textId="77777777" w:rsidR="00270CA4" w:rsidRPr="002333A9" w:rsidRDefault="00270CA4" w:rsidP="002333A9">
      <w:pPr>
        <w:jc w:val="both"/>
        <w:rPr>
          <w:bCs/>
          <w:color w:val="000000" w:themeColor="text1"/>
          <w:lang w:val="es-MX"/>
        </w:rPr>
      </w:pPr>
      <w:r w:rsidRPr="002333A9">
        <w:rPr>
          <w:bCs/>
          <w:color w:val="000000" w:themeColor="text1"/>
          <w:lang w:val="es-MX"/>
        </w:rPr>
        <w:t>El escenario base para la carga tributaria del 2022 es de 11.2%, en el caso de un rebrote de pandemia en el 2022 con un nivel de índice de rigor promedio de 60.0 la carga tributaria se encontraría en 11.0% del PIB aproximadamente. Por otro lado, si las medidas de contención son más estrictas y el índice de rigor promedio es de 80.0 la carga tributaria se ubicaría en torno al 10.7%. Es importante indicar que la diferencia en puntos porcentuales de la carga tributaria podría ser afectado de forma directa por la recaudación tributaria, es decir al disminuir la recaudación disminuye el indicador, y de forma indirecta por el PIB nominal, es decir al disminuir el PIB nominal aumenta el indicador.</w:t>
      </w:r>
    </w:p>
    <w:p w14:paraId="6444E8FA" w14:textId="77777777" w:rsidR="00270CA4" w:rsidRPr="002333A9" w:rsidRDefault="00270CA4" w:rsidP="002333A9">
      <w:pPr>
        <w:jc w:val="both"/>
        <w:rPr>
          <w:bCs/>
          <w:color w:val="000000" w:themeColor="text1"/>
          <w:lang w:val="es-MX"/>
        </w:rPr>
      </w:pPr>
    </w:p>
    <w:p w14:paraId="42AAA027" w14:textId="77777777" w:rsidR="00270CA4" w:rsidRPr="00934738" w:rsidRDefault="00270CA4" w:rsidP="002333A9">
      <w:pPr>
        <w:jc w:val="both"/>
        <w:rPr>
          <w:bCs/>
          <w:lang w:val="es-MX"/>
        </w:rPr>
      </w:pPr>
      <w:r w:rsidRPr="002333A9">
        <w:rPr>
          <w:bCs/>
          <w:color w:val="000000" w:themeColor="text1"/>
          <w:lang w:val="es-MX"/>
        </w:rPr>
        <w:t>Asimismo, se ha observado que en momentos de recesión la tasa de variación de la recaudación disminuye más que la tasa de variación del PIB nominal por distintos factores, uno de ellos puede ser el comportamiento de los contribuyentes, por preferencias de consumo intertemporal, ya que la reducción en sus ingresos puede motivar a que realicen los pagos que consideren prioritarios supeditando el pago de impuestos para el futuro, el cual puede incidir en el aumento de convenios de pago con la autoridad tributaria o la decisión simple de postergar el pago (incumplimiento tributario).</w:t>
      </w:r>
    </w:p>
    <w:p w14:paraId="26CED023" w14:textId="3216B8DB" w:rsidR="00270CA4" w:rsidRDefault="00270CA4" w:rsidP="00270CA4">
      <w:pPr>
        <w:pStyle w:val="Sinespaciado"/>
        <w:ind w:right="49"/>
        <w:jc w:val="both"/>
        <w:rPr>
          <w:bCs/>
          <w:lang w:val="es-MX"/>
        </w:rPr>
      </w:pPr>
    </w:p>
    <w:p w14:paraId="2CBE8114" w14:textId="77777777" w:rsidR="00462B5B" w:rsidRPr="00E21BEE" w:rsidRDefault="00462B5B" w:rsidP="00270CA4">
      <w:pPr>
        <w:pStyle w:val="Sinespaciado"/>
        <w:ind w:right="49"/>
        <w:jc w:val="both"/>
        <w:rPr>
          <w:bCs/>
          <w:lang w:val="es-MX"/>
        </w:rPr>
      </w:pPr>
    </w:p>
    <w:tbl>
      <w:tblPr>
        <w:tblStyle w:val="Tablaconcuadrcula"/>
        <w:tblW w:w="949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9"/>
      </w:tblGrid>
      <w:tr w:rsidR="00270CA4" w14:paraId="73E0932D" w14:textId="77777777" w:rsidTr="0091034C">
        <w:trPr>
          <w:trHeight w:val="530"/>
        </w:trPr>
        <w:tc>
          <w:tcPr>
            <w:tcW w:w="9499" w:type="dxa"/>
          </w:tcPr>
          <w:p w14:paraId="67138BA1" w14:textId="3A90C69D" w:rsidR="00270CA4" w:rsidRPr="00462B5B" w:rsidRDefault="00462B5B" w:rsidP="00462B5B">
            <w:pPr>
              <w:pStyle w:val="Descripcin"/>
              <w:keepNext/>
            </w:pPr>
            <w:bookmarkStart w:id="106" w:name="_Toc114493869"/>
            <w:r w:rsidRPr="00462B5B">
              <w:rPr>
                <w:color w:val="auto"/>
                <w:sz w:val="24"/>
              </w:rPr>
              <w:t xml:space="preserve">Gráfico </w:t>
            </w:r>
            <w:r w:rsidRPr="00462B5B">
              <w:rPr>
                <w:color w:val="auto"/>
              </w:rPr>
              <w:fldChar w:fldCharType="begin"/>
            </w:r>
            <w:r w:rsidRPr="00462B5B">
              <w:rPr>
                <w:color w:val="auto"/>
                <w:sz w:val="24"/>
              </w:rPr>
              <w:instrText xml:space="preserve"> SEQ Gráfico \* ARABIC </w:instrText>
            </w:r>
            <w:r w:rsidRPr="00462B5B">
              <w:rPr>
                <w:color w:val="auto"/>
              </w:rPr>
              <w:fldChar w:fldCharType="separate"/>
            </w:r>
            <w:r w:rsidR="002E7809">
              <w:rPr>
                <w:noProof/>
                <w:color w:val="auto"/>
                <w:sz w:val="24"/>
              </w:rPr>
              <w:t>27</w:t>
            </w:r>
            <w:r w:rsidRPr="00462B5B">
              <w:rPr>
                <w:color w:val="auto"/>
              </w:rPr>
              <w:fldChar w:fldCharType="end"/>
            </w:r>
            <w:r w:rsidRPr="00462B5B">
              <w:rPr>
                <w:color w:val="auto"/>
                <w:sz w:val="24"/>
              </w:rPr>
              <w:t xml:space="preserve">.  </w:t>
            </w:r>
            <w:r w:rsidR="00270CA4" w:rsidRPr="00462B5B">
              <w:rPr>
                <w:color w:val="auto"/>
                <w:sz w:val="24"/>
                <w:lang w:val="es-MX"/>
              </w:rPr>
              <w:t>Carga tributaria de 2023 para distintos valores del índice de rigor dado la propagación de nuevas cepas</w:t>
            </w:r>
            <w:bookmarkEnd w:id="106"/>
          </w:p>
        </w:tc>
      </w:tr>
      <w:tr w:rsidR="00270CA4" w14:paraId="5137882E" w14:textId="77777777" w:rsidTr="0091034C">
        <w:tblPrEx>
          <w:tblCellMar>
            <w:left w:w="70" w:type="dxa"/>
            <w:right w:w="70" w:type="dxa"/>
          </w:tblCellMar>
        </w:tblPrEx>
        <w:trPr>
          <w:trHeight w:val="2725"/>
        </w:trPr>
        <w:tc>
          <w:tcPr>
            <w:tcW w:w="9499" w:type="dxa"/>
          </w:tcPr>
          <w:p w14:paraId="097B1093" w14:textId="77777777" w:rsidR="00270CA4" w:rsidRDefault="00270CA4" w:rsidP="00ED483A">
            <w:pPr>
              <w:pStyle w:val="Sinespaciado"/>
              <w:ind w:right="49"/>
              <w:jc w:val="center"/>
              <w:rPr>
                <w:bCs/>
                <w:sz w:val="24"/>
                <w:szCs w:val="24"/>
                <w:lang w:val="es-MX"/>
              </w:rPr>
            </w:pPr>
            <w:r>
              <w:rPr>
                <w:noProof/>
                <w:lang w:val="es-GT"/>
              </w:rPr>
              <w:drawing>
                <wp:inline distT="0" distB="0" distL="0" distR="0" wp14:anchorId="37EC667E" wp14:editId="3BCCE7B3">
                  <wp:extent cx="5039995" cy="1666875"/>
                  <wp:effectExtent l="0" t="0" r="8255" b="0"/>
                  <wp:docPr id="37" name="Gráfico 37">
                    <a:extLst xmlns:a="http://schemas.openxmlformats.org/drawingml/2006/main">
                      <a:ext uri="{FF2B5EF4-FFF2-40B4-BE49-F238E27FC236}">
                        <a16:creationId xmlns:a16="http://schemas.microsoft.com/office/drawing/2014/main" id="{F334D4A7-FD45-426E-9F84-B4187535A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270CA4" w14:paraId="1CF0D079" w14:textId="77777777" w:rsidTr="0091034C">
        <w:trPr>
          <w:trHeight w:val="218"/>
        </w:trPr>
        <w:tc>
          <w:tcPr>
            <w:tcW w:w="9499" w:type="dxa"/>
          </w:tcPr>
          <w:p w14:paraId="5A703011" w14:textId="4BE70052" w:rsidR="00270CA4" w:rsidRPr="00462B5B" w:rsidRDefault="00462B5B" w:rsidP="00ED483A">
            <w:pPr>
              <w:pStyle w:val="Sinespaciado"/>
              <w:ind w:right="49"/>
              <w:jc w:val="both"/>
              <w:rPr>
                <w:bCs/>
                <w:sz w:val="16"/>
                <w:lang w:val="es-MX"/>
              </w:rPr>
            </w:pPr>
            <w:r>
              <w:rPr>
                <w:bCs/>
                <w:sz w:val="16"/>
                <w:lang w:val="es-MX"/>
              </w:rPr>
              <w:t xml:space="preserve">                   </w:t>
            </w:r>
            <w:r w:rsidR="00270CA4" w:rsidRPr="00462B5B">
              <w:rPr>
                <w:bCs/>
                <w:sz w:val="16"/>
                <w:lang w:val="es-MX"/>
              </w:rPr>
              <w:t>Fuente: Dirección de Análisis y Política Fiscal</w:t>
            </w:r>
          </w:p>
        </w:tc>
      </w:tr>
    </w:tbl>
    <w:p w14:paraId="5D7A72B2" w14:textId="77777777" w:rsidR="00270CA4" w:rsidRDefault="00270CA4" w:rsidP="00270CA4">
      <w:pPr>
        <w:pStyle w:val="Sinespaciado"/>
        <w:ind w:right="49"/>
        <w:jc w:val="both"/>
        <w:rPr>
          <w:bCs/>
          <w:lang w:val="es-MX"/>
        </w:rPr>
      </w:pPr>
    </w:p>
    <w:p w14:paraId="3D8EEE1B" w14:textId="77777777" w:rsidR="00270CA4" w:rsidRPr="000440C1" w:rsidRDefault="00270CA4" w:rsidP="002333A9">
      <w:pPr>
        <w:jc w:val="both"/>
      </w:pPr>
      <w:r w:rsidRPr="002333A9">
        <w:rPr>
          <w:bCs/>
          <w:color w:val="000000" w:themeColor="text1"/>
          <w:lang w:val="es-MX"/>
        </w:rPr>
        <w:t>Los resultados obtenidos, muestran el grado de sensibilidad que los ingresos tributarios tienen ante cambios en las proyecciones macroeconómicas derivadas de un entorno menos favorable en términos de la evolución de la Pandemia en Guatemala y con sus principales socios comerciales, lo cual podría afectar nuevamente la situación fiscal del gobierno que tendría implicaciones en el gasto público, el resultado fiscal y en el nivel de endeudamiento.</w:t>
      </w:r>
    </w:p>
    <w:p w14:paraId="2F515AAD" w14:textId="77777777" w:rsidR="00270CA4" w:rsidRPr="00953FEB" w:rsidRDefault="00270CA4" w:rsidP="00270CA4">
      <w:pPr>
        <w:jc w:val="both"/>
        <w:rPr>
          <w:lang w:val="es-ES"/>
        </w:rPr>
      </w:pPr>
    </w:p>
    <w:p w14:paraId="3CF7281C" w14:textId="33E08BE9" w:rsidR="00736ADD" w:rsidRPr="00C77398" w:rsidRDefault="00736ADD" w:rsidP="00A9708A">
      <w:pPr>
        <w:pStyle w:val="Ttulo1"/>
        <w:numPr>
          <w:ilvl w:val="0"/>
          <w:numId w:val="28"/>
        </w:numPr>
        <w:ind w:left="284" w:hanging="284"/>
        <w:jc w:val="left"/>
        <w:rPr>
          <w:color w:val="auto"/>
          <w:sz w:val="24"/>
          <w:szCs w:val="28"/>
        </w:rPr>
      </w:pPr>
      <w:bookmarkStart w:id="107" w:name="_Toc114495246"/>
      <w:bookmarkStart w:id="108" w:name="_Hlk110841885"/>
      <w:r w:rsidRPr="00C77398">
        <w:rPr>
          <w:color w:val="auto"/>
          <w:sz w:val="24"/>
          <w:szCs w:val="28"/>
        </w:rPr>
        <w:t>Riesgos Fiscales de la Deuda Pública de Guatemala</w:t>
      </w:r>
      <w:bookmarkEnd w:id="107"/>
    </w:p>
    <w:bookmarkEnd w:id="108"/>
    <w:p w14:paraId="70CA828D" w14:textId="77777777" w:rsidR="00736ADD" w:rsidRPr="002846D1" w:rsidRDefault="00736ADD" w:rsidP="00BA2759">
      <w:pPr>
        <w:tabs>
          <w:tab w:val="left" w:pos="1066"/>
        </w:tabs>
        <w:ind w:right="49"/>
        <w:rPr>
          <w:color w:val="1F3864" w:themeColor="accent1" w:themeShade="80"/>
        </w:rPr>
      </w:pPr>
    </w:p>
    <w:p w14:paraId="46F2DB4F" w14:textId="693FBC10" w:rsidR="0028207D" w:rsidRDefault="002C3D84" w:rsidP="00BA2759">
      <w:pPr>
        <w:pStyle w:val="Sinespaciado"/>
        <w:ind w:right="49"/>
        <w:jc w:val="both"/>
        <w:rPr>
          <w:rFonts w:eastAsiaTheme="minorHAnsi"/>
          <w:bCs/>
          <w:color w:val="000000" w:themeColor="text1"/>
          <w:lang w:val="es-MX"/>
        </w:rPr>
      </w:pPr>
      <w:r w:rsidRPr="002C3D84">
        <w:rPr>
          <w:rFonts w:eastAsiaTheme="minorHAnsi"/>
          <w:bCs/>
          <w:color w:val="000000" w:themeColor="text1"/>
          <w:lang w:val="es-MX"/>
        </w:rPr>
        <w:t xml:space="preserve">Guatemala es un país que ha mantenido una estabilidad macroeconómica resultado de un manejo prudente de su política fiscal, lo cual se refleja en la resiliencia que ha mostrado el país ante choques exógenos como el de la crisis financiera internacional del 2009 y el más reciente provocado por la pandemia del COVID-19 en  2020; al comparar los indicadores de la deuda con sus pares centroamericanos se observan que en Guatemala muestra mejores niveles derivado de la disciplina fiscal que se traduce en déficit moderados con algunas excepciones en épocas de crisis aunque los mismos se controlan rápidamente ya que los gastos que se originan son de carácter transitorio para atender la emergencia y propiciar un impulso fiscal expansionista para estimular la economía. Esto ha propiciado que la deuda pública del país sea baja y estable y se mantenga sostenible. Además, el manejo adecuado del endeudamiento ha permitido extender los plazos de colocación de deuda en el mercado interno y en años recientes también en el mercado externo, ya que se han hecho tres colocaciones con plazo de 30 años, reduciendo significativamente el costo financiero de la deuda (tasa de interés).  </w:t>
      </w:r>
    </w:p>
    <w:p w14:paraId="1F0BA109" w14:textId="1C2D8F84" w:rsidR="002C1FE5" w:rsidRDefault="002C1FE5" w:rsidP="00BA2759">
      <w:pPr>
        <w:pStyle w:val="Sinespaciado"/>
        <w:ind w:right="49"/>
        <w:jc w:val="both"/>
        <w:rPr>
          <w:rFonts w:eastAsiaTheme="minorHAnsi"/>
          <w:bCs/>
          <w:color w:val="000000" w:themeColor="text1"/>
          <w:lang w:val="es-MX"/>
        </w:rPr>
      </w:pPr>
    </w:p>
    <w:p w14:paraId="7C343A96" w14:textId="77777777" w:rsidR="002C1FE5" w:rsidRPr="002C1FE5" w:rsidRDefault="002C1FE5" w:rsidP="002C1FE5">
      <w:pPr>
        <w:jc w:val="both"/>
        <w:rPr>
          <w:bCs/>
          <w:color w:val="000000" w:themeColor="text1"/>
          <w:lang w:val="es-MX"/>
        </w:rPr>
      </w:pPr>
      <w:r w:rsidRPr="002C1FE5">
        <w:rPr>
          <w:bCs/>
          <w:color w:val="000000" w:themeColor="text1"/>
          <w:lang w:val="es-MX"/>
        </w:rPr>
        <w:t>Asimismo, la otra variable que es importante en el tema del endeudamiento es el tipo de cambio, en Guatemala ha tenido un comportamiento bastante estable, con algunos periodos leves de variaciones bruscas derivado de algunos shocks externos. Sin embargo, estos han recuperado su estabilidad de manera rápida. Es por ello que las perturbaciones transitorias en la parte fiscal y las que se dan en otros sectores de la economía no han incidido negativamente en el nivel de la deuda pública ni de manera importante en su trayectoria de corto, mediano y largo plazos.</w:t>
      </w:r>
    </w:p>
    <w:p w14:paraId="1AE78C1A" w14:textId="56D04B6B" w:rsidR="002C1FE5" w:rsidRDefault="002C1FE5" w:rsidP="00BA2759">
      <w:pPr>
        <w:pStyle w:val="Sinespaciado"/>
        <w:ind w:right="49"/>
        <w:jc w:val="both"/>
        <w:rPr>
          <w:rFonts w:eastAsiaTheme="minorHAnsi"/>
          <w:bCs/>
          <w:color w:val="000000" w:themeColor="text1"/>
          <w:lang w:val="es-MX"/>
        </w:rPr>
      </w:pPr>
    </w:p>
    <w:p w14:paraId="0FEA3066" w14:textId="66273B03" w:rsidR="00132F96" w:rsidRDefault="00132F96" w:rsidP="00BA2759">
      <w:pPr>
        <w:pStyle w:val="Sinespaciado"/>
        <w:ind w:right="49"/>
        <w:jc w:val="both"/>
        <w:rPr>
          <w:rFonts w:eastAsiaTheme="minorHAnsi"/>
          <w:bCs/>
          <w:color w:val="000000" w:themeColor="text1"/>
          <w:lang w:val="es-MX"/>
        </w:rPr>
      </w:pPr>
    </w:p>
    <w:p w14:paraId="0A0FC6B9" w14:textId="77777777" w:rsidR="00132F96" w:rsidRDefault="00132F96" w:rsidP="00BA2759">
      <w:pPr>
        <w:pStyle w:val="Sinespaciado"/>
        <w:ind w:right="49"/>
        <w:jc w:val="both"/>
        <w:rPr>
          <w:rFonts w:eastAsiaTheme="minorHAnsi"/>
          <w:bCs/>
          <w:color w:val="000000" w:themeColor="text1"/>
          <w:lang w:val="es-MX"/>
        </w:rPr>
      </w:pPr>
    </w:p>
    <w:tbl>
      <w:tblPr>
        <w:tblW w:w="93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26"/>
      </w:tblGrid>
      <w:tr w:rsidR="002C1FE5" w:rsidRPr="002C1FE5" w14:paraId="5C0CAA52" w14:textId="77777777" w:rsidTr="002C1FE5">
        <w:tc>
          <w:tcPr>
            <w:tcW w:w="9326" w:type="dxa"/>
            <w:shd w:val="clear" w:color="auto" w:fill="DEEAF6" w:themeFill="accent5" w:themeFillTint="33"/>
          </w:tcPr>
          <w:p w14:paraId="6D428DA1" w14:textId="38347290" w:rsidR="002C1FE5" w:rsidRPr="002C1FE5" w:rsidRDefault="00132F96" w:rsidP="00132F96">
            <w:pPr>
              <w:pStyle w:val="Descripcin"/>
              <w:rPr>
                <w:rFonts w:eastAsia="Times New Roman"/>
                <w:b w:val="0"/>
                <w:sz w:val="20"/>
                <w:szCs w:val="20"/>
                <w:lang w:val="es-ES_tradnl" w:eastAsia="es-ES"/>
              </w:rPr>
            </w:pPr>
            <w:bookmarkStart w:id="109" w:name="_Toc114481729"/>
            <w:r w:rsidRPr="00132F96">
              <w:rPr>
                <w:color w:val="auto"/>
              </w:rPr>
              <w:t xml:space="preserve">Recuadro </w:t>
            </w:r>
            <w:r w:rsidRPr="00132F96">
              <w:rPr>
                <w:color w:val="auto"/>
              </w:rPr>
              <w:fldChar w:fldCharType="begin"/>
            </w:r>
            <w:r w:rsidRPr="00132F96">
              <w:rPr>
                <w:color w:val="auto"/>
              </w:rPr>
              <w:instrText xml:space="preserve"> SEQ Recuadro \* ARABIC </w:instrText>
            </w:r>
            <w:r w:rsidRPr="00132F96">
              <w:rPr>
                <w:color w:val="auto"/>
              </w:rPr>
              <w:fldChar w:fldCharType="separate"/>
            </w:r>
            <w:r w:rsidR="002E7809">
              <w:rPr>
                <w:noProof/>
                <w:color w:val="auto"/>
              </w:rPr>
              <w:t>2</w:t>
            </w:r>
            <w:r w:rsidRPr="00132F96">
              <w:rPr>
                <w:color w:val="auto"/>
              </w:rPr>
              <w:fldChar w:fldCharType="end"/>
            </w:r>
            <w:r w:rsidRPr="00132F96">
              <w:rPr>
                <w:color w:val="auto"/>
              </w:rPr>
              <w:t>.  Guatemala un país de ingreso medio alto</w:t>
            </w:r>
            <w:bookmarkEnd w:id="109"/>
          </w:p>
          <w:p w14:paraId="2D404A8E" w14:textId="77777777" w:rsidR="002C1FE5" w:rsidRPr="002C1FE5" w:rsidRDefault="002C1FE5" w:rsidP="002C1FE5">
            <w:pPr>
              <w:widowControl/>
              <w:shd w:val="clear" w:color="auto" w:fill="DEEAF6" w:themeFill="accent5" w:themeFillTint="33"/>
              <w:rPr>
                <w:rFonts w:eastAsia="Times New Roman"/>
                <w:b/>
                <w:color w:val="FF0000"/>
                <w:sz w:val="20"/>
                <w:szCs w:val="20"/>
                <w:lang w:val="es-ES"/>
              </w:rPr>
            </w:pPr>
          </w:p>
          <w:p w14:paraId="1679072D" w14:textId="77777777" w:rsidR="002C1FE5" w:rsidRPr="002C1FE5" w:rsidRDefault="002C1FE5" w:rsidP="002C1FE5">
            <w:pPr>
              <w:jc w:val="both"/>
              <w:rPr>
                <w:rFonts w:eastAsia="Times New Roman"/>
                <w:sz w:val="20"/>
                <w:szCs w:val="20"/>
                <w:lang w:val="es-ES_tradnl" w:eastAsia="es-ES"/>
              </w:rPr>
            </w:pPr>
            <w:r w:rsidRPr="002C1FE5">
              <w:rPr>
                <w:rFonts w:eastAsia="Times New Roman"/>
                <w:sz w:val="20"/>
                <w:szCs w:val="20"/>
                <w:lang w:val="es-ES_tradnl" w:eastAsia="es-ES"/>
              </w:rPr>
              <w:t>El Banco Mundial clasifica las economías de los países según el nivel de ingresos para cada año, esta clasificación la realiza en cuatro categorías que son: alto, mediano alto, mediano bajo y bajo. Estas categorías son actualizadas en julio de cada año (última actualización disponible 2022) y son con base al ingreso nacional bruto per cápita en dólares estadounidenses, para lo cual usan los tipos de cambio del método del Atlas, metodología que suaviza las fluctuaciones del tipo de cambio mediante el uso de un factor de conversión ajustado al precio de media móvil de tres años.</w:t>
            </w:r>
          </w:p>
          <w:p w14:paraId="3C14F7CE" w14:textId="77777777" w:rsidR="002C1FE5" w:rsidRPr="002C1FE5" w:rsidRDefault="002C1FE5" w:rsidP="002C1FE5">
            <w:pPr>
              <w:jc w:val="both"/>
              <w:rPr>
                <w:rFonts w:eastAsia="Times New Roman"/>
                <w:sz w:val="20"/>
                <w:szCs w:val="20"/>
                <w:lang w:val="es-ES_tradnl" w:eastAsia="es-ES"/>
              </w:rPr>
            </w:pPr>
          </w:p>
          <w:tbl>
            <w:tblPr>
              <w:tblStyle w:val="Tablaconcuadrcula"/>
              <w:tblW w:w="90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9"/>
            </w:tblGrid>
            <w:tr w:rsidR="002C1FE5" w:rsidRPr="002C1FE5" w14:paraId="03B0A9DA" w14:textId="77777777" w:rsidTr="00C43CBD">
              <w:trPr>
                <w:trHeight w:val="1978"/>
                <w:jc w:val="center"/>
              </w:trPr>
              <w:tc>
                <w:tcPr>
                  <w:tcW w:w="9079" w:type="dxa"/>
                  <w:tcBorders>
                    <w:top w:val="nil"/>
                    <w:left w:val="nil"/>
                    <w:bottom w:val="nil"/>
                    <w:right w:val="nil"/>
                  </w:tcBorders>
                </w:tcPr>
                <w:p w14:paraId="0B7364FE" w14:textId="62BB3BE1" w:rsidR="002C1FE5" w:rsidRPr="00132F96" w:rsidRDefault="00132F96" w:rsidP="00132F96">
                  <w:pPr>
                    <w:pStyle w:val="Descripcin"/>
                    <w:keepNext/>
                  </w:pPr>
                  <w:bookmarkStart w:id="110" w:name="_Toc114493931"/>
                  <w:r w:rsidRPr="00132F96">
                    <w:rPr>
                      <w:color w:val="auto"/>
                    </w:rPr>
                    <w:t xml:space="preserve">Tabla </w:t>
                  </w:r>
                  <w:r w:rsidRPr="00132F96">
                    <w:rPr>
                      <w:color w:val="auto"/>
                    </w:rPr>
                    <w:fldChar w:fldCharType="begin"/>
                  </w:r>
                  <w:r w:rsidRPr="00132F96">
                    <w:rPr>
                      <w:color w:val="auto"/>
                    </w:rPr>
                    <w:instrText xml:space="preserve"> SEQ Tabla \* ARABIC </w:instrText>
                  </w:r>
                  <w:r w:rsidRPr="00132F96">
                    <w:rPr>
                      <w:color w:val="auto"/>
                    </w:rPr>
                    <w:fldChar w:fldCharType="separate"/>
                  </w:r>
                  <w:r w:rsidR="002E7809">
                    <w:rPr>
                      <w:noProof/>
                      <w:color w:val="auto"/>
                    </w:rPr>
                    <w:t>8</w:t>
                  </w:r>
                  <w:r w:rsidRPr="00132F96">
                    <w:rPr>
                      <w:color w:val="auto"/>
                    </w:rPr>
                    <w:fldChar w:fldCharType="end"/>
                  </w:r>
                  <w:r w:rsidRPr="00132F96">
                    <w:rPr>
                      <w:color w:val="auto"/>
                    </w:rPr>
                    <w:t xml:space="preserve">.  </w:t>
                  </w:r>
                  <w:r w:rsidR="002C1FE5" w:rsidRPr="00132F96">
                    <w:rPr>
                      <w:color w:val="auto"/>
                      <w:lang w:val="es-ES_tradnl" w:eastAsia="es-ES"/>
                    </w:rPr>
                    <w:t>Categorías de ingresos para los países</w:t>
                  </w:r>
                  <w:bookmarkEnd w:id="110"/>
                  <w:r w:rsidR="002C1FE5" w:rsidRPr="00132F96">
                    <w:rPr>
                      <w:lang w:val="es-ES_tradnl" w:eastAsia="es-ES"/>
                    </w:rPr>
                    <w:t xml:space="preserve">  </w:t>
                  </w:r>
                </w:p>
                <w:tbl>
                  <w:tblPr>
                    <w:tblW w:w="6350" w:type="dxa"/>
                    <w:jc w:val="center"/>
                    <w:tblLayout w:type="fixed"/>
                    <w:tblCellMar>
                      <w:left w:w="70" w:type="dxa"/>
                      <w:right w:w="70" w:type="dxa"/>
                    </w:tblCellMar>
                    <w:tblLook w:val="04A0" w:firstRow="1" w:lastRow="0" w:firstColumn="1" w:lastColumn="0" w:noHBand="0" w:noVBand="1"/>
                  </w:tblPr>
                  <w:tblGrid>
                    <w:gridCol w:w="2410"/>
                    <w:gridCol w:w="1920"/>
                    <w:gridCol w:w="2020"/>
                  </w:tblGrid>
                  <w:tr w:rsidR="002C1FE5" w:rsidRPr="002C1FE5" w14:paraId="5E1B759D" w14:textId="77777777" w:rsidTr="00C43CBD">
                    <w:trPr>
                      <w:trHeight w:val="315"/>
                      <w:jc w:val="center"/>
                    </w:trPr>
                    <w:tc>
                      <w:tcPr>
                        <w:tcW w:w="2410" w:type="dxa"/>
                        <w:tcBorders>
                          <w:top w:val="single" w:sz="8" w:space="0" w:color="auto"/>
                          <w:left w:val="single" w:sz="8" w:space="0" w:color="auto"/>
                          <w:bottom w:val="single" w:sz="8" w:space="0" w:color="auto"/>
                        </w:tcBorders>
                        <w:shd w:val="clear" w:color="000000" w:fill="D9E1F2"/>
                        <w:noWrap/>
                        <w:vAlign w:val="center"/>
                        <w:hideMark/>
                      </w:tcPr>
                      <w:p w14:paraId="64F61EDE" w14:textId="77777777" w:rsidR="002C1FE5" w:rsidRPr="002C1FE5" w:rsidRDefault="002C1FE5" w:rsidP="002C1FE5">
                        <w:pPr>
                          <w:widowControl/>
                          <w:jc w:val="center"/>
                          <w:rPr>
                            <w:rFonts w:eastAsia="Times New Roman"/>
                            <w:b/>
                            <w:bCs/>
                            <w:color w:val="000000"/>
                            <w:sz w:val="20"/>
                            <w:szCs w:val="20"/>
                            <w:lang w:eastAsia="es-GT"/>
                          </w:rPr>
                        </w:pPr>
                        <w:r w:rsidRPr="002C1FE5">
                          <w:rPr>
                            <w:rFonts w:eastAsia="Times New Roman"/>
                            <w:b/>
                            <w:bCs/>
                            <w:color w:val="000000"/>
                            <w:sz w:val="20"/>
                            <w:szCs w:val="20"/>
                            <w:lang w:eastAsia="es-GT"/>
                          </w:rPr>
                          <w:t>Umbral</w:t>
                        </w:r>
                      </w:p>
                    </w:tc>
                    <w:tc>
                      <w:tcPr>
                        <w:tcW w:w="1920"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510B0623" w14:textId="77777777" w:rsidR="002C1FE5" w:rsidRPr="002C1FE5" w:rsidRDefault="002C1FE5" w:rsidP="002C1FE5">
                        <w:pPr>
                          <w:widowControl/>
                          <w:jc w:val="center"/>
                          <w:rPr>
                            <w:rFonts w:eastAsia="Times New Roman"/>
                            <w:b/>
                            <w:bCs/>
                            <w:color w:val="000000"/>
                            <w:sz w:val="20"/>
                            <w:szCs w:val="20"/>
                            <w:lang w:eastAsia="es-GT"/>
                          </w:rPr>
                        </w:pPr>
                        <w:r w:rsidRPr="002C1FE5">
                          <w:rPr>
                            <w:rFonts w:eastAsia="Times New Roman"/>
                            <w:b/>
                            <w:bCs/>
                            <w:color w:val="000000"/>
                            <w:sz w:val="20"/>
                            <w:szCs w:val="20"/>
                            <w:lang w:eastAsia="es-GT"/>
                          </w:rPr>
                          <w:t>Julio 2022/USD (nuevo)</w:t>
                        </w:r>
                      </w:p>
                    </w:tc>
                    <w:tc>
                      <w:tcPr>
                        <w:tcW w:w="2020" w:type="dxa"/>
                        <w:tcBorders>
                          <w:top w:val="single" w:sz="8" w:space="0" w:color="auto"/>
                          <w:bottom w:val="single" w:sz="8" w:space="0" w:color="auto"/>
                          <w:right w:val="single" w:sz="8" w:space="0" w:color="auto"/>
                        </w:tcBorders>
                        <w:shd w:val="clear" w:color="000000" w:fill="D9E1F2"/>
                        <w:noWrap/>
                        <w:vAlign w:val="center"/>
                        <w:hideMark/>
                      </w:tcPr>
                      <w:p w14:paraId="2EF73E3D" w14:textId="77777777" w:rsidR="002C1FE5" w:rsidRPr="002C1FE5" w:rsidRDefault="002C1FE5" w:rsidP="002C1FE5">
                        <w:pPr>
                          <w:widowControl/>
                          <w:jc w:val="center"/>
                          <w:rPr>
                            <w:rFonts w:eastAsia="Times New Roman"/>
                            <w:b/>
                            <w:bCs/>
                            <w:color w:val="000000"/>
                            <w:sz w:val="20"/>
                            <w:szCs w:val="20"/>
                            <w:lang w:eastAsia="es-GT"/>
                          </w:rPr>
                        </w:pPr>
                        <w:r w:rsidRPr="002C1FE5">
                          <w:rPr>
                            <w:rFonts w:eastAsia="Times New Roman"/>
                            <w:b/>
                            <w:bCs/>
                            <w:color w:val="000000"/>
                            <w:sz w:val="20"/>
                            <w:szCs w:val="20"/>
                            <w:lang w:eastAsia="es-GT"/>
                          </w:rPr>
                          <w:t>Julio 2021/USD (antiguo)</w:t>
                        </w:r>
                      </w:p>
                    </w:tc>
                  </w:tr>
                  <w:tr w:rsidR="002C1FE5" w:rsidRPr="002C1FE5" w14:paraId="0E458BDB" w14:textId="77777777" w:rsidTr="00C43CBD">
                    <w:trPr>
                      <w:trHeight w:val="300"/>
                      <w:jc w:val="center"/>
                    </w:trPr>
                    <w:tc>
                      <w:tcPr>
                        <w:tcW w:w="2410" w:type="dxa"/>
                        <w:tcBorders>
                          <w:left w:val="single" w:sz="8" w:space="0" w:color="auto"/>
                        </w:tcBorders>
                        <w:shd w:val="clear" w:color="000000" w:fill="FFFFFF"/>
                        <w:noWrap/>
                        <w:vAlign w:val="center"/>
                        <w:hideMark/>
                      </w:tcPr>
                      <w:p w14:paraId="5E7BDE80" w14:textId="77777777" w:rsidR="002C1FE5" w:rsidRPr="002C1FE5" w:rsidRDefault="002C1FE5" w:rsidP="002C1FE5">
                        <w:pPr>
                          <w:widowControl/>
                          <w:rPr>
                            <w:rFonts w:eastAsia="Times New Roman"/>
                            <w:color w:val="000000"/>
                            <w:sz w:val="20"/>
                            <w:szCs w:val="20"/>
                            <w:lang w:eastAsia="es-GT"/>
                          </w:rPr>
                        </w:pPr>
                        <w:r w:rsidRPr="002C1FE5">
                          <w:rPr>
                            <w:rFonts w:eastAsia="Times New Roman"/>
                            <w:color w:val="000000"/>
                            <w:sz w:val="20"/>
                            <w:szCs w:val="20"/>
                            <w:lang w:eastAsia="es-GT"/>
                          </w:rPr>
                          <w:t>País de ingreso bajo</w:t>
                        </w:r>
                      </w:p>
                    </w:tc>
                    <w:tc>
                      <w:tcPr>
                        <w:tcW w:w="1920" w:type="dxa"/>
                        <w:tcBorders>
                          <w:left w:val="single" w:sz="8" w:space="0" w:color="auto"/>
                          <w:right w:val="single" w:sz="8" w:space="0" w:color="auto"/>
                        </w:tcBorders>
                        <w:shd w:val="clear" w:color="000000" w:fill="FFFFFF"/>
                        <w:noWrap/>
                        <w:vAlign w:val="center"/>
                        <w:hideMark/>
                      </w:tcPr>
                      <w:p w14:paraId="5113C5DE" w14:textId="77777777" w:rsidR="002C1FE5" w:rsidRPr="002C1FE5" w:rsidRDefault="002C1FE5" w:rsidP="002C1FE5">
                        <w:pPr>
                          <w:widowControl/>
                          <w:jc w:val="center"/>
                          <w:rPr>
                            <w:rFonts w:eastAsia="Times New Roman"/>
                            <w:color w:val="000000"/>
                            <w:sz w:val="20"/>
                            <w:szCs w:val="20"/>
                            <w:lang w:eastAsia="es-GT"/>
                          </w:rPr>
                        </w:pPr>
                        <w:r w:rsidRPr="002C1FE5">
                          <w:rPr>
                            <w:rFonts w:eastAsia="Times New Roman"/>
                            <w:color w:val="000000"/>
                            <w:sz w:val="20"/>
                            <w:szCs w:val="20"/>
                            <w:lang w:eastAsia="es-GT"/>
                          </w:rPr>
                          <w:t>menor que 1,085</w:t>
                        </w:r>
                      </w:p>
                    </w:tc>
                    <w:tc>
                      <w:tcPr>
                        <w:tcW w:w="2020" w:type="dxa"/>
                        <w:tcBorders>
                          <w:right w:val="single" w:sz="8" w:space="0" w:color="auto"/>
                        </w:tcBorders>
                        <w:shd w:val="clear" w:color="000000" w:fill="FFFFFF"/>
                        <w:noWrap/>
                        <w:vAlign w:val="center"/>
                        <w:hideMark/>
                      </w:tcPr>
                      <w:p w14:paraId="7E9AA8AA" w14:textId="77777777" w:rsidR="002C1FE5" w:rsidRPr="002C1FE5" w:rsidRDefault="002C1FE5" w:rsidP="002C1FE5">
                        <w:pPr>
                          <w:widowControl/>
                          <w:jc w:val="center"/>
                          <w:rPr>
                            <w:rFonts w:eastAsia="Times New Roman"/>
                            <w:color w:val="000000"/>
                            <w:sz w:val="20"/>
                            <w:szCs w:val="20"/>
                            <w:lang w:eastAsia="es-GT"/>
                          </w:rPr>
                        </w:pPr>
                        <w:r w:rsidRPr="002C1FE5">
                          <w:rPr>
                            <w:rFonts w:eastAsia="Times New Roman"/>
                            <w:color w:val="000000"/>
                            <w:sz w:val="20"/>
                            <w:szCs w:val="20"/>
                            <w:lang w:eastAsia="es-GT"/>
                          </w:rPr>
                          <w:t xml:space="preserve">menor que 1,046 </w:t>
                        </w:r>
                      </w:p>
                    </w:tc>
                  </w:tr>
                  <w:tr w:rsidR="002C1FE5" w:rsidRPr="002C1FE5" w14:paraId="7658BF84" w14:textId="77777777" w:rsidTr="00C43CBD">
                    <w:trPr>
                      <w:trHeight w:val="300"/>
                      <w:jc w:val="center"/>
                    </w:trPr>
                    <w:tc>
                      <w:tcPr>
                        <w:tcW w:w="2410" w:type="dxa"/>
                        <w:tcBorders>
                          <w:left w:val="single" w:sz="8" w:space="0" w:color="auto"/>
                        </w:tcBorders>
                        <w:shd w:val="clear" w:color="000000" w:fill="FFFFFF"/>
                        <w:noWrap/>
                        <w:vAlign w:val="center"/>
                        <w:hideMark/>
                      </w:tcPr>
                      <w:p w14:paraId="1D12FB0C" w14:textId="77777777" w:rsidR="002C1FE5" w:rsidRPr="002C1FE5" w:rsidRDefault="002C1FE5" w:rsidP="002C1FE5">
                        <w:pPr>
                          <w:widowControl/>
                          <w:rPr>
                            <w:rFonts w:eastAsia="Times New Roman"/>
                            <w:color w:val="000000"/>
                            <w:sz w:val="20"/>
                            <w:szCs w:val="20"/>
                            <w:lang w:eastAsia="es-GT"/>
                          </w:rPr>
                        </w:pPr>
                        <w:r w:rsidRPr="002C1FE5">
                          <w:rPr>
                            <w:rFonts w:eastAsia="Times New Roman"/>
                            <w:color w:val="000000"/>
                            <w:sz w:val="20"/>
                            <w:szCs w:val="20"/>
                            <w:lang w:eastAsia="es-GT"/>
                          </w:rPr>
                          <w:t>País de ingreso mediano bajo</w:t>
                        </w:r>
                      </w:p>
                    </w:tc>
                    <w:tc>
                      <w:tcPr>
                        <w:tcW w:w="1920" w:type="dxa"/>
                        <w:tcBorders>
                          <w:left w:val="single" w:sz="8" w:space="0" w:color="auto"/>
                          <w:right w:val="single" w:sz="8" w:space="0" w:color="auto"/>
                        </w:tcBorders>
                        <w:shd w:val="clear" w:color="000000" w:fill="FFFFFF"/>
                        <w:noWrap/>
                        <w:vAlign w:val="center"/>
                        <w:hideMark/>
                      </w:tcPr>
                      <w:p w14:paraId="7C35AE75" w14:textId="77777777" w:rsidR="002C1FE5" w:rsidRPr="002C1FE5" w:rsidRDefault="002C1FE5" w:rsidP="002C1FE5">
                        <w:pPr>
                          <w:widowControl/>
                          <w:jc w:val="center"/>
                          <w:rPr>
                            <w:rFonts w:eastAsia="Times New Roman"/>
                            <w:color w:val="000000"/>
                            <w:sz w:val="20"/>
                            <w:szCs w:val="20"/>
                            <w:lang w:eastAsia="es-GT"/>
                          </w:rPr>
                        </w:pPr>
                        <w:r w:rsidRPr="002C1FE5">
                          <w:rPr>
                            <w:rFonts w:eastAsia="Times New Roman"/>
                            <w:color w:val="000000"/>
                            <w:sz w:val="20"/>
                            <w:szCs w:val="20"/>
                            <w:lang w:eastAsia="es-GT"/>
                          </w:rPr>
                          <w:t>entre 1,046 y 4,255</w:t>
                        </w:r>
                      </w:p>
                    </w:tc>
                    <w:tc>
                      <w:tcPr>
                        <w:tcW w:w="2020" w:type="dxa"/>
                        <w:tcBorders>
                          <w:right w:val="single" w:sz="8" w:space="0" w:color="auto"/>
                        </w:tcBorders>
                        <w:shd w:val="clear" w:color="000000" w:fill="FFFFFF"/>
                        <w:noWrap/>
                        <w:vAlign w:val="center"/>
                        <w:hideMark/>
                      </w:tcPr>
                      <w:p w14:paraId="3272BA10" w14:textId="77777777" w:rsidR="002C1FE5" w:rsidRPr="002C1FE5" w:rsidRDefault="002C1FE5" w:rsidP="002C1FE5">
                        <w:pPr>
                          <w:widowControl/>
                          <w:jc w:val="center"/>
                          <w:rPr>
                            <w:rFonts w:eastAsia="Times New Roman"/>
                            <w:color w:val="000000"/>
                            <w:sz w:val="20"/>
                            <w:szCs w:val="20"/>
                            <w:lang w:eastAsia="es-GT"/>
                          </w:rPr>
                        </w:pPr>
                        <w:r w:rsidRPr="002C1FE5">
                          <w:rPr>
                            <w:rFonts w:eastAsia="Times New Roman"/>
                            <w:color w:val="000000"/>
                            <w:sz w:val="20"/>
                            <w:szCs w:val="20"/>
                            <w:lang w:eastAsia="es-GT"/>
                          </w:rPr>
                          <w:t>entre 1,046 y 4,095</w:t>
                        </w:r>
                      </w:p>
                    </w:tc>
                  </w:tr>
                  <w:tr w:rsidR="002C1FE5" w:rsidRPr="002C1FE5" w14:paraId="678611BD" w14:textId="77777777" w:rsidTr="00C43CBD">
                    <w:trPr>
                      <w:trHeight w:val="300"/>
                      <w:jc w:val="center"/>
                    </w:trPr>
                    <w:tc>
                      <w:tcPr>
                        <w:tcW w:w="2410" w:type="dxa"/>
                        <w:tcBorders>
                          <w:left w:val="single" w:sz="8" w:space="0" w:color="auto"/>
                        </w:tcBorders>
                        <w:shd w:val="clear" w:color="000000" w:fill="FFFFFF"/>
                        <w:noWrap/>
                        <w:vAlign w:val="center"/>
                        <w:hideMark/>
                      </w:tcPr>
                      <w:p w14:paraId="45B824A3" w14:textId="77777777" w:rsidR="002C1FE5" w:rsidRPr="002C1FE5" w:rsidRDefault="002C1FE5" w:rsidP="002C1FE5">
                        <w:pPr>
                          <w:widowControl/>
                          <w:rPr>
                            <w:rFonts w:eastAsia="Times New Roman"/>
                            <w:color w:val="000000"/>
                            <w:sz w:val="20"/>
                            <w:szCs w:val="20"/>
                            <w:lang w:eastAsia="es-GT"/>
                          </w:rPr>
                        </w:pPr>
                        <w:r w:rsidRPr="002C1FE5">
                          <w:rPr>
                            <w:rFonts w:eastAsia="Times New Roman"/>
                            <w:color w:val="000000"/>
                            <w:sz w:val="20"/>
                            <w:szCs w:val="20"/>
                            <w:lang w:eastAsia="es-GT"/>
                          </w:rPr>
                          <w:t>País de ingreso mediano alto</w:t>
                        </w:r>
                      </w:p>
                    </w:tc>
                    <w:tc>
                      <w:tcPr>
                        <w:tcW w:w="1920" w:type="dxa"/>
                        <w:tcBorders>
                          <w:left w:val="single" w:sz="8" w:space="0" w:color="auto"/>
                          <w:right w:val="single" w:sz="8" w:space="0" w:color="auto"/>
                        </w:tcBorders>
                        <w:shd w:val="clear" w:color="000000" w:fill="FFFFFF"/>
                        <w:noWrap/>
                        <w:vAlign w:val="center"/>
                        <w:hideMark/>
                      </w:tcPr>
                      <w:p w14:paraId="44625A74" w14:textId="77777777" w:rsidR="002C1FE5" w:rsidRPr="002C1FE5" w:rsidRDefault="002C1FE5" w:rsidP="002C1FE5">
                        <w:pPr>
                          <w:widowControl/>
                          <w:jc w:val="center"/>
                          <w:rPr>
                            <w:rFonts w:eastAsia="Times New Roman"/>
                            <w:color w:val="000000"/>
                            <w:sz w:val="20"/>
                            <w:szCs w:val="20"/>
                            <w:lang w:eastAsia="es-GT"/>
                          </w:rPr>
                        </w:pPr>
                        <w:r w:rsidRPr="002C1FE5">
                          <w:rPr>
                            <w:rFonts w:eastAsia="Times New Roman"/>
                            <w:color w:val="000000"/>
                            <w:sz w:val="20"/>
                            <w:szCs w:val="20"/>
                            <w:lang w:eastAsia="es-GT"/>
                          </w:rPr>
                          <w:t>entre 4,256 y 13,205</w:t>
                        </w:r>
                      </w:p>
                    </w:tc>
                    <w:tc>
                      <w:tcPr>
                        <w:tcW w:w="2020" w:type="dxa"/>
                        <w:tcBorders>
                          <w:right w:val="single" w:sz="8" w:space="0" w:color="auto"/>
                        </w:tcBorders>
                        <w:shd w:val="clear" w:color="000000" w:fill="FFFFFF"/>
                        <w:noWrap/>
                        <w:vAlign w:val="center"/>
                        <w:hideMark/>
                      </w:tcPr>
                      <w:p w14:paraId="0C34FACC" w14:textId="77777777" w:rsidR="002C1FE5" w:rsidRPr="002C1FE5" w:rsidRDefault="002C1FE5" w:rsidP="002C1FE5">
                        <w:pPr>
                          <w:widowControl/>
                          <w:jc w:val="center"/>
                          <w:rPr>
                            <w:rFonts w:eastAsia="Times New Roman"/>
                            <w:color w:val="000000"/>
                            <w:sz w:val="20"/>
                            <w:szCs w:val="20"/>
                            <w:lang w:eastAsia="es-GT"/>
                          </w:rPr>
                        </w:pPr>
                        <w:r w:rsidRPr="002C1FE5">
                          <w:rPr>
                            <w:rFonts w:eastAsia="Times New Roman"/>
                            <w:color w:val="000000"/>
                            <w:sz w:val="20"/>
                            <w:szCs w:val="20"/>
                            <w:lang w:eastAsia="es-GT"/>
                          </w:rPr>
                          <w:t>entre 4,096 y 12,695</w:t>
                        </w:r>
                      </w:p>
                    </w:tc>
                  </w:tr>
                  <w:tr w:rsidR="002C1FE5" w:rsidRPr="002C1FE5" w14:paraId="61094B60" w14:textId="77777777" w:rsidTr="00C43CBD">
                    <w:trPr>
                      <w:trHeight w:val="315"/>
                      <w:jc w:val="center"/>
                    </w:trPr>
                    <w:tc>
                      <w:tcPr>
                        <w:tcW w:w="2410" w:type="dxa"/>
                        <w:tcBorders>
                          <w:left w:val="single" w:sz="8" w:space="0" w:color="auto"/>
                          <w:bottom w:val="single" w:sz="8" w:space="0" w:color="auto"/>
                        </w:tcBorders>
                        <w:shd w:val="clear" w:color="000000" w:fill="FFFFFF"/>
                        <w:noWrap/>
                        <w:vAlign w:val="center"/>
                        <w:hideMark/>
                      </w:tcPr>
                      <w:p w14:paraId="1D637141" w14:textId="77777777" w:rsidR="002C1FE5" w:rsidRPr="002C1FE5" w:rsidRDefault="002C1FE5" w:rsidP="002C1FE5">
                        <w:pPr>
                          <w:widowControl/>
                          <w:rPr>
                            <w:rFonts w:eastAsia="Times New Roman"/>
                            <w:color w:val="000000"/>
                            <w:sz w:val="20"/>
                            <w:szCs w:val="20"/>
                            <w:lang w:eastAsia="es-GT"/>
                          </w:rPr>
                        </w:pPr>
                        <w:r w:rsidRPr="002C1FE5">
                          <w:rPr>
                            <w:rFonts w:eastAsia="Times New Roman"/>
                            <w:color w:val="000000"/>
                            <w:sz w:val="20"/>
                            <w:szCs w:val="20"/>
                            <w:lang w:eastAsia="es-GT"/>
                          </w:rPr>
                          <w:t>País de ingreso alto</w:t>
                        </w:r>
                      </w:p>
                    </w:tc>
                    <w:tc>
                      <w:tcPr>
                        <w:tcW w:w="1920" w:type="dxa"/>
                        <w:tcBorders>
                          <w:left w:val="single" w:sz="8" w:space="0" w:color="auto"/>
                          <w:bottom w:val="single" w:sz="8" w:space="0" w:color="auto"/>
                          <w:right w:val="single" w:sz="8" w:space="0" w:color="auto"/>
                        </w:tcBorders>
                        <w:shd w:val="clear" w:color="000000" w:fill="FFFFFF"/>
                        <w:noWrap/>
                        <w:vAlign w:val="center"/>
                        <w:hideMark/>
                      </w:tcPr>
                      <w:p w14:paraId="0AFC8C2E" w14:textId="77777777" w:rsidR="002C1FE5" w:rsidRPr="002C1FE5" w:rsidRDefault="002C1FE5" w:rsidP="002C1FE5">
                        <w:pPr>
                          <w:widowControl/>
                          <w:jc w:val="center"/>
                          <w:rPr>
                            <w:rFonts w:eastAsia="Times New Roman"/>
                            <w:color w:val="000000"/>
                            <w:sz w:val="20"/>
                            <w:szCs w:val="20"/>
                            <w:lang w:eastAsia="es-GT"/>
                          </w:rPr>
                        </w:pPr>
                        <w:r w:rsidRPr="002C1FE5">
                          <w:rPr>
                            <w:rFonts w:eastAsia="Times New Roman"/>
                            <w:color w:val="000000"/>
                            <w:sz w:val="20"/>
                            <w:szCs w:val="20"/>
                            <w:lang w:eastAsia="es-GT"/>
                          </w:rPr>
                          <w:t>más de 113,205</w:t>
                        </w:r>
                      </w:p>
                    </w:tc>
                    <w:tc>
                      <w:tcPr>
                        <w:tcW w:w="2020" w:type="dxa"/>
                        <w:tcBorders>
                          <w:bottom w:val="single" w:sz="8" w:space="0" w:color="auto"/>
                          <w:right w:val="single" w:sz="8" w:space="0" w:color="auto"/>
                        </w:tcBorders>
                        <w:shd w:val="clear" w:color="000000" w:fill="FFFFFF"/>
                        <w:noWrap/>
                        <w:vAlign w:val="center"/>
                        <w:hideMark/>
                      </w:tcPr>
                      <w:p w14:paraId="159A71B8" w14:textId="77777777" w:rsidR="002C1FE5" w:rsidRPr="002C1FE5" w:rsidRDefault="002C1FE5" w:rsidP="002C1FE5">
                        <w:pPr>
                          <w:widowControl/>
                          <w:jc w:val="center"/>
                          <w:rPr>
                            <w:rFonts w:eastAsia="Times New Roman"/>
                            <w:color w:val="000000"/>
                            <w:sz w:val="20"/>
                            <w:szCs w:val="20"/>
                            <w:lang w:eastAsia="es-GT"/>
                          </w:rPr>
                        </w:pPr>
                        <w:r w:rsidRPr="002C1FE5">
                          <w:rPr>
                            <w:rFonts w:eastAsia="Times New Roman"/>
                            <w:color w:val="000000"/>
                            <w:sz w:val="20"/>
                            <w:szCs w:val="20"/>
                            <w:lang w:eastAsia="es-GT"/>
                          </w:rPr>
                          <w:t>más de 12,695</w:t>
                        </w:r>
                      </w:p>
                    </w:tc>
                  </w:tr>
                </w:tbl>
                <w:p w14:paraId="3C9D902C" w14:textId="3B2ABE02" w:rsidR="002C1FE5" w:rsidRPr="002C1FE5" w:rsidRDefault="002C1FE5" w:rsidP="002C1FE5">
                  <w:pPr>
                    <w:jc w:val="both"/>
                    <w:rPr>
                      <w:lang w:val="es-ES_tradnl" w:eastAsia="es-ES"/>
                    </w:rPr>
                  </w:pPr>
                  <w:r w:rsidRPr="00132F96">
                    <w:rPr>
                      <w:sz w:val="16"/>
                      <w:lang w:val="es-ES_tradnl" w:eastAsia="es-ES"/>
                    </w:rPr>
                    <w:t xml:space="preserve">                                       Fuente: Banco Mundial</w:t>
                  </w:r>
                  <w:r w:rsidR="00132F96" w:rsidRPr="00132F96">
                    <w:rPr>
                      <w:sz w:val="16"/>
                      <w:lang w:val="es-ES_tradnl" w:eastAsia="es-ES"/>
                    </w:rPr>
                    <w:t>.</w:t>
                  </w:r>
                </w:p>
              </w:tc>
            </w:tr>
          </w:tbl>
          <w:p w14:paraId="2B70B6B6" w14:textId="77777777" w:rsidR="002C1FE5" w:rsidRPr="002C1FE5" w:rsidRDefault="002C1FE5" w:rsidP="002C1FE5">
            <w:pPr>
              <w:tabs>
                <w:tab w:val="left" w:pos="3165"/>
              </w:tabs>
              <w:jc w:val="both"/>
              <w:rPr>
                <w:rFonts w:eastAsia="Times New Roman"/>
                <w:sz w:val="20"/>
                <w:szCs w:val="20"/>
                <w:lang w:val="es-ES_tradnl" w:eastAsia="es-ES"/>
              </w:rPr>
            </w:pPr>
          </w:p>
          <w:p w14:paraId="1E1E2588" w14:textId="77777777" w:rsidR="002C1FE5" w:rsidRPr="002C1FE5" w:rsidRDefault="002C1FE5" w:rsidP="002C1FE5">
            <w:pPr>
              <w:tabs>
                <w:tab w:val="left" w:pos="3165"/>
              </w:tabs>
              <w:jc w:val="both"/>
              <w:rPr>
                <w:rFonts w:eastAsia="Times New Roman"/>
                <w:sz w:val="20"/>
                <w:szCs w:val="20"/>
                <w:lang w:val="es-ES_tradnl" w:eastAsia="es-ES"/>
              </w:rPr>
            </w:pPr>
            <w:r w:rsidRPr="002C1FE5">
              <w:rPr>
                <w:rFonts w:eastAsia="Times New Roman"/>
                <w:sz w:val="20"/>
                <w:szCs w:val="20"/>
                <w:lang w:val="es-ES_tradnl" w:eastAsia="es-ES"/>
              </w:rPr>
              <w:t>Los factores que influyen en el ingreso nacional bruto per cápita son el crecimiento demográfico, el crecimiento económico, la inflación y los tipos de cambio. Para que los umbrales de ingreso se mantengan fijos en términos reales se ajustan a la inflación por medio de un deflactor que considera los deflactores del PIB de China, Japón, el Reino Unido y Estados Unidos. Para el caso de los umbrales actualizados en 2022, se aumentó US$39 el umbral de ingresos bajo con respecto los umbrales del 2021, en el caso de los ingresos medianos bajos el límite del umbral superior aumentó en US$160 y el límite superior del lumbral superior de los ingresos medianos altos aumentó en US$510.</w:t>
            </w:r>
          </w:p>
          <w:p w14:paraId="05929BD7" w14:textId="77777777" w:rsidR="002C1FE5" w:rsidRPr="002C1FE5" w:rsidRDefault="002C1FE5" w:rsidP="002C1FE5">
            <w:pPr>
              <w:tabs>
                <w:tab w:val="left" w:pos="3165"/>
              </w:tabs>
              <w:jc w:val="both"/>
              <w:rPr>
                <w:rFonts w:eastAsia="Times New Roman"/>
                <w:sz w:val="20"/>
                <w:szCs w:val="20"/>
                <w:lang w:val="es-ES_tradnl" w:eastAsia="es-ES"/>
              </w:rPr>
            </w:pPr>
          </w:p>
          <w:tbl>
            <w:tblPr>
              <w:tblStyle w:val="Tablaconcuadrcula"/>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9120"/>
            </w:tblGrid>
            <w:tr w:rsidR="002C1FE5" w:rsidRPr="002C1FE5" w14:paraId="14280953" w14:textId="77777777" w:rsidTr="00C43CBD">
              <w:trPr>
                <w:trHeight w:val="3430"/>
              </w:trPr>
              <w:tc>
                <w:tcPr>
                  <w:tcW w:w="9120" w:type="dxa"/>
                  <w:tcBorders>
                    <w:top w:val="nil"/>
                    <w:left w:val="nil"/>
                    <w:bottom w:val="nil"/>
                    <w:right w:val="nil"/>
                  </w:tcBorders>
                </w:tcPr>
                <w:p w14:paraId="64713AE1" w14:textId="41F36970" w:rsidR="002C1FE5" w:rsidRPr="00C43CBD" w:rsidRDefault="00C43CBD" w:rsidP="00C43CBD">
                  <w:pPr>
                    <w:pStyle w:val="Descripcin"/>
                    <w:keepNext/>
                    <w:rPr>
                      <w:sz w:val="24"/>
                      <w:szCs w:val="24"/>
                    </w:rPr>
                  </w:pPr>
                  <w:bookmarkStart w:id="111" w:name="_Toc114493870"/>
                  <w:r w:rsidRPr="00C43CBD">
                    <w:rPr>
                      <w:color w:val="auto"/>
                      <w:sz w:val="24"/>
                      <w:szCs w:val="24"/>
                    </w:rPr>
                    <w:t xml:space="preserve">Gráfico </w:t>
                  </w:r>
                  <w:r w:rsidRPr="00C43CBD">
                    <w:rPr>
                      <w:color w:val="auto"/>
                    </w:rPr>
                    <w:fldChar w:fldCharType="begin"/>
                  </w:r>
                  <w:r w:rsidRPr="00C43CBD">
                    <w:rPr>
                      <w:color w:val="auto"/>
                      <w:sz w:val="24"/>
                      <w:szCs w:val="24"/>
                    </w:rPr>
                    <w:instrText xml:space="preserve"> SEQ Gráfico \* ARABIC </w:instrText>
                  </w:r>
                  <w:r w:rsidRPr="00C43CBD">
                    <w:rPr>
                      <w:color w:val="auto"/>
                    </w:rPr>
                    <w:fldChar w:fldCharType="separate"/>
                  </w:r>
                  <w:r w:rsidR="002E7809">
                    <w:rPr>
                      <w:noProof/>
                      <w:color w:val="auto"/>
                      <w:sz w:val="24"/>
                      <w:szCs w:val="24"/>
                    </w:rPr>
                    <w:t>28</w:t>
                  </w:r>
                  <w:r w:rsidRPr="00C43CBD">
                    <w:rPr>
                      <w:color w:val="auto"/>
                    </w:rPr>
                    <w:fldChar w:fldCharType="end"/>
                  </w:r>
                  <w:r w:rsidRPr="00C43CBD">
                    <w:rPr>
                      <w:color w:val="auto"/>
                      <w:sz w:val="24"/>
                      <w:szCs w:val="24"/>
                    </w:rPr>
                    <w:t xml:space="preserve">.  </w:t>
                  </w:r>
                  <w:r w:rsidR="002C1FE5" w:rsidRPr="00C43CBD">
                    <w:rPr>
                      <w:color w:val="auto"/>
                      <w:sz w:val="24"/>
                      <w:szCs w:val="24"/>
                      <w:lang w:val="es-ES_tradnl" w:eastAsia="es-ES"/>
                    </w:rPr>
                    <w:t>INB bruto per cápita según metodología Atlas para 2021*</w:t>
                  </w:r>
                  <w:bookmarkEnd w:id="111"/>
                </w:p>
                <w:p w14:paraId="66ECB748" w14:textId="7656D339" w:rsidR="002C1FE5" w:rsidRPr="002C1FE5" w:rsidRDefault="002C1FE5" w:rsidP="002C1FE5">
                  <w:pPr>
                    <w:tabs>
                      <w:tab w:val="left" w:pos="1582"/>
                    </w:tabs>
                    <w:jc w:val="center"/>
                    <w:rPr>
                      <w:noProof/>
                      <w:lang w:val="es-ES_tradnl" w:eastAsia="es-ES"/>
                    </w:rPr>
                  </w:pPr>
                  <w:r w:rsidRPr="002C1FE5">
                    <w:rPr>
                      <w:noProof/>
                    </w:rPr>
                    <w:drawing>
                      <wp:inline distT="0" distB="0" distL="0" distR="0" wp14:anchorId="19C9C977" wp14:editId="4B7089A4">
                        <wp:extent cx="4904740" cy="1742536"/>
                        <wp:effectExtent l="0" t="0" r="0" b="0"/>
                        <wp:docPr id="71" name="Gráfico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40346D" w14:textId="78378AD6" w:rsidR="002C1FE5" w:rsidRPr="002C1FE5" w:rsidRDefault="002C1FE5" w:rsidP="002C1FE5">
                  <w:pPr>
                    <w:tabs>
                      <w:tab w:val="left" w:pos="2236"/>
                    </w:tabs>
                    <w:rPr>
                      <w:lang w:val="es-ES_tradnl" w:eastAsia="es-ES"/>
                    </w:rPr>
                  </w:pPr>
                  <w:r w:rsidRPr="00C43CBD">
                    <w:rPr>
                      <w:sz w:val="16"/>
                      <w:lang w:val="es-ES_tradnl" w:eastAsia="es-ES"/>
                    </w:rPr>
                    <w:t xml:space="preserve">                   Fuente: </w:t>
                  </w:r>
                  <w:r w:rsidRPr="00C43CBD">
                    <w:rPr>
                      <w:bCs/>
                      <w:sz w:val="16"/>
                      <w:lang w:val="es-ES_tradnl" w:eastAsia="es-ES"/>
                    </w:rPr>
                    <w:t>Ministerio de Finanzas Públicas</w:t>
                  </w:r>
                  <w:r w:rsidRPr="00C43CBD">
                    <w:rPr>
                      <w:sz w:val="16"/>
                      <w:lang w:val="es-ES_tradnl" w:eastAsia="es-ES"/>
                    </w:rPr>
                    <w:t xml:space="preserve"> con información del Banco Mundial</w:t>
                  </w:r>
                  <w:r w:rsidR="00C43CBD" w:rsidRPr="00C43CBD">
                    <w:rPr>
                      <w:sz w:val="16"/>
                      <w:lang w:val="es-ES_tradnl" w:eastAsia="es-ES"/>
                    </w:rPr>
                    <w:t>.</w:t>
                  </w:r>
                </w:p>
              </w:tc>
            </w:tr>
          </w:tbl>
          <w:p w14:paraId="5EFA72D1" w14:textId="3B85323E" w:rsidR="002C1FE5" w:rsidRPr="002C1FE5" w:rsidRDefault="002C1FE5" w:rsidP="002C1FE5">
            <w:pPr>
              <w:tabs>
                <w:tab w:val="left" w:pos="3165"/>
              </w:tabs>
              <w:jc w:val="both"/>
              <w:rPr>
                <w:rFonts w:eastAsia="Times New Roman"/>
                <w:sz w:val="20"/>
                <w:szCs w:val="20"/>
                <w:lang w:val="es-ES_tradnl" w:eastAsia="es-ES"/>
              </w:rPr>
            </w:pPr>
            <w:r w:rsidRPr="002C1FE5">
              <w:rPr>
                <w:rFonts w:eastAsia="Times New Roman"/>
                <w:sz w:val="20"/>
                <w:szCs w:val="20"/>
                <w:lang w:val="es-ES_tradnl" w:eastAsia="es-ES"/>
              </w:rPr>
              <w:t>Guatemala desde 2017 ha sido considerado un país de ingreso medio alto, previo a dicho año fue considerado un país de ingreso mediano bajo. Para el 2022, el ingreso nacional bruto per cápita medido por la metodología atlas se encontraba en USD$4,940, mayor en USD$450 que el ingreso del año</w:t>
            </w:r>
            <w:r>
              <w:rPr>
                <w:rFonts w:eastAsia="Times New Roman"/>
                <w:sz w:val="20"/>
                <w:szCs w:val="20"/>
                <w:lang w:val="es-ES_tradnl" w:eastAsia="es-ES"/>
              </w:rPr>
              <w:t xml:space="preserve"> </w:t>
            </w:r>
            <w:r w:rsidRPr="002C1FE5">
              <w:rPr>
                <w:rFonts w:eastAsia="Times New Roman"/>
                <w:sz w:val="20"/>
                <w:szCs w:val="20"/>
                <w:lang w:val="es-ES_tradnl" w:eastAsia="es-ES"/>
              </w:rPr>
              <w:t>2020. En el caso de la región Centroamericana, Panamá se considera un país de ingreso alto y Costa Rica está cerca del límite superior del ingreso mediano alto, esto se debe a que su población es menor a la población guatemalteca. Por otro lado, Honduras, Nicaragua y El Salvador son países de ingreso mediano bajo, este último está cerca del límite superior de los países de ingreso medio alto, con USD$4,140 per cápita.</w:t>
            </w:r>
          </w:p>
          <w:p w14:paraId="4913A892" w14:textId="77777777" w:rsidR="002C1FE5" w:rsidRPr="002C1FE5" w:rsidRDefault="002C1FE5" w:rsidP="002C1FE5">
            <w:pPr>
              <w:tabs>
                <w:tab w:val="left" w:pos="3165"/>
              </w:tabs>
              <w:jc w:val="both"/>
              <w:rPr>
                <w:rFonts w:eastAsia="Times New Roman"/>
                <w:sz w:val="20"/>
                <w:szCs w:val="20"/>
                <w:lang w:val="es-ES_tradnl" w:eastAsia="es-ES"/>
              </w:rPr>
            </w:pPr>
          </w:p>
          <w:p w14:paraId="1236D16B" w14:textId="77777777" w:rsidR="002C1FE5" w:rsidRPr="002C1FE5" w:rsidRDefault="002C1FE5" w:rsidP="002C1FE5">
            <w:pPr>
              <w:tabs>
                <w:tab w:val="left" w:pos="3165"/>
              </w:tabs>
              <w:jc w:val="both"/>
              <w:rPr>
                <w:rFonts w:eastAsia="Times New Roman"/>
                <w:color w:val="FF0000"/>
                <w:sz w:val="20"/>
                <w:szCs w:val="20"/>
                <w:highlight w:val="yellow"/>
                <w:lang w:val="es-ES_tradnl" w:eastAsia="es-ES"/>
              </w:rPr>
            </w:pPr>
            <w:r w:rsidRPr="002C1FE5">
              <w:rPr>
                <w:rFonts w:eastAsia="Times New Roman"/>
                <w:sz w:val="18"/>
                <w:szCs w:val="18"/>
                <w:lang w:val="es-ES_tradnl" w:eastAsia="es-ES"/>
              </w:rPr>
              <w:t>*Última actualización disponible.</w:t>
            </w:r>
          </w:p>
        </w:tc>
      </w:tr>
    </w:tbl>
    <w:p w14:paraId="710F43F1" w14:textId="77777777" w:rsidR="002C1FE5" w:rsidRDefault="002C1FE5" w:rsidP="00BA2759">
      <w:pPr>
        <w:pStyle w:val="Sinespaciado"/>
        <w:ind w:right="49"/>
        <w:jc w:val="both"/>
        <w:rPr>
          <w:rFonts w:eastAsiaTheme="minorHAnsi"/>
          <w:bCs/>
          <w:color w:val="000000" w:themeColor="text1"/>
          <w:lang w:val="es-MX"/>
        </w:rPr>
      </w:pPr>
    </w:p>
    <w:p w14:paraId="13F2CD3F" w14:textId="016FB4D5" w:rsidR="002C3D84" w:rsidRDefault="002C3D84" w:rsidP="00BA2759">
      <w:pPr>
        <w:pStyle w:val="Sinespaciado"/>
        <w:ind w:right="49"/>
        <w:jc w:val="both"/>
        <w:rPr>
          <w:color w:val="FF0000"/>
          <w:lang w:val="es-MX"/>
        </w:rPr>
      </w:pPr>
    </w:p>
    <w:p w14:paraId="52832CEA" w14:textId="77777777" w:rsidR="00B24092" w:rsidRPr="00B24092" w:rsidRDefault="00B24092" w:rsidP="00B24092">
      <w:pPr>
        <w:pStyle w:val="Prrafodelista"/>
        <w:keepNext/>
        <w:widowControl/>
        <w:numPr>
          <w:ilvl w:val="0"/>
          <w:numId w:val="5"/>
        </w:numPr>
        <w:ind w:right="49"/>
        <w:contextualSpacing w:val="0"/>
        <w:outlineLvl w:val="0"/>
        <w:rPr>
          <w:b/>
          <w:vanish/>
          <w:lang w:val="es-MX"/>
        </w:rPr>
      </w:pPr>
      <w:bookmarkStart w:id="112" w:name="_Toc114476103"/>
      <w:bookmarkStart w:id="113" w:name="_Toc114476188"/>
      <w:bookmarkStart w:id="114" w:name="_Toc114476255"/>
      <w:bookmarkStart w:id="115" w:name="_Toc114476329"/>
      <w:bookmarkStart w:id="116" w:name="_Toc114476395"/>
      <w:bookmarkStart w:id="117" w:name="_Toc114492481"/>
      <w:bookmarkStart w:id="118" w:name="_Toc114492682"/>
      <w:bookmarkStart w:id="119" w:name="_Toc114493792"/>
      <w:bookmarkStart w:id="120" w:name="_Toc114495247"/>
      <w:bookmarkEnd w:id="112"/>
      <w:bookmarkEnd w:id="113"/>
      <w:bookmarkEnd w:id="114"/>
      <w:bookmarkEnd w:id="115"/>
      <w:bookmarkEnd w:id="116"/>
      <w:bookmarkEnd w:id="117"/>
      <w:bookmarkEnd w:id="118"/>
      <w:bookmarkEnd w:id="119"/>
      <w:bookmarkEnd w:id="120"/>
    </w:p>
    <w:p w14:paraId="0F1829FF" w14:textId="77777777" w:rsidR="00B24092" w:rsidRPr="00B24092" w:rsidRDefault="00B24092" w:rsidP="00B24092">
      <w:pPr>
        <w:pStyle w:val="Prrafodelista"/>
        <w:keepNext/>
        <w:widowControl/>
        <w:numPr>
          <w:ilvl w:val="0"/>
          <w:numId w:val="5"/>
        </w:numPr>
        <w:ind w:right="49"/>
        <w:contextualSpacing w:val="0"/>
        <w:outlineLvl w:val="0"/>
        <w:rPr>
          <w:b/>
          <w:vanish/>
          <w:lang w:val="es-MX"/>
        </w:rPr>
      </w:pPr>
      <w:bookmarkStart w:id="121" w:name="_Toc114476104"/>
      <w:bookmarkStart w:id="122" w:name="_Toc114476189"/>
      <w:bookmarkStart w:id="123" w:name="_Toc114476256"/>
      <w:bookmarkStart w:id="124" w:name="_Toc114476330"/>
      <w:bookmarkStart w:id="125" w:name="_Toc114476396"/>
      <w:bookmarkStart w:id="126" w:name="_Toc114492482"/>
      <w:bookmarkStart w:id="127" w:name="_Toc114492683"/>
      <w:bookmarkStart w:id="128" w:name="_Toc114493793"/>
      <w:bookmarkStart w:id="129" w:name="_Toc114495248"/>
      <w:bookmarkEnd w:id="121"/>
      <w:bookmarkEnd w:id="122"/>
      <w:bookmarkEnd w:id="123"/>
      <w:bookmarkEnd w:id="124"/>
      <w:bookmarkEnd w:id="125"/>
      <w:bookmarkEnd w:id="126"/>
      <w:bookmarkEnd w:id="127"/>
      <w:bookmarkEnd w:id="128"/>
      <w:bookmarkEnd w:id="129"/>
    </w:p>
    <w:p w14:paraId="381BD2FD" w14:textId="40223FDE" w:rsidR="002C1FE5" w:rsidRPr="00B24092" w:rsidRDefault="002C1FE5" w:rsidP="00B24092">
      <w:pPr>
        <w:pStyle w:val="Ttulo1"/>
        <w:widowControl/>
        <w:numPr>
          <w:ilvl w:val="1"/>
          <w:numId w:val="5"/>
        </w:numPr>
        <w:ind w:left="716" w:right="49"/>
        <w:jc w:val="left"/>
        <w:rPr>
          <w:color w:val="auto"/>
          <w:sz w:val="24"/>
          <w:lang w:val="es-MX"/>
        </w:rPr>
      </w:pPr>
      <w:bookmarkStart w:id="130" w:name="_Toc114495249"/>
      <w:r w:rsidRPr="00B24092">
        <w:rPr>
          <w:color w:val="auto"/>
          <w:sz w:val="24"/>
          <w:lang w:val="es-MX"/>
        </w:rPr>
        <w:t>Estándares internacionales para indicadores de riesgo de la deuda pública para los países con acceso al mercado de capitales</w:t>
      </w:r>
      <w:bookmarkEnd w:id="130"/>
    </w:p>
    <w:p w14:paraId="1E7A09B5" w14:textId="77777777" w:rsidR="002C1FE5" w:rsidRPr="002C1FE5" w:rsidRDefault="002C1FE5" w:rsidP="002C1FE5">
      <w:pPr>
        <w:widowControl/>
        <w:ind w:right="49"/>
        <w:jc w:val="both"/>
        <w:rPr>
          <w:rFonts w:eastAsia="Times New Roman"/>
          <w:bCs/>
          <w:color w:val="000000" w:themeColor="text1"/>
          <w:lang w:val="es-MX"/>
        </w:rPr>
      </w:pPr>
    </w:p>
    <w:p w14:paraId="4AD31768" w14:textId="77777777" w:rsidR="002C1FE5" w:rsidRPr="002C1FE5" w:rsidRDefault="002C1FE5" w:rsidP="002C1FE5">
      <w:pPr>
        <w:widowControl/>
        <w:ind w:right="49"/>
        <w:jc w:val="both"/>
        <w:rPr>
          <w:rFonts w:eastAsia="Times New Roman"/>
          <w:bCs/>
          <w:color w:val="000000" w:themeColor="text1"/>
          <w:lang w:val="es-MX"/>
        </w:rPr>
      </w:pPr>
      <w:r w:rsidRPr="002C1FE5">
        <w:rPr>
          <w:rFonts w:eastAsia="Times New Roman"/>
          <w:bCs/>
          <w:color w:val="000000" w:themeColor="text1"/>
          <w:lang w:val="es-MX"/>
        </w:rPr>
        <w:t>Los indicadores propuestos por el Fondo Monetario Internacional para identificar diversos riesgos para la sostenibilidad de la deuda son, para la carga de deuda pública: la deuda pública con respecto al PIB y los requerimientos de financiación pública bruta también con respecto al PIB. Para analizar los riesgos del perfil de la deuda los indicadores son el spread con los bonos del tesoro de Estados Unidos (EMBI), el requerimiento de financiamiento externo, la deuda en moneda extranjera, el cambio anual de la participación de la deuda a corto plazo y la deuda pública externa.</w:t>
      </w:r>
    </w:p>
    <w:p w14:paraId="1F35C288" w14:textId="77777777" w:rsidR="002C1FE5" w:rsidRPr="002C1FE5" w:rsidRDefault="002C1FE5" w:rsidP="002C1FE5">
      <w:pPr>
        <w:widowControl/>
        <w:ind w:right="49"/>
        <w:jc w:val="both"/>
        <w:rPr>
          <w:rFonts w:eastAsia="Times New Roman"/>
          <w:bCs/>
          <w:color w:val="000000" w:themeColor="text1"/>
          <w:lang w:val="es-MX"/>
        </w:rPr>
      </w:pPr>
    </w:p>
    <w:p w14:paraId="6C749566" w14:textId="3176E5C1" w:rsidR="002C1FE5" w:rsidRPr="00132F96" w:rsidRDefault="00132F96" w:rsidP="00132F96">
      <w:pPr>
        <w:pStyle w:val="Descripcin"/>
        <w:keepNext/>
      </w:pPr>
      <w:bookmarkStart w:id="131" w:name="_Toc114493932"/>
      <w:r w:rsidRPr="00132F96">
        <w:rPr>
          <w:color w:val="auto"/>
        </w:rPr>
        <w:t xml:space="preserve">Tabla </w:t>
      </w:r>
      <w:r w:rsidRPr="00132F96">
        <w:rPr>
          <w:color w:val="auto"/>
        </w:rPr>
        <w:fldChar w:fldCharType="begin"/>
      </w:r>
      <w:r w:rsidRPr="00132F96">
        <w:rPr>
          <w:color w:val="auto"/>
        </w:rPr>
        <w:instrText xml:space="preserve"> SEQ Tabla \* ARABIC </w:instrText>
      </w:r>
      <w:r w:rsidRPr="00132F96">
        <w:rPr>
          <w:color w:val="auto"/>
        </w:rPr>
        <w:fldChar w:fldCharType="separate"/>
      </w:r>
      <w:r w:rsidR="002E7809">
        <w:rPr>
          <w:noProof/>
          <w:color w:val="auto"/>
        </w:rPr>
        <w:t>9</w:t>
      </w:r>
      <w:r w:rsidRPr="00132F96">
        <w:rPr>
          <w:color w:val="auto"/>
        </w:rPr>
        <w:fldChar w:fldCharType="end"/>
      </w:r>
      <w:r w:rsidRPr="00132F96">
        <w:rPr>
          <w:color w:val="auto"/>
        </w:rPr>
        <w:t xml:space="preserve">.  </w:t>
      </w:r>
      <w:r w:rsidR="002C1FE5" w:rsidRPr="00132F96">
        <w:rPr>
          <w:rFonts w:eastAsia="Times New Roman"/>
          <w:color w:val="auto"/>
          <w:sz w:val="22"/>
          <w:szCs w:val="22"/>
          <w:lang w:val="es-ES_tradnl" w:eastAsia="es-ES"/>
        </w:rPr>
        <w:t>Puntos de referencia para los indicadores de Deuda</w:t>
      </w:r>
      <w:bookmarkEnd w:id="131"/>
    </w:p>
    <w:tbl>
      <w:tblPr>
        <w:tblW w:w="8681" w:type="dxa"/>
        <w:jc w:val="center"/>
        <w:tblCellMar>
          <w:left w:w="70" w:type="dxa"/>
          <w:right w:w="70" w:type="dxa"/>
        </w:tblCellMar>
        <w:tblLook w:val="04A0" w:firstRow="1" w:lastRow="0" w:firstColumn="1" w:lastColumn="0" w:noHBand="0" w:noVBand="1"/>
      </w:tblPr>
      <w:tblGrid>
        <w:gridCol w:w="6337"/>
        <w:gridCol w:w="1241"/>
        <w:gridCol w:w="1103"/>
      </w:tblGrid>
      <w:tr w:rsidR="002C1FE5" w:rsidRPr="002C1FE5" w14:paraId="3D297E33" w14:textId="77777777" w:rsidTr="00847C90">
        <w:trPr>
          <w:trHeight w:val="358"/>
          <w:jc w:val="center"/>
        </w:trPr>
        <w:tc>
          <w:tcPr>
            <w:tcW w:w="6337" w:type="dxa"/>
            <w:tcBorders>
              <w:top w:val="single" w:sz="4" w:space="0" w:color="auto"/>
              <w:left w:val="single" w:sz="4" w:space="0" w:color="auto"/>
              <w:bottom w:val="single" w:sz="4" w:space="0" w:color="auto"/>
              <w:right w:val="nil"/>
            </w:tcBorders>
            <w:shd w:val="clear" w:color="auto" w:fill="D9E2F3" w:themeFill="accent1" w:themeFillTint="33"/>
            <w:vAlign w:val="center"/>
            <w:hideMark/>
          </w:tcPr>
          <w:p w14:paraId="4F945A85" w14:textId="77777777" w:rsidR="002C1FE5" w:rsidRPr="002C1FE5" w:rsidRDefault="002C1FE5" w:rsidP="002C1FE5">
            <w:pPr>
              <w:jc w:val="center"/>
              <w:rPr>
                <w:rFonts w:ascii="Times" w:eastAsia="Times New Roman" w:hAnsi="Times" w:cs="Times"/>
                <w:b/>
                <w:bCs/>
                <w:color w:val="000000"/>
                <w:sz w:val="20"/>
                <w:szCs w:val="20"/>
                <w:lang w:val="es-ES_tradnl" w:eastAsia="es-GT"/>
              </w:rPr>
            </w:pPr>
            <w:r w:rsidRPr="002C1FE5">
              <w:rPr>
                <w:rFonts w:ascii="Times" w:eastAsia="Times New Roman" w:hAnsi="Times" w:cs="Times"/>
                <w:b/>
                <w:bCs/>
                <w:color w:val="000000"/>
                <w:sz w:val="20"/>
                <w:szCs w:val="20"/>
                <w:lang w:val="es-ES_tradnl" w:eastAsia="es-GT"/>
              </w:rPr>
              <w:t>Benchmarks para países con acceso al mercado</w:t>
            </w:r>
            <w:r w:rsidRPr="002C1FE5">
              <w:rPr>
                <w:rFonts w:ascii="Times" w:eastAsia="Times New Roman" w:hAnsi="Times" w:cs="Times"/>
                <w:b/>
                <w:bCs/>
                <w:color w:val="000000"/>
                <w:sz w:val="20"/>
                <w:szCs w:val="20"/>
                <w:lang w:val="es-ES_tradnl" w:eastAsia="es-GT"/>
              </w:rPr>
              <w:br/>
              <w:t>(en puntos porcentuales)</w:t>
            </w:r>
          </w:p>
        </w:tc>
        <w:tc>
          <w:tcPr>
            <w:tcW w:w="12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6192E3" w14:textId="77777777" w:rsidR="002C1FE5" w:rsidRPr="002C1FE5" w:rsidRDefault="002C1FE5" w:rsidP="002C1FE5">
            <w:pPr>
              <w:jc w:val="center"/>
              <w:rPr>
                <w:rFonts w:ascii="Times" w:eastAsia="Times New Roman" w:hAnsi="Times" w:cs="Times"/>
                <w:b/>
                <w:bCs/>
                <w:color w:val="000000"/>
                <w:sz w:val="20"/>
                <w:szCs w:val="20"/>
                <w:lang w:val="es-ES_tradnl" w:eastAsia="es-GT"/>
              </w:rPr>
            </w:pPr>
            <w:r w:rsidRPr="002C1FE5">
              <w:rPr>
                <w:rFonts w:ascii="Times" w:eastAsia="Times New Roman" w:hAnsi="Times" w:cs="Times"/>
                <w:b/>
                <w:bCs/>
                <w:color w:val="000000"/>
                <w:sz w:val="20"/>
                <w:szCs w:val="20"/>
                <w:lang w:val="es-ES_tradnl" w:eastAsia="es-GT"/>
              </w:rPr>
              <w:t>Mercados emergentes</w:t>
            </w:r>
          </w:p>
        </w:tc>
        <w:tc>
          <w:tcPr>
            <w:tcW w:w="1103"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F4CB786" w14:textId="77777777" w:rsidR="002C1FE5" w:rsidRPr="002C1FE5" w:rsidRDefault="002C1FE5" w:rsidP="002C1FE5">
            <w:pPr>
              <w:jc w:val="center"/>
              <w:rPr>
                <w:rFonts w:ascii="Times" w:eastAsia="Times New Roman" w:hAnsi="Times" w:cs="Times"/>
                <w:b/>
                <w:bCs/>
                <w:color w:val="000000"/>
                <w:sz w:val="20"/>
                <w:szCs w:val="20"/>
                <w:lang w:val="es-ES_tradnl" w:eastAsia="es-GT"/>
              </w:rPr>
            </w:pPr>
            <w:r w:rsidRPr="002C1FE5">
              <w:rPr>
                <w:rFonts w:ascii="Times" w:eastAsia="Times New Roman" w:hAnsi="Times" w:cs="Times"/>
                <w:b/>
                <w:bCs/>
                <w:color w:val="000000"/>
                <w:sz w:val="20"/>
                <w:szCs w:val="20"/>
                <w:lang w:val="es-ES_tradnl" w:eastAsia="es-GT"/>
              </w:rPr>
              <w:t>Economías Avanzadas</w:t>
            </w:r>
          </w:p>
        </w:tc>
      </w:tr>
      <w:tr w:rsidR="002C1FE5" w:rsidRPr="002C1FE5" w14:paraId="4C723911" w14:textId="77777777" w:rsidTr="00C43CBD">
        <w:trPr>
          <w:trHeight w:val="274"/>
          <w:jc w:val="center"/>
        </w:trPr>
        <w:tc>
          <w:tcPr>
            <w:tcW w:w="6337" w:type="dxa"/>
            <w:tcBorders>
              <w:top w:val="nil"/>
              <w:left w:val="single" w:sz="4" w:space="0" w:color="auto"/>
              <w:bottom w:val="nil"/>
              <w:right w:val="nil"/>
            </w:tcBorders>
            <w:shd w:val="clear" w:color="auto" w:fill="FFFFFF" w:themeFill="background1"/>
            <w:noWrap/>
            <w:vAlign w:val="bottom"/>
            <w:hideMark/>
          </w:tcPr>
          <w:p w14:paraId="7BDB415E" w14:textId="77777777" w:rsidR="002C1FE5" w:rsidRPr="002C1FE5" w:rsidRDefault="002C1FE5" w:rsidP="002C1FE5">
            <w:pPr>
              <w:rPr>
                <w:rFonts w:ascii="Times" w:eastAsia="Times New Roman" w:hAnsi="Times" w:cs="Times"/>
                <w:b/>
                <w:bCs/>
                <w:color w:val="000000"/>
                <w:sz w:val="20"/>
                <w:szCs w:val="20"/>
                <w:lang w:val="es-ES_tradnl" w:eastAsia="es-GT"/>
              </w:rPr>
            </w:pPr>
            <w:r w:rsidRPr="002C1FE5">
              <w:rPr>
                <w:rFonts w:ascii="Times" w:eastAsia="Times New Roman" w:hAnsi="Times" w:cs="Times"/>
                <w:b/>
                <w:bCs/>
                <w:color w:val="000000"/>
                <w:sz w:val="20"/>
                <w:szCs w:val="20"/>
                <w:lang w:val="es-ES_tradnl" w:eastAsia="es-GT"/>
              </w:rPr>
              <w:t>Indicadores de la carga de la deuda pública</w:t>
            </w:r>
          </w:p>
        </w:tc>
        <w:tc>
          <w:tcPr>
            <w:tcW w:w="1241" w:type="dxa"/>
            <w:tcBorders>
              <w:top w:val="nil"/>
              <w:left w:val="single" w:sz="4" w:space="0" w:color="auto"/>
              <w:bottom w:val="nil"/>
              <w:right w:val="single" w:sz="4" w:space="0" w:color="auto"/>
            </w:tcBorders>
            <w:shd w:val="clear" w:color="auto" w:fill="FFFFFF" w:themeFill="background1"/>
            <w:noWrap/>
            <w:vAlign w:val="bottom"/>
            <w:hideMark/>
          </w:tcPr>
          <w:p w14:paraId="2567A0FF" w14:textId="77777777" w:rsidR="002C1FE5" w:rsidRPr="002C1FE5" w:rsidRDefault="002C1FE5" w:rsidP="002C1FE5">
            <w:pP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 </w:t>
            </w:r>
          </w:p>
        </w:tc>
        <w:tc>
          <w:tcPr>
            <w:tcW w:w="1103" w:type="dxa"/>
            <w:tcBorders>
              <w:top w:val="nil"/>
              <w:left w:val="nil"/>
              <w:bottom w:val="nil"/>
              <w:right w:val="single" w:sz="4" w:space="0" w:color="auto"/>
            </w:tcBorders>
            <w:shd w:val="clear" w:color="auto" w:fill="FFFFFF" w:themeFill="background1"/>
            <w:noWrap/>
            <w:vAlign w:val="bottom"/>
            <w:hideMark/>
          </w:tcPr>
          <w:p w14:paraId="13981534" w14:textId="77777777" w:rsidR="002C1FE5" w:rsidRPr="002C1FE5" w:rsidRDefault="002C1FE5" w:rsidP="002C1FE5">
            <w:pP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 </w:t>
            </w:r>
          </w:p>
        </w:tc>
      </w:tr>
      <w:tr w:rsidR="002C1FE5" w:rsidRPr="002C1FE5" w14:paraId="405F4C01" w14:textId="77777777" w:rsidTr="00847C90">
        <w:trPr>
          <w:trHeight w:val="74"/>
          <w:jc w:val="center"/>
        </w:trPr>
        <w:tc>
          <w:tcPr>
            <w:tcW w:w="6337" w:type="dxa"/>
            <w:tcBorders>
              <w:top w:val="nil"/>
              <w:left w:val="single" w:sz="4" w:space="0" w:color="auto"/>
              <w:bottom w:val="nil"/>
              <w:right w:val="nil"/>
            </w:tcBorders>
            <w:shd w:val="clear" w:color="auto" w:fill="FFFFFF" w:themeFill="background1"/>
            <w:noWrap/>
            <w:vAlign w:val="bottom"/>
            <w:hideMark/>
          </w:tcPr>
          <w:p w14:paraId="55041E76" w14:textId="77777777" w:rsidR="002C1FE5" w:rsidRPr="002C1FE5" w:rsidRDefault="002C1FE5" w:rsidP="002C1FE5">
            <w:pPr>
              <w:ind w:firstLineChars="100" w:firstLine="200"/>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Deuda/PIB</w:t>
            </w:r>
          </w:p>
        </w:tc>
        <w:tc>
          <w:tcPr>
            <w:tcW w:w="1241" w:type="dxa"/>
            <w:tcBorders>
              <w:top w:val="nil"/>
              <w:left w:val="single" w:sz="4" w:space="0" w:color="auto"/>
              <w:bottom w:val="nil"/>
              <w:right w:val="single" w:sz="4" w:space="0" w:color="auto"/>
            </w:tcBorders>
            <w:shd w:val="clear" w:color="auto" w:fill="FFFFFF" w:themeFill="background1"/>
            <w:noWrap/>
            <w:vAlign w:val="center"/>
            <w:hideMark/>
          </w:tcPr>
          <w:p w14:paraId="1A11742E"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60</w:t>
            </w:r>
          </w:p>
        </w:tc>
        <w:tc>
          <w:tcPr>
            <w:tcW w:w="1103" w:type="dxa"/>
            <w:tcBorders>
              <w:top w:val="nil"/>
              <w:left w:val="nil"/>
              <w:bottom w:val="nil"/>
              <w:right w:val="single" w:sz="4" w:space="0" w:color="auto"/>
            </w:tcBorders>
            <w:shd w:val="clear" w:color="auto" w:fill="FFFFFF" w:themeFill="background1"/>
            <w:noWrap/>
            <w:vAlign w:val="center"/>
            <w:hideMark/>
          </w:tcPr>
          <w:p w14:paraId="2AA2BDFD"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70</w:t>
            </w:r>
          </w:p>
        </w:tc>
      </w:tr>
      <w:tr w:rsidR="002C1FE5" w:rsidRPr="002C1FE5" w14:paraId="3A6DB346" w14:textId="77777777" w:rsidTr="00847C90">
        <w:trPr>
          <w:trHeight w:val="99"/>
          <w:jc w:val="center"/>
        </w:trPr>
        <w:tc>
          <w:tcPr>
            <w:tcW w:w="6337" w:type="dxa"/>
            <w:tcBorders>
              <w:top w:val="nil"/>
              <w:left w:val="single" w:sz="4" w:space="0" w:color="auto"/>
              <w:bottom w:val="nil"/>
              <w:right w:val="nil"/>
            </w:tcBorders>
            <w:shd w:val="clear" w:color="auto" w:fill="FFFFFF" w:themeFill="background1"/>
            <w:vAlign w:val="bottom"/>
            <w:hideMark/>
          </w:tcPr>
          <w:p w14:paraId="22F3ABF0" w14:textId="77777777" w:rsidR="002C1FE5" w:rsidRPr="002C1FE5" w:rsidRDefault="002C1FE5" w:rsidP="002C1FE5">
            <w:pP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 xml:space="preserve">    Requerimiento de financiamiento del sector público como % del PIB</w:t>
            </w:r>
          </w:p>
        </w:tc>
        <w:tc>
          <w:tcPr>
            <w:tcW w:w="1241" w:type="dxa"/>
            <w:tcBorders>
              <w:top w:val="nil"/>
              <w:left w:val="single" w:sz="4" w:space="0" w:color="auto"/>
              <w:bottom w:val="nil"/>
              <w:right w:val="single" w:sz="4" w:space="0" w:color="auto"/>
            </w:tcBorders>
            <w:shd w:val="clear" w:color="auto" w:fill="FFFFFF" w:themeFill="background1"/>
            <w:noWrap/>
            <w:vAlign w:val="center"/>
            <w:hideMark/>
          </w:tcPr>
          <w:p w14:paraId="7917ED67"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15</w:t>
            </w:r>
          </w:p>
        </w:tc>
        <w:tc>
          <w:tcPr>
            <w:tcW w:w="1103" w:type="dxa"/>
            <w:tcBorders>
              <w:top w:val="nil"/>
              <w:left w:val="nil"/>
              <w:bottom w:val="nil"/>
              <w:right w:val="single" w:sz="4" w:space="0" w:color="auto"/>
            </w:tcBorders>
            <w:shd w:val="clear" w:color="auto" w:fill="FFFFFF" w:themeFill="background1"/>
            <w:noWrap/>
            <w:vAlign w:val="center"/>
            <w:hideMark/>
          </w:tcPr>
          <w:p w14:paraId="25FB72BE"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20</w:t>
            </w:r>
          </w:p>
        </w:tc>
      </w:tr>
      <w:tr w:rsidR="002C1FE5" w:rsidRPr="002C1FE5" w14:paraId="6C9CBAE4" w14:textId="77777777" w:rsidTr="00847C90">
        <w:trPr>
          <w:trHeight w:val="158"/>
          <w:jc w:val="center"/>
        </w:trPr>
        <w:tc>
          <w:tcPr>
            <w:tcW w:w="6337" w:type="dxa"/>
            <w:tcBorders>
              <w:top w:val="nil"/>
              <w:left w:val="single" w:sz="4" w:space="0" w:color="auto"/>
              <w:bottom w:val="nil"/>
              <w:right w:val="nil"/>
            </w:tcBorders>
            <w:shd w:val="clear" w:color="auto" w:fill="FFFFFF" w:themeFill="background1"/>
            <w:noWrap/>
            <w:vAlign w:val="bottom"/>
            <w:hideMark/>
          </w:tcPr>
          <w:p w14:paraId="1D834C83" w14:textId="77777777" w:rsidR="002C1FE5" w:rsidRPr="002C1FE5" w:rsidRDefault="002C1FE5" w:rsidP="002C1FE5">
            <w:pPr>
              <w:rPr>
                <w:rFonts w:ascii="Times" w:eastAsia="Times New Roman" w:hAnsi="Times" w:cs="Times"/>
                <w:b/>
                <w:bCs/>
                <w:color w:val="000000"/>
                <w:sz w:val="20"/>
                <w:szCs w:val="20"/>
                <w:lang w:val="es-ES_tradnl" w:eastAsia="es-GT"/>
              </w:rPr>
            </w:pPr>
            <w:r w:rsidRPr="002C1FE5">
              <w:rPr>
                <w:rFonts w:ascii="Times" w:eastAsia="Times New Roman" w:hAnsi="Times" w:cs="Times"/>
                <w:b/>
                <w:bCs/>
                <w:color w:val="000000"/>
                <w:sz w:val="20"/>
                <w:szCs w:val="20"/>
                <w:lang w:val="es-ES_tradnl" w:eastAsia="es-GT"/>
              </w:rPr>
              <w:t>Indicadores del perfil de deuda</w:t>
            </w:r>
          </w:p>
        </w:tc>
        <w:tc>
          <w:tcPr>
            <w:tcW w:w="1241" w:type="dxa"/>
            <w:tcBorders>
              <w:top w:val="nil"/>
              <w:left w:val="single" w:sz="4" w:space="0" w:color="auto"/>
              <w:bottom w:val="nil"/>
              <w:right w:val="single" w:sz="4" w:space="0" w:color="auto"/>
            </w:tcBorders>
            <w:shd w:val="clear" w:color="auto" w:fill="FFFFFF" w:themeFill="background1"/>
            <w:noWrap/>
            <w:vAlign w:val="center"/>
            <w:hideMark/>
          </w:tcPr>
          <w:p w14:paraId="511B0D63"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 </w:t>
            </w:r>
          </w:p>
        </w:tc>
        <w:tc>
          <w:tcPr>
            <w:tcW w:w="1103" w:type="dxa"/>
            <w:tcBorders>
              <w:top w:val="nil"/>
              <w:left w:val="nil"/>
              <w:bottom w:val="nil"/>
              <w:right w:val="single" w:sz="4" w:space="0" w:color="auto"/>
            </w:tcBorders>
            <w:shd w:val="clear" w:color="auto" w:fill="FFFFFF" w:themeFill="background1"/>
            <w:noWrap/>
            <w:vAlign w:val="center"/>
            <w:hideMark/>
          </w:tcPr>
          <w:p w14:paraId="15DD79F7"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 </w:t>
            </w:r>
          </w:p>
        </w:tc>
      </w:tr>
      <w:tr w:rsidR="002C1FE5" w:rsidRPr="002C1FE5" w14:paraId="5E57F112" w14:textId="77777777" w:rsidTr="00847C90">
        <w:trPr>
          <w:trHeight w:val="204"/>
          <w:jc w:val="center"/>
        </w:trPr>
        <w:tc>
          <w:tcPr>
            <w:tcW w:w="6337" w:type="dxa"/>
            <w:tcBorders>
              <w:top w:val="nil"/>
              <w:left w:val="single" w:sz="4" w:space="0" w:color="auto"/>
              <w:bottom w:val="nil"/>
              <w:right w:val="nil"/>
            </w:tcBorders>
            <w:shd w:val="clear" w:color="auto" w:fill="FFFFFF" w:themeFill="background1"/>
            <w:noWrap/>
            <w:vAlign w:val="bottom"/>
            <w:hideMark/>
          </w:tcPr>
          <w:p w14:paraId="53BAA594" w14:textId="77777777" w:rsidR="002C1FE5" w:rsidRPr="002C1FE5" w:rsidRDefault="002C1FE5" w:rsidP="002C1FE5">
            <w:pPr>
              <w:ind w:firstLineChars="100" w:firstLine="200"/>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Spread de los bonos (con E.E.U.U o Alemania)</w:t>
            </w:r>
          </w:p>
        </w:tc>
        <w:tc>
          <w:tcPr>
            <w:tcW w:w="1241" w:type="dxa"/>
            <w:tcBorders>
              <w:top w:val="nil"/>
              <w:left w:val="single" w:sz="4" w:space="0" w:color="auto"/>
              <w:bottom w:val="nil"/>
              <w:right w:val="single" w:sz="4" w:space="0" w:color="auto"/>
            </w:tcBorders>
            <w:shd w:val="clear" w:color="auto" w:fill="FFFFFF" w:themeFill="background1"/>
            <w:noWrap/>
            <w:vAlign w:val="center"/>
            <w:hideMark/>
          </w:tcPr>
          <w:p w14:paraId="3A6EF635"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800</w:t>
            </w:r>
          </w:p>
        </w:tc>
        <w:tc>
          <w:tcPr>
            <w:tcW w:w="1103" w:type="dxa"/>
            <w:tcBorders>
              <w:top w:val="nil"/>
              <w:left w:val="nil"/>
              <w:bottom w:val="nil"/>
              <w:right w:val="single" w:sz="4" w:space="0" w:color="auto"/>
            </w:tcBorders>
            <w:shd w:val="clear" w:color="auto" w:fill="FFFFFF" w:themeFill="background1"/>
            <w:noWrap/>
            <w:vAlign w:val="center"/>
            <w:hideMark/>
          </w:tcPr>
          <w:p w14:paraId="4DE8281E"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800</w:t>
            </w:r>
          </w:p>
        </w:tc>
      </w:tr>
      <w:tr w:rsidR="002C1FE5" w:rsidRPr="002C1FE5" w14:paraId="54991A4F" w14:textId="77777777" w:rsidTr="00847C90">
        <w:trPr>
          <w:trHeight w:val="123"/>
          <w:jc w:val="center"/>
        </w:trPr>
        <w:tc>
          <w:tcPr>
            <w:tcW w:w="6337" w:type="dxa"/>
            <w:tcBorders>
              <w:top w:val="nil"/>
              <w:left w:val="single" w:sz="4" w:space="0" w:color="auto"/>
              <w:bottom w:val="nil"/>
              <w:right w:val="nil"/>
            </w:tcBorders>
            <w:shd w:val="clear" w:color="auto" w:fill="FFFFFF" w:themeFill="background1"/>
            <w:noWrap/>
            <w:vAlign w:val="bottom"/>
            <w:hideMark/>
          </w:tcPr>
          <w:p w14:paraId="6EC82823" w14:textId="77777777" w:rsidR="002C1FE5" w:rsidRPr="002C1FE5" w:rsidRDefault="002C1FE5" w:rsidP="002C1FE5">
            <w:pPr>
              <w:ind w:firstLineChars="100" w:firstLine="200"/>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Requerimiento de financiamiento externo</w:t>
            </w:r>
          </w:p>
        </w:tc>
        <w:tc>
          <w:tcPr>
            <w:tcW w:w="1241" w:type="dxa"/>
            <w:tcBorders>
              <w:top w:val="nil"/>
              <w:left w:val="single" w:sz="4" w:space="0" w:color="auto"/>
              <w:bottom w:val="nil"/>
              <w:right w:val="single" w:sz="4" w:space="0" w:color="auto"/>
            </w:tcBorders>
            <w:shd w:val="clear" w:color="auto" w:fill="FFFFFF" w:themeFill="background1"/>
            <w:noWrap/>
            <w:vAlign w:val="center"/>
            <w:hideMark/>
          </w:tcPr>
          <w:p w14:paraId="0FB8B670"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20</w:t>
            </w:r>
          </w:p>
        </w:tc>
        <w:tc>
          <w:tcPr>
            <w:tcW w:w="1103" w:type="dxa"/>
            <w:tcBorders>
              <w:top w:val="nil"/>
              <w:left w:val="nil"/>
              <w:bottom w:val="nil"/>
              <w:right w:val="single" w:sz="4" w:space="0" w:color="auto"/>
            </w:tcBorders>
            <w:shd w:val="clear" w:color="auto" w:fill="FFFFFF" w:themeFill="background1"/>
            <w:noWrap/>
            <w:vAlign w:val="center"/>
            <w:hideMark/>
          </w:tcPr>
          <w:p w14:paraId="3C3B9392"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35</w:t>
            </w:r>
          </w:p>
        </w:tc>
      </w:tr>
      <w:tr w:rsidR="002C1FE5" w:rsidRPr="002C1FE5" w14:paraId="75258631" w14:textId="77777777" w:rsidTr="00847C90">
        <w:trPr>
          <w:trHeight w:val="168"/>
          <w:jc w:val="center"/>
        </w:trPr>
        <w:tc>
          <w:tcPr>
            <w:tcW w:w="6337" w:type="dxa"/>
            <w:tcBorders>
              <w:top w:val="nil"/>
              <w:left w:val="single" w:sz="4" w:space="0" w:color="auto"/>
              <w:bottom w:val="nil"/>
              <w:right w:val="nil"/>
            </w:tcBorders>
            <w:shd w:val="clear" w:color="auto" w:fill="FFFFFF" w:themeFill="background1"/>
            <w:noWrap/>
            <w:vAlign w:val="bottom"/>
            <w:hideMark/>
          </w:tcPr>
          <w:p w14:paraId="1093337A" w14:textId="77777777" w:rsidR="002C1FE5" w:rsidRPr="002C1FE5" w:rsidRDefault="002C1FE5" w:rsidP="002C1FE5">
            <w:pPr>
              <w:ind w:firstLineChars="100" w:firstLine="200"/>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Deuda en moneda extranjera</w:t>
            </w:r>
          </w:p>
        </w:tc>
        <w:tc>
          <w:tcPr>
            <w:tcW w:w="1241" w:type="dxa"/>
            <w:tcBorders>
              <w:top w:val="nil"/>
              <w:left w:val="single" w:sz="4" w:space="0" w:color="auto"/>
              <w:bottom w:val="nil"/>
              <w:right w:val="single" w:sz="4" w:space="0" w:color="auto"/>
            </w:tcBorders>
            <w:shd w:val="clear" w:color="auto" w:fill="FFFFFF" w:themeFill="background1"/>
            <w:noWrap/>
            <w:vAlign w:val="center"/>
            <w:hideMark/>
          </w:tcPr>
          <w:p w14:paraId="7A2A7C93"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80</w:t>
            </w:r>
          </w:p>
        </w:tc>
        <w:tc>
          <w:tcPr>
            <w:tcW w:w="1103" w:type="dxa"/>
            <w:tcBorders>
              <w:top w:val="nil"/>
              <w:left w:val="nil"/>
              <w:bottom w:val="nil"/>
              <w:right w:val="single" w:sz="4" w:space="0" w:color="auto"/>
            </w:tcBorders>
            <w:shd w:val="clear" w:color="auto" w:fill="FFFFFF" w:themeFill="background1"/>
            <w:noWrap/>
            <w:vAlign w:val="center"/>
            <w:hideMark/>
          </w:tcPr>
          <w:p w14:paraId="4AFA0884"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 ne*</w:t>
            </w:r>
          </w:p>
        </w:tc>
      </w:tr>
      <w:tr w:rsidR="002C1FE5" w:rsidRPr="002C1FE5" w14:paraId="23AEEC80" w14:textId="77777777" w:rsidTr="00847C90">
        <w:trPr>
          <w:trHeight w:val="87"/>
          <w:jc w:val="center"/>
        </w:trPr>
        <w:tc>
          <w:tcPr>
            <w:tcW w:w="6337" w:type="dxa"/>
            <w:tcBorders>
              <w:top w:val="nil"/>
              <w:left w:val="single" w:sz="4" w:space="0" w:color="auto"/>
              <w:bottom w:val="nil"/>
              <w:right w:val="nil"/>
            </w:tcBorders>
            <w:shd w:val="clear" w:color="auto" w:fill="FFFFFF" w:themeFill="background1"/>
            <w:vAlign w:val="bottom"/>
            <w:hideMark/>
          </w:tcPr>
          <w:p w14:paraId="3B9A08A0" w14:textId="27BC37D6" w:rsidR="002C1FE5" w:rsidRPr="002C1FE5" w:rsidRDefault="002C1FE5" w:rsidP="002C1FE5">
            <w:pPr>
              <w:ind w:firstLineChars="100" w:firstLine="200"/>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Cambio anual de la participación de la deuda a</w:t>
            </w:r>
            <w:r>
              <w:rPr>
                <w:rFonts w:ascii="Times" w:eastAsia="Times New Roman" w:hAnsi="Times" w:cs="Times"/>
                <w:color w:val="000000"/>
                <w:sz w:val="20"/>
                <w:szCs w:val="20"/>
                <w:lang w:val="es-ES_tradnl" w:eastAsia="es-GT"/>
              </w:rPr>
              <w:t xml:space="preserve"> </w:t>
            </w:r>
            <w:r w:rsidRPr="002C1FE5">
              <w:rPr>
                <w:rFonts w:ascii="Times" w:eastAsia="Times New Roman" w:hAnsi="Times" w:cs="Times"/>
                <w:color w:val="000000"/>
                <w:sz w:val="20"/>
                <w:szCs w:val="20"/>
                <w:lang w:val="es-ES_tradnl" w:eastAsia="es-GT"/>
              </w:rPr>
              <w:t>corto plazo</w:t>
            </w:r>
          </w:p>
        </w:tc>
        <w:tc>
          <w:tcPr>
            <w:tcW w:w="1241" w:type="dxa"/>
            <w:tcBorders>
              <w:top w:val="nil"/>
              <w:left w:val="single" w:sz="4" w:space="0" w:color="auto"/>
              <w:bottom w:val="nil"/>
              <w:right w:val="single" w:sz="4" w:space="0" w:color="auto"/>
            </w:tcBorders>
            <w:shd w:val="clear" w:color="auto" w:fill="FFFFFF" w:themeFill="background1"/>
            <w:noWrap/>
            <w:vAlign w:val="center"/>
            <w:hideMark/>
          </w:tcPr>
          <w:p w14:paraId="1F49C1A9"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1.5</w:t>
            </w:r>
          </w:p>
        </w:tc>
        <w:tc>
          <w:tcPr>
            <w:tcW w:w="1103" w:type="dxa"/>
            <w:tcBorders>
              <w:top w:val="nil"/>
              <w:left w:val="nil"/>
              <w:bottom w:val="nil"/>
              <w:right w:val="single" w:sz="4" w:space="0" w:color="auto"/>
            </w:tcBorders>
            <w:shd w:val="clear" w:color="auto" w:fill="FFFFFF" w:themeFill="background1"/>
            <w:noWrap/>
            <w:vAlign w:val="center"/>
            <w:hideMark/>
          </w:tcPr>
          <w:p w14:paraId="6B973A92"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2</w:t>
            </w:r>
          </w:p>
        </w:tc>
      </w:tr>
      <w:tr w:rsidR="002C1FE5" w:rsidRPr="002C1FE5" w14:paraId="2B876F62" w14:textId="77777777" w:rsidTr="00847C90">
        <w:trPr>
          <w:trHeight w:val="74"/>
          <w:jc w:val="center"/>
        </w:trPr>
        <w:tc>
          <w:tcPr>
            <w:tcW w:w="6337" w:type="dxa"/>
            <w:tcBorders>
              <w:top w:val="nil"/>
              <w:left w:val="single" w:sz="4" w:space="0" w:color="auto"/>
              <w:bottom w:val="single" w:sz="4" w:space="0" w:color="auto"/>
              <w:right w:val="nil"/>
            </w:tcBorders>
            <w:shd w:val="clear" w:color="auto" w:fill="FFFFFF" w:themeFill="background1"/>
            <w:noWrap/>
            <w:vAlign w:val="bottom"/>
            <w:hideMark/>
          </w:tcPr>
          <w:p w14:paraId="08B3AEEA" w14:textId="77777777" w:rsidR="002C1FE5" w:rsidRPr="002C1FE5" w:rsidRDefault="002C1FE5" w:rsidP="002C1FE5">
            <w:pPr>
              <w:ind w:firstLineChars="100" w:firstLine="200"/>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Participación de la deuda externa del total</w:t>
            </w:r>
          </w:p>
        </w:tc>
        <w:tc>
          <w:tcPr>
            <w:tcW w:w="124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49F443"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60</w:t>
            </w:r>
          </w:p>
        </w:tc>
        <w:tc>
          <w:tcPr>
            <w:tcW w:w="1103" w:type="dxa"/>
            <w:tcBorders>
              <w:top w:val="nil"/>
              <w:left w:val="nil"/>
              <w:bottom w:val="single" w:sz="4" w:space="0" w:color="auto"/>
              <w:right w:val="single" w:sz="4" w:space="0" w:color="auto"/>
            </w:tcBorders>
            <w:shd w:val="clear" w:color="auto" w:fill="FFFFFF" w:themeFill="background1"/>
            <w:noWrap/>
            <w:vAlign w:val="center"/>
            <w:hideMark/>
          </w:tcPr>
          <w:p w14:paraId="602CA373" w14:textId="77777777" w:rsidR="002C1FE5" w:rsidRPr="002C1FE5" w:rsidRDefault="002C1FE5" w:rsidP="002C1FE5">
            <w:pPr>
              <w:jc w:val="center"/>
              <w:rPr>
                <w:rFonts w:ascii="Times" w:eastAsia="Times New Roman" w:hAnsi="Times" w:cs="Times"/>
                <w:color w:val="000000"/>
                <w:sz w:val="20"/>
                <w:szCs w:val="20"/>
                <w:lang w:val="es-ES_tradnl" w:eastAsia="es-GT"/>
              </w:rPr>
            </w:pPr>
            <w:r w:rsidRPr="002C1FE5">
              <w:rPr>
                <w:rFonts w:ascii="Times" w:eastAsia="Times New Roman" w:hAnsi="Times" w:cs="Times"/>
                <w:color w:val="000000"/>
                <w:sz w:val="20"/>
                <w:szCs w:val="20"/>
                <w:lang w:val="es-ES_tradnl" w:eastAsia="es-GT"/>
              </w:rPr>
              <w:t>60</w:t>
            </w:r>
          </w:p>
        </w:tc>
      </w:tr>
    </w:tbl>
    <w:p w14:paraId="05C8DF11" w14:textId="77777777" w:rsidR="002C1FE5" w:rsidRPr="002C1FE5" w:rsidRDefault="002C1FE5" w:rsidP="002C1FE5">
      <w:pPr>
        <w:tabs>
          <w:tab w:val="left" w:pos="630"/>
        </w:tabs>
        <w:jc w:val="both"/>
        <w:rPr>
          <w:rFonts w:eastAsia="Times New Roman"/>
          <w:sz w:val="18"/>
          <w:szCs w:val="18"/>
          <w:lang w:val="es-ES_tradnl" w:eastAsia="es-ES"/>
        </w:rPr>
      </w:pPr>
      <w:r w:rsidRPr="002C1FE5">
        <w:rPr>
          <w:rFonts w:eastAsia="Times New Roman"/>
          <w:sz w:val="18"/>
          <w:szCs w:val="18"/>
          <w:lang w:val="es-ES_tradnl" w:eastAsia="es-ES"/>
        </w:rPr>
        <w:t xml:space="preserve"> Fuente: </w:t>
      </w:r>
      <w:r w:rsidRPr="002C1FE5">
        <w:rPr>
          <w:rFonts w:eastAsia="Times New Roman"/>
          <w:bCs/>
          <w:sz w:val="18"/>
          <w:szCs w:val="13"/>
          <w:lang w:val="es-ES_tradnl" w:eastAsia="es-ES"/>
        </w:rPr>
        <w:t>Ministerio de Finanzas Públicas</w:t>
      </w:r>
      <w:r w:rsidRPr="002C1FE5">
        <w:rPr>
          <w:rFonts w:eastAsia="Times New Roman"/>
          <w:sz w:val="18"/>
          <w:szCs w:val="18"/>
          <w:lang w:val="es-ES_tradnl" w:eastAsia="es-ES"/>
        </w:rPr>
        <w:t xml:space="preserve"> con información del FMI, mayo de 2013</w:t>
      </w:r>
    </w:p>
    <w:p w14:paraId="06224833" w14:textId="77777777" w:rsidR="002C1FE5" w:rsidRPr="002C1FE5" w:rsidRDefault="002C1FE5" w:rsidP="002C1FE5">
      <w:pPr>
        <w:tabs>
          <w:tab w:val="left" w:pos="630"/>
        </w:tabs>
        <w:jc w:val="both"/>
        <w:rPr>
          <w:rFonts w:eastAsia="Times New Roman"/>
          <w:sz w:val="18"/>
          <w:szCs w:val="18"/>
          <w:lang w:val="es-ES_tradnl" w:eastAsia="es-ES"/>
        </w:rPr>
      </w:pPr>
      <w:r w:rsidRPr="002C1FE5">
        <w:rPr>
          <w:rFonts w:eastAsia="Times New Roman"/>
          <w:sz w:val="18"/>
          <w:szCs w:val="18"/>
          <w:lang w:val="es-ES_tradnl" w:eastAsia="es-ES"/>
        </w:rPr>
        <w:t xml:space="preserve"> ne*: No existe punto de referencia para este indicador</w:t>
      </w:r>
    </w:p>
    <w:p w14:paraId="6C3888C4" w14:textId="77777777" w:rsidR="002C1FE5" w:rsidRPr="002C1FE5" w:rsidRDefault="002C1FE5" w:rsidP="002C1FE5">
      <w:pPr>
        <w:ind w:left="567" w:right="49"/>
        <w:jc w:val="both"/>
        <w:rPr>
          <w:rFonts w:eastAsia="Times New Roman"/>
          <w:color w:val="FF0000"/>
          <w:lang w:val="es-MX" w:eastAsia="es-ES"/>
        </w:rPr>
      </w:pPr>
      <w:r w:rsidRPr="002C1FE5">
        <w:rPr>
          <w:rFonts w:eastAsia="Times New Roman"/>
          <w:color w:val="FF0000"/>
          <w:lang w:val="es-MX" w:eastAsia="es-ES"/>
        </w:rPr>
        <w:t xml:space="preserve"> </w:t>
      </w:r>
    </w:p>
    <w:p w14:paraId="4FE3C8E7" w14:textId="77777777" w:rsidR="002C1FE5" w:rsidRPr="002C1FE5" w:rsidRDefault="002C1FE5" w:rsidP="002C1FE5">
      <w:pPr>
        <w:widowControl/>
        <w:ind w:right="49"/>
        <w:jc w:val="both"/>
        <w:rPr>
          <w:rFonts w:eastAsia="Times New Roman"/>
          <w:bCs/>
          <w:color w:val="000000" w:themeColor="text1"/>
          <w:lang w:val="es-MX"/>
        </w:rPr>
      </w:pPr>
      <w:r w:rsidRPr="002C1FE5">
        <w:rPr>
          <w:rFonts w:eastAsia="Times New Roman"/>
          <w:bCs/>
          <w:color w:val="000000" w:themeColor="text1"/>
          <w:lang w:val="es-MX"/>
        </w:rPr>
        <w:t>En el capítulo tres de las “Perspectivas Económicas Mundiales” de octubre de 2012 del Fondo Monetario Internacional, se realizan distintos análisis para determinar la sostenibilidad de la deuda de varios países, mencionan que no existe un simple límite para los indicadores de deuda que puedan delinear una deuda “buena” de una “mala”, sino que es necesario explorar la dinámica de la deuda pública, su entorno macroeconómico y las políticas públicas de cada país. Por otro lado, los autores del FMI de la publicación de “Espacio Fiscal” de 2010, quienes también investigaron límites para mantener la sostenibilidad de deuda para diversos países indican que su límite recomendado no debe interpretarse como una barrera absoluta ni como el nivel óptimo de deuda pública.</w:t>
      </w:r>
    </w:p>
    <w:p w14:paraId="3EE9B75C" w14:textId="77777777" w:rsidR="002C1FE5" w:rsidRPr="002846D1" w:rsidRDefault="002C1FE5" w:rsidP="00BA2759">
      <w:pPr>
        <w:pStyle w:val="Sinespaciado"/>
        <w:ind w:right="49"/>
        <w:jc w:val="both"/>
        <w:rPr>
          <w:color w:val="FF0000"/>
          <w:lang w:val="es-MX"/>
        </w:rPr>
      </w:pPr>
    </w:p>
    <w:p w14:paraId="6FCB5848" w14:textId="2ECDD3E0" w:rsidR="00736ADD" w:rsidRPr="004C3D79" w:rsidRDefault="00736ADD" w:rsidP="00B24092">
      <w:pPr>
        <w:pStyle w:val="Ttulo1"/>
        <w:widowControl/>
        <w:numPr>
          <w:ilvl w:val="1"/>
          <w:numId w:val="5"/>
        </w:numPr>
        <w:ind w:left="716" w:right="49"/>
        <w:jc w:val="left"/>
        <w:rPr>
          <w:color w:val="auto"/>
          <w:sz w:val="24"/>
          <w:lang w:val="es-MX"/>
        </w:rPr>
      </w:pPr>
      <w:bookmarkStart w:id="132" w:name="_Toc110522928"/>
      <w:bookmarkStart w:id="133" w:name="_Toc114066628"/>
      <w:bookmarkStart w:id="134" w:name="_Toc114473950"/>
      <w:bookmarkStart w:id="135" w:name="_Toc114475997"/>
      <w:bookmarkStart w:id="136" w:name="_Toc114495250"/>
      <w:bookmarkStart w:id="137" w:name="_Hlk110841902"/>
      <w:bookmarkEnd w:id="132"/>
      <w:bookmarkEnd w:id="133"/>
      <w:bookmarkEnd w:id="134"/>
      <w:bookmarkEnd w:id="135"/>
      <w:r w:rsidRPr="004C3D79">
        <w:rPr>
          <w:color w:val="auto"/>
          <w:sz w:val="24"/>
          <w:lang w:val="es-MX"/>
        </w:rPr>
        <w:t>Indicadores de la deuda pública para Guatemala</w:t>
      </w:r>
      <w:bookmarkEnd w:id="136"/>
    </w:p>
    <w:bookmarkEnd w:id="137"/>
    <w:p w14:paraId="6706BF0F" w14:textId="77777777" w:rsidR="00736ADD" w:rsidRPr="002846D1" w:rsidRDefault="00736ADD" w:rsidP="000173FB">
      <w:pPr>
        <w:pStyle w:val="Sinespaciado"/>
        <w:ind w:left="567" w:right="49"/>
        <w:jc w:val="both"/>
        <w:rPr>
          <w:color w:val="FF0000"/>
          <w:lang w:val="es-MX"/>
        </w:rPr>
      </w:pPr>
    </w:p>
    <w:p w14:paraId="63EE298C" w14:textId="4066A92F" w:rsidR="002C3D84" w:rsidRDefault="002C3D84" w:rsidP="002C3D84">
      <w:pPr>
        <w:jc w:val="both"/>
        <w:rPr>
          <w:bCs/>
          <w:color w:val="000000" w:themeColor="text1"/>
          <w:lang w:val="es-MX"/>
        </w:rPr>
      </w:pPr>
      <w:r w:rsidRPr="002C3D84">
        <w:rPr>
          <w:bCs/>
          <w:color w:val="000000" w:themeColor="text1"/>
          <w:lang w:val="es-MX"/>
        </w:rPr>
        <w:t>Guatemala destaca por su manejo prudente de la deuda al tener un ratio deuda/PIB de 30.8% en 2021. El nivel de este indicador para Guatemala es el nivel más bajo en todo Centroamérica incluyendo a República Dominicana. A pesar de que este indicador aumentó 5.1 puntos porcentuales del 2019 al 2020 en Guatemala, este disminuyó 0.8 puntos porcentuales de 2020 a 2021 debido del efecto “catch up” del crecimiento económico que tuvo un impacto positivo en la recaudación, al igual que el aumento de los precios de productos de importación, en particular los combustibles. Para 2022, tomando como base el presupuesto vigente a junio del presente año, el indicador se encontrará alrededor de 31.0%, muy por debajo de los límites de referencias utilizados por el Fondo Monetario Internacional y del Banco Mundial.</w:t>
      </w:r>
    </w:p>
    <w:p w14:paraId="48114B4F" w14:textId="77777777" w:rsidR="00847C90" w:rsidRDefault="00847C90" w:rsidP="002C3D84">
      <w:pPr>
        <w:jc w:val="both"/>
        <w:rPr>
          <w:bCs/>
          <w:color w:val="000000" w:themeColor="text1"/>
          <w:lang w:val="es-MX"/>
        </w:rPr>
      </w:pPr>
    </w:p>
    <w:p w14:paraId="5EE1C60A" w14:textId="4A0F4D32" w:rsidR="002C3D84" w:rsidRDefault="002C3D84" w:rsidP="002C3D84">
      <w:pPr>
        <w:jc w:val="both"/>
        <w:rPr>
          <w:bCs/>
          <w:color w:val="000000" w:themeColor="text1"/>
          <w:lang w:val="es-MX"/>
        </w:rPr>
      </w:pPr>
      <w:r w:rsidRPr="002C3D84">
        <w:rPr>
          <w:bCs/>
          <w:color w:val="000000" w:themeColor="text1"/>
          <w:lang w:val="es-MX"/>
        </w:rPr>
        <w:t>Otro indicador que mide la capacidad para hacer frente a los compromisos es la deuda con respecto a los ingresos fiscales. Este indicador disminuyó 58.9 puntos porcentuales del 2020 a 2021 y se encontró en 248.7%. Para el año 2022 se estima que este indicador se encuentre en 269.8</w:t>
      </w:r>
      <w:r w:rsidR="002C1FE5">
        <w:rPr>
          <w:bCs/>
          <w:color w:val="000000" w:themeColor="text1"/>
          <w:lang w:val="es-MX"/>
        </w:rPr>
        <w:t>%</w:t>
      </w:r>
      <w:r w:rsidRPr="002C3D84">
        <w:rPr>
          <w:bCs/>
          <w:color w:val="000000" w:themeColor="text1"/>
          <w:lang w:val="es-MX"/>
        </w:rPr>
        <w:t xml:space="preserve">, es importante enfatizar en que el indicador se encuentra cerca del promedio de Latinoamérica. </w:t>
      </w:r>
    </w:p>
    <w:p w14:paraId="5CF48614" w14:textId="2BC8A78D" w:rsidR="002C1FE5" w:rsidRDefault="002C1FE5" w:rsidP="002C3D84">
      <w:pPr>
        <w:jc w:val="both"/>
        <w:rPr>
          <w:bCs/>
          <w:color w:val="000000" w:themeColor="text1"/>
          <w:lang w:val="es-MX"/>
        </w:rPr>
      </w:pPr>
    </w:p>
    <w:tbl>
      <w:tblPr>
        <w:tblStyle w:val="Tablaconcuadrcula"/>
        <w:tblW w:w="88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296"/>
      </w:tblGrid>
      <w:tr w:rsidR="002C1FE5" w:rsidRPr="002C1FE5" w14:paraId="2752B494" w14:textId="77777777" w:rsidTr="00C43CBD">
        <w:trPr>
          <w:trHeight w:val="101"/>
          <w:jc w:val="center"/>
        </w:trPr>
        <w:tc>
          <w:tcPr>
            <w:tcW w:w="8827" w:type="dxa"/>
            <w:gridSpan w:val="2"/>
          </w:tcPr>
          <w:p w14:paraId="125A2539" w14:textId="71803C58" w:rsidR="002C1FE5" w:rsidRPr="002C1FE5" w:rsidRDefault="002C1FE5" w:rsidP="002C1FE5">
            <w:pPr>
              <w:keepNext/>
              <w:jc w:val="center"/>
              <w:rPr>
                <w:b/>
                <w:color w:val="0000FF"/>
                <w:sz w:val="18"/>
                <w:szCs w:val="18"/>
              </w:rPr>
            </w:pPr>
            <w:bookmarkStart w:id="138" w:name="_Toc114493871"/>
            <w:r w:rsidRPr="00C43CBD">
              <w:rPr>
                <w:b/>
                <w:sz w:val="24"/>
              </w:rPr>
              <w:t xml:space="preserve">Gráfico </w:t>
            </w:r>
            <w:r w:rsidRPr="00C43CBD">
              <w:rPr>
                <w:b/>
              </w:rPr>
              <w:fldChar w:fldCharType="begin"/>
            </w:r>
            <w:r w:rsidRPr="00C43CBD">
              <w:rPr>
                <w:b/>
                <w:sz w:val="24"/>
              </w:rPr>
              <w:instrText xml:space="preserve"> SEQ Gráfico \* ARABIC </w:instrText>
            </w:r>
            <w:r w:rsidRPr="00C43CBD">
              <w:rPr>
                <w:b/>
              </w:rPr>
              <w:fldChar w:fldCharType="separate"/>
            </w:r>
            <w:r w:rsidR="002E7809">
              <w:rPr>
                <w:b/>
                <w:noProof/>
                <w:sz w:val="24"/>
              </w:rPr>
              <w:t>29</w:t>
            </w:r>
            <w:r w:rsidRPr="00C43CBD">
              <w:rPr>
                <w:b/>
              </w:rPr>
              <w:fldChar w:fldCharType="end"/>
            </w:r>
            <w:r w:rsidRPr="00C43CBD">
              <w:rPr>
                <w:b/>
                <w:sz w:val="24"/>
              </w:rPr>
              <w:t>.  Indicadores de deuda</w:t>
            </w:r>
            <w:bookmarkEnd w:id="138"/>
            <w:r w:rsidRPr="002C1FE5">
              <w:rPr>
                <w:b/>
              </w:rPr>
              <w:t xml:space="preserve"> </w:t>
            </w:r>
          </w:p>
        </w:tc>
      </w:tr>
      <w:tr w:rsidR="002C1FE5" w:rsidRPr="002C1FE5" w14:paraId="38DAEE1E" w14:textId="77777777" w:rsidTr="00C43CBD">
        <w:trPr>
          <w:trHeight w:val="101"/>
          <w:jc w:val="center"/>
        </w:trPr>
        <w:tc>
          <w:tcPr>
            <w:tcW w:w="4531" w:type="dxa"/>
          </w:tcPr>
          <w:p w14:paraId="2AE66670" w14:textId="77777777" w:rsidR="002C1FE5" w:rsidRPr="002C1FE5" w:rsidRDefault="002C1FE5" w:rsidP="002C1FE5">
            <w:pPr>
              <w:keepNext/>
              <w:jc w:val="center"/>
              <w:rPr>
                <w:b/>
              </w:rPr>
            </w:pPr>
            <w:r w:rsidRPr="002C1FE5">
              <w:rPr>
                <w:b/>
              </w:rPr>
              <w:t>Deuda/ PIB en porcentaje</w:t>
            </w:r>
          </w:p>
        </w:tc>
        <w:tc>
          <w:tcPr>
            <w:tcW w:w="4296" w:type="dxa"/>
          </w:tcPr>
          <w:p w14:paraId="63F493E7" w14:textId="77777777" w:rsidR="002C1FE5" w:rsidRPr="002C1FE5" w:rsidRDefault="002C1FE5" w:rsidP="002C1FE5">
            <w:pPr>
              <w:keepNext/>
              <w:jc w:val="center"/>
              <w:rPr>
                <w:b/>
              </w:rPr>
            </w:pPr>
            <w:r w:rsidRPr="002C1FE5">
              <w:rPr>
                <w:b/>
              </w:rPr>
              <w:t>Deuda / Ingresos fiscales en porcentaje</w:t>
            </w:r>
          </w:p>
        </w:tc>
      </w:tr>
      <w:tr w:rsidR="002C1FE5" w:rsidRPr="002C1FE5" w14:paraId="467D5EF5" w14:textId="77777777" w:rsidTr="00C43CBD">
        <w:trPr>
          <w:trHeight w:val="2901"/>
          <w:jc w:val="center"/>
        </w:trPr>
        <w:tc>
          <w:tcPr>
            <w:tcW w:w="4531" w:type="dxa"/>
          </w:tcPr>
          <w:p w14:paraId="41EDCFA3" w14:textId="6F83AA6D" w:rsidR="002C1FE5" w:rsidRPr="002C1FE5" w:rsidRDefault="002C1FE5" w:rsidP="002C1FE5">
            <w:pPr>
              <w:ind w:right="49"/>
              <w:jc w:val="center"/>
              <w:rPr>
                <w:noProof/>
              </w:rPr>
            </w:pPr>
            <w:r w:rsidRPr="002C1FE5">
              <w:rPr>
                <w:noProof/>
              </w:rPr>
              <w:drawing>
                <wp:inline distT="0" distB="0" distL="0" distR="0" wp14:anchorId="3CCD041F" wp14:editId="58FFFC6C">
                  <wp:extent cx="2524125" cy="1790700"/>
                  <wp:effectExtent l="0" t="0" r="0" b="0"/>
                  <wp:docPr id="79" name="Gráfico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296" w:type="dxa"/>
          </w:tcPr>
          <w:p w14:paraId="5B4378C7" w14:textId="7DC2E401" w:rsidR="002C1FE5" w:rsidRPr="002C1FE5" w:rsidRDefault="002C1FE5" w:rsidP="002C1FE5">
            <w:pPr>
              <w:keepNext/>
              <w:ind w:right="49"/>
              <w:jc w:val="center"/>
              <w:rPr>
                <w:noProof/>
              </w:rPr>
            </w:pPr>
            <w:r w:rsidRPr="002C1FE5">
              <w:rPr>
                <w:b/>
                <w:noProof/>
                <w:color w:val="0000FF"/>
              </w:rPr>
              <w:drawing>
                <wp:inline distT="0" distB="0" distL="0" distR="0" wp14:anchorId="2023E35E" wp14:editId="22F3CB17">
                  <wp:extent cx="2524125" cy="1790700"/>
                  <wp:effectExtent l="0" t="0" r="0" b="0"/>
                  <wp:docPr id="78" name="Gráfico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2C1FE5" w:rsidRPr="002C1FE5" w14:paraId="5F523A6D" w14:textId="77777777" w:rsidTr="00C43CBD">
        <w:trPr>
          <w:trHeight w:val="142"/>
          <w:jc w:val="center"/>
        </w:trPr>
        <w:tc>
          <w:tcPr>
            <w:tcW w:w="8827" w:type="dxa"/>
            <w:gridSpan w:val="2"/>
          </w:tcPr>
          <w:p w14:paraId="52B0AFB9" w14:textId="77777777" w:rsidR="002C1FE5" w:rsidRPr="002C1FE5" w:rsidRDefault="002C1FE5" w:rsidP="002C1FE5">
            <w:pPr>
              <w:widowControl/>
              <w:ind w:right="49"/>
              <w:jc w:val="both"/>
              <w:rPr>
                <w:sz w:val="18"/>
                <w:szCs w:val="22"/>
                <w:lang w:val="es-ES"/>
              </w:rPr>
            </w:pPr>
            <w:r w:rsidRPr="002C1FE5">
              <w:rPr>
                <w:sz w:val="18"/>
                <w:szCs w:val="22"/>
                <w:lang w:val="es-ES"/>
              </w:rPr>
              <w:t xml:space="preserve"> </w:t>
            </w:r>
            <w:r w:rsidRPr="002C1FE5">
              <w:rPr>
                <w:sz w:val="16"/>
                <w:szCs w:val="16"/>
                <w:lang w:val="es-ES"/>
              </w:rPr>
              <w:t xml:space="preserve">Fuente: </w:t>
            </w:r>
            <w:r w:rsidRPr="002C1FE5">
              <w:rPr>
                <w:bCs/>
                <w:sz w:val="16"/>
                <w:szCs w:val="16"/>
                <w:lang w:val="es-ES"/>
              </w:rPr>
              <w:t>Ministerio de Finanzas Públicas</w:t>
            </w:r>
            <w:r w:rsidRPr="002C1FE5">
              <w:rPr>
                <w:sz w:val="16"/>
                <w:szCs w:val="16"/>
                <w:lang w:val="es-ES"/>
              </w:rPr>
              <w:t xml:space="preserve"> </w:t>
            </w:r>
          </w:p>
        </w:tc>
      </w:tr>
    </w:tbl>
    <w:p w14:paraId="709848DA" w14:textId="77777777" w:rsidR="002C1FE5" w:rsidRPr="002C1FE5" w:rsidRDefault="002C1FE5" w:rsidP="002C1FE5">
      <w:pPr>
        <w:jc w:val="both"/>
        <w:rPr>
          <w:rFonts w:eastAsia="Times New Roman"/>
          <w:bCs/>
          <w:color w:val="000000" w:themeColor="text1"/>
        </w:rPr>
      </w:pPr>
    </w:p>
    <w:p w14:paraId="4D7A9110" w14:textId="77777777" w:rsidR="002C1FE5" w:rsidRPr="002C1FE5" w:rsidRDefault="002C1FE5" w:rsidP="002C1FE5">
      <w:pPr>
        <w:jc w:val="both"/>
        <w:rPr>
          <w:rFonts w:eastAsia="Times New Roman"/>
          <w:bCs/>
          <w:color w:val="000000" w:themeColor="text1"/>
          <w:lang w:val="es-MX"/>
        </w:rPr>
      </w:pPr>
      <w:r w:rsidRPr="002C1FE5">
        <w:rPr>
          <w:rFonts w:eastAsia="Times New Roman"/>
          <w:bCs/>
          <w:color w:val="000000" w:themeColor="text1"/>
          <w:lang w:val="es-MX"/>
        </w:rPr>
        <w:t>Entre los indicadores de liquidez se encuentra el servicio de la deuda con respecto a los ingresos fiscales y el servicio de deuda externa con respecto a las exportaciones. Para el 2021 el ratio del servicio de la deuda/ ingresos fiscales se encontró en 24.2%, para 2022 se prevé que es encuentre alrededor de 26.0% y para 2027 en 26.6%.</w:t>
      </w:r>
    </w:p>
    <w:p w14:paraId="721BE6BB" w14:textId="77777777" w:rsidR="002C1FE5" w:rsidRPr="002C1FE5" w:rsidRDefault="002C1FE5" w:rsidP="002C1FE5">
      <w:pPr>
        <w:jc w:val="both"/>
        <w:rPr>
          <w:rFonts w:eastAsia="Times New Roman"/>
          <w:bCs/>
          <w:color w:val="000000" w:themeColor="text1"/>
          <w:lang w:val="es-MX"/>
        </w:rPr>
      </w:pPr>
    </w:p>
    <w:p w14:paraId="336F7E8F" w14:textId="50F626FD" w:rsidR="002C1FE5" w:rsidRPr="002C1FE5" w:rsidRDefault="002C1FE5" w:rsidP="002C1FE5">
      <w:pPr>
        <w:jc w:val="both"/>
        <w:rPr>
          <w:rFonts w:eastAsia="Times New Roman"/>
          <w:bCs/>
          <w:color w:val="000000" w:themeColor="text1"/>
          <w:lang w:val="es-MX"/>
        </w:rPr>
      </w:pPr>
      <w:r w:rsidRPr="002C1FE5">
        <w:rPr>
          <w:rFonts w:eastAsia="Times New Roman"/>
          <w:bCs/>
          <w:color w:val="000000" w:themeColor="text1"/>
          <w:lang w:val="es-MX"/>
        </w:rPr>
        <w:t>Con respecto el ratio del servicio de la deuda externa/ exportaciones se registró en 2021 en 5.5%, se espera que para 2022 ese se encuentre en 10.6% y que para 2027 en 7.7%. La razón por la cual el indicador deuda externa/exportaciones aumenta en 2022 es por vencimientos de los Euro</w:t>
      </w:r>
      <w:r w:rsidR="008262FB">
        <w:rPr>
          <w:rFonts w:eastAsia="Times New Roman"/>
          <w:bCs/>
          <w:color w:val="000000" w:themeColor="text1"/>
          <w:lang w:val="es-MX"/>
        </w:rPr>
        <w:t>b</w:t>
      </w:r>
      <w:r w:rsidRPr="002C1FE5">
        <w:rPr>
          <w:rFonts w:eastAsia="Times New Roman"/>
          <w:bCs/>
          <w:color w:val="000000" w:themeColor="text1"/>
          <w:lang w:val="es-MX"/>
        </w:rPr>
        <w:t xml:space="preserve">onos, los cuales tuvieron un monto de USD$700.0 millones, asimismo, </w:t>
      </w:r>
      <w:r w:rsidR="00D82912" w:rsidRPr="002C1FE5">
        <w:rPr>
          <w:rFonts w:eastAsia="Times New Roman"/>
          <w:bCs/>
          <w:color w:val="000000" w:themeColor="text1"/>
          <w:lang w:val="es-MX"/>
        </w:rPr>
        <w:t>habrá</w:t>
      </w:r>
      <w:r w:rsidRPr="002C1FE5">
        <w:rPr>
          <w:rFonts w:eastAsia="Times New Roman"/>
          <w:bCs/>
          <w:color w:val="000000" w:themeColor="text1"/>
          <w:lang w:val="es-MX"/>
        </w:rPr>
        <w:t xml:space="preserve"> vencimientos de eurobonos en 2026 y 2027 por USD$700.0 y USD$500.0 millones respectivamente. Para los indicadores de servicio de deuda no se cuenta con un máximo recomendable para países con acceso al mercado de capitales.</w:t>
      </w:r>
    </w:p>
    <w:p w14:paraId="5756F9B5" w14:textId="77777777" w:rsidR="002C1FE5" w:rsidRPr="002C1FE5" w:rsidRDefault="002C1FE5" w:rsidP="002C1FE5">
      <w:pPr>
        <w:jc w:val="both"/>
        <w:rPr>
          <w:rFonts w:eastAsia="Times New Roman"/>
          <w:bCs/>
          <w:color w:val="000000" w:themeColor="text1"/>
          <w:lang w:val="es-MX"/>
        </w:rPr>
      </w:pPr>
    </w:p>
    <w:tbl>
      <w:tblPr>
        <w:tblStyle w:val="Tablaconcuadrcula"/>
        <w:tblW w:w="88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1"/>
        <w:gridCol w:w="4296"/>
      </w:tblGrid>
      <w:tr w:rsidR="002C1FE5" w:rsidRPr="002C1FE5" w14:paraId="785BA7C6" w14:textId="77777777" w:rsidTr="00C43CBD">
        <w:trPr>
          <w:trHeight w:val="101"/>
          <w:jc w:val="center"/>
        </w:trPr>
        <w:tc>
          <w:tcPr>
            <w:tcW w:w="8827" w:type="dxa"/>
            <w:gridSpan w:val="2"/>
          </w:tcPr>
          <w:p w14:paraId="3EB672B7" w14:textId="42897324" w:rsidR="002C1FE5" w:rsidRPr="00D82912" w:rsidRDefault="002C1FE5" w:rsidP="002C1FE5">
            <w:pPr>
              <w:keepNext/>
              <w:jc w:val="center"/>
              <w:rPr>
                <w:b/>
                <w:color w:val="0000FF"/>
                <w:sz w:val="18"/>
                <w:szCs w:val="18"/>
              </w:rPr>
            </w:pPr>
            <w:bookmarkStart w:id="139" w:name="_Toc114493872"/>
            <w:r w:rsidRPr="00C43CBD">
              <w:rPr>
                <w:b/>
                <w:sz w:val="24"/>
              </w:rPr>
              <w:t xml:space="preserve">Gráfico </w:t>
            </w:r>
            <w:r w:rsidRPr="00C43CBD">
              <w:rPr>
                <w:b/>
              </w:rPr>
              <w:fldChar w:fldCharType="begin"/>
            </w:r>
            <w:r w:rsidRPr="00C43CBD">
              <w:rPr>
                <w:b/>
                <w:sz w:val="24"/>
              </w:rPr>
              <w:instrText xml:space="preserve"> SEQ Gráfico \* ARABIC </w:instrText>
            </w:r>
            <w:r w:rsidRPr="00C43CBD">
              <w:rPr>
                <w:b/>
              </w:rPr>
              <w:fldChar w:fldCharType="separate"/>
            </w:r>
            <w:r w:rsidR="002E7809">
              <w:rPr>
                <w:b/>
                <w:noProof/>
                <w:sz w:val="24"/>
              </w:rPr>
              <w:t>30</w:t>
            </w:r>
            <w:r w:rsidRPr="00C43CBD">
              <w:rPr>
                <w:b/>
              </w:rPr>
              <w:fldChar w:fldCharType="end"/>
            </w:r>
            <w:r w:rsidRPr="00C43CBD">
              <w:rPr>
                <w:b/>
                <w:sz w:val="24"/>
              </w:rPr>
              <w:t>.  Indicadores del servicio de deuda</w:t>
            </w:r>
            <w:bookmarkEnd w:id="139"/>
          </w:p>
        </w:tc>
      </w:tr>
      <w:tr w:rsidR="002C1FE5" w:rsidRPr="002C1FE5" w14:paraId="0552062A" w14:textId="77777777" w:rsidTr="00C43CBD">
        <w:trPr>
          <w:trHeight w:val="101"/>
          <w:jc w:val="center"/>
        </w:trPr>
        <w:tc>
          <w:tcPr>
            <w:tcW w:w="4531" w:type="dxa"/>
          </w:tcPr>
          <w:p w14:paraId="6F405A34" w14:textId="2028DB23" w:rsidR="002C1FE5" w:rsidRPr="002C1FE5" w:rsidRDefault="001208FB" w:rsidP="002C1FE5">
            <w:pPr>
              <w:keepNext/>
              <w:jc w:val="center"/>
              <w:rPr>
                <w:b/>
                <w:highlight w:val="yellow"/>
              </w:rPr>
            </w:pPr>
            <w:r w:rsidRPr="00D82912">
              <w:rPr>
                <w:b/>
              </w:rPr>
              <w:t>Servicio de d</w:t>
            </w:r>
            <w:r w:rsidR="002C1FE5" w:rsidRPr="00D82912">
              <w:rPr>
                <w:b/>
              </w:rPr>
              <w:t xml:space="preserve">euda/ </w:t>
            </w:r>
            <w:r w:rsidR="00D82912" w:rsidRPr="00D82912">
              <w:rPr>
                <w:b/>
              </w:rPr>
              <w:t>Ingresos fiscales</w:t>
            </w:r>
            <w:r w:rsidR="002C1FE5" w:rsidRPr="00D82912">
              <w:rPr>
                <w:b/>
              </w:rPr>
              <w:t xml:space="preserve"> en porcentaje</w:t>
            </w:r>
          </w:p>
        </w:tc>
        <w:tc>
          <w:tcPr>
            <w:tcW w:w="4296" w:type="dxa"/>
          </w:tcPr>
          <w:p w14:paraId="12D15FB9" w14:textId="0A9450A6" w:rsidR="002C1FE5" w:rsidRPr="00D82912" w:rsidRDefault="001208FB" w:rsidP="002C1FE5">
            <w:pPr>
              <w:keepNext/>
              <w:jc w:val="center"/>
              <w:rPr>
                <w:b/>
              </w:rPr>
            </w:pPr>
            <w:r w:rsidRPr="00D82912">
              <w:rPr>
                <w:b/>
              </w:rPr>
              <w:t>Servicios de de</w:t>
            </w:r>
            <w:r w:rsidR="002C1FE5" w:rsidRPr="00D82912">
              <w:rPr>
                <w:b/>
              </w:rPr>
              <w:t xml:space="preserve">uda / </w:t>
            </w:r>
            <w:r w:rsidR="00D82912" w:rsidRPr="00D82912">
              <w:rPr>
                <w:b/>
              </w:rPr>
              <w:t>PIB en</w:t>
            </w:r>
            <w:r w:rsidR="002C1FE5" w:rsidRPr="00D82912">
              <w:rPr>
                <w:b/>
              </w:rPr>
              <w:t xml:space="preserve"> porcentaje</w:t>
            </w:r>
          </w:p>
        </w:tc>
      </w:tr>
      <w:tr w:rsidR="002C1FE5" w:rsidRPr="002C1FE5" w14:paraId="12B29EDA" w14:textId="77777777" w:rsidTr="00C43CBD">
        <w:trPr>
          <w:trHeight w:val="2901"/>
          <w:jc w:val="center"/>
        </w:trPr>
        <w:tc>
          <w:tcPr>
            <w:tcW w:w="4531" w:type="dxa"/>
          </w:tcPr>
          <w:p w14:paraId="36C33773" w14:textId="6B39519B" w:rsidR="002C1FE5" w:rsidRPr="002C1FE5" w:rsidRDefault="002C1FE5" w:rsidP="002C1FE5">
            <w:pPr>
              <w:ind w:right="49"/>
              <w:jc w:val="center"/>
              <w:rPr>
                <w:noProof/>
              </w:rPr>
            </w:pPr>
            <w:r w:rsidRPr="002C1FE5">
              <w:rPr>
                <w:noProof/>
              </w:rPr>
              <w:drawing>
                <wp:inline distT="0" distB="0" distL="0" distR="0" wp14:anchorId="1BD65947" wp14:editId="50BC84A3">
                  <wp:extent cx="2524125" cy="1797685"/>
                  <wp:effectExtent l="0" t="0" r="0" b="0"/>
                  <wp:docPr id="77" name="Gráfico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296" w:type="dxa"/>
          </w:tcPr>
          <w:p w14:paraId="7A330779" w14:textId="4AC96901" w:rsidR="002C1FE5" w:rsidRPr="002C1FE5" w:rsidRDefault="002C1FE5" w:rsidP="002C1FE5">
            <w:pPr>
              <w:keepNext/>
              <w:ind w:right="49"/>
              <w:jc w:val="center"/>
              <w:rPr>
                <w:noProof/>
              </w:rPr>
            </w:pPr>
            <w:r w:rsidRPr="002C1FE5">
              <w:rPr>
                <w:b/>
                <w:noProof/>
                <w:color w:val="0000FF"/>
              </w:rPr>
              <w:drawing>
                <wp:inline distT="0" distB="0" distL="0" distR="0" wp14:anchorId="092BC141" wp14:editId="65E2D9C6">
                  <wp:extent cx="2524125" cy="1797685"/>
                  <wp:effectExtent l="0" t="0" r="0" b="0"/>
                  <wp:docPr id="76" name="Gráfico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2C1FE5" w:rsidRPr="002C1FE5" w14:paraId="2603C5F3" w14:textId="77777777" w:rsidTr="00C43CBD">
        <w:trPr>
          <w:trHeight w:val="142"/>
          <w:jc w:val="center"/>
        </w:trPr>
        <w:tc>
          <w:tcPr>
            <w:tcW w:w="8827" w:type="dxa"/>
            <w:gridSpan w:val="2"/>
          </w:tcPr>
          <w:p w14:paraId="6984C844" w14:textId="77777777" w:rsidR="002C1FE5" w:rsidRPr="002C1FE5" w:rsidRDefault="002C1FE5" w:rsidP="002C1FE5">
            <w:pPr>
              <w:widowControl/>
              <w:ind w:right="49"/>
              <w:jc w:val="both"/>
              <w:rPr>
                <w:sz w:val="18"/>
                <w:szCs w:val="22"/>
                <w:lang w:val="es-ES"/>
              </w:rPr>
            </w:pPr>
            <w:r w:rsidRPr="002C1FE5">
              <w:rPr>
                <w:sz w:val="18"/>
                <w:szCs w:val="22"/>
                <w:lang w:val="es-ES"/>
              </w:rPr>
              <w:t xml:space="preserve"> </w:t>
            </w:r>
            <w:r w:rsidRPr="002C1FE5">
              <w:rPr>
                <w:sz w:val="16"/>
                <w:szCs w:val="16"/>
                <w:lang w:val="es-ES"/>
              </w:rPr>
              <w:t xml:space="preserve">Fuente: </w:t>
            </w:r>
            <w:r w:rsidRPr="002C1FE5">
              <w:rPr>
                <w:bCs/>
                <w:sz w:val="16"/>
                <w:szCs w:val="16"/>
                <w:lang w:val="es-ES"/>
              </w:rPr>
              <w:t>Ministerio de Finanzas Públicas</w:t>
            </w:r>
            <w:r w:rsidRPr="002C1FE5">
              <w:rPr>
                <w:sz w:val="16"/>
                <w:szCs w:val="16"/>
                <w:lang w:val="es-ES"/>
              </w:rPr>
              <w:t xml:space="preserve"> </w:t>
            </w:r>
          </w:p>
        </w:tc>
      </w:tr>
    </w:tbl>
    <w:p w14:paraId="571E1646" w14:textId="77777777" w:rsidR="00847C90" w:rsidRDefault="00847C90" w:rsidP="002C1FE5">
      <w:pPr>
        <w:jc w:val="both"/>
        <w:rPr>
          <w:rFonts w:eastAsia="Times New Roman"/>
          <w:bCs/>
          <w:color w:val="000000" w:themeColor="text1"/>
          <w:lang w:val="es-MX"/>
        </w:rPr>
      </w:pPr>
    </w:p>
    <w:p w14:paraId="677E7CB1" w14:textId="2BEDA6A0" w:rsidR="002C1FE5" w:rsidRPr="002C1FE5" w:rsidRDefault="002C1FE5" w:rsidP="002C1FE5">
      <w:pPr>
        <w:jc w:val="both"/>
        <w:rPr>
          <w:rFonts w:eastAsia="Times New Roman"/>
          <w:bCs/>
          <w:color w:val="000000" w:themeColor="text1"/>
          <w:lang w:val="es-MX"/>
        </w:rPr>
      </w:pPr>
      <w:r w:rsidRPr="002C1FE5">
        <w:rPr>
          <w:rFonts w:eastAsia="Times New Roman"/>
          <w:bCs/>
          <w:color w:val="000000" w:themeColor="text1"/>
          <w:lang w:val="es-MX"/>
        </w:rPr>
        <w:t>Otro indicador que capta la carga económica de la deuda son los intereses de deuda /PIB, para Guatemala dicho indicador se encontraba en 1.7% en 2021, y se proyecta que este se mantenga en ese nivel hasta el 2027. Por otro lado, el indicador de intereses/ingresos fiscales muestra el costo de intereses en términos de la captación fiscal, este indicador se ubicó en 14.0% en 2021 y se espera que se encuentre alrededor de 13.7% para 2027.</w:t>
      </w:r>
    </w:p>
    <w:p w14:paraId="7A8274D4" w14:textId="77777777" w:rsidR="002C1FE5" w:rsidRPr="002C1FE5" w:rsidRDefault="002C1FE5" w:rsidP="002C1FE5">
      <w:pPr>
        <w:jc w:val="both"/>
        <w:rPr>
          <w:rFonts w:eastAsia="Times New Roman"/>
          <w:bCs/>
          <w:color w:val="000000" w:themeColor="text1"/>
          <w:lang w:val="es-MX"/>
        </w:rPr>
      </w:pPr>
    </w:p>
    <w:p w14:paraId="79C8E3BF" w14:textId="528F64AF" w:rsidR="002C1FE5" w:rsidRPr="002C1FE5" w:rsidRDefault="002C1FE5" w:rsidP="002C1FE5">
      <w:pPr>
        <w:jc w:val="both"/>
        <w:rPr>
          <w:rFonts w:eastAsia="Times New Roman"/>
          <w:bCs/>
          <w:color w:val="000000" w:themeColor="text1"/>
          <w:lang w:val="es-MX"/>
        </w:rPr>
      </w:pPr>
      <w:r w:rsidRPr="002C1FE5">
        <w:rPr>
          <w:rFonts w:eastAsia="Times New Roman"/>
          <w:bCs/>
          <w:color w:val="000000" w:themeColor="text1"/>
          <w:lang w:val="es-MX"/>
        </w:rPr>
        <w:t>Asimismo, para medir la liquidez externa se utiliza el indicador de las reservas monetarias internacionales como proporción del saldo de la deuda externa. Cuanto más alto es el indicador, menor es la propensión de un país a presentar problemas en su balanza de pagos. Guatemala, ha mostrado un fortalecimiento en la liquidez externa debido principalmente al aumento importante que han tenido las reservas monetarias internacionales y a un crecimiento bastante modesto de la deuda en moneda extranjera. Para el 2021 este indicador se ubicó en 188.7%.</w:t>
      </w:r>
    </w:p>
    <w:p w14:paraId="2AD6049C" w14:textId="77777777" w:rsidR="002C1FE5" w:rsidRPr="002C1FE5" w:rsidRDefault="002C1FE5" w:rsidP="002C1FE5">
      <w:pPr>
        <w:jc w:val="both"/>
        <w:rPr>
          <w:rFonts w:eastAsia="Times New Roman"/>
          <w:bCs/>
          <w:color w:val="000000" w:themeColor="text1"/>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gridCol w:w="2946"/>
      </w:tblGrid>
      <w:tr w:rsidR="002C1FE5" w:rsidRPr="002C1FE5" w14:paraId="7731DDEC" w14:textId="77777777" w:rsidTr="00C43CBD">
        <w:trPr>
          <w:trHeight w:val="453"/>
          <w:jc w:val="center"/>
        </w:trPr>
        <w:tc>
          <w:tcPr>
            <w:tcW w:w="8798" w:type="dxa"/>
            <w:gridSpan w:val="3"/>
          </w:tcPr>
          <w:p w14:paraId="6F7B8FA3" w14:textId="0B157E2E" w:rsidR="002C1FE5" w:rsidRPr="00C43CBD" w:rsidRDefault="00C43CBD" w:rsidP="00C43CBD">
            <w:pPr>
              <w:pStyle w:val="Descripcin"/>
              <w:keepNext/>
              <w:rPr>
                <w:sz w:val="24"/>
                <w:szCs w:val="24"/>
              </w:rPr>
            </w:pPr>
            <w:bookmarkStart w:id="140" w:name="_Toc114493873"/>
            <w:r w:rsidRPr="00C43CBD">
              <w:rPr>
                <w:color w:val="auto"/>
                <w:sz w:val="24"/>
                <w:szCs w:val="24"/>
              </w:rPr>
              <w:t xml:space="preserve">Gráfico </w:t>
            </w:r>
            <w:r w:rsidRPr="00C43CBD">
              <w:rPr>
                <w:color w:val="auto"/>
              </w:rPr>
              <w:fldChar w:fldCharType="begin"/>
            </w:r>
            <w:r w:rsidRPr="00C43CBD">
              <w:rPr>
                <w:color w:val="auto"/>
                <w:sz w:val="24"/>
                <w:szCs w:val="24"/>
              </w:rPr>
              <w:instrText xml:space="preserve"> SEQ Gráfico \* ARABIC </w:instrText>
            </w:r>
            <w:r w:rsidRPr="00C43CBD">
              <w:rPr>
                <w:color w:val="auto"/>
              </w:rPr>
              <w:fldChar w:fldCharType="separate"/>
            </w:r>
            <w:r w:rsidR="002E7809">
              <w:rPr>
                <w:noProof/>
                <w:color w:val="auto"/>
                <w:sz w:val="24"/>
                <w:szCs w:val="24"/>
              </w:rPr>
              <w:t>31</w:t>
            </w:r>
            <w:r w:rsidRPr="00C43CBD">
              <w:rPr>
                <w:color w:val="auto"/>
              </w:rPr>
              <w:fldChar w:fldCharType="end"/>
            </w:r>
            <w:r w:rsidRPr="00C43CBD">
              <w:rPr>
                <w:color w:val="auto"/>
                <w:sz w:val="24"/>
                <w:szCs w:val="24"/>
              </w:rPr>
              <w:t xml:space="preserve">.  </w:t>
            </w:r>
            <w:r w:rsidR="002C1FE5" w:rsidRPr="00C43CBD">
              <w:rPr>
                <w:color w:val="auto"/>
                <w:sz w:val="24"/>
                <w:szCs w:val="24"/>
              </w:rPr>
              <w:t>Indicadores de intereses e indicador reservas/deuda externa</w:t>
            </w:r>
            <w:bookmarkEnd w:id="140"/>
          </w:p>
          <w:p w14:paraId="72425E8B" w14:textId="77777777" w:rsidR="002C1FE5" w:rsidRPr="002C1FE5" w:rsidRDefault="002C1FE5" w:rsidP="002C1FE5">
            <w:pPr>
              <w:tabs>
                <w:tab w:val="left" w:pos="1066"/>
              </w:tabs>
              <w:ind w:right="49"/>
              <w:jc w:val="center"/>
              <w:rPr>
                <w:lang w:val="es-ES_tradnl" w:eastAsia="es-ES"/>
              </w:rPr>
            </w:pPr>
            <w:r w:rsidRPr="002C1FE5">
              <w:rPr>
                <w:sz w:val="22"/>
                <w:szCs w:val="22"/>
                <w:lang w:val="es-ES_tradnl" w:eastAsia="es-ES"/>
              </w:rPr>
              <w:t>En porcentajes</w:t>
            </w:r>
          </w:p>
        </w:tc>
      </w:tr>
      <w:tr w:rsidR="002C1FE5" w:rsidRPr="002C1FE5" w14:paraId="042FAC63" w14:textId="77777777" w:rsidTr="00C43CBD">
        <w:trPr>
          <w:trHeight w:val="219"/>
          <w:jc w:val="center"/>
        </w:trPr>
        <w:tc>
          <w:tcPr>
            <w:tcW w:w="2932" w:type="dxa"/>
          </w:tcPr>
          <w:p w14:paraId="4F1BA86F" w14:textId="77777777" w:rsidR="002C1FE5" w:rsidRPr="002C1FE5" w:rsidRDefault="002C1FE5" w:rsidP="002C1FE5">
            <w:pPr>
              <w:tabs>
                <w:tab w:val="left" w:pos="1066"/>
              </w:tabs>
              <w:ind w:right="49"/>
              <w:jc w:val="center"/>
              <w:rPr>
                <w:b/>
                <w:bCs/>
                <w:sz w:val="22"/>
                <w:szCs w:val="22"/>
                <w:lang w:val="es-ES_tradnl" w:eastAsia="es-ES"/>
              </w:rPr>
            </w:pPr>
            <w:r w:rsidRPr="002C1FE5">
              <w:rPr>
                <w:b/>
                <w:bCs/>
                <w:sz w:val="22"/>
                <w:szCs w:val="22"/>
                <w:lang w:val="es-ES_tradnl" w:eastAsia="es-ES"/>
              </w:rPr>
              <w:t>Intereses/PIB</w:t>
            </w:r>
          </w:p>
        </w:tc>
        <w:tc>
          <w:tcPr>
            <w:tcW w:w="2933" w:type="dxa"/>
          </w:tcPr>
          <w:p w14:paraId="73199458" w14:textId="77777777" w:rsidR="002C1FE5" w:rsidRPr="002C1FE5" w:rsidRDefault="002C1FE5" w:rsidP="002C1FE5">
            <w:pPr>
              <w:tabs>
                <w:tab w:val="left" w:pos="1066"/>
              </w:tabs>
              <w:ind w:right="49"/>
              <w:jc w:val="center"/>
              <w:rPr>
                <w:b/>
                <w:bCs/>
                <w:sz w:val="22"/>
                <w:szCs w:val="22"/>
                <w:lang w:val="es-ES_tradnl" w:eastAsia="es-ES"/>
              </w:rPr>
            </w:pPr>
            <w:r w:rsidRPr="002C1FE5">
              <w:rPr>
                <w:b/>
                <w:bCs/>
                <w:sz w:val="22"/>
                <w:szCs w:val="22"/>
                <w:lang w:val="es-ES_tradnl" w:eastAsia="es-ES"/>
              </w:rPr>
              <w:t>Intereses/Ingresos</w:t>
            </w:r>
          </w:p>
        </w:tc>
        <w:tc>
          <w:tcPr>
            <w:tcW w:w="2933" w:type="dxa"/>
          </w:tcPr>
          <w:p w14:paraId="375CF4FF" w14:textId="77777777" w:rsidR="002C1FE5" w:rsidRPr="002C1FE5" w:rsidRDefault="002C1FE5" w:rsidP="002C1FE5">
            <w:pPr>
              <w:tabs>
                <w:tab w:val="left" w:pos="1066"/>
              </w:tabs>
              <w:ind w:right="49"/>
              <w:jc w:val="center"/>
              <w:rPr>
                <w:b/>
                <w:bCs/>
                <w:sz w:val="22"/>
                <w:szCs w:val="22"/>
                <w:lang w:val="es-ES_tradnl" w:eastAsia="es-ES"/>
              </w:rPr>
            </w:pPr>
            <w:r w:rsidRPr="002C1FE5">
              <w:rPr>
                <w:b/>
                <w:bCs/>
                <w:sz w:val="22"/>
                <w:szCs w:val="22"/>
                <w:lang w:val="es-ES_tradnl" w:eastAsia="es-ES"/>
              </w:rPr>
              <w:t>Reservas/ Deuda externa</w:t>
            </w:r>
          </w:p>
        </w:tc>
      </w:tr>
      <w:tr w:rsidR="002C1FE5" w:rsidRPr="002C1FE5" w14:paraId="2D48E073" w14:textId="77777777" w:rsidTr="00C43CBD">
        <w:tblPrEx>
          <w:tblCellMar>
            <w:left w:w="70" w:type="dxa"/>
            <w:right w:w="70" w:type="dxa"/>
          </w:tblCellMar>
        </w:tblPrEx>
        <w:trPr>
          <w:trHeight w:val="2913"/>
          <w:jc w:val="center"/>
        </w:trPr>
        <w:tc>
          <w:tcPr>
            <w:tcW w:w="2932" w:type="dxa"/>
          </w:tcPr>
          <w:p w14:paraId="33F50BF6" w14:textId="0EC08F9B" w:rsidR="002C1FE5" w:rsidRPr="002C1FE5" w:rsidRDefault="002C1FE5" w:rsidP="002C1FE5">
            <w:pPr>
              <w:tabs>
                <w:tab w:val="left" w:pos="1066"/>
              </w:tabs>
              <w:ind w:right="49"/>
              <w:jc w:val="center"/>
              <w:rPr>
                <w:noProof/>
              </w:rPr>
            </w:pPr>
            <w:r w:rsidRPr="002C1FE5">
              <w:rPr>
                <w:noProof/>
              </w:rPr>
              <w:drawing>
                <wp:inline distT="0" distB="0" distL="0" distR="0" wp14:anchorId="6EA18086" wp14:editId="2DE39464">
                  <wp:extent cx="1800225" cy="1800225"/>
                  <wp:effectExtent l="0" t="0" r="0" b="0"/>
                  <wp:docPr id="75" name="Gráfico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933" w:type="dxa"/>
          </w:tcPr>
          <w:p w14:paraId="5AD8A678" w14:textId="15A2A0DC" w:rsidR="002C1FE5" w:rsidRPr="002C1FE5" w:rsidRDefault="002C1FE5" w:rsidP="002C1FE5">
            <w:pPr>
              <w:tabs>
                <w:tab w:val="left" w:pos="1066"/>
              </w:tabs>
              <w:ind w:right="49"/>
              <w:rPr>
                <w:noProof/>
              </w:rPr>
            </w:pPr>
            <w:r w:rsidRPr="002C1FE5">
              <w:rPr>
                <w:noProof/>
              </w:rPr>
              <w:drawing>
                <wp:inline distT="0" distB="0" distL="0" distR="0" wp14:anchorId="44CC916F" wp14:editId="2A5B8FA6">
                  <wp:extent cx="1800225" cy="1800225"/>
                  <wp:effectExtent l="0" t="0" r="0" b="0"/>
                  <wp:docPr id="74" name="Gráfico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2933" w:type="dxa"/>
          </w:tcPr>
          <w:p w14:paraId="44773C16" w14:textId="4C089362" w:rsidR="002C1FE5" w:rsidRPr="002C1FE5" w:rsidRDefault="002C1FE5" w:rsidP="002C1FE5">
            <w:pPr>
              <w:tabs>
                <w:tab w:val="left" w:pos="1066"/>
              </w:tabs>
              <w:ind w:right="49"/>
              <w:rPr>
                <w:noProof/>
              </w:rPr>
            </w:pPr>
            <w:r w:rsidRPr="002C1FE5">
              <w:rPr>
                <w:noProof/>
              </w:rPr>
              <w:drawing>
                <wp:inline distT="0" distB="0" distL="0" distR="0" wp14:anchorId="76F439CB" wp14:editId="3ED35249">
                  <wp:extent cx="1800225" cy="1800225"/>
                  <wp:effectExtent l="0" t="0" r="0" b="0"/>
                  <wp:docPr id="72" name="Gráfico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2C1FE5" w:rsidRPr="002C1FE5" w14:paraId="65BFB77A" w14:textId="77777777" w:rsidTr="00C43CBD">
        <w:trPr>
          <w:trHeight w:val="175"/>
          <w:jc w:val="center"/>
        </w:trPr>
        <w:tc>
          <w:tcPr>
            <w:tcW w:w="8798" w:type="dxa"/>
            <w:gridSpan w:val="3"/>
          </w:tcPr>
          <w:p w14:paraId="5FD7680D" w14:textId="6CC0873E" w:rsidR="002C1FE5" w:rsidRPr="002C1FE5" w:rsidRDefault="002C1FE5" w:rsidP="002C1FE5">
            <w:pPr>
              <w:tabs>
                <w:tab w:val="left" w:pos="1066"/>
              </w:tabs>
              <w:ind w:right="49"/>
              <w:rPr>
                <w:sz w:val="18"/>
                <w:szCs w:val="18"/>
                <w:lang w:val="es-ES_tradnl" w:eastAsia="es-ES"/>
              </w:rPr>
            </w:pPr>
            <w:r w:rsidRPr="002C1FE5">
              <w:rPr>
                <w:sz w:val="18"/>
                <w:szCs w:val="18"/>
                <w:lang w:val="es-ES_tradnl" w:eastAsia="es-ES"/>
              </w:rPr>
              <w:t xml:space="preserve">Fuente: </w:t>
            </w:r>
            <w:r w:rsidRPr="002C1FE5">
              <w:rPr>
                <w:bCs/>
                <w:sz w:val="16"/>
                <w:szCs w:val="11"/>
                <w:lang w:val="es-ES_tradnl" w:eastAsia="es-ES"/>
              </w:rPr>
              <w:t>Ministerio de Finanzas Públicas</w:t>
            </w:r>
            <w:r w:rsidRPr="002C1FE5">
              <w:rPr>
                <w:sz w:val="18"/>
                <w:szCs w:val="18"/>
                <w:lang w:val="es-ES_tradnl" w:eastAsia="es-ES"/>
              </w:rPr>
              <w:t xml:space="preserve"> y Banco de Guatemala</w:t>
            </w:r>
          </w:p>
        </w:tc>
      </w:tr>
    </w:tbl>
    <w:p w14:paraId="4BD0907B" w14:textId="1B43AABC" w:rsidR="002C1FE5" w:rsidRPr="002C1FE5" w:rsidRDefault="002C1FE5" w:rsidP="002C3D84">
      <w:pPr>
        <w:jc w:val="both"/>
        <w:rPr>
          <w:bCs/>
          <w:color w:val="000000" w:themeColor="text1"/>
        </w:rPr>
      </w:pPr>
    </w:p>
    <w:p w14:paraId="21D45BB7" w14:textId="5DB4912D" w:rsidR="0028207D" w:rsidRDefault="002C3D84" w:rsidP="002C3D84">
      <w:pPr>
        <w:jc w:val="both"/>
        <w:rPr>
          <w:bCs/>
          <w:color w:val="000000" w:themeColor="text1"/>
          <w:lang w:val="es-MX"/>
        </w:rPr>
      </w:pPr>
      <w:r w:rsidRPr="002C3D84">
        <w:rPr>
          <w:bCs/>
          <w:color w:val="000000" w:themeColor="text1"/>
          <w:lang w:val="es-MX"/>
        </w:rPr>
        <w:t>Conforme a las expectativas de las cuentas fiscales para 2023 en Guatemala, se estima que los indicadores de vulnerabilidad del perfil de la deuda del Fondo Monetario Internacional se encuentren en niveles adecuados y no se observan riesgos importantes. El cambio de la deuda de corto plazo cercano al 0.0% reduce el riesgo de repago de deuda, la deuda externa como porcentaje del total en 38.6% con riesgo moderado, la deuda en moneda extranjera como porcentaje del total en 41.2% se mantiene en niveles adecuados, el indicador deuda/PIB en 31.0% muy por abajo del máximo recomendado y el EMBI (Indicador de Bonos de Mercados Emergentes por sus siglas en inglés) al 2 de agosto de 2022 se ubicó en 263 puntos básicos, también muestra un riesgo bastante moderado.</w:t>
      </w:r>
    </w:p>
    <w:p w14:paraId="73325FDC" w14:textId="6E946611" w:rsidR="0061778B" w:rsidRDefault="0061778B" w:rsidP="002C3D84">
      <w:pPr>
        <w:jc w:val="both"/>
        <w:rPr>
          <w:bCs/>
          <w:color w:val="000000" w:themeColor="text1"/>
          <w:lang w:val="es-MX"/>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tblGrid>
      <w:tr w:rsidR="00736ADD" w:rsidRPr="00BA2759" w14:paraId="6172A300" w14:textId="77777777" w:rsidTr="008F48D5">
        <w:trPr>
          <w:trHeight w:val="233"/>
        </w:trPr>
        <w:tc>
          <w:tcPr>
            <w:tcW w:w="8271" w:type="dxa"/>
          </w:tcPr>
          <w:p w14:paraId="64065187" w14:textId="21DF32B8" w:rsidR="00736ADD" w:rsidRPr="00462B5B" w:rsidRDefault="00462B5B" w:rsidP="00462B5B">
            <w:pPr>
              <w:pStyle w:val="Descripcin"/>
              <w:keepNext/>
              <w:rPr>
                <w:sz w:val="24"/>
                <w:szCs w:val="24"/>
              </w:rPr>
            </w:pPr>
            <w:bookmarkStart w:id="141" w:name="_Toc114493874"/>
            <w:r w:rsidRPr="00462B5B">
              <w:rPr>
                <w:color w:val="auto"/>
                <w:sz w:val="24"/>
                <w:szCs w:val="24"/>
              </w:rPr>
              <w:t xml:space="preserve">Gráfico </w:t>
            </w:r>
            <w:r w:rsidRPr="00462B5B">
              <w:rPr>
                <w:color w:val="auto"/>
              </w:rPr>
              <w:fldChar w:fldCharType="begin"/>
            </w:r>
            <w:r w:rsidRPr="00462B5B">
              <w:rPr>
                <w:color w:val="auto"/>
                <w:sz w:val="24"/>
                <w:szCs w:val="24"/>
              </w:rPr>
              <w:instrText xml:space="preserve"> SEQ Gráfico \* ARABIC </w:instrText>
            </w:r>
            <w:r w:rsidRPr="00462B5B">
              <w:rPr>
                <w:color w:val="auto"/>
              </w:rPr>
              <w:fldChar w:fldCharType="separate"/>
            </w:r>
            <w:r w:rsidR="002E7809">
              <w:rPr>
                <w:noProof/>
                <w:color w:val="auto"/>
                <w:sz w:val="24"/>
                <w:szCs w:val="24"/>
              </w:rPr>
              <w:t>32</w:t>
            </w:r>
            <w:r w:rsidRPr="00462B5B">
              <w:rPr>
                <w:color w:val="auto"/>
              </w:rPr>
              <w:fldChar w:fldCharType="end"/>
            </w:r>
            <w:r w:rsidRPr="00462B5B">
              <w:rPr>
                <w:color w:val="auto"/>
                <w:sz w:val="24"/>
                <w:szCs w:val="24"/>
              </w:rPr>
              <w:t xml:space="preserve">.  </w:t>
            </w:r>
            <w:r w:rsidR="00736ADD" w:rsidRPr="00462B5B">
              <w:rPr>
                <w:color w:val="auto"/>
                <w:sz w:val="24"/>
                <w:szCs w:val="24"/>
              </w:rPr>
              <w:t xml:space="preserve">Vulnerabilidad del Perfil de la Deuda Pública de Guatemala para </w:t>
            </w:r>
            <w:r w:rsidR="00736ADD" w:rsidRPr="00462B5B">
              <w:rPr>
                <w:noProof/>
                <w:color w:val="auto"/>
                <w:sz w:val="24"/>
                <w:szCs w:val="24"/>
              </w:rPr>
              <w:t>2022</w:t>
            </w:r>
            <w:bookmarkEnd w:id="141"/>
          </w:p>
        </w:tc>
      </w:tr>
      <w:tr w:rsidR="00736ADD" w:rsidRPr="002846D1" w14:paraId="19D134FF" w14:textId="77777777" w:rsidTr="008F48D5">
        <w:tblPrEx>
          <w:tblCellMar>
            <w:left w:w="70" w:type="dxa"/>
            <w:right w:w="70" w:type="dxa"/>
          </w:tblCellMar>
        </w:tblPrEx>
        <w:trPr>
          <w:trHeight w:val="2853"/>
        </w:trPr>
        <w:tc>
          <w:tcPr>
            <w:tcW w:w="8271" w:type="dxa"/>
          </w:tcPr>
          <w:p w14:paraId="05E4139E" w14:textId="1EE92693" w:rsidR="00736ADD" w:rsidRPr="002846D1" w:rsidRDefault="002C3D84" w:rsidP="00BC0D90">
            <w:pPr>
              <w:pStyle w:val="Sinespaciado"/>
              <w:ind w:right="49"/>
              <w:jc w:val="center"/>
              <w:rPr>
                <w:sz w:val="24"/>
                <w:szCs w:val="24"/>
                <w:lang w:val="es-MX"/>
              </w:rPr>
            </w:pPr>
            <w:r>
              <w:rPr>
                <w:noProof/>
                <w:lang w:val="es-GT"/>
              </w:rPr>
              <w:drawing>
                <wp:inline distT="0" distB="0" distL="0" distR="0" wp14:anchorId="71799B75" wp14:editId="614DD156">
                  <wp:extent cx="5039995" cy="2345055"/>
                  <wp:effectExtent l="0" t="0" r="0" b="0"/>
                  <wp:docPr id="7" name="Imagen 30">
                    <a:extLst xmlns:a="http://schemas.openxmlformats.org/drawingml/2006/main">
                      <a:ext uri="{FF2B5EF4-FFF2-40B4-BE49-F238E27FC236}">
                        <a16:creationId xmlns:a16="http://schemas.microsoft.com/office/drawing/2014/main" id="{00000000-0008-0000-0100-00001F000000}"/>
                      </a:ext>
                    </a:extLst>
                  </wp:docPr>
                  <wp:cNvGraphicFramePr/>
                  <a:graphic xmlns:a="http://schemas.openxmlformats.org/drawingml/2006/main">
                    <a:graphicData uri="http://schemas.openxmlformats.org/drawingml/2006/picture">
                      <pic:pic xmlns:pic="http://schemas.openxmlformats.org/drawingml/2006/picture">
                        <pic:nvPicPr>
                          <pic:cNvPr id="8" name="Imagen 30">
                            <a:extLst>
                              <a:ext uri="{FF2B5EF4-FFF2-40B4-BE49-F238E27FC236}">
                                <a16:creationId xmlns:a16="http://schemas.microsoft.com/office/drawing/2014/main" id="{00000000-0008-0000-0100-00001F000000}"/>
                              </a:ext>
                            </a:extLst>
                          </pic:cNvPr>
                          <pic:cNvPicPr/>
                        </pic:nvPicPr>
                        <pic:blipFill>
                          <a:blip r:embed="rId54"/>
                          <a:srcRect/>
                          <a:stretch>
                            <a:fillRect/>
                          </a:stretch>
                        </pic:blipFill>
                        <pic:spPr bwMode="auto">
                          <a:xfrm>
                            <a:off x="0" y="0"/>
                            <a:ext cx="5039995" cy="23450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36ADD" w:rsidRPr="002846D1" w14:paraId="55EBAFE1" w14:textId="77777777" w:rsidTr="008F48D5">
        <w:trPr>
          <w:trHeight w:val="311"/>
        </w:trPr>
        <w:tc>
          <w:tcPr>
            <w:tcW w:w="8271" w:type="dxa"/>
          </w:tcPr>
          <w:p w14:paraId="10061F4E" w14:textId="139EC5FB" w:rsidR="00736ADD" w:rsidRPr="00462B5B" w:rsidRDefault="00736ADD" w:rsidP="00BC0D90">
            <w:pPr>
              <w:ind w:right="49"/>
              <w:rPr>
                <w:sz w:val="16"/>
                <w:szCs w:val="22"/>
              </w:rPr>
            </w:pPr>
            <w:r w:rsidRPr="002846D1">
              <w:rPr>
                <w:sz w:val="16"/>
                <w:szCs w:val="22"/>
              </w:rPr>
              <w:t xml:space="preserve">Fuente: </w:t>
            </w:r>
            <w:r w:rsidRPr="002846D1">
              <w:rPr>
                <w:bCs/>
                <w:sz w:val="16"/>
                <w:szCs w:val="11"/>
              </w:rPr>
              <w:t>Ministerio de Finanzas Públicas</w:t>
            </w:r>
            <w:r w:rsidRPr="002846D1">
              <w:rPr>
                <w:sz w:val="16"/>
                <w:szCs w:val="22"/>
              </w:rPr>
              <w:t xml:space="preserve"> con información proyectada para </w:t>
            </w:r>
            <w:r w:rsidRPr="00501FE4">
              <w:rPr>
                <w:noProof/>
                <w:sz w:val="16"/>
                <w:szCs w:val="22"/>
              </w:rPr>
              <w:t>2022</w:t>
            </w:r>
            <w:r w:rsidRPr="002846D1">
              <w:rPr>
                <w:sz w:val="16"/>
                <w:szCs w:val="22"/>
              </w:rPr>
              <w:t>, el indicador EMBI de JP Morgan se obtuvo del Banco Central de la República Dominicana</w:t>
            </w:r>
            <w:r w:rsidR="0028207D">
              <w:rPr>
                <w:sz w:val="16"/>
                <w:szCs w:val="22"/>
              </w:rPr>
              <w:t xml:space="preserve"> y corresponde al 02 de agosto de 2022</w:t>
            </w:r>
            <w:r w:rsidRPr="002846D1">
              <w:rPr>
                <w:sz w:val="16"/>
                <w:szCs w:val="22"/>
              </w:rPr>
              <w:t>.</w:t>
            </w:r>
          </w:p>
        </w:tc>
      </w:tr>
    </w:tbl>
    <w:p w14:paraId="6A7A22F4" w14:textId="7DF5DC3D" w:rsidR="00736ADD" w:rsidRPr="002846D1" w:rsidRDefault="00736ADD" w:rsidP="00287546">
      <w:pPr>
        <w:rPr>
          <w:color w:val="1F3864" w:themeColor="accent1" w:themeShade="80"/>
          <w:lang w:val="es-MX"/>
        </w:rPr>
      </w:pPr>
    </w:p>
    <w:p w14:paraId="6A9BE632" w14:textId="77777777" w:rsidR="00736ADD" w:rsidRPr="004C3D79" w:rsidRDefault="00736ADD" w:rsidP="00B24092">
      <w:pPr>
        <w:pStyle w:val="Ttulo1"/>
        <w:widowControl/>
        <w:numPr>
          <w:ilvl w:val="1"/>
          <w:numId w:val="5"/>
        </w:numPr>
        <w:ind w:left="716" w:right="49"/>
        <w:jc w:val="left"/>
        <w:rPr>
          <w:color w:val="auto"/>
          <w:sz w:val="24"/>
          <w:lang w:val="es-MX"/>
        </w:rPr>
      </w:pPr>
      <w:bookmarkStart w:id="142" w:name="_Toc114495251"/>
      <w:r w:rsidRPr="004C3D79">
        <w:rPr>
          <w:color w:val="auto"/>
          <w:sz w:val="24"/>
          <w:lang w:val="es-MX"/>
        </w:rPr>
        <w:t>Comparativo con otros países</w:t>
      </w:r>
      <w:bookmarkEnd w:id="142"/>
    </w:p>
    <w:p w14:paraId="79DAFA28" w14:textId="77777777" w:rsidR="00736ADD" w:rsidRPr="002846D1" w:rsidRDefault="00736ADD" w:rsidP="00DA6E86">
      <w:pPr>
        <w:pStyle w:val="Sinespaciado"/>
        <w:ind w:right="49"/>
        <w:jc w:val="both"/>
        <w:rPr>
          <w:lang w:val="es-MX"/>
        </w:rPr>
      </w:pPr>
    </w:p>
    <w:p w14:paraId="1E3E2553" w14:textId="7B6807D7" w:rsidR="00736ADD" w:rsidRPr="0099727E" w:rsidRDefault="002C3D84" w:rsidP="00432268">
      <w:pPr>
        <w:pStyle w:val="Sinespaciado"/>
        <w:ind w:right="49"/>
        <w:jc w:val="both"/>
        <w:rPr>
          <w:lang w:val="es-MX"/>
        </w:rPr>
      </w:pPr>
      <w:r w:rsidRPr="002C3D84">
        <w:rPr>
          <w:rFonts w:eastAsiaTheme="minorHAnsi"/>
          <w:bCs/>
          <w:color w:val="000000" w:themeColor="text1"/>
          <w:lang w:val="es-MX"/>
        </w:rPr>
        <w:t>Para el 2022, se espera que el indicador deuda/PIB para las economías avanzadas disminuya levemente mientras estos países busquen la consolidación fiscal, no obstante, nuevas presiones de gasto han surgido en el presente año para mitigar los efectos económicos del alza de precio de las materias prima de agricultura y energía por la guerra de Ucrania y Rusia, lo que podría llevar</w:t>
      </w:r>
      <w:r w:rsidR="007D3A46">
        <w:rPr>
          <w:rFonts w:eastAsiaTheme="minorHAnsi"/>
          <w:bCs/>
          <w:color w:val="000000" w:themeColor="text1"/>
          <w:lang w:val="es-MX"/>
        </w:rPr>
        <w:t xml:space="preserve"> a</w:t>
      </w:r>
      <w:r w:rsidRPr="002C3D84">
        <w:rPr>
          <w:rFonts w:eastAsiaTheme="minorHAnsi"/>
          <w:bCs/>
          <w:color w:val="000000" w:themeColor="text1"/>
          <w:lang w:val="es-MX"/>
        </w:rPr>
        <w:t xml:space="preserve"> mayores niveles de deuda. En el caso de Estados Unidos, se espera que su deuda como proporción del PIB sea de 125.6% y para Latinoamérica y el Caribe de 71.3%.</w:t>
      </w:r>
    </w:p>
    <w:tbl>
      <w:tblPr>
        <w:tblStyle w:val="Tablaconcuadrcula"/>
        <w:tblW w:w="9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07"/>
      </w:tblGrid>
      <w:tr w:rsidR="00736ADD" w:rsidRPr="0099727E" w14:paraId="6C7D34AA" w14:textId="77777777" w:rsidTr="007F5EC4">
        <w:trPr>
          <w:trHeight w:val="97"/>
          <w:jc w:val="center"/>
        </w:trPr>
        <w:tc>
          <w:tcPr>
            <w:tcW w:w="9107" w:type="dxa"/>
          </w:tcPr>
          <w:p w14:paraId="512AA809" w14:textId="65B47F11" w:rsidR="00736ADD" w:rsidRPr="00462B5B" w:rsidRDefault="00462B5B" w:rsidP="00462B5B">
            <w:pPr>
              <w:pStyle w:val="Descripcin"/>
              <w:keepNext/>
              <w:rPr>
                <w:color w:val="auto"/>
                <w:sz w:val="24"/>
                <w:szCs w:val="24"/>
              </w:rPr>
            </w:pPr>
            <w:bookmarkStart w:id="143" w:name="_Toc114493875"/>
            <w:r w:rsidRPr="00462B5B">
              <w:rPr>
                <w:color w:val="auto"/>
                <w:sz w:val="24"/>
                <w:szCs w:val="24"/>
              </w:rPr>
              <w:t xml:space="preserve">Gráfico </w:t>
            </w:r>
            <w:r w:rsidRPr="00462B5B">
              <w:rPr>
                <w:color w:val="auto"/>
              </w:rPr>
              <w:fldChar w:fldCharType="begin"/>
            </w:r>
            <w:r w:rsidRPr="00462B5B">
              <w:rPr>
                <w:color w:val="auto"/>
                <w:sz w:val="24"/>
                <w:szCs w:val="24"/>
              </w:rPr>
              <w:instrText xml:space="preserve"> SEQ Gráfico \* ARABIC </w:instrText>
            </w:r>
            <w:r w:rsidRPr="00462B5B">
              <w:rPr>
                <w:color w:val="auto"/>
              </w:rPr>
              <w:fldChar w:fldCharType="separate"/>
            </w:r>
            <w:r w:rsidR="002E7809">
              <w:rPr>
                <w:noProof/>
                <w:color w:val="auto"/>
                <w:sz w:val="24"/>
                <w:szCs w:val="24"/>
              </w:rPr>
              <w:t>33</w:t>
            </w:r>
            <w:r w:rsidRPr="00462B5B">
              <w:rPr>
                <w:color w:val="auto"/>
              </w:rPr>
              <w:fldChar w:fldCharType="end"/>
            </w:r>
            <w:r w:rsidRPr="00462B5B">
              <w:rPr>
                <w:color w:val="auto"/>
                <w:sz w:val="24"/>
                <w:szCs w:val="24"/>
              </w:rPr>
              <w:t xml:space="preserve">.  </w:t>
            </w:r>
            <w:r w:rsidR="00736ADD" w:rsidRPr="00462B5B">
              <w:rPr>
                <w:color w:val="auto"/>
                <w:sz w:val="24"/>
                <w:szCs w:val="24"/>
              </w:rPr>
              <w:t>Indicador Deuda /PIB para países seleccionados</w:t>
            </w:r>
            <w:bookmarkEnd w:id="143"/>
          </w:p>
        </w:tc>
      </w:tr>
      <w:tr w:rsidR="00736ADD" w:rsidRPr="0099727E" w14:paraId="13080F44" w14:textId="77777777" w:rsidTr="0005667E">
        <w:trPr>
          <w:trHeight w:val="2751"/>
          <w:jc w:val="center"/>
        </w:trPr>
        <w:tc>
          <w:tcPr>
            <w:tcW w:w="9107" w:type="dxa"/>
          </w:tcPr>
          <w:p w14:paraId="1A5A3DF8" w14:textId="41F09522" w:rsidR="00736ADD" w:rsidRPr="0099727E" w:rsidRDefault="002C3D84" w:rsidP="00BB3A50">
            <w:pPr>
              <w:pStyle w:val="Descripcin"/>
              <w:keepNext/>
              <w:ind w:right="49"/>
              <w:rPr>
                <w:noProof/>
              </w:rPr>
            </w:pPr>
            <w:r>
              <w:rPr>
                <w:noProof/>
              </w:rPr>
              <w:drawing>
                <wp:inline distT="0" distB="0" distL="0" distR="0" wp14:anchorId="459615F7" wp14:editId="5D95C257">
                  <wp:extent cx="5039995" cy="1799590"/>
                  <wp:effectExtent l="0" t="0" r="8255" b="0"/>
                  <wp:docPr id="1" name="Gráfico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736ADD" w:rsidRPr="0099727E">
              <w:rPr>
                <w:b w:val="0"/>
                <w:noProof/>
                <w:color w:val="auto"/>
              </w:rPr>
              <w:t xml:space="preserve">            </w:t>
            </w:r>
          </w:p>
        </w:tc>
      </w:tr>
      <w:tr w:rsidR="00736ADD" w:rsidRPr="0099727E" w14:paraId="3B61C3F9" w14:textId="77777777" w:rsidTr="007F5EC4">
        <w:trPr>
          <w:trHeight w:val="135"/>
          <w:jc w:val="center"/>
        </w:trPr>
        <w:tc>
          <w:tcPr>
            <w:tcW w:w="9107" w:type="dxa"/>
          </w:tcPr>
          <w:p w14:paraId="373E51B6" w14:textId="77777777" w:rsidR="00736ADD" w:rsidRPr="0099727E" w:rsidRDefault="00736ADD" w:rsidP="00BC0D90">
            <w:pPr>
              <w:pStyle w:val="Sinespaciado"/>
              <w:ind w:right="49"/>
              <w:jc w:val="both"/>
              <w:rPr>
                <w:sz w:val="16"/>
                <w:szCs w:val="22"/>
              </w:rPr>
            </w:pPr>
            <w:r w:rsidRPr="0099727E">
              <w:rPr>
                <w:sz w:val="18"/>
                <w:szCs w:val="22"/>
              </w:rPr>
              <w:t xml:space="preserve">                   </w:t>
            </w:r>
            <w:r w:rsidRPr="0099727E">
              <w:rPr>
                <w:sz w:val="16"/>
                <w:szCs w:val="22"/>
              </w:rPr>
              <w:t>Fuente: FMI</w:t>
            </w:r>
            <w:r>
              <w:rPr>
                <w:sz w:val="16"/>
                <w:szCs w:val="22"/>
              </w:rPr>
              <w:t>, WEO</w:t>
            </w:r>
            <w:r w:rsidRPr="0099727E">
              <w:rPr>
                <w:sz w:val="16"/>
                <w:szCs w:val="22"/>
              </w:rPr>
              <w:t xml:space="preserve"> abril </w:t>
            </w:r>
            <w:r w:rsidRPr="00501FE4">
              <w:rPr>
                <w:noProof/>
                <w:sz w:val="16"/>
                <w:szCs w:val="22"/>
              </w:rPr>
              <w:t>2022</w:t>
            </w:r>
            <w:r w:rsidRPr="0099727E">
              <w:rPr>
                <w:sz w:val="16"/>
                <w:szCs w:val="22"/>
              </w:rPr>
              <w:t>, a excepción de Guatemala.</w:t>
            </w:r>
          </w:p>
          <w:p w14:paraId="6CD17AD2" w14:textId="77777777" w:rsidR="00736ADD" w:rsidRPr="0099727E" w:rsidRDefault="00736ADD" w:rsidP="00BC0D90">
            <w:pPr>
              <w:pStyle w:val="Sinespaciado"/>
              <w:ind w:right="49"/>
              <w:jc w:val="both"/>
              <w:rPr>
                <w:sz w:val="18"/>
                <w:szCs w:val="22"/>
              </w:rPr>
            </w:pPr>
            <w:r w:rsidRPr="0099727E">
              <w:rPr>
                <w:sz w:val="16"/>
                <w:szCs w:val="22"/>
              </w:rPr>
              <w:t xml:space="preserve">                    </w:t>
            </w:r>
            <w:r>
              <w:rPr>
                <w:sz w:val="16"/>
                <w:szCs w:val="22"/>
              </w:rPr>
              <w:t xml:space="preserve"> </w:t>
            </w:r>
          </w:p>
        </w:tc>
      </w:tr>
    </w:tbl>
    <w:p w14:paraId="382F9351" w14:textId="0076F456" w:rsidR="00736ADD" w:rsidRDefault="0028207D" w:rsidP="00943B20">
      <w:pPr>
        <w:pStyle w:val="Sinespaciado"/>
        <w:ind w:right="49"/>
        <w:jc w:val="both"/>
        <w:rPr>
          <w:rFonts w:eastAsiaTheme="minorHAnsi"/>
          <w:bCs/>
          <w:color w:val="000000" w:themeColor="text1"/>
          <w:lang w:val="es-MX"/>
        </w:rPr>
      </w:pPr>
      <w:r w:rsidRPr="0028207D">
        <w:rPr>
          <w:rFonts w:eastAsiaTheme="minorHAnsi"/>
          <w:bCs/>
          <w:color w:val="000000" w:themeColor="text1"/>
          <w:lang w:val="es-MX"/>
        </w:rPr>
        <w:t>Según la información presentada por el Fondo Monetario Internacional en su base de datos de Perspectivas Económicas de abril 2022, en el presente año Guatemala seguirá teniendo una de las deudas públicas más conservadoras con respecto el PIB en Latinoamérica, además de Chile (36.3%), Paraguay (37.0%) y Perú (35.9%), sin considerar Haití por ser un país pobre altamente endeudado (HIPC por sus siglas en inglés) con condiciones de financiamiento diferentes. Los valores más altos de este indicador, aparte de Venezuela, Surinam y algunos países del Caribe, es para Belice (111.0%), Brasil (93.0%), el Salvador (83.6%) y Argentina (80.6%).</w:t>
      </w:r>
    </w:p>
    <w:p w14:paraId="6E883013" w14:textId="77777777" w:rsidR="0028207D" w:rsidRPr="0099727E" w:rsidRDefault="0028207D" w:rsidP="00943B20">
      <w:pPr>
        <w:pStyle w:val="Sinespaciado"/>
        <w:ind w:right="49"/>
        <w:jc w:val="both"/>
        <w:rPr>
          <w:lang w:val="es-MX"/>
        </w:rPr>
      </w:pPr>
    </w:p>
    <w:tbl>
      <w:tblPr>
        <w:tblStyle w:val="Tablaconcuadrcula"/>
        <w:tblW w:w="99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915"/>
      </w:tblGrid>
      <w:tr w:rsidR="007D3A46" w:rsidRPr="007D3A46" w14:paraId="48AF171C" w14:textId="77777777" w:rsidTr="00C43CBD">
        <w:trPr>
          <w:trHeight w:val="102"/>
          <w:jc w:val="center"/>
        </w:trPr>
        <w:tc>
          <w:tcPr>
            <w:tcW w:w="9915" w:type="dxa"/>
          </w:tcPr>
          <w:p w14:paraId="04CD07C1" w14:textId="2DD75700" w:rsidR="007D3A46" w:rsidRPr="007D3A46" w:rsidRDefault="007D3A46" w:rsidP="007D3A46">
            <w:pPr>
              <w:keepNext/>
              <w:jc w:val="center"/>
              <w:rPr>
                <w:b/>
              </w:rPr>
            </w:pPr>
            <w:bookmarkStart w:id="144" w:name="_Toc114493876"/>
            <w:r w:rsidRPr="00C43CBD">
              <w:rPr>
                <w:b/>
                <w:sz w:val="24"/>
              </w:rPr>
              <w:t xml:space="preserve">Gráfico </w:t>
            </w:r>
            <w:r w:rsidRPr="00C43CBD">
              <w:rPr>
                <w:b/>
              </w:rPr>
              <w:fldChar w:fldCharType="begin"/>
            </w:r>
            <w:r w:rsidRPr="00C43CBD">
              <w:rPr>
                <w:b/>
                <w:sz w:val="24"/>
              </w:rPr>
              <w:instrText xml:space="preserve"> SEQ Gráfico \* ARABIC </w:instrText>
            </w:r>
            <w:r w:rsidRPr="00C43CBD">
              <w:rPr>
                <w:b/>
              </w:rPr>
              <w:fldChar w:fldCharType="separate"/>
            </w:r>
            <w:r w:rsidR="002E7809">
              <w:rPr>
                <w:b/>
                <w:noProof/>
                <w:sz w:val="24"/>
              </w:rPr>
              <w:t>34</w:t>
            </w:r>
            <w:r w:rsidRPr="00C43CBD">
              <w:rPr>
                <w:b/>
              </w:rPr>
              <w:fldChar w:fldCharType="end"/>
            </w:r>
            <w:r w:rsidRPr="00C43CBD">
              <w:rPr>
                <w:b/>
                <w:sz w:val="24"/>
              </w:rPr>
              <w:t>.  Indicadores de deuda para Latinoamérica para 2022</w:t>
            </w:r>
            <w:bookmarkEnd w:id="144"/>
          </w:p>
        </w:tc>
      </w:tr>
      <w:tr w:rsidR="007D3A46" w:rsidRPr="007D3A46" w14:paraId="73F3ECDB" w14:textId="77777777" w:rsidTr="00C43CBD">
        <w:trPr>
          <w:trHeight w:val="2881"/>
          <w:jc w:val="center"/>
        </w:trPr>
        <w:tc>
          <w:tcPr>
            <w:tcW w:w="9915" w:type="dxa"/>
          </w:tcPr>
          <w:p w14:paraId="00165628" w14:textId="422F9F47" w:rsidR="007D3A46" w:rsidRPr="007D3A46" w:rsidRDefault="007D3A46" w:rsidP="007D3A46">
            <w:pPr>
              <w:keepNext/>
              <w:ind w:right="49"/>
              <w:jc w:val="center"/>
              <w:rPr>
                <w:noProof/>
              </w:rPr>
            </w:pPr>
            <w:r w:rsidRPr="007D3A46">
              <w:rPr>
                <w:b/>
                <w:noProof/>
                <w:color w:val="0000FF"/>
              </w:rPr>
              <w:drawing>
                <wp:inline distT="0" distB="0" distL="0" distR="0" wp14:anchorId="7D461628" wp14:editId="3E403CD8">
                  <wp:extent cx="5039995" cy="2125345"/>
                  <wp:effectExtent l="0" t="0" r="8255" b="8255"/>
                  <wp:docPr id="81" name="Gráfico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7D3A46" w:rsidRPr="007D3A46" w14:paraId="0EA43B68" w14:textId="77777777" w:rsidTr="00C43CBD">
        <w:trPr>
          <w:trHeight w:val="143"/>
          <w:jc w:val="center"/>
        </w:trPr>
        <w:tc>
          <w:tcPr>
            <w:tcW w:w="9915" w:type="dxa"/>
          </w:tcPr>
          <w:p w14:paraId="6FD293D4" w14:textId="77777777" w:rsidR="007D3A46" w:rsidRPr="007D3A46" w:rsidRDefault="007D3A46" w:rsidP="007D3A46">
            <w:pPr>
              <w:widowControl/>
              <w:ind w:right="49"/>
              <w:jc w:val="both"/>
              <w:rPr>
                <w:sz w:val="16"/>
                <w:szCs w:val="16"/>
                <w:lang w:val="es-ES"/>
              </w:rPr>
            </w:pPr>
            <w:r w:rsidRPr="007D3A46">
              <w:rPr>
                <w:sz w:val="18"/>
                <w:szCs w:val="22"/>
                <w:lang w:val="es-ES"/>
              </w:rPr>
              <w:t xml:space="preserve">                   </w:t>
            </w:r>
            <w:r w:rsidRPr="007D3A46">
              <w:rPr>
                <w:sz w:val="16"/>
                <w:szCs w:val="16"/>
                <w:lang w:val="es-ES"/>
              </w:rPr>
              <w:t xml:space="preserve">Fuente: FMI, WEO de abril </w:t>
            </w:r>
            <w:r w:rsidRPr="007D3A46">
              <w:rPr>
                <w:noProof/>
                <w:sz w:val="16"/>
                <w:szCs w:val="16"/>
                <w:lang w:val="es-ES"/>
              </w:rPr>
              <w:t>2022</w:t>
            </w:r>
            <w:r w:rsidRPr="007D3A46">
              <w:rPr>
                <w:sz w:val="16"/>
                <w:szCs w:val="16"/>
                <w:lang w:val="es-ES"/>
              </w:rPr>
              <w:t>, a excepción de Guatemala.</w:t>
            </w:r>
          </w:p>
          <w:p w14:paraId="7C7E26D2" w14:textId="77777777" w:rsidR="007D3A46" w:rsidRPr="007D3A46" w:rsidRDefault="007D3A46" w:rsidP="007D3A46">
            <w:pPr>
              <w:widowControl/>
              <w:ind w:right="49"/>
              <w:jc w:val="both"/>
              <w:rPr>
                <w:sz w:val="16"/>
                <w:szCs w:val="16"/>
                <w:lang w:val="es-ES"/>
              </w:rPr>
            </w:pPr>
            <w:r w:rsidRPr="007D3A46">
              <w:rPr>
                <w:sz w:val="16"/>
                <w:szCs w:val="16"/>
                <w:lang w:val="es-ES"/>
              </w:rPr>
              <w:t xml:space="preserve">                     Nota: Según proyecciones de cierre para </w:t>
            </w:r>
            <w:r w:rsidRPr="007D3A46">
              <w:rPr>
                <w:noProof/>
                <w:sz w:val="16"/>
                <w:szCs w:val="16"/>
                <w:lang w:val="es-ES"/>
              </w:rPr>
              <w:t>2022</w:t>
            </w:r>
            <w:r w:rsidRPr="007D3A46">
              <w:rPr>
                <w:sz w:val="16"/>
                <w:szCs w:val="16"/>
                <w:lang w:val="es-ES"/>
              </w:rPr>
              <w:t xml:space="preserve"> para cada país.</w:t>
            </w:r>
          </w:p>
        </w:tc>
      </w:tr>
    </w:tbl>
    <w:p w14:paraId="47B25CCC" w14:textId="5433088F" w:rsidR="00736ADD" w:rsidRPr="007D3A46" w:rsidRDefault="00736ADD" w:rsidP="00943B20">
      <w:pPr>
        <w:pStyle w:val="Sinespaciado"/>
        <w:ind w:right="49"/>
        <w:jc w:val="both"/>
        <w:rPr>
          <w:lang w:val="es-GT"/>
        </w:rPr>
      </w:pPr>
    </w:p>
    <w:p w14:paraId="4A7D6F27" w14:textId="77777777" w:rsidR="007D3A46" w:rsidRPr="007D3A46" w:rsidRDefault="007D3A46" w:rsidP="007D3A46">
      <w:pPr>
        <w:jc w:val="both"/>
        <w:rPr>
          <w:rFonts w:eastAsia="Times New Roman"/>
          <w:bCs/>
          <w:color w:val="000000" w:themeColor="text1"/>
          <w:lang w:val="es-MX"/>
        </w:rPr>
      </w:pPr>
      <w:r w:rsidRPr="007D3A46">
        <w:rPr>
          <w:rFonts w:eastAsia="Times New Roman"/>
          <w:bCs/>
          <w:color w:val="000000" w:themeColor="text1"/>
          <w:lang w:val="es-MX"/>
        </w:rPr>
        <w:t>Un indicador de solvencia es el de deuda /ingresos fiscales, el cual tuvo un incremento significativo por el aumento de la deuda en 2020, sin embargo, este se ha reducido en 2021 en la mayoría de los países por la recuperación de los ingresos y la moderación del gasto. Para 2022, según las proyecciones del Fondo Monetario Internacional este indicador estará alrededor de 140.1% para Chile, 247.1% para México, 295.0% para Brasil, 316.9% para El Salvador, 405.0% para República Dominicana, 431.1% para Costa Rica, entre otros países.</w:t>
      </w:r>
    </w:p>
    <w:p w14:paraId="44DC2812" w14:textId="4CFA1760" w:rsidR="007D3A46" w:rsidRDefault="007D3A46" w:rsidP="00943B20">
      <w:pPr>
        <w:pStyle w:val="Sinespaciado"/>
        <w:ind w:right="49"/>
        <w:jc w:val="both"/>
        <w:rPr>
          <w:lang w:val="es-MX"/>
        </w:rPr>
      </w:pPr>
    </w:p>
    <w:tbl>
      <w:tblPr>
        <w:tblStyle w:val="Tablaconcuadrcula"/>
        <w:tblW w:w="99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915"/>
      </w:tblGrid>
      <w:tr w:rsidR="007D3A46" w:rsidRPr="007D3A46" w14:paraId="6F3572EA" w14:textId="77777777" w:rsidTr="00C43CBD">
        <w:trPr>
          <w:trHeight w:val="102"/>
          <w:jc w:val="center"/>
        </w:trPr>
        <w:tc>
          <w:tcPr>
            <w:tcW w:w="9915" w:type="dxa"/>
          </w:tcPr>
          <w:p w14:paraId="0E084B17" w14:textId="79697504" w:rsidR="007D3A46" w:rsidRPr="007D3A46" w:rsidRDefault="007D3A46" w:rsidP="007D3A46">
            <w:pPr>
              <w:keepNext/>
              <w:jc w:val="center"/>
              <w:rPr>
                <w:b/>
              </w:rPr>
            </w:pPr>
            <w:bookmarkStart w:id="145" w:name="_Toc114493877"/>
            <w:r w:rsidRPr="00C43CBD">
              <w:rPr>
                <w:b/>
                <w:sz w:val="24"/>
              </w:rPr>
              <w:t xml:space="preserve">Gráfico </w:t>
            </w:r>
            <w:r w:rsidRPr="00C43CBD">
              <w:rPr>
                <w:b/>
              </w:rPr>
              <w:fldChar w:fldCharType="begin"/>
            </w:r>
            <w:r w:rsidRPr="00C43CBD">
              <w:rPr>
                <w:b/>
                <w:sz w:val="24"/>
              </w:rPr>
              <w:instrText xml:space="preserve"> SEQ Gráfico \* ARABIC </w:instrText>
            </w:r>
            <w:r w:rsidRPr="00C43CBD">
              <w:rPr>
                <w:b/>
              </w:rPr>
              <w:fldChar w:fldCharType="separate"/>
            </w:r>
            <w:r w:rsidR="002E7809">
              <w:rPr>
                <w:b/>
                <w:noProof/>
                <w:sz w:val="24"/>
              </w:rPr>
              <w:t>35</w:t>
            </w:r>
            <w:r w:rsidRPr="00C43CBD">
              <w:rPr>
                <w:b/>
              </w:rPr>
              <w:fldChar w:fldCharType="end"/>
            </w:r>
            <w:r w:rsidRPr="00C43CBD">
              <w:rPr>
                <w:b/>
                <w:sz w:val="24"/>
              </w:rPr>
              <w:t>.  Indicadores de intereses para Latinoamérica para 2020</w:t>
            </w:r>
            <w:bookmarkEnd w:id="145"/>
          </w:p>
        </w:tc>
      </w:tr>
      <w:tr w:rsidR="007D3A46" w:rsidRPr="007D3A46" w14:paraId="71D2BCB4" w14:textId="77777777" w:rsidTr="00C43CBD">
        <w:trPr>
          <w:trHeight w:val="2881"/>
          <w:jc w:val="center"/>
        </w:trPr>
        <w:tc>
          <w:tcPr>
            <w:tcW w:w="9915" w:type="dxa"/>
          </w:tcPr>
          <w:p w14:paraId="708678BC" w14:textId="23E376BE" w:rsidR="007D3A46" w:rsidRPr="007D3A46" w:rsidRDefault="007D3A46" w:rsidP="007D3A46">
            <w:pPr>
              <w:keepNext/>
              <w:ind w:right="49"/>
              <w:jc w:val="center"/>
              <w:rPr>
                <w:noProof/>
              </w:rPr>
            </w:pPr>
            <w:r w:rsidRPr="007D3A46">
              <w:rPr>
                <w:b/>
                <w:noProof/>
                <w:color w:val="0000FF"/>
              </w:rPr>
              <w:drawing>
                <wp:inline distT="0" distB="0" distL="0" distR="0" wp14:anchorId="5C6E498B" wp14:editId="7484C0C0">
                  <wp:extent cx="5039995" cy="1809750"/>
                  <wp:effectExtent l="0" t="0" r="8255" b="0"/>
                  <wp:docPr id="84" name="Gráfico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7D3A46" w:rsidRPr="007D3A46" w14:paraId="6AB176EA" w14:textId="77777777" w:rsidTr="00C43CBD">
        <w:trPr>
          <w:trHeight w:val="143"/>
          <w:jc w:val="center"/>
        </w:trPr>
        <w:tc>
          <w:tcPr>
            <w:tcW w:w="9915" w:type="dxa"/>
          </w:tcPr>
          <w:p w14:paraId="3C9E41B2" w14:textId="77777777" w:rsidR="007D3A46" w:rsidRPr="007D3A46" w:rsidRDefault="007D3A46" w:rsidP="007D3A46">
            <w:pPr>
              <w:widowControl/>
              <w:ind w:right="49"/>
              <w:jc w:val="both"/>
              <w:rPr>
                <w:sz w:val="16"/>
                <w:szCs w:val="16"/>
                <w:lang w:val="es-ES"/>
              </w:rPr>
            </w:pPr>
            <w:r w:rsidRPr="007D3A46">
              <w:rPr>
                <w:sz w:val="18"/>
                <w:szCs w:val="22"/>
                <w:lang w:val="es-ES"/>
              </w:rPr>
              <w:t xml:space="preserve">                   </w:t>
            </w:r>
            <w:r w:rsidRPr="007D3A46">
              <w:rPr>
                <w:sz w:val="16"/>
                <w:szCs w:val="16"/>
                <w:lang w:val="es-ES"/>
              </w:rPr>
              <w:t>Fuente: FMI, Estadísticas de Finanzas Gubernamentales.</w:t>
            </w:r>
          </w:p>
          <w:p w14:paraId="1E4B30B1" w14:textId="77777777" w:rsidR="007D3A46" w:rsidRPr="007D3A46" w:rsidRDefault="007D3A46" w:rsidP="007D3A46">
            <w:pPr>
              <w:widowControl/>
              <w:ind w:right="49"/>
              <w:jc w:val="both"/>
              <w:rPr>
                <w:sz w:val="16"/>
                <w:szCs w:val="16"/>
                <w:lang w:val="es-ES"/>
              </w:rPr>
            </w:pPr>
            <w:r w:rsidRPr="007D3A46">
              <w:rPr>
                <w:sz w:val="16"/>
                <w:szCs w:val="16"/>
                <w:lang w:val="es-ES"/>
              </w:rPr>
              <w:t xml:space="preserve">                     Nota: El 2020 fue la última actualización de estos indicadores para estos países y la información corresponde al Gobierno Central  </w:t>
            </w:r>
          </w:p>
          <w:p w14:paraId="4597C6C6" w14:textId="77777777" w:rsidR="007D3A46" w:rsidRPr="007D3A46" w:rsidRDefault="007D3A46" w:rsidP="007D3A46">
            <w:pPr>
              <w:widowControl/>
              <w:ind w:right="49"/>
              <w:jc w:val="both"/>
              <w:rPr>
                <w:sz w:val="16"/>
                <w:szCs w:val="16"/>
                <w:lang w:val="es-ES"/>
              </w:rPr>
            </w:pPr>
            <w:r w:rsidRPr="007D3A46">
              <w:rPr>
                <w:sz w:val="16"/>
                <w:szCs w:val="16"/>
                <w:lang w:val="es-ES"/>
              </w:rPr>
              <w:t xml:space="preserve">                     Presupuestario.</w:t>
            </w:r>
          </w:p>
        </w:tc>
      </w:tr>
    </w:tbl>
    <w:p w14:paraId="315F99BD" w14:textId="3B99B5A9" w:rsidR="007D3A46" w:rsidRDefault="007D3A46" w:rsidP="00943B20">
      <w:pPr>
        <w:pStyle w:val="Sinespaciado"/>
        <w:ind w:right="49"/>
        <w:jc w:val="both"/>
        <w:rPr>
          <w:lang w:val="es-MX"/>
        </w:rPr>
      </w:pPr>
    </w:p>
    <w:p w14:paraId="2CAB9A54" w14:textId="77777777" w:rsidR="007D3A46" w:rsidRPr="007D3A46" w:rsidRDefault="007D3A46" w:rsidP="007D3A46">
      <w:pPr>
        <w:jc w:val="both"/>
        <w:rPr>
          <w:rFonts w:eastAsia="Times New Roman"/>
          <w:bCs/>
          <w:color w:val="000000" w:themeColor="text1"/>
          <w:lang w:val="es-MX"/>
        </w:rPr>
      </w:pPr>
      <w:r w:rsidRPr="007D3A46">
        <w:rPr>
          <w:rFonts w:eastAsia="Times New Roman"/>
          <w:bCs/>
          <w:color w:val="000000" w:themeColor="text1"/>
          <w:lang w:val="es-MX"/>
        </w:rPr>
        <w:t>Entre los indicadores del costo financiero de la deuda pública se encuentran los intereses de deuda con respecto a los ingresos fiscales y con respecto a la PIB. Como se muestra en el gráfico anterior Costa Rica fue uno de los países con mayor costo de financiamiento de Latinoamérica dado que sus intereses como proporción de los ingresos representaron 34.8% en 2020, seguidamente de Argentina (28.4%), Brasil (24.2%) y República Dominicana (22.5%). Para el mismo año, los países que tienen una mejor posición en este indicador es Chile (4.5%), Paraguay (8.1%), Perú (9.9%). En el caso de Guatemala para dicho año, el indicador intereses / ingresos se encontró en 16.1%, un valor moderado, dado que se encuentra cerca del promedio de la región. Es importante indicar que, aunque Honduras y Nicaragua tienen un nivel bajo en los indicadores de intereses, pero se debe a que son considerados países pobres altamente endeudados y poseen condiciones de financiamiento especiales.</w:t>
      </w:r>
    </w:p>
    <w:p w14:paraId="12DAF19C" w14:textId="74739FA5" w:rsidR="007D3A46" w:rsidRDefault="007D3A46" w:rsidP="00943B20">
      <w:pPr>
        <w:pStyle w:val="Sinespaciado"/>
        <w:ind w:right="49"/>
        <w:jc w:val="both"/>
        <w:rPr>
          <w:lang w:val="es-MX"/>
        </w:rPr>
      </w:pPr>
    </w:p>
    <w:p w14:paraId="2357037A" w14:textId="2E08F055" w:rsidR="0028207D" w:rsidRDefault="002C3D84" w:rsidP="002C3D84">
      <w:pPr>
        <w:jc w:val="both"/>
        <w:rPr>
          <w:bCs/>
          <w:color w:val="000000" w:themeColor="text1"/>
          <w:lang w:val="es-MX"/>
        </w:rPr>
      </w:pPr>
      <w:r w:rsidRPr="002C3D84">
        <w:rPr>
          <w:bCs/>
          <w:color w:val="000000" w:themeColor="text1"/>
          <w:lang w:val="es-MX"/>
        </w:rPr>
        <w:t xml:space="preserve">Otro indicador que muestra la percepción del riesgo de los inversionistas de la deuda de cada país es el EMBI (Emerging Markets Bonds Index o Indicador de Bonos de Mercados Emergentes) calculado por JP Morgan Chase y trata de medir la diferencia de tasa de interés que pagan los bonos denominados en dólares, emitidos por países en desarrollo, y los Bonos del Tesoro de EE. UU., que se consideran "libres" de riesgo.  </w:t>
      </w:r>
    </w:p>
    <w:p w14:paraId="27F8CB4A" w14:textId="2C1FF990" w:rsidR="006C6DEE" w:rsidRDefault="006C6DEE" w:rsidP="002C3D84">
      <w:pPr>
        <w:jc w:val="both"/>
        <w:rPr>
          <w:bCs/>
          <w:color w:val="000000" w:themeColor="text1"/>
          <w:lang w:val="es-MX"/>
        </w:rPr>
      </w:pPr>
    </w:p>
    <w:p w14:paraId="61B5E46C" w14:textId="60A21DED" w:rsidR="006C6DEE" w:rsidRDefault="006C6DEE" w:rsidP="002C3D84">
      <w:pPr>
        <w:jc w:val="both"/>
        <w:rPr>
          <w:bCs/>
          <w:color w:val="000000" w:themeColor="text1"/>
          <w:lang w:val="es-MX"/>
        </w:rPr>
      </w:pPr>
      <w:r w:rsidRPr="006C6DEE">
        <w:rPr>
          <w:bCs/>
          <w:color w:val="000000" w:themeColor="text1"/>
          <w:lang w:val="es-MX"/>
        </w:rPr>
        <w:t xml:space="preserve">Es importante mencionar que este indicador ha aumentado en el presente año derivado de la incertidumbre económica </w:t>
      </w:r>
      <w:r w:rsidR="005A2E02">
        <w:rPr>
          <w:bCs/>
          <w:color w:val="000000" w:themeColor="text1"/>
          <w:lang w:val="es-MX"/>
        </w:rPr>
        <w:t>por</w:t>
      </w:r>
      <w:r w:rsidRPr="006C6DEE">
        <w:rPr>
          <w:bCs/>
          <w:color w:val="000000" w:themeColor="text1"/>
          <w:lang w:val="es-MX"/>
        </w:rPr>
        <w:t xml:space="preserve"> la guerra de Ucrania y Rusia, además de la disminución de la demanda externa por los confinamientos de China. El EMBI para Guatemala fue de 263 puntos básicos al 02 de agosto de 2022, el cual es bastante menor en comparación de otros países de Latinoamérica, como lo es El Salvador (2,576</w:t>
      </w:r>
      <w:r w:rsidR="005A2E02">
        <w:rPr>
          <w:bCs/>
          <w:color w:val="000000" w:themeColor="text1"/>
          <w:lang w:val="es-MX"/>
        </w:rPr>
        <w:t xml:space="preserve"> pb</w:t>
      </w:r>
      <w:r w:rsidRPr="006C6DEE">
        <w:rPr>
          <w:bCs/>
          <w:color w:val="000000" w:themeColor="text1"/>
          <w:lang w:val="es-MX"/>
        </w:rPr>
        <w:t>), Argentina (2,419</w:t>
      </w:r>
      <w:r w:rsidR="005A2E02">
        <w:rPr>
          <w:bCs/>
          <w:color w:val="000000" w:themeColor="text1"/>
          <w:lang w:val="es-MX"/>
        </w:rPr>
        <w:t xml:space="preserve"> pb</w:t>
      </w:r>
      <w:r w:rsidRPr="006C6DEE">
        <w:rPr>
          <w:bCs/>
          <w:color w:val="000000" w:themeColor="text1"/>
          <w:lang w:val="es-MX"/>
        </w:rPr>
        <w:t>), Honduras (685</w:t>
      </w:r>
      <w:r w:rsidR="005A2E02">
        <w:rPr>
          <w:bCs/>
          <w:color w:val="000000" w:themeColor="text1"/>
          <w:lang w:val="es-MX"/>
        </w:rPr>
        <w:t xml:space="preserve"> </w:t>
      </w:r>
      <w:r w:rsidRPr="006C6DEE">
        <w:rPr>
          <w:bCs/>
          <w:color w:val="000000" w:themeColor="text1"/>
          <w:lang w:val="es-MX"/>
        </w:rPr>
        <w:t>pb), Costa Rica (481</w:t>
      </w:r>
      <w:r w:rsidR="005A2E02">
        <w:rPr>
          <w:bCs/>
          <w:color w:val="000000" w:themeColor="text1"/>
          <w:lang w:val="es-MX"/>
        </w:rPr>
        <w:t xml:space="preserve"> </w:t>
      </w:r>
      <w:r w:rsidRPr="006C6DEE">
        <w:rPr>
          <w:bCs/>
          <w:color w:val="000000" w:themeColor="text1"/>
          <w:lang w:val="es-MX"/>
        </w:rPr>
        <w:t>pb), México (438</w:t>
      </w:r>
      <w:r w:rsidR="005A2E02">
        <w:rPr>
          <w:bCs/>
          <w:color w:val="000000" w:themeColor="text1"/>
          <w:lang w:val="es-MX"/>
        </w:rPr>
        <w:t xml:space="preserve"> </w:t>
      </w:r>
      <w:r w:rsidRPr="006C6DEE">
        <w:rPr>
          <w:bCs/>
          <w:color w:val="000000" w:themeColor="text1"/>
          <w:lang w:val="es-MX"/>
        </w:rPr>
        <w:t>pb), entre otros. Este indicador tiene incidencia directa sobre el costo financiero de la deuda de mercado, evidenciando el manejo prudente y responsable de las finanzas públicas por parte del gobierno que contribuye a la estabilidad macroeconómica del país.</w:t>
      </w:r>
    </w:p>
    <w:p w14:paraId="43444B48" w14:textId="77777777" w:rsidR="006C6DEE" w:rsidRPr="00462B5B" w:rsidRDefault="006C6DEE" w:rsidP="002C3D84">
      <w:pPr>
        <w:jc w:val="both"/>
        <w:rPr>
          <w:sz w:val="16"/>
          <w:lang w:val="es-MX"/>
        </w:rPr>
      </w:pPr>
    </w:p>
    <w:tbl>
      <w:tblPr>
        <w:tblStyle w:val="Tablaconcuadrcula"/>
        <w:tblpPr w:leftFromText="141" w:rightFromText="141" w:vertAnchor="text" w:horzAnchor="margin" w:tblpXSpec="center" w:tblpY="114"/>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43"/>
      </w:tblGrid>
      <w:tr w:rsidR="00736ADD" w:rsidRPr="0099727E" w14:paraId="4889936F" w14:textId="77777777" w:rsidTr="001C476B">
        <w:trPr>
          <w:trHeight w:val="3557"/>
        </w:trPr>
        <w:tc>
          <w:tcPr>
            <w:tcW w:w="9043" w:type="dxa"/>
          </w:tcPr>
          <w:p w14:paraId="00778C29" w14:textId="4AC43180" w:rsidR="00736ADD" w:rsidRPr="00C43CBD" w:rsidRDefault="00462B5B" w:rsidP="00462B5B">
            <w:pPr>
              <w:pStyle w:val="Descripcin"/>
              <w:keepNext/>
              <w:rPr>
                <w:color w:val="auto"/>
                <w:sz w:val="24"/>
                <w:szCs w:val="24"/>
              </w:rPr>
            </w:pPr>
            <w:bookmarkStart w:id="146" w:name="_Toc114493878"/>
            <w:r w:rsidRPr="00C43CBD">
              <w:rPr>
                <w:color w:val="auto"/>
                <w:sz w:val="24"/>
                <w:szCs w:val="24"/>
              </w:rPr>
              <w:t xml:space="preserve">Gráfico </w:t>
            </w:r>
            <w:r w:rsidRPr="00C43CBD">
              <w:rPr>
                <w:color w:val="auto"/>
              </w:rPr>
              <w:fldChar w:fldCharType="begin"/>
            </w:r>
            <w:r w:rsidRPr="00C43CBD">
              <w:rPr>
                <w:color w:val="auto"/>
                <w:sz w:val="24"/>
                <w:szCs w:val="24"/>
              </w:rPr>
              <w:instrText xml:space="preserve"> SEQ Gráfico \* ARABIC </w:instrText>
            </w:r>
            <w:r w:rsidRPr="00C43CBD">
              <w:rPr>
                <w:color w:val="auto"/>
              </w:rPr>
              <w:fldChar w:fldCharType="separate"/>
            </w:r>
            <w:r w:rsidR="002E7809">
              <w:rPr>
                <w:noProof/>
                <w:color w:val="auto"/>
                <w:sz w:val="24"/>
                <w:szCs w:val="24"/>
              </w:rPr>
              <w:t>36</w:t>
            </w:r>
            <w:r w:rsidRPr="00C43CBD">
              <w:rPr>
                <w:color w:val="auto"/>
              </w:rPr>
              <w:fldChar w:fldCharType="end"/>
            </w:r>
            <w:r w:rsidRPr="00C43CBD">
              <w:rPr>
                <w:color w:val="auto"/>
                <w:sz w:val="24"/>
                <w:szCs w:val="24"/>
              </w:rPr>
              <w:t xml:space="preserve">.  </w:t>
            </w:r>
            <w:r w:rsidR="00736ADD" w:rsidRPr="00C43CBD">
              <w:rPr>
                <w:color w:val="auto"/>
                <w:sz w:val="24"/>
                <w:szCs w:val="24"/>
              </w:rPr>
              <w:t>EMBI Calculado para Países de América Latina</w:t>
            </w:r>
            <w:bookmarkEnd w:id="146"/>
          </w:p>
          <w:p w14:paraId="0548BE90" w14:textId="0F5BF9B2" w:rsidR="00736ADD" w:rsidRPr="0099727E" w:rsidRDefault="00736ADD" w:rsidP="00BC0D90">
            <w:pPr>
              <w:ind w:left="567" w:right="49"/>
              <w:jc w:val="center"/>
              <w:rPr>
                <w:sz w:val="22"/>
                <w:szCs w:val="24"/>
              </w:rPr>
            </w:pPr>
            <w:r w:rsidRPr="0099727E">
              <w:rPr>
                <w:sz w:val="22"/>
                <w:szCs w:val="24"/>
              </w:rPr>
              <w:t xml:space="preserve">Al </w:t>
            </w:r>
            <w:r w:rsidR="0028207D">
              <w:rPr>
                <w:noProof/>
                <w:sz w:val="22"/>
              </w:rPr>
              <w:t>02</w:t>
            </w:r>
            <w:r w:rsidRPr="00501FE4">
              <w:rPr>
                <w:noProof/>
                <w:sz w:val="22"/>
              </w:rPr>
              <w:t xml:space="preserve"> de </w:t>
            </w:r>
            <w:r w:rsidR="0028207D">
              <w:rPr>
                <w:noProof/>
                <w:sz w:val="22"/>
              </w:rPr>
              <w:t>agosto</w:t>
            </w:r>
            <w:r>
              <w:rPr>
                <w:sz w:val="22"/>
                <w:szCs w:val="24"/>
              </w:rPr>
              <w:t xml:space="preserve"> </w:t>
            </w:r>
            <w:r w:rsidRPr="0099727E">
              <w:rPr>
                <w:sz w:val="22"/>
                <w:szCs w:val="24"/>
              </w:rPr>
              <w:t xml:space="preserve">de </w:t>
            </w:r>
            <w:r w:rsidRPr="00501FE4">
              <w:rPr>
                <w:noProof/>
                <w:sz w:val="22"/>
              </w:rPr>
              <w:t>2022</w:t>
            </w:r>
          </w:p>
          <w:p w14:paraId="52C36098" w14:textId="77777777" w:rsidR="00736ADD" w:rsidRPr="0099727E" w:rsidRDefault="00736ADD" w:rsidP="00BC0D90">
            <w:pPr>
              <w:ind w:left="567" w:right="49"/>
              <w:jc w:val="center"/>
              <w:rPr>
                <w:sz w:val="22"/>
                <w:szCs w:val="24"/>
              </w:rPr>
            </w:pPr>
            <w:r w:rsidRPr="009701B8">
              <w:rPr>
                <w:sz w:val="22"/>
                <w:szCs w:val="24"/>
              </w:rPr>
              <w:t>Puntos básicos</w:t>
            </w:r>
          </w:p>
          <w:p w14:paraId="2C5D9B18" w14:textId="709A1132" w:rsidR="00736ADD" w:rsidRPr="0099727E" w:rsidRDefault="00736ADD" w:rsidP="004A1975">
            <w:pPr>
              <w:ind w:left="567" w:right="49"/>
              <w:jc w:val="center"/>
              <w:rPr>
                <w:noProof/>
                <w:sz w:val="24"/>
                <w:szCs w:val="24"/>
              </w:rPr>
            </w:pPr>
            <w:r w:rsidRPr="0099727E">
              <w:rPr>
                <w:noProof/>
                <w:sz w:val="24"/>
                <w:szCs w:val="24"/>
              </w:rPr>
              <w:t xml:space="preserve"> </w:t>
            </w:r>
            <w:r w:rsidRPr="0099727E">
              <w:rPr>
                <w:noProof/>
              </w:rPr>
              <w:t xml:space="preserve">  </w:t>
            </w:r>
            <w:r w:rsidR="002C3D84">
              <w:rPr>
                <w:noProof/>
              </w:rPr>
              <w:drawing>
                <wp:inline distT="0" distB="0" distL="0" distR="0" wp14:anchorId="61928F91" wp14:editId="5CA6C6D2">
                  <wp:extent cx="5039995" cy="1799590"/>
                  <wp:effectExtent l="0" t="0" r="8255" b="0"/>
                  <wp:docPr id="12" name="Gráfico 12">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E13A337" w14:textId="77777777" w:rsidR="00736ADD" w:rsidRPr="00462B5B" w:rsidRDefault="00736ADD" w:rsidP="00D40006">
            <w:pPr>
              <w:ind w:left="567" w:right="49"/>
              <w:rPr>
                <w:sz w:val="16"/>
                <w:szCs w:val="24"/>
              </w:rPr>
            </w:pPr>
            <w:r w:rsidRPr="00462B5B">
              <w:rPr>
                <w:sz w:val="14"/>
                <w:szCs w:val="22"/>
              </w:rPr>
              <w:t xml:space="preserve">           </w:t>
            </w:r>
            <w:r w:rsidRPr="00462B5B">
              <w:rPr>
                <w:sz w:val="16"/>
                <w:szCs w:val="24"/>
              </w:rPr>
              <w:t xml:space="preserve">Fuente:  </w:t>
            </w:r>
            <w:r w:rsidRPr="00462B5B">
              <w:rPr>
                <w:bCs/>
                <w:sz w:val="16"/>
                <w:szCs w:val="13"/>
              </w:rPr>
              <w:t xml:space="preserve"> Ministerio de Finanzas Públicas</w:t>
            </w:r>
            <w:r w:rsidRPr="00462B5B">
              <w:rPr>
                <w:sz w:val="16"/>
                <w:szCs w:val="24"/>
              </w:rPr>
              <w:t xml:space="preserve"> con información de JP Morgan obtenida del Banco Central de </w:t>
            </w:r>
          </w:p>
          <w:p w14:paraId="726930FF" w14:textId="77777777" w:rsidR="00736ADD" w:rsidRPr="0099727E" w:rsidRDefault="00736ADD" w:rsidP="00D40006">
            <w:pPr>
              <w:ind w:left="567" w:right="49"/>
              <w:rPr>
                <w:sz w:val="16"/>
                <w:szCs w:val="22"/>
              </w:rPr>
            </w:pPr>
            <w:r w:rsidRPr="00462B5B">
              <w:rPr>
                <w:sz w:val="16"/>
                <w:szCs w:val="24"/>
              </w:rPr>
              <w:t xml:space="preserve">          República Dominicana</w:t>
            </w:r>
          </w:p>
        </w:tc>
      </w:tr>
    </w:tbl>
    <w:p w14:paraId="60E9D945" w14:textId="77777777" w:rsidR="00736ADD" w:rsidRDefault="00736ADD" w:rsidP="007F5EC4">
      <w:pPr>
        <w:pStyle w:val="Sinespaciado"/>
        <w:ind w:left="567" w:right="49"/>
        <w:jc w:val="both"/>
        <w:rPr>
          <w:highlight w:val="lightGray"/>
          <w:lang w:val="es-MX"/>
        </w:rPr>
      </w:pPr>
    </w:p>
    <w:p w14:paraId="01DBB59B" w14:textId="77777777" w:rsidR="002C3D84" w:rsidRPr="0028207D" w:rsidRDefault="002C3D84" w:rsidP="0028207D">
      <w:pPr>
        <w:jc w:val="both"/>
        <w:rPr>
          <w:bCs/>
          <w:color w:val="000000" w:themeColor="text1"/>
          <w:lang w:val="es-MX"/>
        </w:rPr>
      </w:pPr>
    </w:p>
    <w:p w14:paraId="747C20A7" w14:textId="77777777" w:rsidR="00736ADD" w:rsidRPr="00A07BD4" w:rsidRDefault="00736ADD" w:rsidP="00A9708A">
      <w:pPr>
        <w:pStyle w:val="Ttulo1"/>
        <w:numPr>
          <w:ilvl w:val="0"/>
          <w:numId w:val="28"/>
        </w:numPr>
        <w:ind w:left="284" w:hanging="284"/>
        <w:jc w:val="left"/>
        <w:rPr>
          <w:color w:val="auto"/>
          <w:sz w:val="24"/>
          <w:szCs w:val="28"/>
        </w:rPr>
      </w:pPr>
      <w:bookmarkStart w:id="147" w:name="_Toc114495252"/>
      <w:r w:rsidRPr="00A07BD4">
        <w:rPr>
          <w:color w:val="auto"/>
          <w:sz w:val="24"/>
          <w:szCs w:val="28"/>
        </w:rPr>
        <w:t>Análisis de Sostenibilidad de la Deuda</w:t>
      </w:r>
      <w:bookmarkEnd w:id="147"/>
    </w:p>
    <w:p w14:paraId="58FD9D47" w14:textId="77777777" w:rsidR="00736ADD" w:rsidRPr="0099727E" w:rsidRDefault="00736ADD" w:rsidP="00246A61">
      <w:pPr>
        <w:keepNext/>
        <w:ind w:left="567" w:right="49"/>
        <w:jc w:val="both"/>
        <w:outlineLvl w:val="2"/>
        <w:rPr>
          <w:b/>
          <w:color w:val="FF0000"/>
          <w:sz w:val="18"/>
        </w:rPr>
      </w:pPr>
    </w:p>
    <w:p w14:paraId="003EFE88" w14:textId="77777777" w:rsidR="00A07BD4" w:rsidRPr="00A07BD4" w:rsidRDefault="00A07BD4" w:rsidP="00A07BD4">
      <w:pPr>
        <w:pStyle w:val="Prrafodelista"/>
        <w:keepNext/>
        <w:widowControl/>
        <w:numPr>
          <w:ilvl w:val="0"/>
          <w:numId w:val="5"/>
        </w:numPr>
        <w:ind w:right="49"/>
        <w:contextualSpacing w:val="0"/>
        <w:outlineLvl w:val="0"/>
        <w:rPr>
          <w:b/>
          <w:vanish/>
          <w:lang w:val="es-MX"/>
        </w:rPr>
      </w:pPr>
      <w:bookmarkStart w:id="148" w:name="_Toc110522933"/>
      <w:bookmarkStart w:id="149" w:name="_Toc114066633"/>
      <w:bookmarkStart w:id="150" w:name="_Toc114473955"/>
      <w:bookmarkStart w:id="151" w:name="_Toc114476002"/>
      <w:bookmarkStart w:id="152" w:name="_Toc114476109"/>
      <w:bookmarkStart w:id="153" w:name="_Toc114476194"/>
      <w:bookmarkStart w:id="154" w:name="_Toc114476261"/>
      <w:bookmarkStart w:id="155" w:name="_Toc114476335"/>
      <w:bookmarkStart w:id="156" w:name="_Toc114476401"/>
      <w:bookmarkStart w:id="157" w:name="_Toc114492487"/>
      <w:bookmarkStart w:id="158" w:name="_Toc114492688"/>
      <w:bookmarkStart w:id="159" w:name="_Toc114493798"/>
      <w:bookmarkStart w:id="160" w:name="_Toc114495253"/>
      <w:bookmarkEnd w:id="148"/>
      <w:bookmarkEnd w:id="149"/>
      <w:bookmarkEnd w:id="150"/>
      <w:bookmarkEnd w:id="151"/>
      <w:bookmarkEnd w:id="152"/>
      <w:bookmarkEnd w:id="153"/>
      <w:bookmarkEnd w:id="154"/>
      <w:bookmarkEnd w:id="155"/>
      <w:bookmarkEnd w:id="156"/>
      <w:bookmarkEnd w:id="157"/>
      <w:bookmarkEnd w:id="158"/>
      <w:bookmarkEnd w:id="159"/>
      <w:bookmarkEnd w:id="160"/>
    </w:p>
    <w:p w14:paraId="14879B51" w14:textId="30B73A29" w:rsidR="00736ADD" w:rsidRPr="00A07BD4" w:rsidRDefault="00736ADD" w:rsidP="00A9708A">
      <w:pPr>
        <w:pStyle w:val="Ttulo1"/>
        <w:widowControl/>
        <w:numPr>
          <w:ilvl w:val="1"/>
          <w:numId w:val="5"/>
        </w:numPr>
        <w:ind w:left="567" w:right="49" w:hanging="283"/>
        <w:jc w:val="left"/>
        <w:rPr>
          <w:color w:val="auto"/>
          <w:sz w:val="24"/>
          <w:lang w:val="es-MX"/>
        </w:rPr>
      </w:pPr>
      <w:bookmarkStart w:id="161" w:name="_Toc114495254"/>
      <w:r w:rsidRPr="00A07BD4">
        <w:rPr>
          <w:color w:val="auto"/>
          <w:sz w:val="24"/>
          <w:lang w:val="es-MX"/>
        </w:rPr>
        <w:t>Análisis de Mediano Plazo</w:t>
      </w:r>
      <w:bookmarkEnd w:id="161"/>
    </w:p>
    <w:p w14:paraId="315E22D5" w14:textId="77777777" w:rsidR="00736ADD" w:rsidRPr="0099727E" w:rsidRDefault="00736ADD" w:rsidP="00246A61">
      <w:pPr>
        <w:pStyle w:val="Sinespaciado"/>
        <w:ind w:left="567" w:right="49"/>
        <w:jc w:val="both"/>
        <w:rPr>
          <w:color w:val="FF0000"/>
          <w:lang w:val="es-MX"/>
        </w:rPr>
      </w:pPr>
    </w:p>
    <w:p w14:paraId="35EA3F49" w14:textId="77777777" w:rsidR="002C3D84" w:rsidRPr="002C3D84" w:rsidRDefault="002C3D84" w:rsidP="002C3D84">
      <w:pPr>
        <w:jc w:val="both"/>
        <w:rPr>
          <w:bCs/>
          <w:color w:val="000000" w:themeColor="text1"/>
          <w:lang w:val="es-MX"/>
        </w:rPr>
      </w:pPr>
      <w:r w:rsidRPr="002C3D84">
        <w:rPr>
          <w:bCs/>
          <w:color w:val="000000" w:themeColor="text1"/>
          <w:lang w:val="es-MX"/>
        </w:rPr>
        <w:t xml:space="preserve">De acuerdo con el enfoque tradicional de acumulación de deuda, los cambios en la proporción deuda/PIB, son determinados por el diferencial entre el tipo de interés real implícito y la tasa de crecimiento del PIB, la variación del tipo de cambio, el saldo fiscal primario y los ajustes de flujos a stock, tales como el uso de recursos del gobierno en el Banco de Guatemala y el Pago de las Deficiencias Netas. Las simulaciones determinísticas sobre la trayectoria de las variables que integran una ecuación dan como resultado la proporción de deuda/PIB de referencia o acorde a los niveles de las variables consideradas en el análisis. </w:t>
      </w:r>
    </w:p>
    <w:p w14:paraId="768AA749" w14:textId="77777777" w:rsidR="002C3D84" w:rsidRPr="002C3D84" w:rsidRDefault="002C3D84" w:rsidP="002C3D84">
      <w:pPr>
        <w:jc w:val="both"/>
        <w:rPr>
          <w:bCs/>
          <w:color w:val="000000" w:themeColor="text1"/>
          <w:lang w:val="es-MX"/>
        </w:rPr>
      </w:pPr>
    </w:p>
    <w:p w14:paraId="40409E92" w14:textId="5125E4A3" w:rsidR="002C3D84" w:rsidRPr="002C3D84" w:rsidRDefault="002C3D84" w:rsidP="002C3D84">
      <w:pPr>
        <w:jc w:val="both"/>
        <w:rPr>
          <w:rFonts w:eastAsia="Times New Roman"/>
          <w:lang w:val="es-MX"/>
        </w:rPr>
      </w:pPr>
      <w:r w:rsidRPr="002C3D84">
        <w:rPr>
          <w:bCs/>
          <w:color w:val="000000" w:themeColor="text1"/>
          <w:lang w:val="es-MX"/>
        </w:rPr>
        <w:t>Las previsiones macroeconómicas, financieras y fiscales preliminares</w:t>
      </w:r>
      <w:r w:rsidRPr="002C3D84">
        <w:rPr>
          <w:bCs/>
          <w:color w:val="000000" w:themeColor="text1"/>
          <w:vertAlign w:val="superscript"/>
          <w:lang w:val="es-MX"/>
        </w:rPr>
        <w:footnoteReference w:id="3"/>
      </w:r>
      <w:r w:rsidRPr="002C3D84">
        <w:rPr>
          <w:bCs/>
          <w:color w:val="000000" w:themeColor="text1"/>
          <w:lang w:val="es-MX"/>
        </w:rPr>
        <w:t xml:space="preserve"> dan como resultado la trayectoria base para 2022-2027, utilizan para el efecto las previsiones</w:t>
      </w:r>
      <w:r w:rsidRPr="002C3D84">
        <w:rPr>
          <w:rFonts w:eastAsia="Times New Roman"/>
          <w:lang w:val="es-MX"/>
        </w:rPr>
        <w:t xml:space="preserve"> macroeconómicas y fiscales hasta </w:t>
      </w:r>
      <w:r w:rsidRPr="002C3D84">
        <w:rPr>
          <w:rFonts w:eastAsia="Times New Roman"/>
          <w:noProof/>
          <w:lang w:val="es-MX"/>
        </w:rPr>
        <w:t>2027</w:t>
      </w:r>
      <w:r w:rsidRPr="002C3D84">
        <w:rPr>
          <w:rFonts w:eastAsia="Times New Roman"/>
          <w:lang w:val="es-MX"/>
        </w:rPr>
        <w:t xml:space="preserve">, tomadas de </w:t>
      </w:r>
      <w:r w:rsidR="00EB7F91">
        <w:rPr>
          <w:rFonts w:eastAsia="Times New Roman"/>
          <w:lang w:val="es-MX"/>
        </w:rPr>
        <w:t>la actualización de abril 2022</w:t>
      </w:r>
      <w:r w:rsidRPr="002C3D84">
        <w:rPr>
          <w:rFonts w:eastAsia="Times New Roman"/>
          <w:lang w:val="es-MX"/>
        </w:rPr>
        <w:t xml:space="preserve"> de las proyecciones macroeconómicas elaboradas por el Banco de Guatemala, así como el escenario fiscal de mediano plazo (tomando como base el presupuesto vigente a junio del 2022). Los supuestos que se utilizaron son los siguientes:</w:t>
      </w:r>
    </w:p>
    <w:p w14:paraId="0A10150B" w14:textId="77777777" w:rsidR="002C3D84" w:rsidRPr="002C3D84" w:rsidRDefault="002C3D84" w:rsidP="002C3D84">
      <w:pPr>
        <w:widowControl/>
        <w:ind w:left="567" w:right="49"/>
        <w:jc w:val="both"/>
        <w:rPr>
          <w:rFonts w:eastAsia="Times New Roman"/>
          <w:lang w:val="es-MX"/>
        </w:rPr>
      </w:pPr>
    </w:p>
    <w:p w14:paraId="2603FDD8" w14:textId="77777777" w:rsidR="002C3D84" w:rsidRPr="00481337" w:rsidRDefault="002C3D84" w:rsidP="00481337">
      <w:pPr>
        <w:pStyle w:val="Prrafodelista"/>
        <w:widowControl/>
        <w:numPr>
          <w:ilvl w:val="0"/>
          <w:numId w:val="35"/>
        </w:numPr>
        <w:ind w:right="49"/>
        <w:jc w:val="both"/>
        <w:rPr>
          <w:rFonts w:eastAsia="Times New Roman"/>
          <w:lang w:val="es-MX"/>
        </w:rPr>
      </w:pPr>
      <w:r w:rsidRPr="00481337">
        <w:rPr>
          <w:rFonts w:eastAsia="Times New Roman"/>
          <w:lang w:val="es-MX"/>
        </w:rPr>
        <w:t>El crecimiento real del PIB está basado en el crecimiento estimado por el Banco de Guatemala, donde se asume que este se ubicará en el escenario bajo de las proyecciones de esta entidad.</w:t>
      </w:r>
    </w:p>
    <w:p w14:paraId="022E1FD0" w14:textId="77777777" w:rsidR="002C3D84" w:rsidRPr="002C3D84" w:rsidRDefault="002C3D84" w:rsidP="002C3D84">
      <w:pPr>
        <w:widowControl/>
        <w:ind w:right="49"/>
        <w:jc w:val="both"/>
        <w:rPr>
          <w:rFonts w:eastAsia="Times New Roman"/>
          <w:lang w:val="es-MX"/>
        </w:rPr>
      </w:pPr>
    </w:p>
    <w:p w14:paraId="3E8727F5" w14:textId="78F4BDC4" w:rsidR="002C3D84" w:rsidRPr="00481337" w:rsidRDefault="002C3D84" w:rsidP="00481337">
      <w:pPr>
        <w:pStyle w:val="Prrafodelista"/>
        <w:widowControl/>
        <w:numPr>
          <w:ilvl w:val="0"/>
          <w:numId w:val="35"/>
        </w:numPr>
        <w:ind w:right="49"/>
        <w:jc w:val="both"/>
        <w:rPr>
          <w:rFonts w:eastAsia="Times New Roman"/>
          <w:lang w:val="es-MX"/>
        </w:rPr>
      </w:pPr>
      <w:r w:rsidRPr="00481337">
        <w:rPr>
          <w:rFonts w:eastAsia="Times New Roman"/>
          <w:lang w:val="es-MX"/>
        </w:rPr>
        <w:t>La tasa de inflación (y el deflactor del PIB) convergen a un 3.0% en el período indicado, en el límite inferior de la meta del Banco Central, generando una brecha constante entre crecimiento real y nominal.</w:t>
      </w:r>
    </w:p>
    <w:p w14:paraId="6214C117" w14:textId="77777777" w:rsidR="002C3D84" w:rsidRPr="002C3D84" w:rsidRDefault="002C3D84" w:rsidP="002C3D84">
      <w:pPr>
        <w:widowControl/>
        <w:ind w:right="49"/>
        <w:jc w:val="both"/>
        <w:rPr>
          <w:rFonts w:eastAsia="Times New Roman"/>
          <w:lang w:val="es-MX"/>
        </w:rPr>
      </w:pPr>
    </w:p>
    <w:p w14:paraId="51406D17" w14:textId="77777777" w:rsidR="002C3D84" w:rsidRPr="00481337" w:rsidRDefault="002C3D84" w:rsidP="00481337">
      <w:pPr>
        <w:pStyle w:val="Prrafodelista"/>
        <w:widowControl/>
        <w:numPr>
          <w:ilvl w:val="0"/>
          <w:numId w:val="35"/>
        </w:numPr>
        <w:ind w:right="49"/>
        <w:jc w:val="both"/>
        <w:rPr>
          <w:rFonts w:eastAsia="Times New Roman"/>
          <w:lang w:val="es-MX"/>
        </w:rPr>
      </w:pPr>
      <w:r w:rsidRPr="00481337">
        <w:rPr>
          <w:rFonts w:eastAsia="Times New Roman"/>
          <w:lang w:val="es-MX"/>
        </w:rPr>
        <w:t>El gasto en pago de intereses de deuda (r) está calculado como la suma ponderada de los distintos instrumentos de deuda con diferente madurez.</w:t>
      </w:r>
    </w:p>
    <w:p w14:paraId="2FA5EE1D" w14:textId="77777777" w:rsidR="002C3D84" w:rsidRPr="002C3D84" w:rsidRDefault="002C3D84" w:rsidP="002C3D84">
      <w:pPr>
        <w:widowControl/>
        <w:ind w:right="49"/>
        <w:jc w:val="both"/>
        <w:rPr>
          <w:rFonts w:eastAsia="Times New Roman"/>
          <w:lang w:val="es-MX"/>
        </w:rPr>
      </w:pPr>
    </w:p>
    <w:p w14:paraId="0BAC9173" w14:textId="6021034F" w:rsidR="002C3D84" w:rsidRPr="00481337" w:rsidRDefault="002C3D84" w:rsidP="00481337">
      <w:pPr>
        <w:pStyle w:val="Prrafodelista"/>
        <w:widowControl/>
        <w:numPr>
          <w:ilvl w:val="0"/>
          <w:numId w:val="35"/>
        </w:numPr>
        <w:ind w:right="49"/>
        <w:jc w:val="both"/>
        <w:rPr>
          <w:rFonts w:eastAsia="Times New Roman"/>
          <w:lang w:val="es-MX"/>
        </w:rPr>
      </w:pPr>
      <w:r w:rsidRPr="00481337">
        <w:rPr>
          <w:rFonts w:eastAsia="Times New Roman"/>
          <w:lang w:val="es-MX"/>
        </w:rPr>
        <w:t>El saldo fiscal primario (Sp) se obtiene de las operaciones de ingresos y gastos que se proyectan en el presupuesto de mediano plazo</w:t>
      </w:r>
      <w:r w:rsidR="00481337">
        <w:rPr>
          <w:rFonts w:eastAsia="Times New Roman"/>
          <w:lang w:val="es-MX"/>
        </w:rPr>
        <w:t>.</w:t>
      </w:r>
    </w:p>
    <w:p w14:paraId="7654A41E" w14:textId="77777777" w:rsidR="002C3D84" w:rsidRPr="002C3D84" w:rsidRDefault="002C3D84" w:rsidP="002C3D84">
      <w:pPr>
        <w:widowControl/>
        <w:ind w:right="49"/>
        <w:jc w:val="both"/>
        <w:rPr>
          <w:rFonts w:eastAsia="Times New Roman"/>
          <w:lang w:val="es-MX"/>
        </w:rPr>
      </w:pPr>
    </w:p>
    <w:p w14:paraId="28290DB5" w14:textId="77777777" w:rsidR="002C3D84" w:rsidRPr="002C3D84" w:rsidRDefault="002C3D84" w:rsidP="002C3D84">
      <w:pPr>
        <w:widowControl/>
        <w:ind w:right="49"/>
        <w:jc w:val="both"/>
        <w:rPr>
          <w:rFonts w:eastAsia="Times New Roman"/>
          <w:lang w:val="es-MX"/>
        </w:rPr>
      </w:pPr>
      <w:r w:rsidRPr="002C3D84">
        <w:rPr>
          <w:rFonts w:eastAsia="Times New Roman"/>
          <w:lang w:val="es-MX"/>
        </w:rPr>
        <w:t xml:space="preserve">Con base a esa información, se realizó un análisis para observar las contribuciones de los determinantes macro fiscales en el cambio de la deuda pública. Se observa que para </w:t>
      </w:r>
      <w:r w:rsidRPr="002C3D84">
        <w:rPr>
          <w:rFonts w:eastAsia="Times New Roman"/>
          <w:noProof/>
          <w:lang w:val="es-ES"/>
        </w:rPr>
        <w:t>2022</w:t>
      </w:r>
      <w:r w:rsidRPr="002C3D84">
        <w:rPr>
          <w:rFonts w:eastAsia="Times New Roman"/>
          <w:lang w:val="es-MX"/>
        </w:rPr>
        <w:t xml:space="preserve">, el </w:t>
      </w:r>
      <w:r w:rsidRPr="002C3D84">
        <w:rPr>
          <w:rFonts w:eastAsia="Times New Roman"/>
          <w:noProof/>
          <w:lang w:val="es-MX"/>
        </w:rPr>
        <w:t>el incremento relativo</w:t>
      </w:r>
      <w:r w:rsidRPr="002C3D84">
        <w:rPr>
          <w:rFonts w:eastAsia="Times New Roman"/>
          <w:lang w:val="es-MX"/>
        </w:rPr>
        <w:t xml:space="preserve"> de la deuda es positivo (</w:t>
      </w:r>
      <w:r w:rsidRPr="002C3D84">
        <w:rPr>
          <w:rFonts w:eastAsia="Times New Roman"/>
          <w:noProof/>
          <w:lang w:val="es-ES"/>
        </w:rPr>
        <w:t>0.2</w:t>
      </w:r>
      <w:r w:rsidRPr="002C3D84">
        <w:rPr>
          <w:rFonts w:eastAsia="Times New Roman"/>
          <w:lang w:val="es-MX"/>
        </w:rPr>
        <w:t xml:space="preserve"> puntos porcentuales del PIB), mostrando una política fiscal conservadora en 2021 y 2022 después de la política fiscal expansiva del año 2020.</w:t>
      </w:r>
    </w:p>
    <w:p w14:paraId="49FFA781" w14:textId="77777777" w:rsidR="002C3D84" w:rsidRPr="002C3D84" w:rsidRDefault="002C3D84" w:rsidP="002C3D84">
      <w:pPr>
        <w:widowControl/>
        <w:ind w:right="49"/>
        <w:jc w:val="both"/>
        <w:rPr>
          <w:rFonts w:eastAsia="Times New Roman"/>
          <w:lang w:val="es-MX"/>
        </w:rPr>
      </w:pPr>
    </w:p>
    <w:p w14:paraId="626A760F" w14:textId="5AB550B0" w:rsidR="00481337" w:rsidRPr="0081351C" w:rsidRDefault="00481337" w:rsidP="00481337">
      <w:pPr>
        <w:widowControl/>
        <w:ind w:right="49"/>
        <w:jc w:val="both"/>
        <w:rPr>
          <w:rFonts w:eastAsia="Times New Roman"/>
          <w:lang w:val="es-MX"/>
        </w:rPr>
      </w:pPr>
      <w:r w:rsidRPr="0081351C">
        <w:rPr>
          <w:rFonts w:eastAsia="Times New Roman"/>
          <w:lang w:val="es-MX"/>
        </w:rPr>
        <w:t xml:space="preserve">Por su parte, para 2023, también se prevé </w:t>
      </w:r>
      <w:r w:rsidRPr="0081351C">
        <w:rPr>
          <w:rFonts w:eastAsia="Times New Roman"/>
          <w:noProof/>
          <w:lang w:val="es-MX"/>
        </w:rPr>
        <w:t>una disminución relativa</w:t>
      </w:r>
      <w:r w:rsidRPr="0081351C">
        <w:rPr>
          <w:rFonts w:eastAsia="Times New Roman"/>
          <w:lang w:val="es-MX"/>
        </w:rPr>
        <w:t xml:space="preserve"> de la deuda (</w:t>
      </w:r>
      <w:r w:rsidRPr="0081351C">
        <w:rPr>
          <w:rFonts w:eastAsia="Times New Roman"/>
          <w:noProof/>
          <w:lang w:val="es-ES"/>
        </w:rPr>
        <w:t>0.3</w:t>
      </w:r>
      <w:r w:rsidRPr="0081351C">
        <w:rPr>
          <w:rFonts w:eastAsia="Times New Roman"/>
          <w:lang w:val="es-MX"/>
        </w:rPr>
        <w:t xml:space="preserve"> puntos porcentuales del PIB), el cual se explica principalmente por un superávit primario estimado de </w:t>
      </w:r>
      <w:r w:rsidRPr="0081351C">
        <w:rPr>
          <w:rFonts w:eastAsia="Times New Roman"/>
          <w:noProof/>
          <w:lang w:val="es-ES"/>
        </w:rPr>
        <w:t>0.7</w:t>
      </w:r>
      <w:r w:rsidRPr="0081351C">
        <w:rPr>
          <w:rFonts w:eastAsia="Times New Roman"/>
          <w:lang w:val="es-MX"/>
        </w:rPr>
        <w:t xml:space="preserve">% con respecto al PIB. Asimismo, en los años </w:t>
      </w:r>
      <w:r w:rsidRPr="0081351C">
        <w:rPr>
          <w:rFonts w:eastAsia="Times New Roman"/>
          <w:noProof/>
          <w:lang w:val="es-MX"/>
        </w:rPr>
        <w:t>2024</w:t>
      </w:r>
      <w:r w:rsidRPr="0081351C">
        <w:rPr>
          <w:rFonts w:eastAsia="Times New Roman"/>
          <w:lang w:val="es-MX"/>
        </w:rPr>
        <w:t>-</w:t>
      </w:r>
      <w:r w:rsidRPr="0081351C">
        <w:rPr>
          <w:rFonts w:eastAsia="Times New Roman"/>
          <w:noProof/>
          <w:lang w:val="es-MX"/>
        </w:rPr>
        <w:t>2027</w:t>
      </w:r>
      <w:r w:rsidRPr="0081351C">
        <w:rPr>
          <w:rFonts w:eastAsia="Times New Roman"/>
          <w:lang w:val="es-MX"/>
        </w:rPr>
        <w:t xml:space="preserve"> se pronostica que el crecimiento de la deuda con respecto al PIB se desacelere gradualmente en la medida en que los gastos se ajusten a la baja y se obtengan mayores ingresos fiscales, lo que permitirá reducir el déficit y el incremento interanual de la deuda al punto que en </w:t>
      </w:r>
      <w:r w:rsidRPr="0081351C">
        <w:rPr>
          <w:rFonts w:eastAsia="Times New Roman"/>
          <w:noProof/>
          <w:lang w:val="es-MX"/>
        </w:rPr>
        <w:t>2027</w:t>
      </w:r>
      <w:r w:rsidRPr="0081351C">
        <w:rPr>
          <w:rFonts w:eastAsia="Times New Roman"/>
          <w:lang w:val="es-MX"/>
        </w:rPr>
        <w:t xml:space="preserve"> la relación deuda/PIB se encuentre en </w:t>
      </w:r>
      <w:r w:rsidRPr="0081351C">
        <w:rPr>
          <w:rFonts w:eastAsia="Times New Roman"/>
          <w:noProof/>
          <w:lang w:val="es-ES"/>
        </w:rPr>
        <w:t>26.6</w:t>
      </w:r>
      <w:r w:rsidRPr="0081351C">
        <w:rPr>
          <w:rFonts w:eastAsia="Times New Roman"/>
          <w:lang w:val="es-MX"/>
        </w:rPr>
        <w:t>%.</w:t>
      </w:r>
    </w:p>
    <w:p w14:paraId="2D24C667" w14:textId="77777777" w:rsidR="002C3D84" w:rsidRPr="002C3D84" w:rsidRDefault="002C3D84" w:rsidP="002C3D84">
      <w:pPr>
        <w:widowControl/>
        <w:ind w:right="49"/>
        <w:jc w:val="both"/>
        <w:rPr>
          <w:rFonts w:eastAsia="Times New Roman"/>
          <w:lang w:val="es-MX"/>
        </w:rPr>
      </w:pPr>
    </w:p>
    <w:p w14:paraId="2CB83F83" w14:textId="77777777" w:rsidR="0081351C" w:rsidRPr="0081351C" w:rsidRDefault="0081351C" w:rsidP="0081351C">
      <w:pPr>
        <w:widowControl/>
        <w:ind w:right="49"/>
        <w:jc w:val="both"/>
        <w:rPr>
          <w:rFonts w:eastAsia="Times New Roman"/>
          <w:lang w:val="es-MX"/>
        </w:rPr>
      </w:pPr>
      <w:r w:rsidRPr="0081351C">
        <w:rPr>
          <w:rFonts w:eastAsia="Times New Roman"/>
          <w:lang w:val="es-MX"/>
        </w:rPr>
        <w:t xml:space="preserve">Para el período </w:t>
      </w:r>
      <w:r w:rsidRPr="0081351C">
        <w:rPr>
          <w:rFonts w:eastAsia="Times New Roman"/>
          <w:noProof/>
          <w:lang w:val="es-ES"/>
        </w:rPr>
        <w:t>2022</w:t>
      </w:r>
      <w:r w:rsidRPr="0081351C">
        <w:rPr>
          <w:rFonts w:eastAsia="Times New Roman"/>
          <w:lang w:val="es-MX"/>
        </w:rPr>
        <w:t>-</w:t>
      </w:r>
      <w:r w:rsidRPr="0081351C">
        <w:rPr>
          <w:rFonts w:eastAsia="Times New Roman"/>
          <w:noProof/>
          <w:lang w:val="es-MX"/>
        </w:rPr>
        <w:t>2027</w:t>
      </w:r>
      <w:r w:rsidRPr="0081351C">
        <w:rPr>
          <w:rFonts w:eastAsia="Times New Roman"/>
          <w:lang w:val="es-MX"/>
        </w:rPr>
        <w:t xml:space="preserve">, la dinámica de la deuda será decreciente, causado primero por la reducción gradual del déficit primario en 2022 -2023 y, segundo, por una normalización a un nivel previo de la pandemia para el gasto en los años siguientes. </w:t>
      </w:r>
      <w:r w:rsidRPr="0081351C">
        <w:rPr>
          <w:rFonts w:eastAsia="Times New Roman"/>
          <w:noProof/>
          <w:lang w:val="es-MX"/>
        </w:rPr>
        <w:t>La disminución acumulada</w:t>
      </w:r>
      <w:r w:rsidRPr="0081351C">
        <w:rPr>
          <w:rFonts w:eastAsia="Times New Roman"/>
          <w:lang w:val="es-MX"/>
        </w:rPr>
        <w:t xml:space="preserve"> en </w:t>
      </w:r>
      <w:r w:rsidRPr="0081351C">
        <w:rPr>
          <w:rFonts w:eastAsia="Times New Roman"/>
          <w:noProof/>
          <w:lang w:val="es-MX"/>
        </w:rPr>
        <w:t>2027</w:t>
      </w:r>
      <w:r w:rsidRPr="0081351C">
        <w:rPr>
          <w:rFonts w:eastAsia="Times New Roman"/>
          <w:lang w:val="es-MX"/>
        </w:rPr>
        <w:t xml:space="preserve"> es de </w:t>
      </w:r>
      <w:r w:rsidRPr="0081351C">
        <w:rPr>
          <w:rFonts w:eastAsia="Times New Roman"/>
          <w:noProof/>
          <w:lang w:val="es-ES"/>
        </w:rPr>
        <w:t>3.3</w:t>
      </w:r>
      <w:r w:rsidRPr="0081351C">
        <w:rPr>
          <w:rFonts w:eastAsia="Times New Roman"/>
          <w:lang w:val="es-MX"/>
        </w:rPr>
        <w:t xml:space="preserve"> puntos porcentuales del PIB con respecto al </w:t>
      </w:r>
      <w:r w:rsidRPr="0081351C">
        <w:rPr>
          <w:rFonts w:eastAsia="Times New Roman"/>
          <w:noProof/>
          <w:lang w:val="es-MX"/>
        </w:rPr>
        <w:t>2021</w:t>
      </w:r>
      <w:r w:rsidRPr="0081351C">
        <w:rPr>
          <w:rFonts w:eastAsia="Times New Roman"/>
          <w:lang w:val="es-MX"/>
        </w:rPr>
        <w:t>. Asimismo, el tipo de cambio se prevé se mantenga estable en torno a Q</w:t>
      </w:r>
      <w:r w:rsidRPr="0081351C">
        <w:rPr>
          <w:rFonts w:eastAsia="Times New Roman"/>
          <w:noProof/>
          <w:lang w:val="es-ES"/>
        </w:rPr>
        <w:t>7.80</w:t>
      </w:r>
      <w:r w:rsidRPr="0081351C">
        <w:rPr>
          <w:rFonts w:eastAsia="Times New Roman"/>
          <w:lang w:val="es-MX"/>
        </w:rPr>
        <w:t xml:space="preserve"> x US$1.00 en 2022 y en Q</w:t>
      </w:r>
      <w:r w:rsidRPr="0081351C">
        <w:rPr>
          <w:rFonts w:eastAsia="Times New Roman"/>
          <w:noProof/>
          <w:lang w:val="es-ES"/>
        </w:rPr>
        <w:t>7.85</w:t>
      </w:r>
      <w:r w:rsidRPr="0081351C">
        <w:rPr>
          <w:rFonts w:eastAsia="Times New Roman"/>
          <w:lang w:val="es-MX"/>
        </w:rPr>
        <w:t xml:space="preserve"> x US$1.00 del 2023-2027. Es importante indicar que, si el crecimiento económico se ubica por encima de la tasa de interés real favorece la estabilidad en la dinámica de la deuda.</w:t>
      </w:r>
    </w:p>
    <w:p w14:paraId="33694A59" w14:textId="77777777" w:rsidR="0081351C" w:rsidRPr="0081351C" w:rsidRDefault="0081351C" w:rsidP="0081351C">
      <w:pPr>
        <w:widowControl/>
        <w:ind w:right="49"/>
        <w:jc w:val="both"/>
        <w:rPr>
          <w:rFonts w:eastAsia="Times New Roman"/>
          <w:lang w:val="es-MX"/>
        </w:rPr>
      </w:pPr>
    </w:p>
    <w:p w14:paraId="6956164A" w14:textId="77777777" w:rsidR="0081351C" w:rsidRPr="0081351C" w:rsidRDefault="0081351C" w:rsidP="0081351C">
      <w:pPr>
        <w:widowControl/>
        <w:ind w:right="49"/>
        <w:jc w:val="both"/>
        <w:rPr>
          <w:rFonts w:eastAsia="Times New Roman"/>
          <w:lang w:val="es-MX"/>
        </w:rPr>
      </w:pPr>
      <w:r w:rsidRPr="0081351C">
        <w:rPr>
          <w:noProof/>
          <w:lang w:val="es-MX"/>
        </w:rPr>
        <w:t>La disminución acumulada</w:t>
      </w:r>
      <w:r w:rsidRPr="0081351C">
        <w:rPr>
          <w:lang w:val="es-MX"/>
        </w:rPr>
        <w:t xml:space="preserve"> en </w:t>
      </w:r>
      <w:r w:rsidRPr="0081351C">
        <w:rPr>
          <w:noProof/>
          <w:lang w:val="es-MX"/>
        </w:rPr>
        <w:t>2027</w:t>
      </w:r>
      <w:r w:rsidRPr="0081351C">
        <w:rPr>
          <w:lang w:val="es-MX"/>
        </w:rPr>
        <w:t xml:space="preserve"> es de </w:t>
      </w:r>
      <w:r w:rsidRPr="0081351C">
        <w:rPr>
          <w:noProof/>
        </w:rPr>
        <w:t>4.2</w:t>
      </w:r>
      <w:r w:rsidRPr="0081351C">
        <w:rPr>
          <w:lang w:val="es-MX"/>
        </w:rPr>
        <w:t xml:space="preserve"> puntos porcentuales del PIB con respecto al </w:t>
      </w:r>
      <w:r w:rsidRPr="0081351C">
        <w:rPr>
          <w:noProof/>
          <w:lang w:val="es-MX"/>
        </w:rPr>
        <w:t>2021</w:t>
      </w:r>
      <w:r w:rsidRPr="0081351C">
        <w:rPr>
          <w:lang w:val="es-MX"/>
        </w:rPr>
        <w:t>. Asimismo, el tipo de cambio se prevé en Q</w:t>
      </w:r>
      <w:r w:rsidRPr="0081351C">
        <w:rPr>
          <w:noProof/>
        </w:rPr>
        <w:t>7.80</w:t>
      </w:r>
      <w:r w:rsidRPr="0081351C">
        <w:rPr>
          <w:lang w:val="es-MX"/>
        </w:rPr>
        <w:t xml:space="preserve"> x US$1.00 en 2022 y en </w:t>
      </w:r>
      <w:r w:rsidRPr="0081351C">
        <w:rPr>
          <w:noProof/>
        </w:rPr>
        <w:t>7.85</w:t>
      </w:r>
      <w:r w:rsidRPr="0081351C">
        <w:rPr>
          <w:lang w:val="es-MX"/>
        </w:rPr>
        <w:t xml:space="preserve"> x US$1.00 en el resto del periodo. Es importante indicar que, si el crecimiento económico se ubica por encima de la tasa de interés real favorece la estabilidad en la dinámica de la deuda.</w:t>
      </w:r>
    </w:p>
    <w:p w14:paraId="1A2C99E1" w14:textId="77777777" w:rsidR="00736ADD" w:rsidRPr="002846D1" w:rsidRDefault="00736ADD" w:rsidP="002C3D84">
      <w:pPr>
        <w:pStyle w:val="Sinespaciado"/>
        <w:ind w:left="567" w:right="49"/>
        <w:jc w:val="both"/>
        <w:rPr>
          <w:lang w:val="es-MX"/>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607"/>
      </w:tblGrid>
      <w:tr w:rsidR="00736ADD" w:rsidRPr="002846D1" w14:paraId="2D67C19C" w14:textId="77777777" w:rsidTr="00506C79">
        <w:trPr>
          <w:trHeight w:val="3720"/>
          <w:jc w:val="center"/>
        </w:trPr>
        <w:tc>
          <w:tcPr>
            <w:tcW w:w="9070" w:type="dxa"/>
            <w:shd w:val="clear" w:color="auto" w:fill="auto"/>
          </w:tcPr>
          <w:p w14:paraId="3C181652" w14:textId="603683CA" w:rsidR="00736ADD" w:rsidRPr="00506C79" w:rsidRDefault="00462B5B" w:rsidP="00462B5B">
            <w:pPr>
              <w:pStyle w:val="Descripcin"/>
              <w:keepNext/>
              <w:rPr>
                <w:color w:val="auto"/>
                <w:sz w:val="24"/>
                <w:szCs w:val="24"/>
              </w:rPr>
            </w:pPr>
            <w:bookmarkStart w:id="162" w:name="_Toc114493879"/>
            <w:r w:rsidRPr="00506C79">
              <w:rPr>
                <w:color w:val="auto"/>
                <w:sz w:val="24"/>
                <w:szCs w:val="24"/>
              </w:rPr>
              <w:t xml:space="preserve">Gráfico </w:t>
            </w:r>
            <w:r w:rsidRPr="00506C79">
              <w:rPr>
                <w:color w:val="auto"/>
              </w:rPr>
              <w:fldChar w:fldCharType="begin"/>
            </w:r>
            <w:r w:rsidRPr="00506C79">
              <w:rPr>
                <w:color w:val="auto"/>
                <w:sz w:val="24"/>
                <w:szCs w:val="24"/>
              </w:rPr>
              <w:instrText xml:space="preserve"> SEQ Gráfico \* ARABIC </w:instrText>
            </w:r>
            <w:r w:rsidRPr="00506C79">
              <w:rPr>
                <w:color w:val="auto"/>
              </w:rPr>
              <w:fldChar w:fldCharType="separate"/>
            </w:r>
            <w:r w:rsidR="002E7809">
              <w:rPr>
                <w:noProof/>
                <w:color w:val="auto"/>
                <w:sz w:val="24"/>
                <w:szCs w:val="24"/>
              </w:rPr>
              <w:t>37</w:t>
            </w:r>
            <w:r w:rsidRPr="00506C79">
              <w:rPr>
                <w:color w:val="auto"/>
              </w:rPr>
              <w:fldChar w:fldCharType="end"/>
            </w:r>
            <w:r w:rsidRPr="00506C79">
              <w:rPr>
                <w:color w:val="auto"/>
                <w:sz w:val="24"/>
                <w:szCs w:val="24"/>
              </w:rPr>
              <w:t xml:space="preserve">.  </w:t>
            </w:r>
            <w:r w:rsidR="00736ADD" w:rsidRPr="00506C79">
              <w:rPr>
                <w:color w:val="auto"/>
                <w:sz w:val="24"/>
                <w:szCs w:val="24"/>
              </w:rPr>
              <w:t>Flujos creados de Deuda Pública</w:t>
            </w:r>
            <w:bookmarkEnd w:id="162"/>
          </w:p>
          <w:p w14:paraId="031D0981" w14:textId="77777777" w:rsidR="00736ADD" w:rsidRPr="00506C79" w:rsidRDefault="00736ADD" w:rsidP="00BC0D90">
            <w:pPr>
              <w:ind w:left="567" w:right="49"/>
              <w:jc w:val="center"/>
              <w:rPr>
                <w:sz w:val="22"/>
                <w:szCs w:val="24"/>
              </w:rPr>
            </w:pPr>
            <w:r w:rsidRPr="00506C79">
              <w:rPr>
                <w:sz w:val="22"/>
                <w:szCs w:val="24"/>
              </w:rPr>
              <w:t>En porcentaje del PIB</w:t>
            </w:r>
          </w:p>
          <w:p w14:paraId="0C0258CE" w14:textId="6ACC244F" w:rsidR="00736ADD" w:rsidRPr="00506C79" w:rsidRDefault="00736ADD" w:rsidP="00BC0D90">
            <w:pPr>
              <w:ind w:left="567" w:right="49"/>
              <w:jc w:val="center"/>
              <w:rPr>
                <w:noProof/>
                <w:sz w:val="24"/>
                <w:szCs w:val="24"/>
              </w:rPr>
            </w:pPr>
            <w:r w:rsidRPr="00506C79">
              <w:rPr>
                <w:noProof/>
              </w:rPr>
              <w:t xml:space="preserve"> </w:t>
            </w:r>
            <w:r w:rsidRPr="00506C79">
              <w:rPr>
                <w:noProof/>
                <w:sz w:val="24"/>
                <w:szCs w:val="24"/>
              </w:rPr>
              <w:t xml:space="preserve"> </w:t>
            </w:r>
            <w:r w:rsidR="0081351C" w:rsidRPr="00506C79">
              <w:rPr>
                <w:noProof/>
              </w:rPr>
              <w:drawing>
                <wp:inline distT="0" distB="0" distL="0" distR="0" wp14:anchorId="3499E296" wp14:editId="2C8A823B">
                  <wp:extent cx="5612130" cy="2522220"/>
                  <wp:effectExtent l="0" t="0" r="7620" b="0"/>
                  <wp:docPr id="10" name="Gráfico 10">
                    <a:extLst xmlns:a="http://schemas.openxmlformats.org/drawingml/2006/main">
                      <a:ext uri="{FF2B5EF4-FFF2-40B4-BE49-F238E27FC236}">
                        <a16:creationId xmlns:a16="http://schemas.microsoft.com/office/drawing/2014/main" id="{00000000-0008-0000-06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115A07E" w14:textId="77777777" w:rsidR="00736ADD" w:rsidRPr="002846D1" w:rsidRDefault="00736ADD" w:rsidP="00BC0D90">
            <w:pPr>
              <w:ind w:left="567" w:right="49"/>
              <w:rPr>
                <w:szCs w:val="22"/>
              </w:rPr>
            </w:pPr>
            <w:r w:rsidRPr="00506C79">
              <w:rPr>
                <w:szCs w:val="22"/>
              </w:rPr>
              <w:t xml:space="preserve">           </w:t>
            </w:r>
            <w:r w:rsidRPr="00506C79">
              <w:rPr>
                <w:sz w:val="16"/>
                <w:szCs w:val="22"/>
              </w:rPr>
              <w:t xml:space="preserve">Fuente: </w:t>
            </w:r>
            <w:r w:rsidRPr="00506C79">
              <w:rPr>
                <w:bCs/>
                <w:sz w:val="16"/>
                <w:szCs w:val="11"/>
              </w:rPr>
              <w:t>Ministerio de Finanzas Públicas</w:t>
            </w:r>
            <w:r w:rsidRPr="00506C79">
              <w:rPr>
                <w:sz w:val="16"/>
                <w:szCs w:val="22"/>
              </w:rPr>
              <w:t xml:space="preserve"> con metodología del FMI</w:t>
            </w:r>
          </w:p>
          <w:p w14:paraId="45BAE173" w14:textId="4E4722A6" w:rsidR="00736ADD" w:rsidRPr="002846D1" w:rsidRDefault="00736ADD" w:rsidP="00BC0D90">
            <w:pPr>
              <w:ind w:left="567" w:right="49"/>
              <w:rPr>
                <w:sz w:val="24"/>
                <w:szCs w:val="24"/>
              </w:rPr>
            </w:pPr>
          </w:p>
        </w:tc>
      </w:tr>
    </w:tbl>
    <w:p w14:paraId="007B466E" w14:textId="77777777" w:rsidR="00736ADD" w:rsidRPr="002846D1" w:rsidRDefault="00736ADD" w:rsidP="00CC7AC6">
      <w:pPr>
        <w:pStyle w:val="Sinespaciado"/>
        <w:ind w:right="49"/>
        <w:jc w:val="both"/>
        <w:rPr>
          <w:sz w:val="6"/>
          <w:lang w:val="es-MX"/>
        </w:rPr>
      </w:pPr>
    </w:p>
    <w:p w14:paraId="6BA3197A" w14:textId="77777777" w:rsidR="00272B14" w:rsidRPr="00272B14" w:rsidRDefault="00272B14" w:rsidP="00272B14">
      <w:pPr>
        <w:widowControl/>
        <w:ind w:right="49"/>
        <w:jc w:val="both"/>
        <w:rPr>
          <w:rFonts w:eastAsia="Times New Roman"/>
          <w:lang w:val="es-MX"/>
        </w:rPr>
      </w:pPr>
      <w:r w:rsidRPr="00272B14">
        <w:rPr>
          <w:rFonts w:eastAsia="Times New Roman"/>
          <w:lang w:val="es-MX"/>
        </w:rPr>
        <w:t xml:space="preserve">Lo anterior da como resultado que, en términos acumulados, en el período </w:t>
      </w:r>
      <w:r w:rsidRPr="00272B14">
        <w:rPr>
          <w:rFonts w:eastAsia="Times New Roman"/>
          <w:noProof/>
          <w:lang w:val="es-ES"/>
        </w:rPr>
        <w:t>2022</w:t>
      </w:r>
      <w:r w:rsidRPr="00272B14">
        <w:rPr>
          <w:rFonts w:eastAsia="Times New Roman"/>
          <w:lang w:val="es-MX"/>
        </w:rPr>
        <w:t xml:space="preserve">, la deuda pública aumente ligeramente, por lo que se esperaría que el nivel de la deuda pública para el cierre de </w:t>
      </w:r>
      <w:r w:rsidRPr="00272B14">
        <w:rPr>
          <w:rFonts w:eastAsia="Times New Roman"/>
          <w:noProof/>
          <w:lang w:val="es-ES"/>
        </w:rPr>
        <w:t>2022</w:t>
      </w:r>
      <w:r w:rsidRPr="00272B14">
        <w:rPr>
          <w:rFonts w:eastAsia="Times New Roman"/>
          <w:lang w:val="es-MX"/>
        </w:rPr>
        <w:t xml:space="preserve"> se ubique en </w:t>
      </w:r>
      <w:r w:rsidRPr="00272B14">
        <w:rPr>
          <w:rFonts w:eastAsia="Times New Roman"/>
          <w:noProof/>
          <w:lang w:val="es-ES"/>
        </w:rPr>
        <w:t>31.0</w:t>
      </w:r>
      <w:r w:rsidRPr="00272B14">
        <w:rPr>
          <w:rFonts w:eastAsia="Times New Roman"/>
          <w:lang w:val="es-MX"/>
        </w:rPr>
        <w:t xml:space="preserve"> % del PIB, que en </w:t>
      </w:r>
      <w:r w:rsidRPr="00272B14">
        <w:rPr>
          <w:rFonts w:eastAsia="Times New Roman"/>
          <w:noProof/>
          <w:lang w:val="es-MX"/>
        </w:rPr>
        <w:t>2023</w:t>
      </w:r>
      <w:r w:rsidRPr="00272B14">
        <w:rPr>
          <w:rFonts w:eastAsia="Times New Roman"/>
          <w:lang w:val="es-MX"/>
        </w:rPr>
        <w:t xml:space="preserve"> </w:t>
      </w:r>
      <w:r w:rsidRPr="00272B14">
        <w:rPr>
          <w:rFonts w:eastAsia="Times New Roman"/>
          <w:noProof/>
          <w:lang w:val="es-MX"/>
        </w:rPr>
        <w:t>disminuya a 30.7%</w:t>
      </w:r>
      <w:r w:rsidRPr="00272B14">
        <w:rPr>
          <w:rFonts w:eastAsia="Times New Roman"/>
          <w:lang w:val="es-MX"/>
        </w:rPr>
        <w:t xml:space="preserve"> y que para </w:t>
      </w:r>
      <w:r w:rsidRPr="00272B14">
        <w:rPr>
          <w:rFonts w:eastAsia="Times New Roman"/>
          <w:noProof/>
          <w:lang w:val="es-MX"/>
        </w:rPr>
        <w:t>2027</w:t>
      </w:r>
      <w:r w:rsidRPr="00272B14">
        <w:rPr>
          <w:rFonts w:eastAsia="Times New Roman"/>
          <w:lang w:val="es-MX"/>
        </w:rPr>
        <w:t xml:space="preserve"> se encuentre alrededor de </w:t>
      </w:r>
      <w:r w:rsidRPr="00272B14">
        <w:rPr>
          <w:rFonts w:eastAsia="Times New Roman"/>
          <w:noProof/>
          <w:lang w:val="es-ES"/>
        </w:rPr>
        <w:t>26.6</w:t>
      </w:r>
      <w:r w:rsidRPr="00272B14">
        <w:rPr>
          <w:rFonts w:eastAsia="Times New Roman"/>
          <w:lang w:val="es-MX"/>
        </w:rPr>
        <w:t>% del PIB.</w:t>
      </w:r>
    </w:p>
    <w:p w14:paraId="6B154B63" w14:textId="77777777" w:rsidR="00272B14" w:rsidRPr="00272B14" w:rsidRDefault="00272B14" w:rsidP="00272B14">
      <w:pPr>
        <w:widowControl/>
        <w:ind w:right="49"/>
        <w:jc w:val="both"/>
        <w:rPr>
          <w:rFonts w:eastAsia="Times New Roman"/>
          <w:lang w:val="es-MX"/>
        </w:rPr>
      </w:pPr>
    </w:p>
    <w:p w14:paraId="2AFA0EBA" w14:textId="77777777" w:rsidR="00272B14" w:rsidRPr="00272B14" w:rsidRDefault="00272B14" w:rsidP="00272B14">
      <w:pPr>
        <w:widowControl/>
        <w:ind w:right="49"/>
        <w:jc w:val="both"/>
        <w:rPr>
          <w:rFonts w:eastAsia="Times New Roman"/>
          <w:lang w:val="es-MX"/>
        </w:rPr>
      </w:pPr>
      <w:r w:rsidRPr="00272B14">
        <w:rPr>
          <w:rFonts w:eastAsia="Times New Roman"/>
          <w:lang w:val="es-MX"/>
        </w:rPr>
        <w:t xml:space="preserve">Considerando que persiste cierta incertidumbre en los mercados externos, aunque de manera relativamente moderada, dicha incertidumbre puede tener efectos sobre la actividad económica nacional, principalmente en las variables macroeconómicas que tienen incidencia en las cuentas fiscales, especialmente en la dinámica de la deuda pública. Se consideró para el efecto la construcción de algunas pruebas de tensión para determinar cómo evolucionaría la deuda en el mediano plazo ante choques que podrían producirse en el mercado externo o dentro de la economía nacional.   </w:t>
      </w:r>
    </w:p>
    <w:p w14:paraId="5613AF7D" w14:textId="77777777" w:rsidR="00272B14" w:rsidRPr="00272B14" w:rsidRDefault="00272B14" w:rsidP="00272B14">
      <w:pPr>
        <w:widowControl/>
        <w:ind w:right="49"/>
        <w:jc w:val="both"/>
        <w:rPr>
          <w:rFonts w:eastAsia="Times New Roman"/>
          <w:u w:val="single"/>
          <w:lang w:val="es-MX"/>
        </w:rPr>
      </w:pPr>
    </w:p>
    <w:p w14:paraId="4C4037E9" w14:textId="77777777" w:rsidR="00272B14" w:rsidRPr="00272B14" w:rsidRDefault="00272B14" w:rsidP="00272B14">
      <w:pPr>
        <w:widowControl/>
        <w:ind w:right="49"/>
        <w:jc w:val="both"/>
        <w:rPr>
          <w:rFonts w:eastAsia="Times New Roman"/>
          <w:lang w:val="es-MX"/>
        </w:rPr>
      </w:pPr>
      <w:r w:rsidRPr="00272B14">
        <w:rPr>
          <w:rFonts w:eastAsia="Times New Roman"/>
          <w:lang w:val="es-MX"/>
        </w:rPr>
        <w:t xml:space="preserve">De esa cuenta, tomando como referencia la metodología utilizada en el Framework </w:t>
      </w:r>
      <w:r w:rsidRPr="00272B14">
        <w:rPr>
          <w:rFonts w:eastAsia="Times New Roman"/>
          <w:i/>
          <w:lang w:val="es-MX"/>
        </w:rPr>
        <w:t>Public</w:t>
      </w:r>
      <w:r w:rsidRPr="00272B14">
        <w:rPr>
          <w:rFonts w:eastAsia="Times New Roman"/>
          <w:lang w:val="es-MX"/>
        </w:rPr>
        <w:t xml:space="preserve"> </w:t>
      </w:r>
      <w:r w:rsidRPr="00272B14">
        <w:rPr>
          <w:rFonts w:eastAsia="Times New Roman"/>
          <w:i/>
          <w:lang w:val="es-MX"/>
        </w:rPr>
        <w:t xml:space="preserve">Debt </w:t>
      </w:r>
      <w:r w:rsidRPr="00272B14">
        <w:rPr>
          <w:rFonts w:eastAsia="Times New Roman"/>
          <w:lang w:val="es-MX"/>
        </w:rPr>
        <w:t>Sustainability</w:t>
      </w:r>
      <w:r w:rsidRPr="00272B14">
        <w:rPr>
          <w:rFonts w:eastAsia="Times New Roman"/>
          <w:i/>
          <w:lang w:val="es-MX"/>
        </w:rPr>
        <w:t xml:space="preserve"> Analysis</w:t>
      </w:r>
      <w:r w:rsidRPr="00272B14">
        <w:rPr>
          <w:rFonts w:eastAsia="Times New Roman"/>
          <w:lang w:val="es-MX"/>
        </w:rPr>
        <w:t xml:space="preserve"> (DSA) del Fondo Monetario Internacional -FMI-, se elaboraron una serie de escenarios con los diferentes choques posibles que podrían experimentarse, estos choques se midieron con respecto al escenario base que es consistente con las estimaciones del presupuesto multianual </w:t>
      </w:r>
      <w:r w:rsidRPr="00272B14">
        <w:rPr>
          <w:rFonts w:eastAsia="Times New Roman"/>
          <w:noProof/>
          <w:lang w:val="es-ES"/>
        </w:rPr>
        <w:t>2022</w:t>
      </w:r>
      <w:r w:rsidRPr="00272B14">
        <w:rPr>
          <w:rFonts w:eastAsia="Times New Roman"/>
          <w:lang w:val="es-MX"/>
        </w:rPr>
        <w:t>-</w:t>
      </w:r>
      <w:r w:rsidRPr="00272B14">
        <w:rPr>
          <w:rFonts w:eastAsia="Times New Roman"/>
          <w:noProof/>
          <w:lang w:val="es-MX"/>
        </w:rPr>
        <w:t>2027</w:t>
      </w:r>
      <w:r w:rsidRPr="00272B14">
        <w:rPr>
          <w:rFonts w:eastAsia="Times New Roman"/>
          <w:lang w:val="es-MX"/>
        </w:rPr>
        <w:t>.</w:t>
      </w:r>
    </w:p>
    <w:p w14:paraId="6127DA45" w14:textId="77777777" w:rsidR="00272B14" w:rsidRPr="00272B14" w:rsidRDefault="00272B14" w:rsidP="00272B14">
      <w:pPr>
        <w:widowControl/>
        <w:ind w:right="49"/>
        <w:jc w:val="both"/>
        <w:rPr>
          <w:rFonts w:eastAsia="Times New Roman"/>
          <w:lang w:val="es-MX"/>
        </w:rPr>
      </w:pPr>
      <w:r w:rsidRPr="00272B14">
        <w:rPr>
          <w:rFonts w:eastAsia="Times New Roman"/>
          <w:lang w:val="es-MX"/>
        </w:rPr>
        <w:t>De acuerdo con los resultados obtenidos al realizar los diferentes choques, se pudo observar que una de las variables que tiene mayor incidencia en la evolución de la dinámica de la deuda es el crecimiento económico real. Para el escenario con choque, se consideró una reducción en el PIB real para 2023 y con secuelas en 2024 por el equivalente a 0.75 de una desviación estándar de los datos históricos, equivalente a 1.9 puntos porcentuales, manteniendo los demás factores constantes, la razón deuda/PIB podría aumentar a 31.7% en 2023 y podría disminuir levemente hasta llegar a 28.9% al cierre de 2027.</w:t>
      </w:r>
    </w:p>
    <w:p w14:paraId="50ED7F3A" w14:textId="77777777" w:rsidR="00272B14" w:rsidRPr="00272B14" w:rsidRDefault="00272B14" w:rsidP="00272B14">
      <w:pPr>
        <w:widowControl/>
        <w:ind w:right="49"/>
        <w:jc w:val="both"/>
        <w:rPr>
          <w:rFonts w:eastAsia="Times New Roman"/>
          <w:lang w:val="es-MX"/>
        </w:rPr>
      </w:pPr>
    </w:p>
    <w:p w14:paraId="4236BF11" w14:textId="6267F086" w:rsidR="00272B14" w:rsidRPr="00272B14" w:rsidRDefault="00272B14" w:rsidP="00272B14">
      <w:pPr>
        <w:widowControl/>
        <w:ind w:right="49"/>
        <w:jc w:val="both"/>
        <w:rPr>
          <w:rFonts w:eastAsia="Times New Roman"/>
          <w:lang w:val="es-MX"/>
        </w:rPr>
      </w:pPr>
      <w:r w:rsidRPr="00272B14">
        <w:rPr>
          <w:rFonts w:eastAsia="Times New Roman"/>
          <w:lang w:val="es-MX"/>
        </w:rPr>
        <w:t xml:space="preserve">Asimismo, un choque en el balance primario (Sp), según la evidencia presentada, podría elevar de manera importante la deuda pública. Se simuló que estos choques ocurrirían en los años 2023-2024, los cuales podrían ser causados por gastos para mitigar el impacto económico por confinamiento por posibles nuevas variantes del COVID-19, para atender efectos adversos originados por el aumento de precios internacionales de las materias prima de agricultura y energía por la guerra de Rusia y Ucrania, gasto extraordinario como consecuencia de un </w:t>
      </w:r>
      <w:r w:rsidR="006E548C">
        <w:rPr>
          <w:rFonts w:eastAsia="Times New Roman"/>
          <w:lang w:val="es-MX"/>
        </w:rPr>
        <w:t>evento</w:t>
      </w:r>
      <w:r w:rsidRPr="00272B14">
        <w:rPr>
          <w:rFonts w:eastAsia="Times New Roman"/>
          <w:lang w:val="es-MX"/>
        </w:rPr>
        <w:t xml:space="preserve"> natural</w:t>
      </w:r>
      <w:r w:rsidR="006E548C">
        <w:rPr>
          <w:rFonts w:eastAsia="Times New Roman"/>
          <w:lang w:val="es-MX"/>
        </w:rPr>
        <w:t xml:space="preserve"> de gran magnitud</w:t>
      </w:r>
      <w:r w:rsidRPr="00272B14">
        <w:rPr>
          <w:rFonts w:eastAsia="Times New Roman"/>
          <w:lang w:val="es-MX"/>
        </w:rPr>
        <w:t xml:space="preserve"> o una súbita caída en la recaudación tributaria. La dimensión del choque negativo acumulado realizado es por el equivalente a 1.8% del PIB en los años indicados. Esto elevaría la razón deuda/PIB en 2023 a 31.3% y para 2027 podría disminuir a 28.2%. </w:t>
      </w:r>
    </w:p>
    <w:p w14:paraId="494CD7B3" w14:textId="77777777" w:rsidR="00272B14" w:rsidRPr="00272B14" w:rsidRDefault="00272B14" w:rsidP="00272B14">
      <w:pPr>
        <w:widowControl/>
        <w:ind w:right="49"/>
        <w:jc w:val="both"/>
        <w:rPr>
          <w:rFonts w:eastAsia="Times New Roman"/>
          <w:lang w:val="es-MX"/>
        </w:rPr>
      </w:pPr>
    </w:p>
    <w:p w14:paraId="23FBD6C7" w14:textId="77777777" w:rsidR="00272B14" w:rsidRPr="00272B14" w:rsidRDefault="00272B14" w:rsidP="00272B14">
      <w:pPr>
        <w:widowControl/>
        <w:ind w:right="49"/>
        <w:jc w:val="both"/>
        <w:rPr>
          <w:rFonts w:eastAsia="Times New Roman"/>
          <w:lang w:val="es-MX"/>
        </w:rPr>
      </w:pPr>
      <w:r w:rsidRPr="00272B14">
        <w:rPr>
          <w:rFonts w:eastAsia="Times New Roman"/>
          <w:lang w:val="es-MX"/>
        </w:rPr>
        <w:t>Otro factor que incide sensiblemente en el comportamiento de la deuda pública es la variación en el tipo de cambio, una depreciación importante podría elevar los niveles de la deuda pública, derivado que cerca del 44.6% del saldo de 2021 se tuvo en moneda extranjera.  De esa cuenta, se consideró una depreciación del 5.0% en 2023, es decir, el tipo de cambio nominal pasaría Q7.80xUSD$1.00 en 2022 a Q8.19xUSD$1.00 a partir del 2023, esto elevaría la razón deuda/PIB a 31.2% en 2023 y se estimó que el tipo de cambio nominal se mantendría así de 2024-2027, por lo que para 2027 la razón deuda/PIB aumentaría a 26.9%.</w:t>
      </w:r>
    </w:p>
    <w:p w14:paraId="0F6B6796" w14:textId="77777777" w:rsidR="00272B14" w:rsidRPr="00272B14" w:rsidRDefault="00272B14" w:rsidP="00272B14">
      <w:pPr>
        <w:widowControl/>
        <w:ind w:right="49"/>
        <w:jc w:val="both"/>
        <w:rPr>
          <w:rFonts w:eastAsia="Times New Roman"/>
          <w:lang w:val="es-MX"/>
        </w:rPr>
      </w:pPr>
    </w:p>
    <w:p w14:paraId="2671B06C" w14:textId="6DAAE761" w:rsidR="00272B14" w:rsidRPr="00272B14" w:rsidRDefault="00272B14" w:rsidP="00272B14">
      <w:pPr>
        <w:widowControl/>
        <w:ind w:right="49"/>
        <w:jc w:val="both"/>
        <w:rPr>
          <w:rFonts w:eastAsia="Times New Roman"/>
          <w:lang w:val="es-MX"/>
        </w:rPr>
      </w:pPr>
      <w:r w:rsidRPr="00272B14">
        <w:rPr>
          <w:rFonts w:eastAsia="Times New Roman"/>
          <w:lang w:val="es-MX"/>
        </w:rPr>
        <w:t xml:space="preserve">Igualmente, se realizó un choque a la tasa de interés real, el cual es sensible a la volatilidad de los mercados financieros y a las decisiones en materia de política monetaria. Para el efecto, se consideró un aumento de 200 puntos básicos en la tasa de interés real promedio que paga el gobierno en sus obligaciones en 2023 y se mantiene constante hasta el 2027. El efecto para 2023, se estima que será mínimo debido a que la mayor parte de la deuda se tiene contratada a tasa fija, por lo que el principal ajuste se obtendrá en los años siguientes con la contratación de nueva deuda o el repago de </w:t>
      </w:r>
      <w:r w:rsidR="006E548C" w:rsidRPr="00272B14">
        <w:rPr>
          <w:rFonts w:eastAsia="Times New Roman"/>
          <w:lang w:val="es-MX"/>
        </w:rPr>
        <w:t>esta</w:t>
      </w:r>
      <w:r w:rsidRPr="00272B14">
        <w:rPr>
          <w:rFonts w:eastAsia="Times New Roman"/>
          <w:lang w:val="es-MX"/>
        </w:rPr>
        <w:t xml:space="preserve">. De esa cuenta, para 2023 la deuda/PIB aumentaría a 31.5% y para el cierre 2027 podría ubicarse en 27.8% del PIB.  </w:t>
      </w:r>
    </w:p>
    <w:p w14:paraId="7289EB49" w14:textId="77777777" w:rsidR="00272B14" w:rsidRPr="00272B14" w:rsidRDefault="00272B14" w:rsidP="00272B14">
      <w:pPr>
        <w:widowControl/>
        <w:ind w:right="49"/>
        <w:jc w:val="both"/>
        <w:rPr>
          <w:rFonts w:eastAsia="Times New Roman"/>
          <w:lang w:val="es-MX"/>
        </w:rPr>
      </w:pPr>
    </w:p>
    <w:p w14:paraId="3014375F" w14:textId="77777777" w:rsidR="00272B14" w:rsidRPr="00272B14" w:rsidRDefault="00272B14" w:rsidP="00272B14">
      <w:pPr>
        <w:widowControl/>
        <w:ind w:right="49"/>
        <w:jc w:val="both"/>
        <w:rPr>
          <w:rFonts w:eastAsia="Times New Roman"/>
          <w:lang w:val="es-MX"/>
        </w:rPr>
      </w:pPr>
      <w:r w:rsidRPr="00272B14">
        <w:rPr>
          <w:rFonts w:eastAsia="Times New Roman"/>
          <w:lang w:val="es-MX"/>
        </w:rPr>
        <w:t>Por último, se considera un efecto combinado de los diferentes choques y se estima que para 2023 la razón deuda/PIB podría ascender a 32.5% y para el año 2027 podría ubicarse, si todos los choques se dan al unísono, en 30.5%.</w:t>
      </w:r>
    </w:p>
    <w:p w14:paraId="129D0810" w14:textId="77777777" w:rsidR="00272B14" w:rsidRPr="00272B14" w:rsidRDefault="00272B14" w:rsidP="00272B14">
      <w:pPr>
        <w:pStyle w:val="Sinespaciado"/>
        <w:ind w:right="49"/>
        <w:jc w:val="both"/>
        <w:rPr>
          <w:lang w:val="es-MX"/>
        </w:rPr>
      </w:pPr>
    </w:p>
    <w:p w14:paraId="2D4B0B68" w14:textId="77777777" w:rsidR="00272B14" w:rsidRPr="00272B14" w:rsidRDefault="00272B14" w:rsidP="00272B14">
      <w:pPr>
        <w:widowControl/>
        <w:ind w:right="49"/>
        <w:jc w:val="both"/>
        <w:rPr>
          <w:rFonts w:eastAsia="Times New Roman"/>
          <w:lang w:val="es-MX"/>
        </w:rPr>
      </w:pPr>
      <w:r w:rsidRPr="00272B14">
        <w:rPr>
          <w:rFonts w:eastAsia="Times New Roman"/>
          <w:lang w:val="es-MX"/>
        </w:rPr>
        <w:t>De la misma forma, se analizó la relación deuda/ ingresos fiscales.  El indicador en el escenario base es decreciente, de tal manera que se espera que para 2023 se encuentre alrededor de 259.4%, y para 2027 se prevé podría ubicase en 218.4%.  Aplicando las pruebas de tensión para el escenario de un shock combinado, debido al aumento del déficit fiscal y el deterioro de los otros determinantes de la deuda, el indicador podría alcanzar un valor de 274.1% en 2023 y podría disminuir a 250.2% en 2027.</w:t>
      </w:r>
    </w:p>
    <w:p w14:paraId="49153EB0" w14:textId="6E13774A" w:rsidR="00736ADD" w:rsidRDefault="00736ADD" w:rsidP="002846D1">
      <w:pPr>
        <w:pStyle w:val="Sinespaciado"/>
        <w:ind w:right="49"/>
        <w:jc w:val="both"/>
        <w:rPr>
          <w:lang w:val="es-MX"/>
        </w:rPr>
      </w:pPr>
    </w:p>
    <w:p w14:paraId="4F12AEFE" w14:textId="2AB08ABD" w:rsidR="00736ADD" w:rsidRPr="000E35D2" w:rsidRDefault="003C4DE4" w:rsidP="003C4DE4">
      <w:pPr>
        <w:pStyle w:val="Descripcin"/>
        <w:keepNext/>
        <w:rPr>
          <w:color w:val="auto"/>
        </w:rPr>
      </w:pPr>
      <w:bookmarkStart w:id="163" w:name="_Toc114493880"/>
      <w:r w:rsidRPr="003C4DE4">
        <w:rPr>
          <w:color w:val="auto"/>
        </w:rPr>
        <w:t xml:space="preserve">Gráfico </w:t>
      </w:r>
      <w:r w:rsidRPr="003C4DE4">
        <w:rPr>
          <w:color w:val="auto"/>
        </w:rPr>
        <w:fldChar w:fldCharType="begin"/>
      </w:r>
      <w:r w:rsidRPr="003C4DE4">
        <w:rPr>
          <w:color w:val="auto"/>
        </w:rPr>
        <w:instrText xml:space="preserve"> SEQ Gráfico \* ARABIC </w:instrText>
      </w:r>
      <w:r w:rsidRPr="003C4DE4">
        <w:rPr>
          <w:color w:val="auto"/>
        </w:rPr>
        <w:fldChar w:fldCharType="separate"/>
      </w:r>
      <w:r w:rsidR="002E7809">
        <w:rPr>
          <w:noProof/>
          <w:color w:val="auto"/>
        </w:rPr>
        <w:t>38</w:t>
      </w:r>
      <w:r w:rsidRPr="003C4DE4">
        <w:rPr>
          <w:color w:val="auto"/>
        </w:rPr>
        <w:fldChar w:fldCharType="end"/>
      </w:r>
      <w:r w:rsidRPr="003C4DE4">
        <w:rPr>
          <w:color w:val="auto"/>
        </w:rPr>
        <w:t xml:space="preserve">.  </w:t>
      </w:r>
      <w:r w:rsidR="00736ADD" w:rsidRPr="003C4DE4">
        <w:rPr>
          <w:color w:val="auto"/>
        </w:rPr>
        <w:t xml:space="preserve">Pruebas de tensión </w:t>
      </w:r>
      <w:r w:rsidR="00736ADD" w:rsidRPr="000E35D2">
        <w:rPr>
          <w:color w:val="auto"/>
        </w:rPr>
        <w:t>para el Análisis de Sostenibilidad de la Deuda</w:t>
      </w:r>
      <w:bookmarkEnd w:id="163"/>
    </w:p>
    <w:p w14:paraId="1AD023F0" w14:textId="77777777" w:rsidR="00736ADD" w:rsidRPr="000E35D2" w:rsidRDefault="00736ADD" w:rsidP="002846D1">
      <w:pPr>
        <w:ind w:left="567" w:right="49"/>
        <w:jc w:val="center"/>
        <w:rPr>
          <w:sz w:val="22"/>
        </w:rPr>
      </w:pPr>
      <w:r w:rsidRPr="000E35D2">
        <w:rPr>
          <w:sz w:val="22"/>
        </w:rPr>
        <w:t>En porcentaje del PIB</w:t>
      </w:r>
    </w:p>
    <w:p w14:paraId="3DFF639D" w14:textId="4BE2BA1A" w:rsidR="00736ADD" w:rsidRPr="000E35D2" w:rsidRDefault="000E35D2" w:rsidP="00055051">
      <w:pPr>
        <w:jc w:val="center"/>
      </w:pPr>
      <w:r w:rsidRPr="000E35D2">
        <w:rPr>
          <w:noProof/>
          <w:lang w:eastAsia="es-GT"/>
        </w:rPr>
        <w:drawing>
          <wp:inline distT="0" distB="0" distL="0" distR="0" wp14:anchorId="540A50AF" wp14:editId="057E93AA">
            <wp:extent cx="5612130" cy="3906520"/>
            <wp:effectExtent l="0" t="0" r="7620" b="0"/>
            <wp:docPr id="11" name="Imagen 46">
              <a:extLst xmlns:a="http://schemas.openxmlformats.org/drawingml/2006/main">
                <a:ext uri="{FF2B5EF4-FFF2-40B4-BE49-F238E27FC236}">
                  <a16:creationId xmlns:a16="http://schemas.microsoft.com/office/drawing/2014/main" id="{00000000-0008-0000-06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00000000-0008-0000-0600-00002F000000}"/>
                        </a:ext>
                      </a:extLst>
                    </pic:cNvPr>
                    <pic:cNvPicPr>
                      <a:picLocks noChangeAspect="1" noChangeArrowheads="1"/>
                      <a:extLst>
                        <a:ext uri="{84589F7E-364E-4C9E-8A38-B11213B215E9}">
                          <a14:cameraTool xmlns:a14="http://schemas.microsoft.com/office/drawing/2010/main" cellRange="'Output-choques'!$C$2:$S$42" spid="_x0000_s2783"/>
                        </a:ext>
                      </a:extLst>
                    </pic:cNvPicPr>
                  </pic:nvPicPr>
                  <pic:blipFill>
                    <a:blip r:embed="rId60"/>
                    <a:srcRect/>
                    <a:stretch>
                      <a:fillRect/>
                    </a:stretch>
                  </pic:blipFill>
                  <pic:spPr bwMode="auto">
                    <a:xfrm>
                      <a:off x="0" y="0"/>
                      <a:ext cx="5612130" cy="3906520"/>
                    </a:xfrm>
                    <a:prstGeom prst="rect">
                      <a:avLst/>
                    </a:prstGeom>
                    <a:noFill/>
                  </pic:spPr>
                </pic:pic>
              </a:graphicData>
            </a:graphic>
          </wp:inline>
        </w:drawing>
      </w:r>
    </w:p>
    <w:p w14:paraId="099D4512" w14:textId="77777777" w:rsidR="00736ADD" w:rsidRPr="002846D1" w:rsidRDefault="00736ADD" w:rsidP="002846D1">
      <w:pPr>
        <w:ind w:right="49"/>
        <w:jc w:val="both"/>
        <w:rPr>
          <w:sz w:val="16"/>
          <w:szCs w:val="22"/>
        </w:rPr>
      </w:pPr>
      <w:r w:rsidRPr="000E35D2">
        <w:t xml:space="preserve">             </w:t>
      </w:r>
      <w:r w:rsidRPr="000E35D2">
        <w:rPr>
          <w:sz w:val="16"/>
          <w:szCs w:val="22"/>
        </w:rPr>
        <w:t xml:space="preserve">   Fuente: </w:t>
      </w:r>
      <w:r w:rsidRPr="000E35D2">
        <w:rPr>
          <w:bCs/>
          <w:sz w:val="16"/>
          <w:szCs w:val="11"/>
        </w:rPr>
        <w:t>Ministerio de Finanzas Públicas</w:t>
      </w:r>
      <w:r w:rsidRPr="000E35D2">
        <w:rPr>
          <w:sz w:val="16"/>
          <w:szCs w:val="22"/>
        </w:rPr>
        <w:t xml:space="preserve"> con metodología del FMI</w:t>
      </w:r>
    </w:p>
    <w:p w14:paraId="716F7E81" w14:textId="77777777" w:rsidR="00736ADD" w:rsidRPr="002846D1" w:rsidRDefault="00736ADD" w:rsidP="002846D1">
      <w:pPr>
        <w:ind w:right="49"/>
        <w:jc w:val="both"/>
        <w:rPr>
          <w:noProof/>
          <w:szCs w:val="22"/>
        </w:rPr>
      </w:pPr>
    </w:p>
    <w:p w14:paraId="77B17233" w14:textId="0B263236" w:rsidR="00FE445D" w:rsidRPr="00FE445D" w:rsidRDefault="00FE445D" w:rsidP="00FE445D">
      <w:pPr>
        <w:widowControl/>
        <w:ind w:right="49"/>
        <w:jc w:val="both"/>
        <w:rPr>
          <w:rFonts w:eastAsia="Times New Roman"/>
          <w:lang w:val="es-MX"/>
        </w:rPr>
      </w:pPr>
      <w:r w:rsidRPr="00FE445D">
        <w:rPr>
          <w:rFonts w:eastAsia="Times New Roman"/>
          <w:lang w:val="es-MX"/>
        </w:rPr>
        <w:t xml:space="preserve">Por otro lado, se realizó el análisis de sostenibilidad de deuda pública bajo un enfoque estocástico sobre los determinantes macro fiscales de la proporción de deuda pública sobre PIB. Con esta metodología se busca determinar la distribución de probabilidades de las sendas de trayectoria de la deuda pública en un determinado horizonte de proyección. El desarrollo de este enfoque reconoce explícitamente la existencia de un grado de incertidumbre acerca de las futuras condiciones macroeconómicas y de la política fiscal. Este instrumento mejora la comprensión y transparencia acerca de los riesgos en torno a la dinámica de la deuda pública. </w:t>
      </w:r>
    </w:p>
    <w:p w14:paraId="6D76F76D" w14:textId="77777777" w:rsidR="00FE445D" w:rsidRPr="00FE445D" w:rsidRDefault="00FE445D" w:rsidP="00FE445D">
      <w:pPr>
        <w:widowControl/>
        <w:ind w:right="49"/>
        <w:jc w:val="both"/>
        <w:rPr>
          <w:rFonts w:eastAsia="Times New Roman"/>
          <w:lang w:val="es-MX"/>
        </w:rPr>
      </w:pPr>
    </w:p>
    <w:p w14:paraId="07FEF5D4" w14:textId="77777777" w:rsidR="00FE445D" w:rsidRPr="00FE445D" w:rsidRDefault="00FE445D" w:rsidP="00FE445D">
      <w:pPr>
        <w:widowControl/>
        <w:ind w:right="49"/>
        <w:jc w:val="both"/>
        <w:rPr>
          <w:rFonts w:eastAsia="Times New Roman"/>
          <w:lang w:val="es-MX"/>
        </w:rPr>
      </w:pPr>
      <w:r w:rsidRPr="00FE445D">
        <w:rPr>
          <w:rFonts w:eastAsia="Times New Roman"/>
          <w:lang w:val="es-MX"/>
        </w:rPr>
        <w:t xml:space="preserve">Para el efecto, se utilizó un </w:t>
      </w:r>
      <w:r w:rsidRPr="00FE445D">
        <w:rPr>
          <w:rFonts w:eastAsia="Times New Roman"/>
          <w:i/>
          <w:lang w:val="es-MX"/>
        </w:rPr>
        <w:t>Fan Chart</w:t>
      </w:r>
      <w:r w:rsidRPr="00FE445D">
        <w:rPr>
          <w:rFonts w:eastAsia="Times New Roman"/>
          <w:lang w:val="es-MX"/>
        </w:rPr>
        <w:t xml:space="preserve"> (gráfica de abanico) el cual proporciona una vista probabilística de la incertidumbre en torno a la línea de base. Si bien las pruebas de resistencia presentadas anteriormente evalúan la sensibilidad de la dinámica de la deuda a variables clave exógenas y de política, los Fan Chart muestran un espectro de posibles resultados basados en las propiedades estocásticas del comportamiento de las variables determinantes en un país. En particular, los gráficos incorporan retroalimentación entre las variables macroeconómicas que impulsan la dinámica de la deuda y se basa en datos históricos para calibrar la persistencia de los shocks.</w:t>
      </w:r>
    </w:p>
    <w:p w14:paraId="5B2988C7" w14:textId="77777777" w:rsidR="00FE445D" w:rsidRPr="00FE445D" w:rsidRDefault="00FE445D" w:rsidP="00FE445D">
      <w:pPr>
        <w:widowControl/>
        <w:ind w:right="49"/>
        <w:jc w:val="both"/>
        <w:rPr>
          <w:rFonts w:eastAsia="Times New Roman"/>
          <w:lang w:val="es-MX"/>
        </w:rPr>
      </w:pPr>
    </w:p>
    <w:p w14:paraId="63710E10" w14:textId="77777777" w:rsidR="00FE445D" w:rsidRPr="00FE445D" w:rsidRDefault="00FE445D" w:rsidP="00FE445D">
      <w:pPr>
        <w:widowControl/>
        <w:ind w:right="49"/>
        <w:jc w:val="both"/>
        <w:rPr>
          <w:rFonts w:eastAsia="Times New Roman"/>
          <w:lang w:val="es-MX"/>
        </w:rPr>
      </w:pPr>
      <w:r w:rsidRPr="00FE445D">
        <w:rPr>
          <w:rFonts w:eastAsia="Times New Roman"/>
          <w:lang w:val="es-MX"/>
        </w:rPr>
        <w:t>En el escenario central, el análisis estocástico de la deuda pública permite evidenciar un incremento gradual en la proporción de deuda sobre PIB y una posterior estabilización en torno al 26.6% del PIB en 2027. Considerando el comportamiento de la deuda y los diferentes choques internos y externos que podrían experimentarse, se estima que hay una probabilidad del 50% que la deuda pública pueda situarse entre 29.8% y 32.2% al final del período de análisis. Asimismo, hay una probabilidad del 90% que la deuda pública se ubique para 2023 entre 26.8% y 35.0%.  Para finales de 2027, igualmente se esperaría que con una probabilidad del 90.0%, la relación deuda / PIB se encuentre entre 19.9% y 33.8%.</w:t>
      </w:r>
    </w:p>
    <w:p w14:paraId="76D9A5D1" w14:textId="63F3A0AB" w:rsidR="00736ADD" w:rsidRDefault="00736ADD" w:rsidP="002846D1">
      <w:pPr>
        <w:pStyle w:val="Sinespaciado"/>
        <w:ind w:right="49"/>
        <w:jc w:val="both"/>
        <w:rPr>
          <w:lang w:val="es-MX"/>
        </w:rPr>
      </w:pPr>
    </w:p>
    <w:tbl>
      <w:tblPr>
        <w:tblStyle w:val="Tablaconcuadrcula"/>
        <w:tblW w:w="95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567"/>
      </w:tblGrid>
      <w:tr w:rsidR="00736ADD" w:rsidRPr="002846D1" w14:paraId="23F5972E" w14:textId="77777777" w:rsidTr="007377DA">
        <w:trPr>
          <w:trHeight w:val="3381"/>
          <w:jc w:val="center"/>
        </w:trPr>
        <w:tc>
          <w:tcPr>
            <w:tcW w:w="9567" w:type="dxa"/>
          </w:tcPr>
          <w:p w14:paraId="16BB3EEF" w14:textId="03F5BF71" w:rsidR="00736ADD" w:rsidRPr="003C4DE4" w:rsidRDefault="003C4DE4" w:rsidP="003C4DE4">
            <w:pPr>
              <w:pStyle w:val="Descripcin"/>
              <w:keepNext/>
              <w:rPr>
                <w:color w:val="auto"/>
                <w:sz w:val="24"/>
                <w:szCs w:val="24"/>
              </w:rPr>
            </w:pPr>
            <w:bookmarkStart w:id="164" w:name="_Toc114493881"/>
            <w:r w:rsidRPr="003C4DE4">
              <w:rPr>
                <w:color w:val="auto"/>
                <w:sz w:val="24"/>
                <w:szCs w:val="24"/>
              </w:rPr>
              <w:t xml:space="preserve">Gráfico </w:t>
            </w:r>
            <w:r w:rsidRPr="003C4DE4">
              <w:rPr>
                <w:color w:val="auto"/>
              </w:rPr>
              <w:fldChar w:fldCharType="begin"/>
            </w:r>
            <w:r w:rsidRPr="003C4DE4">
              <w:rPr>
                <w:color w:val="auto"/>
                <w:sz w:val="24"/>
                <w:szCs w:val="24"/>
              </w:rPr>
              <w:instrText xml:space="preserve"> SEQ Gráfico \* ARABIC </w:instrText>
            </w:r>
            <w:r w:rsidRPr="003C4DE4">
              <w:rPr>
                <w:color w:val="auto"/>
              </w:rPr>
              <w:fldChar w:fldCharType="separate"/>
            </w:r>
            <w:r w:rsidR="002E7809">
              <w:rPr>
                <w:noProof/>
                <w:color w:val="auto"/>
                <w:sz w:val="24"/>
                <w:szCs w:val="24"/>
              </w:rPr>
              <w:t>39</w:t>
            </w:r>
            <w:r w:rsidRPr="003C4DE4">
              <w:rPr>
                <w:color w:val="auto"/>
              </w:rPr>
              <w:fldChar w:fldCharType="end"/>
            </w:r>
            <w:r w:rsidRPr="003C4DE4">
              <w:rPr>
                <w:color w:val="auto"/>
                <w:sz w:val="24"/>
                <w:szCs w:val="24"/>
              </w:rPr>
              <w:t xml:space="preserve">.  </w:t>
            </w:r>
            <w:r w:rsidR="00736ADD" w:rsidRPr="003C4DE4">
              <w:rPr>
                <w:color w:val="auto"/>
                <w:sz w:val="24"/>
                <w:szCs w:val="24"/>
              </w:rPr>
              <w:t>Trayectoria de la Deuda Pública (Fan chart)</w:t>
            </w:r>
            <w:bookmarkEnd w:id="164"/>
          </w:p>
          <w:p w14:paraId="286A21FB" w14:textId="77777777" w:rsidR="00736ADD" w:rsidRPr="002846D1" w:rsidRDefault="00736ADD" w:rsidP="002846D1">
            <w:pPr>
              <w:ind w:left="567" w:right="49"/>
              <w:jc w:val="center"/>
              <w:rPr>
                <w:sz w:val="22"/>
                <w:szCs w:val="24"/>
              </w:rPr>
            </w:pPr>
            <w:r w:rsidRPr="002846D1">
              <w:rPr>
                <w:sz w:val="22"/>
                <w:szCs w:val="24"/>
              </w:rPr>
              <w:t>En porcentaje del PIB</w:t>
            </w:r>
          </w:p>
          <w:p w14:paraId="0AA654C8" w14:textId="6FD1CE67" w:rsidR="00736ADD" w:rsidRPr="002846D1" w:rsidRDefault="002C3D84" w:rsidP="002846D1">
            <w:pPr>
              <w:ind w:left="567" w:right="49"/>
              <w:jc w:val="center"/>
              <w:rPr>
                <w:sz w:val="24"/>
                <w:szCs w:val="24"/>
              </w:rPr>
            </w:pPr>
            <w:r>
              <w:rPr>
                <w:noProof/>
              </w:rPr>
              <w:drawing>
                <wp:inline distT="0" distB="0" distL="0" distR="0" wp14:anchorId="5EE832E3" wp14:editId="0CF516D8">
                  <wp:extent cx="5039995" cy="1788795"/>
                  <wp:effectExtent l="0" t="0" r="0" b="0"/>
                  <wp:docPr id="15" name="Gráfico 15">
                    <a:extLst xmlns:a="http://schemas.openxmlformats.org/drawingml/2006/main">
                      <a:ext uri="{FF2B5EF4-FFF2-40B4-BE49-F238E27FC236}">
                        <a16:creationId xmlns:a16="http://schemas.microsoft.com/office/drawing/2014/main" id="{00000000-0008-0000-01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A0F31C8" w14:textId="77777777" w:rsidR="00736ADD" w:rsidRPr="002846D1" w:rsidRDefault="00736ADD" w:rsidP="002846D1">
            <w:pPr>
              <w:ind w:right="49"/>
              <w:rPr>
                <w:sz w:val="24"/>
                <w:szCs w:val="24"/>
              </w:rPr>
            </w:pPr>
            <w:r w:rsidRPr="002846D1">
              <w:rPr>
                <w:szCs w:val="24"/>
              </w:rPr>
              <w:t xml:space="preserve">                      </w:t>
            </w:r>
            <w:r w:rsidRPr="002846D1">
              <w:rPr>
                <w:sz w:val="16"/>
                <w:szCs w:val="22"/>
              </w:rPr>
              <w:t xml:space="preserve">Fuente: </w:t>
            </w:r>
            <w:r w:rsidRPr="002846D1">
              <w:rPr>
                <w:bCs/>
                <w:sz w:val="16"/>
                <w:szCs w:val="11"/>
              </w:rPr>
              <w:t>Ministerio de Finanzas Públicas</w:t>
            </w:r>
            <w:r w:rsidRPr="002846D1">
              <w:rPr>
                <w:sz w:val="16"/>
                <w:szCs w:val="22"/>
              </w:rPr>
              <w:t xml:space="preserve"> con metodología del FMI</w:t>
            </w:r>
          </w:p>
        </w:tc>
      </w:tr>
    </w:tbl>
    <w:p w14:paraId="1FB58B2B" w14:textId="77777777" w:rsidR="00736ADD" w:rsidRPr="002846D1" w:rsidRDefault="00736ADD" w:rsidP="002846D1">
      <w:pPr>
        <w:pStyle w:val="Sinespaciado"/>
        <w:ind w:right="49"/>
        <w:jc w:val="both"/>
        <w:rPr>
          <w:lang w:val="es-MX"/>
        </w:rPr>
      </w:pPr>
    </w:p>
    <w:p w14:paraId="3FCAD9F4" w14:textId="77777777" w:rsidR="00FE445D" w:rsidRPr="00FE445D" w:rsidRDefault="00FE445D" w:rsidP="00FE445D">
      <w:pPr>
        <w:widowControl/>
        <w:ind w:right="49"/>
        <w:jc w:val="both"/>
        <w:rPr>
          <w:rFonts w:eastAsia="Times New Roman"/>
          <w:lang w:val="es-MX"/>
        </w:rPr>
      </w:pPr>
      <w:r w:rsidRPr="00FE445D">
        <w:rPr>
          <w:rFonts w:eastAsia="Times New Roman"/>
          <w:lang w:val="es-MX"/>
        </w:rPr>
        <w:t>Para medir los riesgos de la deuda pública el marco del Análisis de Sostenibilidad de la Deuda (ASD) propone, además de los gráficos de abanico, un mapa de calor que resume los riesgos del ratio deuda /PIB, del ratio de las necesidades brutas de financiamiento /PIB y del perfil de la deuda pública. Dado que en el escenario base y en los escenarios con choques a las variables macroeconómicas los indicadores de deuda/PIB y las necesidades brutas de financiamiento/PIB no sobrepasan los límites de referencia propuestos por el ASD el riesgo se considera bajo en el mediano plazo.</w:t>
      </w:r>
    </w:p>
    <w:p w14:paraId="64183F7A" w14:textId="77777777" w:rsidR="00FE445D" w:rsidRPr="00FE445D" w:rsidRDefault="00FE445D" w:rsidP="00FE445D">
      <w:pPr>
        <w:widowControl/>
        <w:ind w:right="49"/>
        <w:jc w:val="both"/>
        <w:rPr>
          <w:rFonts w:eastAsia="Times New Roman"/>
          <w:lang w:val="es-MX"/>
        </w:rPr>
      </w:pPr>
    </w:p>
    <w:p w14:paraId="49491BA1" w14:textId="77777777" w:rsidR="00847C90" w:rsidRDefault="00FE445D" w:rsidP="00E53B8E">
      <w:pPr>
        <w:widowControl/>
        <w:ind w:right="49"/>
        <w:jc w:val="both"/>
        <w:rPr>
          <w:rFonts w:eastAsia="Times New Roman"/>
          <w:lang w:val="es-MX"/>
        </w:rPr>
      </w:pPr>
      <w:r w:rsidRPr="00FE445D">
        <w:rPr>
          <w:rFonts w:eastAsia="Times New Roman"/>
          <w:lang w:val="es-MX"/>
        </w:rPr>
        <w:t xml:space="preserve">En lo que respecta al perfil de la deuda, la percepción del mercado se considera con riesgo moderado dado que el EMBI promedio de </w:t>
      </w:r>
      <w:r w:rsidRPr="00FE445D">
        <w:rPr>
          <w:rFonts w:eastAsia="Times New Roman"/>
          <w:noProof/>
          <w:lang w:val="es-MX"/>
        </w:rPr>
        <w:t>abril a junio</w:t>
      </w:r>
      <w:r w:rsidRPr="00FE445D">
        <w:rPr>
          <w:rFonts w:eastAsia="Times New Roman"/>
          <w:lang w:val="es-MX"/>
        </w:rPr>
        <w:t xml:space="preserve"> de </w:t>
      </w:r>
      <w:r w:rsidRPr="00FE445D">
        <w:rPr>
          <w:rFonts w:eastAsia="Times New Roman"/>
          <w:noProof/>
          <w:lang w:val="es-MX"/>
        </w:rPr>
        <w:t>294</w:t>
      </w:r>
      <w:r w:rsidRPr="00FE445D">
        <w:rPr>
          <w:rFonts w:eastAsia="Times New Roman"/>
          <w:lang w:val="es-MX"/>
        </w:rPr>
        <w:t xml:space="preserve"> puntos básicos, sin embargo, este se encuentra muy cercano al límite (200 pb). El cambio en la deuda de corto plazo es cercano al </w:t>
      </w:r>
      <w:r w:rsidRPr="00FE445D">
        <w:rPr>
          <w:rFonts w:eastAsia="Times New Roman"/>
          <w:noProof/>
          <w:lang w:val="es-MX"/>
        </w:rPr>
        <w:t>0</w:t>
      </w:r>
      <w:r w:rsidRPr="00FE445D">
        <w:rPr>
          <w:rFonts w:eastAsia="Times New Roman"/>
          <w:lang w:val="es-MX"/>
        </w:rPr>
        <w:t xml:space="preserve">% porque la mayoría de la deuda contratada es de largo plazo. La deuda pública externa tiene riesgo moderado dado que para </w:t>
      </w:r>
      <w:r w:rsidRPr="00FE445D">
        <w:rPr>
          <w:rFonts w:eastAsia="Times New Roman"/>
          <w:noProof/>
          <w:lang w:val="es-MX"/>
        </w:rPr>
        <w:t>2022</w:t>
      </w:r>
      <w:r w:rsidRPr="00FE445D">
        <w:rPr>
          <w:rFonts w:eastAsia="Times New Roman"/>
          <w:lang w:val="es-MX"/>
        </w:rPr>
        <w:t xml:space="preserve"> este se ubicará alrededor del </w:t>
      </w:r>
      <w:r w:rsidRPr="00FE445D">
        <w:rPr>
          <w:rFonts w:eastAsia="Times New Roman"/>
          <w:noProof/>
          <w:lang w:val="es-ES"/>
        </w:rPr>
        <w:t>41.9</w:t>
      </w:r>
      <w:r w:rsidRPr="00FE445D">
        <w:rPr>
          <w:rFonts w:eastAsia="Times New Roman"/>
          <w:lang w:val="es-MX"/>
        </w:rPr>
        <w:t>%, no obstante, este indicador ha disminuido en el tiempo debido a que la deuda interna ha ido en aumento con respecto</w:t>
      </w:r>
      <w:r w:rsidR="00AB5282">
        <w:rPr>
          <w:rFonts w:eastAsia="Times New Roman"/>
          <w:lang w:val="es-MX"/>
        </w:rPr>
        <w:t xml:space="preserve"> </w:t>
      </w:r>
      <w:r w:rsidRPr="00FE445D">
        <w:rPr>
          <w:rFonts w:eastAsia="Times New Roman"/>
          <w:lang w:val="es-MX"/>
        </w:rPr>
        <w:t>del total. La deuda pública en moneda extranjera tiene riesgo moderado dado que se proyecta que est</w:t>
      </w:r>
      <w:r w:rsidR="00AB5282">
        <w:rPr>
          <w:rFonts w:eastAsia="Times New Roman"/>
          <w:lang w:val="es-MX"/>
        </w:rPr>
        <w:t>a</w:t>
      </w:r>
      <w:r w:rsidRPr="00FE445D">
        <w:rPr>
          <w:rFonts w:eastAsia="Times New Roman"/>
          <w:lang w:val="es-MX"/>
        </w:rPr>
        <w:t xml:space="preserve"> se encuentre en </w:t>
      </w:r>
      <w:r w:rsidRPr="00FE445D">
        <w:rPr>
          <w:rFonts w:eastAsia="Times New Roman"/>
          <w:noProof/>
          <w:lang w:val="es-ES"/>
        </w:rPr>
        <w:t>44.6</w:t>
      </w:r>
      <w:r w:rsidRPr="00FE445D">
        <w:rPr>
          <w:rFonts w:eastAsia="Times New Roman"/>
          <w:lang w:val="es-MX"/>
        </w:rPr>
        <w:t xml:space="preserve">% en 2022, pero es importante mencionar que este indicador también ha ido en disminución y que el tipo de cambio nacional ha sido bastante estable en el largo plazo. Por lo que, el análisis sobre los resultados del mapa de calor muestra que el riesgo de la deuda pública en el mediano plazo es bajo. </w:t>
      </w:r>
    </w:p>
    <w:p w14:paraId="231E2ADC" w14:textId="77777777" w:rsidR="00847C90" w:rsidRDefault="00847C90" w:rsidP="00E53B8E">
      <w:pPr>
        <w:widowControl/>
        <w:ind w:right="49"/>
        <w:jc w:val="both"/>
        <w:rPr>
          <w:rFonts w:eastAsia="Times New Roman"/>
          <w:lang w:val="es-MX"/>
        </w:rPr>
      </w:pPr>
    </w:p>
    <w:p w14:paraId="6DFF7177" w14:textId="77777777" w:rsidR="00847C90" w:rsidRDefault="00847C90" w:rsidP="00E53B8E">
      <w:pPr>
        <w:widowControl/>
        <w:ind w:right="49"/>
        <w:jc w:val="both"/>
        <w:rPr>
          <w:rFonts w:eastAsia="Times New Roman"/>
          <w:lang w:val="es-MX"/>
        </w:rPr>
      </w:pPr>
    </w:p>
    <w:p w14:paraId="112E4587" w14:textId="77777777" w:rsidR="00847C90" w:rsidRDefault="00847C90" w:rsidP="00E53B8E">
      <w:pPr>
        <w:widowControl/>
        <w:ind w:right="49"/>
        <w:jc w:val="both"/>
        <w:rPr>
          <w:rFonts w:eastAsia="Times New Roman"/>
          <w:lang w:val="es-MX"/>
        </w:rPr>
      </w:pPr>
    </w:p>
    <w:p w14:paraId="6A2ACA92" w14:textId="6B32A69A" w:rsidR="00736ADD" w:rsidRPr="00E53B8E" w:rsidRDefault="00FE445D" w:rsidP="00E53B8E">
      <w:pPr>
        <w:widowControl/>
        <w:ind w:right="49"/>
        <w:jc w:val="both"/>
        <w:rPr>
          <w:rFonts w:eastAsia="Times New Roman"/>
          <w:lang w:val="es-MX"/>
        </w:rPr>
      </w:pPr>
      <w:r w:rsidRPr="00FE445D">
        <w:rPr>
          <w:rFonts w:eastAsia="Times New Roman"/>
          <w:lang w:val="es-MX"/>
        </w:rPr>
        <w:t xml:space="preserve"> </w:t>
      </w:r>
    </w:p>
    <w:p w14:paraId="06AA3C6D" w14:textId="5B4A6829" w:rsidR="00736ADD" w:rsidRPr="003C4DE4" w:rsidRDefault="003C4DE4" w:rsidP="003C4DE4">
      <w:pPr>
        <w:pStyle w:val="Descripcin"/>
        <w:keepNext/>
        <w:rPr>
          <w:color w:val="auto"/>
        </w:rPr>
      </w:pPr>
      <w:bookmarkStart w:id="165" w:name="_Toc114493933"/>
      <w:r w:rsidRPr="003C4DE4">
        <w:rPr>
          <w:color w:val="auto"/>
        </w:rPr>
        <w:t xml:space="preserve">Tabla </w:t>
      </w:r>
      <w:r w:rsidRPr="003C4DE4">
        <w:rPr>
          <w:color w:val="auto"/>
        </w:rPr>
        <w:fldChar w:fldCharType="begin"/>
      </w:r>
      <w:r w:rsidRPr="003C4DE4">
        <w:rPr>
          <w:color w:val="auto"/>
        </w:rPr>
        <w:instrText xml:space="preserve"> SEQ Tabla \* ARABIC </w:instrText>
      </w:r>
      <w:r w:rsidRPr="003C4DE4">
        <w:rPr>
          <w:color w:val="auto"/>
        </w:rPr>
        <w:fldChar w:fldCharType="separate"/>
      </w:r>
      <w:r w:rsidR="002E7809">
        <w:rPr>
          <w:noProof/>
          <w:color w:val="auto"/>
        </w:rPr>
        <w:t>10</w:t>
      </w:r>
      <w:r w:rsidRPr="003C4DE4">
        <w:rPr>
          <w:color w:val="auto"/>
        </w:rPr>
        <w:fldChar w:fldCharType="end"/>
      </w:r>
      <w:r w:rsidRPr="003C4DE4">
        <w:rPr>
          <w:color w:val="auto"/>
        </w:rPr>
        <w:t xml:space="preserve">.  </w:t>
      </w:r>
      <w:r w:rsidR="00736ADD" w:rsidRPr="003C4DE4">
        <w:rPr>
          <w:color w:val="auto"/>
        </w:rPr>
        <w:t>Resultados del riesgo de la deuda pública en el medio plazo</w:t>
      </w:r>
      <w:bookmarkEnd w:id="165"/>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3893"/>
      </w:tblGrid>
      <w:tr w:rsidR="00736ADD" w:rsidRPr="002846D1" w14:paraId="2402795D" w14:textId="77777777" w:rsidTr="00EB3247">
        <w:trPr>
          <w:trHeight w:val="203"/>
          <w:jc w:val="center"/>
        </w:trPr>
        <w:tc>
          <w:tcPr>
            <w:tcW w:w="4948" w:type="dxa"/>
          </w:tcPr>
          <w:p w14:paraId="4BDCDEF7" w14:textId="77777777" w:rsidR="00736ADD" w:rsidRPr="002846D1" w:rsidRDefault="00736ADD" w:rsidP="002846D1">
            <w:pPr>
              <w:jc w:val="center"/>
              <w:rPr>
                <w:b/>
                <w:bCs/>
              </w:rPr>
            </w:pPr>
            <w:r w:rsidRPr="002846D1">
              <w:rPr>
                <w:b/>
                <w:bCs/>
              </w:rPr>
              <w:t>Mapa de calor</w:t>
            </w:r>
          </w:p>
        </w:tc>
        <w:tc>
          <w:tcPr>
            <w:tcW w:w="4186" w:type="dxa"/>
          </w:tcPr>
          <w:p w14:paraId="73627A80" w14:textId="77777777" w:rsidR="00736ADD" w:rsidRPr="002846D1" w:rsidRDefault="00736ADD" w:rsidP="002846D1">
            <w:pPr>
              <w:jc w:val="center"/>
              <w:rPr>
                <w:b/>
                <w:bCs/>
              </w:rPr>
            </w:pPr>
            <w:r w:rsidRPr="002846D1">
              <w:rPr>
                <w:b/>
                <w:bCs/>
              </w:rPr>
              <w:t>Benchmarks para los indicadores</w:t>
            </w:r>
          </w:p>
        </w:tc>
      </w:tr>
      <w:tr w:rsidR="00736ADD" w:rsidRPr="002846D1" w14:paraId="2E321523" w14:textId="77777777" w:rsidTr="00EB3247">
        <w:trPr>
          <w:trHeight w:val="2076"/>
          <w:jc w:val="center"/>
        </w:trPr>
        <w:tc>
          <w:tcPr>
            <w:tcW w:w="4948" w:type="dxa"/>
          </w:tcPr>
          <w:p w14:paraId="0DF697D1" w14:textId="77777777" w:rsidR="00736ADD" w:rsidRPr="002846D1" w:rsidRDefault="00736ADD" w:rsidP="002846D1">
            <w:r w:rsidRPr="002846D1">
              <w:rPr>
                <w:noProof/>
              </w:rPr>
              <w:drawing>
                <wp:inline distT="0" distB="0" distL="0" distR="0" wp14:anchorId="327A44DC" wp14:editId="17B07AC0">
                  <wp:extent cx="3060000" cy="1405803"/>
                  <wp:effectExtent l="0" t="0" r="762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0000" cy="1405803"/>
                          </a:xfrm>
                          <a:prstGeom prst="rect">
                            <a:avLst/>
                          </a:prstGeom>
                          <a:noFill/>
                          <a:ln>
                            <a:noFill/>
                          </a:ln>
                        </pic:spPr>
                      </pic:pic>
                    </a:graphicData>
                  </a:graphic>
                </wp:inline>
              </w:drawing>
            </w:r>
          </w:p>
        </w:tc>
        <w:tc>
          <w:tcPr>
            <w:tcW w:w="4186" w:type="dxa"/>
          </w:tcPr>
          <w:p w14:paraId="482AD4CA" w14:textId="77777777" w:rsidR="00736ADD" w:rsidRPr="002846D1" w:rsidRDefault="00736ADD" w:rsidP="002846D1">
            <w:pPr>
              <w:jc w:val="center"/>
            </w:pPr>
            <w:r w:rsidRPr="002846D1">
              <w:rPr>
                <w:noProof/>
              </w:rPr>
              <w:drawing>
                <wp:inline distT="0" distB="0" distL="0" distR="0" wp14:anchorId="6861CE85" wp14:editId="69B5A172">
                  <wp:extent cx="2385060" cy="14147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5960" cy="1415314"/>
                          </a:xfrm>
                          <a:prstGeom prst="rect">
                            <a:avLst/>
                          </a:prstGeom>
                          <a:noFill/>
                          <a:ln>
                            <a:noFill/>
                          </a:ln>
                        </pic:spPr>
                      </pic:pic>
                    </a:graphicData>
                  </a:graphic>
                </wp:inline>
              </w:drawing>
            </w:r>
          </w:p>
        </w:tc>
      </w:tr>
      <w:tr w:rsidR="00736ADD" w:rsidRPr="002846D1" w14:paraId="32494A5D" w14:textId="77777777" w:rsidTr="00EB3247">
        <w:trPr>
          <w:trHeight w:val="737"/>
          <w:jc w:val="center"/>
        </w:trPr>
        <w:tc>
          <w:tcPr>
            <w:tcW w:w="9134" w:type="dxa"/>
            <w:gridSpan w:val="2"/>
          </w:tcPr>
          <w:p w14:paraId="5261ABB1" w14:textId="77777777" w:rsidR="00736ADD" w:rsidRPr="002846D1" w:rsidRDefault="00736ADD" w:rsidP="002846D1">
            <w:pPr>
              <w:rPr>
                <w:sz w:val="14"/>
                <w:szCs w:val="14"/>
              </w:rPr>
            </w:pPr>
          </w:p>
          <w:p w14:paraId="08048630" w14:textId="77777777" w:rsidR="00736ADD" w:rsidRPr="002846D1" w:rsidRDefault="00736ADD" w:rsidP="002846D1">
            <w:pPr>
              <w:rPr>
                <w:sz w:val="14"/>
                <w:szCs w:val="14"/>
              </w:rPr>
            </w:pPr>
            <w:r w:rsidRPr="002846D1">
              <w:rPr>
                <w:sz w:val="14"/>
                <w:szCs w:val="14"/>
              </w:rPr>
              <w:t xml:space="preserve">Fuente: </w:t>
            </w:r>
            <w:r w:rsidRPr="002846D1">
              <w:rPr>
                <w:bCs/>
                <w:sz w:val="16"/>
                <w:szCs w:val="11"/>
              </w:rPr>
              <w:t>Ministerio de Finanzas Públicas</w:t>
            </w:r>
            <w:r w:rsidRPr="002846D1">
              <w:rPr>
                <w:sz w:val="14"/>
                <w:szCs w:val="14"/>
              </w:rPr>
              <w:t xml:space="preserve"> según metodología del Fondo monetario internacional.</w:t>
            </w:r>
          </w:p>
          <w:p w14:paraId="309C8D98" w14:textId="77777777" w:rsidR="00736ADD" w:rsidRPr="002846D1" w:rsidRDefault="00736ADD" w:rsidP="002846D1">
            <w:pPr>
              <w:rPr>
                <w:sz w:val="14"/>
                <w:szCs w:val="14"/>
              </w:rPr>
            </w:pPr>
            <w:r w:rsidRPr="002846D1">
              <w:rPr>
                <w:sz w:val="14"/>
                <w:szCs w:val="14"/>
              </w:rPr>
              <w:t>Nota:  En los indicadores de deuda PIB y NBF/PIB el color es rojo si en el escenario base se sobre pasa el benchmark, es amarillo si únicamente el benchmark se sobrepasa en los escenarios con choques y es verde si en todos los escenarios el benchmark no se sobrepasa.</w:t>
            </w:r>
          </w:p>
          <w:p w14:paraId="00F0D5DE" w14:textId="77777777" w:rsidR="00736ADD" w:rsidRPr="002846D1" w:rsidRDefault="00736ADD" w:rsidP="002846D1">
            <w:r w:rsidRPr="002846D1">
              <w:rPr>
                <w:sz w:val="14"/>
                <w:szCs w:val="14"/>
              </w:rPr>
              <w:t>NBF: Necesidades brutas de financiamiento.</w:t>
            </w:r>
          </w:p>
        </w:tc>
      </w:tr>
    </w:tbl>
    <w:p w14:paraId="0C9C7D65" w14:textId="22F065D7" w:rsidR="00736ADD" w:rsidRPr="002846D1" w:rsidRDefault="004124D7" w:rsidP="004124D7">
      <w:pPr>
        <w:pStyle w:val="Sinespaciado"/>
        <w:tabs>
          <w:tab w:val="left" w:pos="1212"/>
        </w:tabs>
        <w:ind w:right="49"/>
        <w:jc w:val="both"/>
        <w:rPr>
          <w:lang w:val="es-MX"/>
        </w:rPr>
      </w:pPr>
      <w:r>
        <w:rPr>
          <w:lang w:val="es-MX"/>
        </w:rPr>
        <w:tab/>
      </w:r>
    </w:p>
    <w:p w14:paraId="6A834469" w14:textId="77777777" w:rsidR="00736ADD" w:rsidRPr="00A07BD4" w:rsidRDefault="00736ADD" w:rsidP="00A9708A">
      <w:pPr>
        <w:pStyle w:val="Ttulo1"/>
        <w:widowControl/>
        <w:numPr>
          <w:ilvl w:val="1"/>
          <w:numId w:val="5"/>
        </w:numPr>
        <w:ind w:left="567" w:right="49" w:hanging="283"/>
        <w:jc w:val="left"/>
        <w:rPr>
          <w:color w:val="auto"/>
          <w:sz w:val="24"/>
          <w:lang w:val="es-MX"/>
        </w:rPr>
      </w:pPr>
      <w:bookmarkStart w:id="166" w:name="_Toc114495255"/>
      <w:r w:rsidRPr="00A07BD4">
        <w:rPr>
          <w:color w:val="auto"/>
          <w:sz w:val="24"/>
          <w:lang w:val="es-MX"/>
        </w:rPr>
        <w:t>Análisis de Largo Plazo</w:t>
      </w:r>
      <w:bookmarkEnd w:id="166"/>
      <w:r w:rsidRPr="00A07BD4">
        <w:rPr>
          <w:color w:val="auto"/>
          <w:sz w:val="24"/>
          <w:lang w:val="es-MX"/>
        </w:rPr>
        <w:t xml:space="preserve">   </w:t>
      </w:r>
    </w:p>
    <w:p w14:paraId="48E45D3D" w14:textId="77777777" w:rsidR="00736ADD" w:rsidRPr="002846D1" w:rsidRDefault="00736ADD" w:rsidP="002846D1">
      <w:pPr>
        <w:pStyle w:val="Sinespaciado"/>
        <w:ind w:left="567" w:right="49"/>
        <w:jc w:val="both"/>
        <w:rPr>
          <w:color w:val="FF0000"/>
          <w:lang w:val="es-MX"/>
        </w:rPr>
      </w:pPr>
    </w:p>
    <w:p w14:paraId="3EF60698" w14:textId="77777777" w:rsidR="004124D7" w:rsidRPr="004D1870" w:rsidRDefault="004124D7" w:rsidP="004124D7">
      <w:pPr>
        <w:widowControl/>
        <w:ind w:right="49"/>
        <w:jc w:val="both"/>
        <w:rPr>
          <w:rFonts w:eastAsia="Times New Roman"/>
          <w:lang w:val="es-MX"/>
        </w:rPr>
      </w:pPr>
      <w:r w:rsidRPr="004D1870">
        <w:rPr>
          <w:rFonts w:eastAsia="Times New Roman"/>
          <w:lang w:val="es-MX"/>
        </w:rPr>
        <w:t xml:space="preserve">Para evaluar el comportamiento y posible trayectoria de la deuda pública en el largo plazo, es decir en un horizonte de 20 años, se realizó un análisis simplificado de choques a los principales determinantes de la deuda pública que podría generarse a partir de </w:t>
      </w:r>
      <w:r w:rsidRPr="004D1870">
        <w:rPr>
          <w:rFonts w:eastAsia="Times New Roman"/>
          <w:noProof/>
          <w:lang w:val="es-MX"/>
        </w:rPr>
        <w:t>2027</w:t>
      </w:r>
      <w:r w:rsidRPr="004D1870">
        <w:rPr>
          <w:rFonts w:eastAsia="Times New Roman"/>
          <w:lang w:val="es-MX"/>
        </w:rPr>
        <w:t xml:space="preserve"> tomando como referencia el escenario base de mediano plazo (</w:t>
      </w:r>
      <w:r w:rsidRPr="004D1870">
        <w:rPr>
          <w:rFonts w:eastAsia="Times New Roman"/>
          <w:noProof/>
          <w:lang w:val="es-MX"/>
        </w:rPr>
        <w:t>2022</w:t>
      </w:r>
      <w:r w:rsidRPr="004D1870">
        <w:rPr>
          <w:rFonts w:eastAsia="Times New Roman"/>
          <w:lang w:val="es-MX"/>
        </w:rPr>
        <w:t>-</w:t>
      </w:r>
      <w:r w:rsidRPr="004D1870">
        <w:rPr>
          <w:rFonts w:eastAsia="Times New Roman"/>
          <w:noProof/>
          <w:lang w:val="es-MX"/>
        </w:rPr>
        <w:t>2027</w:t>
      </w:r>
      <w:r w:rsidRPr="004D1870">
        <w:rPr>
          <w:rFonts w:eastAsia="Times New Roman"/>
          <w:lang w:val="es-MX"/>
        </w:rPr>
        <w:t xml:space="preserve">) de la sección anterior. </w:t>
      </w:r>
    </w:p>
    <w:p w14:paraId="7F67C397" w14:textId="77777777" w:rsidR="004124D7" w:rsidRPr="004D1870" w:rsidRDefault="004124D7" w:rsidP="004124D7">
      <w:pPr>
        <w:widowControl/>
        <w:ind w:right="49"/>
        <w:jc w:val="both"/>
        <w:rPr>
          <w:rFonts w:eastAsia="Times New Roman"/>
          <w:lang w:val="es-MX"/>
        </w:rPr>
      </w:pPr>
    </w:p>
    <w:p w14:paraId="4AC777E8" w14:textId="77777777" w:rsidR="004124D7" w:rsidRPr="004D1870" w:rsidRDefault="004124D7" w:rsidP="004124D7">
      <w:pPr>
        <w:widowControl/>
        <w:ind w:right="49"/>
        <w:jc w:val="both"/>
        <w:rPr>
          <w:rFonts w:eastAsia="Times New Roman"/>
          <w:lang w:val="es-MX"/>
        </w:rPr>
      </w:pPr>
      <w:r w:rsidRPr="004D1870">
        <w:rPr>
          <w:rFonts w:eastAsia="Times New Roman"/>
          <w:lang w:val="es-MX"/>
        </w:rPr>
        <w:t>En ese sentido, de mantenerse las condiciones previstas en 2027 y que estas se extiendan en el largo plazo (2042), es decir un resultado primario deficitario que se ubique en torno al 0.5% PIB;  el crecimiento económico promedio se ubique en 3.3%, 0.2 puntos porcentuales debajo del PIB potencial, la tasa de interés real se estima por abajo del crecimiento económico  y el tipo de cambio nominal se prevé que en promedio se mantenga relativamente constante como se ha observado en los últimos quince años. Con dichos supuestos la proporción Deuda / PIB, si bien muestra un comportamiento creciente, será moderado y se prevé que dicho indicador alcance al final del período indicado un 27.6%.</w:t>
      </w:r>
    </w:p>
    <w:p w14:paraId="614FE974" w14:textId="77777777" w:rsidR="004124D7" w:rsidRPr="004D1870" w:rsidRDefault="004124D7" w:rsidP="004124D7">
      <w:pPr>
        <w:widowControl/>
        <w:ind w:right="49"/>
        <w:jc w:val="both"/>
        <w:rPr>
          <w:rFonts w:eastAsia="Times New Roman"/>
          <w:lang w:val="es-MX"/>
        </w:rPr>
      </w:pPr>
    </w:p>
    <w:p w14:paraId="51BBEFBD" w14:textId="3F450D69" w:rsidR="004124D7" w:rsidRPr="004D1870" w:rsidRDefault="004124D7" w:rsidP="004124D7">
      <w:pPr>
        <w:widowControl/>
        <w:ind w:right="49"/>
        <w:jc w:val="both"/>
        <w:rPr>
          <w:rFonts w:eastAsia="Times New Roman"/>
          <w:lang w:val="es-MX"/>
        </w:rPr>
      </w:pPr>
      <w:r w:rsidRPr="004D1870">
        <w:rPr>
          <w:rFonts w:eastAsia="Times New Roman"/>
          <w:lang w:val="es-MX"/>
        </w:rPr>
        <w:t>Lo anterior muestra que hay margen suficiente para soportar choques de la economía, sin que esto repercuta severamente en la sostenibilidad fiscal. Para el efecto se aplicaron choques transitorios a los principales determinantes del comportamiento de la deuda y en el peor escenario de un choque combinado en el que se da una reducción del PIB real en los primeros años (caída del 30.0% del valor estimado del crecimiento), incremento de la tasa de interés real en 50 puntos básicos y un aumento importante en el déficit primario en los primeros cinco años (aumentos en puntos porcentuales del PIB de 0.5 por 5 años). Con estos choques combinados la relación deuda / PIB para 2042 podría situarse hasta 33.1%.</w:t>
      </w:r>
    </w:p>
    <w:p w14:paraId="0ADAF3DA" w14:textId="77777777" w:rsidR="00736ADD" w:rsidRPr="002846D1" w:rsidRDefault="00736ADD" w:rsidP="002846D1">
      <w:pPr>
        <w:pStyle w:val="Sinespaciado"/>
        <w:ind w:right="49"/>
        <w:jc w:val="both"/>
        <w:rPr>
          <w:lang w:val="es-MX"/>
        </w:rPr>
      </w:pPr>
    </w:p>
    <w:tbl>
      <w:tblPr>
        <w:tblStyle w:val="Tablaconcuadrcula"/>
        <w:tblW w:w="9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535"/>
      </w:tblGrid>
      <w:tr w:rsidR="00736ADD" w:rsidRPr="002846D1" w14:paraId="3AE88B49" w14:textId="77777777" w:rsidTr="00055051">
        <w:trPr>
          <w:trHeight w:val="3326"/>
          <w:jc w:val="center"/>
        </w:trPr>
        <w:tc>
          <w:tcPr>
            <w:tcW w:w="9535" w:type="dxa"/>
          </w:tcPr>
          <w:p w14:paraId="0CC9A6B9" w14:textId="34BEF490" w:rsidR="00736ADD" w:rsidRPr="004D1870" w:rsidRDefault="003C4DE4" w:rsidP="003C4DE4">
            <w:pPr>
              <w:pStyle w:val="Descripcin"/>
              <w:keepNext/>
              <w:rPr>
                <w:color w:val="auto"/>
                <w:sz w:val="24"/>
                <w:szCs w:val="24"/>
              </w:rPr>
            </w:pPr>
            <w:bookmarkStart w:id="167" w:name="_Toc114493882"/>
            <w:r w:rsidRPr="003C4DE4">
              <w:rPr>
                <w:color w:val="auto"/>
                <w:sz w:val="24"/>
                <w:szCs w:val="24"/>
              </w:rPr>
              <w:t xml:space="preserve">Gráfico </w:t>
            </w:r>
            <w:r w:rsidRPr="003C4DE4">
              <w:rPr>
                <w:color w:val="auto"/>
              </w:rPr>
              <w:fldChar w:fldCharType="begin"/>
            </w:r>
            <w:r w:rsidRPr="003C4DE4">
              <w:rPr>
                <w:color w:val="auto"/>
                <w:sz w:val="24"/>
                <w:szCs w:val="24"/>
              </w:rPr>
              <w:instrText xml:space="preserve"> SEQ Gráfico \* ARABIC </w:instrText>
            </w:r>
            <w:r w:rsidRPr="003C4DE4">
              <w:rPr>
                <w:color w:val="auto"/>
              </w:rPr>
              <w:fldChar w:fldCharType="separate"/>
            </w:r>
            <w:r w:rsidR="002E7809">
              <w:rPr>
                <w:noProof/>
                <w:color w:val="auto"/>
                <w:sz w:val="24"/>
                <w:szCs w:val="24"/>
              </w:rPr>
              <w:t>40</w:t>
            </w:r>
            <w:r w:rsidRPr="003C4DE4">
              <w:rPr>
                <w:color w:val="auto"/>
              </w:rPr>
              <w:fldChar w:fldCharType="end"/>
            </w:r>
            <w:r w:rsidRPr="003C4DE4">
              <w:rPr>
                <w:color w:val="auto"/>
                <w:sz w:val="24"/>
                <w:szCs w:val="24"/>
              </w:rPr>
              <w:t xml:space="preserve">.  </w:t>
            </w:r>
            <w:r w:rsidR="00736ADD" w:rsidRPr="003C4DE4">
              <w:rPr>
                <w:color w:val="auto"/>
                <w:sz w:val="24"/>
                <w:szCs w:val="24"/>
              </w:rPr>
              <w:t xml:space="preserve">Escenarios del </w:t>
            </w:r>
            <w:r w:rsidR="00736ADD" w:rsidRPr="004D1870">
              <w:rPr>
                <w:color w:val="auto"/>
                <w:sz w:val="24"/>
                <w:szCs w:val="24"/>
              </w:rPr>
              <w:t>comportamiento de la Deuda Pública en el Largo Plazo</w:t>
            </w:r>
            <w:bookmarkEnd w:id="167"/>
          </w:p>
          <w:p w14:paraId="2F0DC759" w14:textId="77777777" w:rsidR="00736ADD" w:rsidRPr="004D1870" w:rsidRDefault="00736ADD" w:rsidP="002846D1">
            <w:pPr>
              <w:ind w:left="567" w:right="49"/>
              <w:jc w:val="center"/>
              <w:rPr>
                <w:sz w:val="22"/>
                <w:szCs w:val="24"/>
              </w:rPr>
            </w:pPr>
            <w:r w:rsidRPr="004D1870">
              <w:rPr>
                <w:sz w:val="22"/>
                <w:szCs w:val="24"/>
              </w:rPr>
              <w:t>En porcentaje del PIB</w:t>
            </w:r>
          </w:p>
          <w:p w14:paraId="3EA56764" w14:textId="591D47BE" w:rsidR="00736ADD" w:rsidRPr="004D1870" w:rsidRDefault="00736ADD" w:rsidP="00055051">
            <w:pPr>
              <w:jc w:val="center"/>
              <w:rPr>
                <w:noProof/>
                <w:sz w:val="24"/>
                <w:szCs w:val="24"/>
              </w:rPr>
            </w:pPr>
            <w:r w:rsidRPr="004D1870">
              <w:rPr>
                <w:noProof/>
                <w:sz w:val="24"/>
                <w:szCs w:val="24"/>
              </w:rPr>
              <w:t xml:space="preserve"> </w:t>
            </w:r>
            <w:r w:rsidR="004D1870" w:rsidRPr="004D1870">
              <w:rPr>
                <w:noProof/>
              </w:rPr>
              <w:drawing>
                <wp:inline distT="0" distB="0" distL="0" distR="0" wp14:anchorId="53562342" wp14:editId="2A936FA6">
                  <wp:extent cx="5045442" cy="1819050"/>
                  <wp:effectExtent l="0" t="0" r="0" b="0"/>
                  <wp:docPr id="227" name="Gráfico 227">
                    <a:extLst xmlns:a="http://schemas.openxmlformats.org/drawingml/2006/main">
                      <a:ext uri="{FF2B5EF4-FFF2-40B4-BE49-F238E27FC236}">
                        <a16:creationId xmlns:a16="http://schemas.microsoft.com/office/drawing/2014/main" id="{00000000-0008-0000-0600-00003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A7C3ACC" w14:textId="77777777" w:rsidR="00736ADD" w:rsidRPr="002846D1" w:rsidRDefault="00736ADD" w:rsidP="002846D1">
            <w:pPr>
              <w:ind w:left="567" w:right="49"/>
              <w:rPr>
                <w:sz w:val="16"/>
                <w:szCs w:val="16"/>
              </w:rPr>
            </w:pPr>
            <w:r w:rsidRPr="004D1870">
              <w:rPr>
                <w:sz w:val="12"/>
                <w:szCs w:val="16"/>
              </w:rPr>
              <w:t xml:space="preserve">    </w:t>
            </w:r>
            <w:r w:rsidRPr="004D1870">
              <w:rPr>
                <w:sz w:val="16"/>
              </w:rPr>
              <w:t xml:space="preserve">Fuente: </w:t>
            </w:r>
            <w:r w:rsidRPr="004D1870">
              <w:rPr>
                <w:bCs/>
                <w:sz w:val="16"/>
                <w:szCs w:val="11"/>
              </w:rPr>
              <w:t>Ministerio de Finanzas Públicas</w:t>
            </w:r>
            <w:r w:rsidRPr="004D1870">
              <w:rPr>
                <w:sz w:val="16"/>
              </w:rPr>
              <w:t xml:space="preserve"> con el análisis del Índice de Blanchard</w:t>
            </w:r>
          </w:p>
        </w:tc>
      </w:tr>
    </w:tbl>
    <w:p w14:paraId="3C1E2FD1" w14:textId="77777777" w:rsidR="001C0BBF" w:rsidRDefault="001C0BBF" w:rsidP="00055051">
      <w:pPr>
        <w:pStyle w:val="Sinespaciado"/>
        <w:jc w:val="both"/>
        <w:rPr>
          <w:lang w:val="es-MX"/>
        </w:rPr>
      </w:pPr>
    </w:p>
    <w:p w14:paraId="14851B3D" w14:textId="77777777" w:rsidR="004D1870" w:rsidRPr="004D1870" w:rsidRDefault="004D1870" w:rsidP="004D1870">
      <w:pPr>
        <w:widowControl/>
        <w:ind w:right="49"/>
        <w:jc w:val="both"/>
        <w:rPr>
          <w:rFonts w:eastAsia="Times New Roman"/>
          <w:lang w:val="es-MX"/>
        </w:rPr>
      </w:pPr>
      <w:r w:rsidRPr="004D1870">
        <w:rPr>
          <w:rFonts w:eastAsia="Times New Roman"/>
          <w:lang w:val="es-MX"/>
        </w:rPr>
        <w:t xml:space="preserve">Considerando los resultados mostrados, es importante indicar que la autoridad fiscal puede tomar medidas de política para evitar un deterioro de las cuentas fiscales y revertir así la tendencia de la deuda mediante ajustes en los ingresos o gastos del gobierno que pueden reducir o minimizar el impacto de los efectos adversos en el largo plazo. En ese sentido, se elaboraron dos escenarios adicionales que muestran dos tipos de ajustes fiscales uno en el que se busca un equilibrio en el balance primario, después de los choques en la economía; y otro escenario en el que el ajuste fiscal es más severo y se logra un superávit primario de 0.2% del PIB posterior a los choques combinados. Con dichos ajustes la relación de deuda / PIB para </w:t>
      </w:r>
      <w:r w:rsidRPr="004D1870">
        <w:rPr>
          <w:rFonts w:eastAsia="Times New Roman"/>
          <w:noProof/>
          <w:lang w:val="es-MX"/>
        </w:rPr>
        <w:t>2042</w:t>
      </w:r>
      <w:r w:rsidRPr="004D1870">
        <w:rPr>
          <w:rFonts w:eastAsia="Times New Roman"/>
          <w:lang w:val="es-MX"/>
        </w:rPr>
        <w:t xml:space="preserve"> pasaría de </w:t>
      </w:r>
      <w:r w:rsidRPr="004D1870">
        <w:rPr>
          <w:rFonts w:eastAsia="Times New Roman"/>
          <w:noProof/>
          <w:lang w:val="es-ES"/>
        </w:rPr>
        <w:t>33.1</w:t>
      </w:r>
      <w:r w:rsidRPr="004D1870">
        <w:rPr>
          <w:rFonts w:eastAsia="Times New Roman"/>
          <w:lang w:val="es-MX"/>
        </w:rPr>
        <w:t xml:space="preserve">% a </w:t>
      </w:r>
      <w:r w:rsidRPr="004D1870">
        <w:rPr>
          <w:rFonts w:eastAsia="Times New Roman"/>
          <w:noProof/>
          <w:lang w:val="es-ES"/>
        </w:rPr>
        <w:t>30.1</w:t>
      </w:r>
      <w:r w:rsidRPr="004D1870">
        <w:rPr>
          <w:rFonts w:eastAsia="Times New Roman"/>
          <w:lang w:val="es-MX"/>
        </w:rPr>
        <w:t xml:space="preserve">% del PIB, únicamente logrando un equilibrio en el resultado primario y con un ajuste un poco más fuerte se logra un mayor superávit primario, en donde la relación deuda/PIB disminuiría a </w:t>
      </w:r>
      <w:r w:rsidRPr="004D1870">
        <w:rPr>
          <w:rFonts w:eastAsia="Times New Roman"/>
          <w:noProof/>
          <w:lang w:val="es-ES"/>
        </w:rPr>
        <w:t>27.7</w:t>
      </w:r>
      <w:r w:rsidRPr="004D1870">
        <w:rPr>
          <w:rFonts w:eastAsia="Times New Roman"/>
          <w:lang w:val="es-MX"/>
        </w:rPr>
        <w:t>% del PIB.</w:t>
      </w:r>
    </w:p>
    <w:p w14:paraId="1D764D71" w14:textId="0EDE5C4B" w:rsidR="00736ADD" w:rsidRPr="002846D1" w:rsidRDefault="00736ADD" w:rsidP="002846D1">
      <w:pPr>
        <w:pStyle w:val="Sinespaciado"/>
        <w:ind w:left="567" w:right="49"/>
        <w:jc w:val="both"/>
        <w:rPr>
          <w:lang w:val="es-MX"/>
        </w:rPr>
      </w:pPr>
    </w:p>
    <w:tbl>
      <w:tblPr>
        <w:tblStyle w:val="Tablaconcuadrcula"/>
        <w:tblW w:w="906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9"/>
      </w:tblGrid>
      <w:tr w:rsidR="00736ADD" w:rsidRPr="002846D1" w14:paraId="4B99CA69" w14:textId="77777777" w:rsidTr="003C4DE4">
        <w:trPr>
          <w:trHeight w:val="3540"/>
        </w:trPr>
        <w:tc>
          <w:tcPr>
            <w:tcW w:w="9069" w:type="dxa"/>
          </w:tcPr>
          <w:p w14:paraId="5E85A6C4" w14:textId="1B6C5C79" w:rsidR="00736ADD" w:rsidRPr="00222798" w:rsidRDefault="003C4DE4" w:rsidP="003C4DE4">
            <w:pPr>
              <w:pStyle w:val="Descripcin"/>
              <w:keepNext/>
              <w:rPr>
                <w:sz w:val="24"/>
                <w:szCs w:val="24"/>
              </w:rPr>
            </w:pPr>
            <w:bookmarkStart w:id="168" w:name="_Toc114493883"/>
            <w:r w:rsidRPr="003C4DE4">
              <w:rPr>
                <w:color w:val="auto"/>
                <w:sz w:val="24"/>
                <w:szCs w:val="24"/>
              </w:rPr>
              <w:t xml:space="preserve">Gráfico </w:t>
            </w:r>
            <w:r w:rsidRPr="003C4DE4">
              <w:rPr>
                <w:color w:val="auto"/>
              </w:rPr>
              <w:fldChar w:fldCharType="begin"/>
            </w:r>
            <w:r w:rsidRPr="003C4DE4">
              <w:rPr>
                <w:color w:val="auto"/>
                <w:sz w:val="24"/>
                <w:szCs w:val="24"/>
              </w:rPr>
              <w:instrText xml:space="preserve"> SEQ Gráfico \* ARABIC </w:instrText>
            </w:r>
            <w:r w:rsidRPr="003C4DE4">
              <w:rPr>
                <w:color w:val="auto"/>
              </w:rPr>
              <w:fldChar w:fldCharType="separate"/>
            </w:r>
            <w:r w:rsidR="002E7809">
              <w:rPr>
                <w:noProof/>
                <w:color w:val="auto"/>
                <w:sz w:val="24"/>
                <w:szCs w:val="24"/>
              </w:rPr>
              <w:t>41</w:t>
            </w:r>
            <w:r w:rsidRPr="003C4DE4">
              <w:rPr>
                <w:color w:val="auto"/>
              </w:rPr>
              <w:fldChar w:fldCharType="end"/>
            </w:r>
            <w:r w:rsidRPr="003C4DE4">
              <w:rPr>
                <w:color w:val="auto"/>
                <w:sz w:val="24"/>
                <w:szCs w:val="24"/>
              </w:rPr>
              <w:t xml:space="preserve">.  </w:t>
            </w:r>
            <w:r w:rsidR="00736ADD" w:rsidRPr="003C4DE4">
              <w:rPr>
                <w:color w:val="auto"/>
                <w:sz w:val="24"/>
                <w:szCs w:val="24"/>
              </w:rPr>
              <w:t xml:space="preserve">Escenarios de Ajuste Fiscal para </w:t>
            </w:r>
            <w:r w:rsidR="00736ADD" w:rsidRPr="00222798">
              <w:rPr>
                <w:color w:val="auto"/>
                <w:sz w:val="24"/>
                <w:szCs w:val="24"/>
              </w:rPr>
              <w:t>Atenuar Choques Adversos en la Deuda Pública de Largo Plazo</w:t>
            </w:r>
            <w:bookmarkEnd w:id="168"/>
          </w:p>
          <w:p w14:paraId="485B8851" w14:textId="77777777" w:rsidR="00736ADD" w:rsidRPr="00222798" w:rsidRDefault="00736ADD" w:rsidP="002846D1">
            <w:pPr>
              <w:ind w:left="567" w:right="49"/>
              <w:jc w:val="center"/>
              <w:rPr>
                <w:sz w:val="22"/>
              </w:rPr>
            </w:pPr>
            <w:r w:rsidRPr="00222798">
              <w:rPr>
                <w:sz w:val="22"/>
              </w:rPr>
              <w:t>En porcentaje del PIB</w:t>
            </w:r>
          </w:p>
          <w:p w14:paraId="7A896077" w14:textId="4C876922" w:rsidR="00736ADD" w:rsidRPr="00222798" w:rsidRDefault="00222798" w:rsidP="002C3D84">
            <w:pPr>
              <w:ind w:right="49"/>
              <w:jc w:val="center"/>
              <w:rPr>
                <w:noProof/>
                <w:sz w:val="24"/>
                <w:szCs w:val="24"/>
              </w:rPr>
            </w:pPr>
            <w:r w:rsidRPr="00222798">
              <w:rPr>
                <w:noProof/>
              </w:rPr>
              <w:drawing>
                <wp:inline distT="0" distB="0" distL="0" distR="0" wp14:anchorId="01D91CD0" wp14:editId="01331AC7">
                  <wp:extent cx="5045442" cy="1782682"/>
                  <wp:effectExtent l="0" t="0" r="3175" b="8255"/>
                  <wp:docPr id="228" name="Gráfico 228">
                    <a:extLst xmlns:a="http://schemas.openxmlformats.org/drawingml/2006/main">
                      <a:ext uri="{FF2B5EF4-FFF2-40B4-BE49-F238E27FC236}">
                        <a16:creationId xmlns:a16="http://schemas.microsoft.com/office/drawing/2014/main" id="{00000000-0008-0000-06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346BBA8" w14:textId="77777777" w:rsidR="00736ADD" w:rsidRPr="002846D1" w:rsidRDefault="00736ADD" w:rsidP="002846D1">
            <w:pPr>
              <w:ind w:left="567" w:right="49"/>
              <w:rPr>
                <w:sz w:val="24"/>
                <w:szCs w:val="24"/>
              </w:rPr>
            </w:pPr>
            <w:r w:rsidRPr="00222798">
              <w:rPr>
                <w:sz w:val="24"/>
                <w:szCs w:val="24"/>
              </w:rPr>
              <w:t xml:space="preserve">    </w:t>
            </w:r>
            <w:r w:rsidRPr="00222798">
              <w:rPr>
                <w:sz w:val="16"/>
                <w:szCs w:val="24"/>
              </w:rPr>
              <w:t xml:space="preserve">Fuente: </w:t>
            </w:r>
            <w:r w:rsidRPr="00222798">
              <w:rPr>
                <w:bCs/>
                <w:sz w:val="16"/>
                <w:szCs w:val="11"/>
              </w:rPr>
              <w:t>Ministerio de Finanzas Públicas</w:t>
            </w:r>
            <w:r w:rsidRPr="00222798">
              <w:rPr>
                <w:sz w:val="16"/>
                <w:szCs w:val="24"/>
              </w:rPr>
              <w:t xml:space="preserve"> con el análisis del Índice de Blanchard</w:t>
            </w:r>
          </w:p>
        </w:tc>
      </w:tr>
    </w:tbl>
    <w:p w14:paraId="65F708B1" w14:textId="77777777" w:rsidR="00736ADD" w:rsidRPr="002846D1" w:rsidRDefault="00736ADD" w:rsidP="002846D1">
      <w:pPr>
        <w:tabs>
          <w:tab w:val="left" w:pos="1066"/>
        </w:tabs>
        <w:ind w:right="49"/>
      </w:pPr>
    </w:p>
    <w:p w14:paraId="44D2DD7A" w14:textId="77777777" w:rsidR="00222798" w:rsidRDefault="00222798" w:rsidP="00222798">
      <w:pPr>
        <w:tabs>
          <w:tab w:val="left" w:pos="1066"/>
        </w:tabs>
        <w:ind w:right="49"/>
        <w:jc w:val="both"/>
        <w:rPr>
          <w:rFonts w:eastAsia="Times New Roman"/>
          <w:lang w:val="es-MX"/>
        </w:rPr>
      </w:pPr>
      <w:r w:rsidRPr="00222798">
        <w:rPr>
          <w:rFonts w:eastAsia="Times New Roman"/>
          <w:lang w:val="es-MX"/>
        </w:rPr>
        <w:t xml:space="preserve">La disciplina en el manejo de las finanzas públicas y el historial de estabilidad macroeconómica en los últimos 25 años reflejan un perfil de la deuda bastante prudente y con un espacio fiscal suficiente para afrontar hasta cierto punto algunos choques económicos adversos. A pesar, de que la política fiscal expansiva de 2020 produjo un aumento en el indicador deuda/PIB de </w:t>
      </w:r>
      <w:r w:rsidRPr="00222798">
        <w:rPr>
          <w:rFonts w:eastAsia="Times New Roman"/>
          <w:noProof/>
        </w:rPr>
        <w:t>5.1</w:t>
      </w:r>
      <w:r w:rsidRPr="00222798">
        <w:rPr>
          <w:rFonts w:eastAsia="Times New Roman"/>
          <w:lang w:val="es-MX"/>
        </w:rPr>
        <w:t xml:space="preserve"> puntos porcentuales con respecto al 2019, este indicador aún se encuentra en niveles bastantes conservadores con respecto a los límites recomendados para los países con acceso al mercado de capitales. Asimismo, en base al marco fiscal propuesto para los siguientes 5 años y al escenario macroeconómico del Banco de Guatemala para las principales variables se estima que los indicadores de la deuda pública estarán en valores muy por debajo de los máximos recomendados por el Fondo Monetario Internacional en el mediano plazo. Además, las pruebas de estrés al escenario base de la deuda y el análisis de probabilidad demuestran que es posible administrar la materialización de los riesgos como lo son choques al crecimiento económico, al tipo de cambio, entre otros. El análisis anterior y los hechos estilizados de la deuda pública descritos supra dan sustento para afirmar que la deuda pública de Guatemala es sostenible en el mediano y largo plazo.</w:t>
      </w:r>
    </w:p>
    <w:p w14:paraId="1332DFE4" w14:textId="77777777" w:rsidR="00506BDE" w:rsidRPr="00222798" w:rsidRDefault="00506BDE" w:rsidP="002333A9">
      <w:pPr>
        <w:jc w:val="both"/>
        <w:rPr>
          <w:bCs/>
          <w:color w:val="000000" w:themeColor="text1"/>
          <w:lang w:val="es-MX"/>
        </w:rPr>
      </w:pPr>
    </w:p>
    <w:p w14:paraId="66E24D34" w14:textId="77777777" w:rsidR="00A102E4" w:rsidRPr="00A07BD4" w:rsidRDefault="00A102E4" w:rsidP="00A9708A">
      <w:pPr>
        <w:pStyle w:val="Ttulo1"/>
        <w:numPr>
          <w:ilvl w:val="0"/>
          <w:numId w:val="28"/>
        </w:numPr>
        <w:ind w:left="284" w:hanging="284"/>
        <w:jc w:val="left"/>
        <w:rPr>
          <w:color w:val="auto"/>
          <w:sz w:val="24"/>
          <w:szCs w:val="28"/>
        </w:rPr>
      </w:pPr>
      <w:bookmarkStart w:id="169" w:name="_Toc79746359"/>
      <w:bookmarkStart w:id="170" w:name="_Toc114495256"/>
      <w:bookmarkStart w:id="171" w:name="_Toc46851807"/>
      <w:r w:rsidRPr="00A07BD4">
        <w:rPr>
          <w:color w:val="auto"/>
          <w:sz w:val="24"/>
          <w:szCs w:val="28"/>
        </w:rPr>
        <w:t>Riesgos Fiscales asociados a las Municipalidades</w:t>
      </w:r>
      <w:bookmarkEnd w:id="169"/>
      <w:bookmarkEnd w:id="170"/>
    </w:p>
    <w:p w14:paraId="12B8AC92" w14:textId="77777777" w:rsidR="00A102E4" w:rsidRPr="00F25F78" w:rsidRDefault="00A102E4" w:rsidP="00A102E4"/>
    <w:p w14:paraId="46821B8A" w14:textId="77777777" w:rsidR="00A07BD4" w:rsidRPr="00A07BD4" w:rsidRDefault="00A07BD4" w:rsidP="00A07BD4">
      <w:pPr>
        <w:pStyle w:val="Prrafodelista"/>
        <w:keepNext/>
        <w:widowControl/>
        <w:numPr>
          <w:ilvl w:val="0"/>
          <w:numId w:val="5"/>
        </w:numPr>
        <w:ind w:right="49"/>
        <w:contextualSpacing w:val="0"/>
        <w:outlineLvl w:val="0"/>
        <w:rPr>
          <w:b/>
          <w:vanish/>
          <w:lang w:val="es-MX"/>
        </w:rPr>
      </w:pPr>
      <w:bookmarkStart w:id="172" w:name="_Toc110522937"/>
      <w:bookmarkStart w:id="173" w:name="_Toc114066637"/>
      <w:bookmarkStart w:id="174" w:name="_Toc114473959"/>
      <w:bookmarkStart w:id="175" w:name="_Toc114476006"/>
      <w:bookmarkStart w:id="176" w:name="_Toc114476113"/>
      <w:bookmarkStart w:id="177" w:name="_Toc114476198"/>
      <w:bookmarkStart w:id="178" w:name="_Toc114476265"/>
      <w:bookmarkStart w:id="179" w:name="_Toc114476339"/>
      <w:bookmarkStart w:id="180" w:name="_Toc114476405"/>
      <w:bookmarkStart w:id="181" w:name="_Toc114492491"/>
      <w:bookmarkStart w:id="182" w:name="_Toc114492692"/>
      <w:bookmarkStart w:id="183" w:name="_Toc114493802"/>
      <w:bookmarkStart w:id="184" w:name="_Toc114495257"/>
      <w:bookmarkStart w:id="185" w:name="_Toc79746360"/>
      <w:bookmarkEnd w:id="172"/>
      <w:bookmarkEnd w:id="173"/>
      <w:bookmarkEnd w:id="174"/>
      <w:bookmarkEnd w:id="175"/>
      <w:bookmarkEnd w:id="176"/>
      <w:bookmarkEnd w:id="177"/>
      <w:bookmarkEnd w:id="178"/>
      <w:bookmarkEnd w:id="179"/>
      <w:bookmarkEnd w:id="180"/>
      <w:bookmarkEnd w:id="181"/>
      <w:bookmarkEnd w:id="182"/>
      <w:bookmarkEnd w:id="183"/>
      <w:bookmarkEnd w:id="184"/>
    </w:p>
    <w:p w14:paraId="51C10700" w14:textId="086FDD1B" w:rsidR="00A102E4" w:rsidRPr="00A07BD4" w:rsidRDefault="00A102E4" w:rsidP="00A9708A">
      <w:pPr>
        <w:pStyle w:val="Ttulo1"/>
        <w:widowControl/>
        <w:numPr>
          <w:ilvl w:val="1"/>
          <w:numId w:val="5"/>
        </w:numPr>
        <w:ind w:left="567" w:right="49" w:hanging="283"/>
        <w:jc w:val="left"/>
        <w:rPr>
          <w:color w:val="auto"/>
          <w:sz w:val="24"/>
          <w:lang w:val="es-MX"/>
        </w:rPr>
      </w:pPr>
      <w:bookmarkStart w:id="186" w:name="_Toc114495258"/>
      <w:r w:rsidRPr="00A07BD4">
        <w:rPr>
          <w:color w:val="auto"/>
          <w:sz w:val="24"/>
          <w:lang w:val="es-MX"/>
        </w:rPr>
        <w:t>Importancia del riesgo fiscal en las Municipalidades</w:t>
      </w:r>
      <w:bookmarkEnd w:id="185"/>
      <w:bookmarkEnd w:id="186"/>
      <w:r w:rsidRPr="00A07BD4">
        <w:rPr>
          <w:color w:val="auto"/>
          <w:sz w:val="24"/>
          <w:lang w:val="es-MX"/>
        </w:rPr>
        <w:t xml:space="preserve">   </w:t>
      </w:r>
    </w:p>
    <w:p w14:paraId="75365A0C" w14:textId="77777777" w:rsidR="00A102E4" w:rsidRPr="00DD3EE2" w:rsidRDefault="00A102E4" w:rsidP="00A102E4">
      <w:pPr>
        <w:pStyle w:val="Sinespaciado"/>
        <w:ind w:right="49"/>
        <w:jc w:val="both"/>
        <w:rPr>
          <w:color w:val="FF0000"/>
          <w:highlight w:val="yellow"/>
          <w:lang w:val="es-MX"/>
        </w:rPr>
      </w:pPr>
    </w:p>
    <w:bookmarkEnd w:id="171"/>
    <w:p w14:paraId="41297067" w14:textId="488010CA" w:rsidR="00A102E4" w:rsidRPr="002333A9" w:rsidRDefault="00A102E4" w:rsidP="002333A9">
      <w:pPr>
        <w:jc w:val="both"/>
        <w:rPr>
          <w:bCs/>
          <w:color w:val="000000" w:themeColor="text1"/>
          <w:lang w:val="es-MX"/>
        </w:rPr>
      </w:pPr>
      <w:r w:rsidRPr="002333A9">
        <w:rPr>
          <w:bCs/>
          <w:color w:val="000000" w:themeColor="text1"/>
          <w:lang w:val="es-MX"/>
        </w:rPr>
        <w:t>El territorio de Guatemala está organizado por 22 departamentos y 340 municipios. Estos municipios podrían llegar a ser una fuente importante de riesgo fiscal para el gobierno central derivado que en caso una municipalidad o varias presente dificultades financieras simultáneamente, existe implícitamente la posibilidad</w:t>
      </w:r>
      <w:r w:rsidR="00531D83">
        <w:rPr>
          <w:bCs/>
          <w:color w:val="000000" w:themeColor="text1"/>
          <w:lang w:val="es-MX"/>
        </w:rPr>
        <w:t xml:space="preserve"> o presunción </w:t>
      </w:r>
      <w:r w:rsidRPr="002333A9">
        <w:rPr>
          <w:bCs/>
          <w:color w:val="000000" w:themeColor="text1"/>
          <w:lang w:val="es-MX"/>
        </w:rPr>
        <w:t xml:space="preserve">de que el gobierno central </w:t>
      </w:r>
      <w:r w:rsidR="00531D83">
        <w:rPr>
          <w:bCs/>
          <w:color w:val="000000" w:themeColor="text1"/>
          <w:lang w:val="es-MX"/>
        </w:rPr>
        <w:t xml:space="preserve">debe </w:t>
      </w:r>
      <w:r w:rsidR="00D82C56">
        <w:rPr>
          <w:bCs/>
          <w:color w:val="000000" w:themeColor="text1"/>
          <w:lang w:val="es-MX"/>
        </w:rPr>
        <w:t>salir a</w:t>
      </w:r>
      <w:r w:rsidR="00531D83">
        <w:rPr>
          <w:bCs/>
          <w:color w:val="000000" w:themeColor="text1"/>
          <w:lang w:val="es-MX"/>
        </w:rPr>
        <w:t xml:space="preserve"> </w:t>
      </w:r>
      <w:r w:rsidRPr="002333A9">
        <w:rPr>
          <w:bCs/>
          <w:color w:val="000000" w:themeColor="text1"/>
          <w:lang w:val="es-MX"/>
        </w:rPr>
        <w:t>auxiliar a la municipalidad en dificultades, poniendo presión sobre los recursos del gobierno central, que ya están sujetos a restricciones presupuestarias.</w:t>
      </w:r>
    </w:p>
    <w:p w14:paraId="6DC9E493" w14:textId="77777777" w:rsidR="00A102E4" w:rsidRPr="002333A9" w:rsidRDefault="00A102E4" w:rsidP="002333A9">
      <w:pPr>
        <w:jc w:val="both"/>
        <w:rPr>
          <w:bCs/>
          <w:color w:val="000000" w:themeColor="text1"/>
          <w:lang w:val="es-MX"/>
        </w:rPr>
      </w:pPr>
    </w:p>
    <w:p w14:paraId="7552CE57" w14:textId="77777777" w:rsidR="00A102E4" w:rsidRPr="002333A9" w:rsidRDefault="00A102E4" w:rsidP="002333A9">
      <w:pPr>
        <w:jc w:val="both"/>
        <w:rPr>
          <w:bCs/>
          <w:color w:val="000000" w:themeColor="text1"/>
          <w:lang w:val="es-MX"/>
        </w:rPr>
      </w:pPr>
      <w:r w:rsidRPr="002333A9">
        <w:rPr>
          <w:bCs/>
          <w:color w:val="000000" w:themeColor="text1"/>
          <w:lang w:val="es-MX"/>
        </w:rPr>
        <w:t xml:space="preserve">Dentro del Manual de Transparencia Fiscal del Fondo Monetario Internacional (FMI) se reconoce la importancia de identificar los pasivos contingentes, compuestos por garantías explícitas e implícitas, siendo el caso de las municipalidades una garantía implícita. </w:t>
      </w:r>
    </w:p>
    <w:p w14:paraId="04C2D206" w14:textId="77777777" w:rsidR="00A102E4" w:rsidRPr="002333A9" w:rsidRDefault="00A102E4" w:rsidP="002333A9">
      <w:pPr>
        <w:jc w:val="both"/>
        <w:rPr>
          <w:bCs/>
          <w:color w:val="000000" w:themeColor="text1"/>
          <w:lang w:val="es-MX"/>
        </w:rPr>
      </w:pPr>
    </w:p>
    <w:p w14:paraId="40FFF1BE" w14:textId="1C75980A" w:rsidR="00A102E4" w:rsidRDefault="00A102E4" w:rsidP="002333A9">
      <w:pPr>
        <w:jc w:val="both"/>
        <w:rPr>
          <w:bCs/>
          <w:color w:val="000000" w:themeColor="text1"/>
          <w:lang w:val="es-MX"/>
        </w:rPr>
      </w:pPr>
      <w:r w:rsidRPr="002333A9">
        <w:rPr>
          <w:bCs/>
          <w:color w:val="000000" w:themeColor="text1"/>
          <w:lang w:val="es-MX"/>
        </w:rPr>
        <w:t xml:space="preserve">Aunque no existe una obligación legal por Decreto que ampare dicha intervención, se podría inferir que el gobierno, previa autorización del Organismo Legislativo, evitaría que una municipalidad caiga en default y deje de cumplir con sus compromisos financieros, dado que, en este escenario hipotético significaría que la municipalidad no podría hacer frente a sus obligaciones financieras (pagos de deuda).  </w:t>
      </w:r>
    </w:p>
    <w:p w14:paraId="66566869" w14:textId="1BF06781" w:rsidR="00D82C56" w:rsidRDefault="00D82C56" w:rsidP="002333A9">
      <w:pPr>
        <w:jc w:val="both"/>
        <w:rPr>
          <w:bCs/>
          <w:color w:val="000000" w:themeColor="text1"/>
          <w:lang w:val="es-MX"/>
        </w:rPr>
      </w:pPr>
    </w:p>
    <w:p w14:paraId="70BF6DCB" w14:textId="3F8E8C15" w:rsidR="00D82C56" w:rsidRPr="002333A9" w:rsidRDefault="00D82C56" w:rsidP="002333A9">
      <w:pPr>
        <w:jc w:val="both"/>
        <w:rPr>
          <w:bCs/>
          <w:color w:val="000000" w:themeColor="text1"/>
          <w:lang w:val="es-MX"/>
        </w:rPr>
      </w:pPr>
      <w:r w:rsidRPr="00D82C56">
        <w:rPr>
          <w:bCs/>
          <w:color w:val="000000" w:themeColor="text1"/>
        </w:rPr>
        <w:t>Por ello es importante identificar el riesgo fiscal derivado de las municipalidades, principalmente por préstamos y deudas acumuladas, dado que una vez que la municipalidad no puede hacerse cargo, dichas obligaciones pasarían a ser parte de la deuda del gobierno, convirtiéndose en un pasivo explícito, ya que el gobierno central asumiría esos compromisos de pago, esta expectativa podría materializarse más aún si el gobierno ha acudido anteriormente al rescate de las municipalidades.</w:t>
      </w:r>
    </w:p>
    <w:p w14:paraId="35E9DD64" w14:textId="77777777" w:rsidR="00A102E4" w:rsidRDefault="00A102E4" w:rsidP="00A102E4">
      <w:pPr>
        <w:pStyle w:val="Sinespaciado"/>
        <w:ind w:left="567" w:right="49"/>
        <w:jc w:val="both"/>
        <w:rPr>
          <w:bCs/>
          <w:highlight w:val="yellow"/>
          <w:lang w:val="es-MX"/>
        </w:rPr>
      </w:pPr>
    </w:p>
    <w:p w14:paraId="67DF1739" w14:textId="654F76A7" w:rsidR="00A102E4" w:rsidRPr="00A07BD4" w:rsidRDefault="00A102E4" w:rsidP="00A9708A">
      <w:pPr>
        <w:pStyle w:val="Ttulo1"/>
        <w:widowControl/>
        <w:numPr>
          <w:ilvl w:val="1"/>
          <w:numId w:val="5"/>
        </w:numPr>
        <w:ind w:left="567" w:right="49" w:hanging="283"/>
        <w:jc w:val="left"/>
        <w:rPr>
          <w:color w:val="auto"/>
          <w:sz w:val="24"/>
          <w:lang w:val="es-MX"/>
        </w:rPr>
      </w:pPr>
      <w:bookmarkStart w:id="187" w:name="_Toc79746361"/>
      <w:bookmarkStart w:id="188" w:name="_Toc114495259"/>
      <w:r w:rsidRPr="00A07BD4">
        <w:rPr>
          <w:color w:val="auto"/>
          <w:sz w:val="24"/>
          <w:lang w:val="es-MX"/>
        </w:rPr>
        <w:t>Identificación y Evaluación</w:t>
      </w:r>
      <w:bookmarkEnd w:id="187"/>
      <w:bookmarkEnd w:id="188"/>
      <w:r w:rsidRPr="00A07BD4">
        <w:rPr>
          <w:color w:val="auto"/>
          <w:sz w:val="24"/>
          <w:lang w:val="es-MX"/>
        </w:rPr>
        <w:t xml:space="preserve"> </w:t>
      </w:r>
    </w:p>
    <w:p w14:paraId="748AD400" w14:textId="77777777" w:rsidR="00A102E4" w:rsidRPr="00612F55" w:rsidRDefault="00A102E4" w:rsidP="00A102E4"/>
    <w:p w14:paraId="0CF3EC3B" w14:textId="5ABED195" w:rsidR="00A102E4" w:rsidRPr="002333A9" w:rsidRDefault="00A102E4" w:rsidP="002333A9">
      <w:pPr>
        <w:jc w:val="both"/>
        <w:rPr>
          <w:bCs/>
          <w:color w:val="000000" w:themeColor="text1"/>
          <w:lang w:val="es-MX"/>
        </w:rPr>
      </w:pPr>
      <w:r w:rsidRPr="002333A9">
        <w:rPr>
          <w:bCs/>
          <w:color w:val="000000" w:themeColor="text1"/>
          <w:lang w:val="es-MX"/>
        </w:rPr>
        <w:t xml:space="preserve">Para el efecto se tomaron en consideración </w:t>
      </w:r>
      <w:r w:rsidR="00D82C56">
        <w:rPr>
          <w:bCs/>
          <w:color w:val="000000" w:themeColor="text1"/>
          <w:lang w:val="es-MX"/>
        </w:rPr>
        <w:t>cuatro</w:t>
      </w:r>
      <w:r w:rsidRPr="002333A9">
        <w:rPr>
          <w:bCs/>
          <w:color w:val="000000" w:themeColor="text1"/>
          <w:lang w:val="es-MX"/>
        </w:rPr>
        <w:t xml:space="preserve"> indicadores, para realizar una evaluación global y a nivel municipal de posibles fuentes de riesgos fiscales.</w:t>
      </w:r>
    </w:p>
    <w:p w14:paraId="04BA3A07" w14:textId="77777777" w:rsidR="00A102E4" w:rsidRPr="002333A9" w:rsidRDefault="00A102E4" w:rsidP="002333A9">
      <w:pPr>
        <w:jc w:val="both"/>
        <w:rPr>
          <w:bCs/>
          <w:color w:val="000000" w:themeColor="text1"/>
          <w:lang w:val="es-MX"/>
        </w:rPr>
      </w:pPr>
    </w:p>
    <w:p w14:paraId="7750C08F" w14:textId="7E26A8CA" w:rsidR="00A102E4" w:rsidRDefault="00A102E4" w:rsidP="002333A9">
      <w:pPr>
        <w:jc w:val="both"/>
        <w:rPr>
          <w:bCs/>
          <w:color w:val="000000" w:themeColor="text1"/>
          <w:lang w:val="es-MX"/>
        </w:rPr>
      </w:pPr>
      <w:r w:rsidRPr="002333A9">
        <w:rPr>
          <w:bCs/>
          <w:color w:val="000000" w:themeColor="text1"/>
          <w:lang w:val="es-MX"/>
        </w:rPr>
        <w:t>Con los resultados obtenidos de los indicadores seleccionados, es posible tener indicadores de alerta para la toma de decisiones de aquellas municipalidades que se encuentran mal evaluadas, permitiendo identificar aquellas que necesitan una mejora en cuento a disciplina fiscal, transparencia y rendición de cuentas.</w:t>
      </w:r>
    </w:p>
    <w:p w14:paraId="2C264AF7" w14:textId="5416A9B1" w:rsidR="001349EE" w:rsidRDefault="001349EE" w:rsidP="002333A9">
      <w:pPr>
        <w:jc w:val="both"/>
        <w:rPr>
          <w:bCs/>
          <w:color w:val="000000" w:themeColor="text1"/>
          <w:lang w:val="es-MX"/>
        </w:rPr>
      </w:pPr>
    </w:p>
    <w:p w14:paraId="0478BB7A" w14:textId="6B5CC377" w:rsidR="001349EE" w:rsidRPr="002333A9" w:rsidRDefault="001349EE" w:rsidP="001349EE">
      <w:pPr>
        <w:jc w:val="both"/>
        <w:rPr>
          <w:bCs/>
          <w:color w:val="000000" w:themeColor="text1"/>
          <w:lang w:val="es-MX"/>
        </w:rPr>
      </w:pPr>
      <w:r w:rsidRPr="001349EE">
        <w:rPr>
          <w:bCs/>
          <w:color w:val="000000" w:themeColor="text1"/>
          <w:lang w:val="es-MX"/>
        </w:rPr>
        <w:t>No obstante, es importante realizar el descargo de responsabilidad, dado que los datos presentados</w:t>
      </w:r>
      <w:r>
        <w:rPr>
          <w:bCs/>
          <w:color w:val="000000" w:themeColor="text1"/>
          <w:lang w:val="es-MX"/>
        </w:rPr>
        <w:t xml:space="preserve"> </w:t>
      </w:r>
      <w:r w:rsidRPr="001349EE">
        <w:rPr>
          <w:bCs/>
          <w:color w:val="000000" w:themeColor="text1"/>
          <w:lang w:val="es-MX"/>
        </w:rPr>
        <w:t>por las municipalidades en los sistemas pueden estar afectados por numerosos factores, tales como</w:t>
      </w:r>
      <w:r>
        <w:rPr>
          <w:bCs/>
          <w:color w:val="000000" w:themeColor="text1"/>
          <w:lang w:val="es-MX"/>
        </w:rPr>
        <w:t xml:space="preserve"> </w:t>
      </w:r>
      <w:r w:rsidRPr="001349EE">
        <w:rPr>
          <w:bCs/>
          <w:color w:val="000000" w:themeColor="text1"/>
          <w:lang w:val="es-MX"/>
        </w:rPr>
        <w:t>problemas de registro, calidad de los datos y acceso a la información.</w:t>
      </w:r>
    </w:p>
    <w:p w14:paraId="6FF8199E" w14:textId="77777777" w:rsidR="00A102E4" w:rsidRPr="00EB56BD" w:rsidRDefault="00A102E4" w:rsidP="00A102E4">
      <w:pPr>
        <w:pStyle w:val="Sinespaciado"/>
        <w:ind w:left="561" w:right="49"/>
        <w:jc w:val="both"/>
        <w:rPr>
          <w:bCs/>
          <w:lang w:val="es-MX"/>
        </w:rPr>
      </w:pPr>
    </w:p>
    <w:p w14:paraId="1BFBC35A" w14:textId="6578A25B" w:rsidR="00A102E4" w:rsidRPr="00A07BD4" w:rsidRDefault="00A102E4" w:rsidP="00A9708A">
      <w:pPr>
        <w:pStyle w:val="Ttulo1"/>
        <w:widowControl/>
        <w:numPr>
          <w:ilvl w:val="1"/>
          <w:numId w:val="5"/>
        </w:numPr>
        <w:ind w:left="567" w:right="49" w:hanging="283"/>
        <w:jc w:val="left"/>
        <w:rPr>
          <w:color w:val="auto"/>
          <w:sz w:val="24"/>
          <w:lang w:val="es-MX"/>
        </w:rPr>
      </w:pPr>
      <w:bookmarkStart w:id="189" w:name="_Toc79746362"/>
      <w:bookmarkStart w:id="190" w:name="_Toc114495260"/>
      <w:r w:rsidRPr="00A07BD4">
        <w:rPr>
          <w:color w:val="auto"/>
          <w:sz w:val="24"/>
          <w:lang w:val="es-MX"/>
        </w:rPr>
        <w:t>Autonomía Financiera de las Municipalidades</w:t>
      </w:r>
      <w:bookmarkEnd w:id="189"/>
      <w:bookmarkEnd w:id="190"/>
    </w:p>
    <w:p w14:paraId="24821E67" w14:textId="77777777" w:rsidR="00A102E4" w:rsidRDefault="00A102E4" w:rsidP="00A102E4">
      <w:pPr>
        <w:jc w:val="both"/>
        <w:rPr>
          <w:rFonts w:eastAsia="OptimaLTStd"/>
          <w:color w:val="FF0000"/>
          <w:lang w:val="es-ES"/>
        </w:rPr>
      </w:pPr>
    </w:p>
    <w:p w14:paraId="6B41EE9E" w14:textId="10AD2ABB" w:rsidR="00986740" w:rsidRDefault="00A102E4" w:rsidP="002333A9">
      <w:pPr>
        <w:jc w:val="both"/>
        <w:rPr>
          <w:bCs/>
          <w:color w:val="000000" w:themeColor="text1"/>
          <w:lang w:val="es-MX"/>
        </w:rPr>
      </w:pPr>
      <w:r w:rsidRPr="002333A9">
        <w:rPr>
          <w:bCs/>
          <w:color w:val="000000" w:themeColor="text1"/>
          <w:lang w:val="es-MX"/>
        </w:rPr>
        <w:t xml:space="preserve">Dentro de la Constitución Política de la República de Guatemala, se establece en el artículo 253 que los municipios son instituciones autónomas, teniendo entre sus competencias la gestión financiera del municipio.  Asimismo, en el artículo 257 se regula la asignación para las municipalidades, el Ejecutivo incluye anualmente en el Presupuesto General del Estado, un 10.0% para las Municipalidades del país. Otras fuentes importantes de sus recursos provienen el IVA- Paz, circulación de vehículos, entre otros impuestos. </w:t>
      </w:r>
      <w:r w:rsidR="00986740" w:rsidRPr="00986740">
        <w:rPr>
          <w:bCs/>
          <w:color w:val="000000" w:themeColor="text1"/>
          <w:lang w:val="es-MX"/>
        </w:rPr>
        <w:t>Dichos recursos son trasladados por el Gobierno Central a las Municipalidades a través de</w:t>
      </w:r>
      <w:r w:rsidR="00986740">
        <w:rPr>
          <w:bCs/>
          <w:color w:val="000000" w:themeColor="text1"/>
          <w:lang w:val="es-MX"/>
        </w:rPr>
        <w:t xml:space="preserve"> </w:t>
      </w:r>
      <w:r w:rsidR="00986740" w:rsidRPr="00986740">
        <w:rPr>
          <w:bCs/>
          <w:color w:val="000000" w:themeColor="text1"/>
          <w:lang w:val="es-MX"/>
        </w:rPr>
        <w:t>transferencias y algunas municipalidades muestran una alta dependencia de estas transferencias</w:t>
      </w:r>
      <w:r w:rsidR="00986740">
        <w:rPr>
          <w:bCs/>
          <w:color w:val="000000" w:themeColor="text1"/>
          <w:lang w:val="es-MX"/>
        </w:rPr>
        <w:t xml:space="preserve">, </w:t>
      </w:r>
      <w:r w:rsidR="00986740" w:rsidRPr="00986740">
        <w:rPr>
          <w:bCs/>
          <w:color w:val="000000" w:themeColor="text1"/>
          <w:lang w:val="es-MX"/>
        </w:rPr>
        <w:t>constituyéndose en un factor negativo ya que podría existir un desánimo por parte de las municipalidades por buscar recaudar recursos propios.</w:t>
      </w:r>
    </w:p>
    <w:p w14:paraId="59A2561D" w14:textId="77777777" w:rsidR="00986740" w:rsidRDefault="00986740" w:rsidP="002333A9">
      <w:pPr>
        <w:jc w:val="both"/>
        <w:rPr>
          <w:bCs/>
          <w:color w:val="000000" w:themeColor="text1"/>
          <w:lang w:val="es-MX"/>
        </w:rPr>
      </w:pPr>
    </w:p>
    <w:p w14:paraId="2ED50C91" w14:textId="4E09FE0D" w:rsidR="00A102E4" w:rsidRPr="002333A9" w:rsidRDefault="00986740" w:rsidP="00986740">
      <w:pPr>
        <w:jc w:val="both"/>
        <w:rPr>
          <w:bCs/>
          <w:color w:val="000000" w:themeColor="text1"/>
          <w:lang w:val="es-MX"/>
        </w:rPr>
      </w:pPr>
      <w:r>
        <w:rPr>
          <w:bCs/>
          <w:color w:val="000000" w:themeColor="text1"/>
          <w:lang w:val="es-MX"/>
        </w:rPr>
        <w:t>P</w:t>
      </w:r>
      <w:r w:rsidR="00A102E4" w:rsidRPr="002333A9">
        <w:rPr>
          <w:bCs/>
          <w:color w:val="000000" w:themeColor="text1"/>
          <w:lang w:val="es-MX"/>
        </w:rPr>
        <w:t>or ello se considera importante medir los ingresos propios municipales con relación al total de los ingresos percibidos en el período, y de esta forma determinar la capacidad y esfuerzo de las municipalidades por captar recursos propios</w:t>
      </w:r>
      <w:r>
        <w:rPr>
          <w:bCs/>
          <w:color w:val="000000" w:themeColor="text1"/>
          <w:lang w:val="es-MX"/>
        </w:rPr>
        <w:t xml:space="preserve">, </w:t>
      </w:r>
      <w:r w:rsidRPr="00986740">
        <w:rPr>
          <w:bCs/>
          <w:color w:val="000000" w:themeColor="text1"/>
          <w:lang w:val="es-MX"/>
        </w:rPr>
        <w:t>los cuales de</w:t>
      </w:r>
      <w:r>
        <w:rPr>
          <w:bCs/>
          <w:color w:val="000000" w:themeColor="text1"/>
          <w:lang w:val="es-MX"/>
        </w:rPr>
        <w:t xml:space="preserve"> </w:t>
      </w:r>
      <w:r w:rsidRPr="00986740">
        <w:rPr>
          <w:bCs/>
          <w:color w:val="000000" w:themeColor="text1"/>
          <w:lang w:val="es-MX"/>
        </w:rPr>
        <w:t>acuerdo al Código Municipal provienen de recaudación de tasas, arbitrios, servicios municipales,</w:t>
      </w:r>
      <w:r>
        <w:rPr>
          <w:bCs/>
          <w:color w:val="000000" w:themeColor="text1"/>
          <w:lang w:val="es-MX"/>
        </w:rPr>
        <w:t xml:space="preserve"> </w:t>
      </w:r>
      <w:r w:rsidRPr="00986740">
        <w:rPr>
          <w:bCs/>
          <w:color w:val="000000" w:themeColor="text1"/>
          <w:lang w:val="es-MX"/>
        </w:rPr>
        <w:t>contribuciones por mejoras, contribuciones por la explotación comercial de los recursos del</w:t>
      </w:r>
      <w:r>
        <w:rPr>
          <w:bCs/>
          <w:color w:val="000000" w:themeColor="text1"/>
          <w:lang w:val="es-MX"/>
        </w:rPr>
        <w:t xml:space="preserve"> </w:t>
      </w:r>
      <w:r w:rsidRPr="00986740">
        <w:rPr>
          <w:bCs/>
          <w:color w:val="000000" w:themeColor="text1"/>
          <w:lang w:val="es-MX"/>
        </w:rPr>
        <w:t>municipio, entre otros.</w:t>
      </w:r>
    </w:p>
    <w:p w14:paraId="3E4FE487" w14:textId="77777777" w:rsidR="00A102E4" w:rsidRPr="002333A9" w:rsidRDefault="00A102E4" w:rsidP="002333A9">
      <w:pPr>
        <w:jc w:val="both"/>
        <w:rPr>
          <w:bCs/>
          <w:color w:val="000000" w:themeColor="text1"/>
          <w:lang w:val="es-MX"/>
        </w:rPr>
      </w:pPr>
    </w:p>
    <w:p w14:paraId="19FEDE52" w14:textId="77777777" w:rsidR="00A102E4" w:rsidRPr="002333A9" w:rsidRDefault="00A102E4" w:rsidP="002333A9">
      <w:pPr>
        <w:jc w:val="both"/>
        <w:rPr>
          <w:bCs/>
          <w:color w:val="000000" w:themeColor="text1"/>
          <w:lang w:val="es-MX"/>
        </w:rPr>
      </w:pPr>
      <w:r w:rsidRPr="002333A9">
        <w:rPr>
          <w:bCs/>
          <w:color w:val="000000" w:themeColor="text1"/>
          <w:lang w:val="es-MX"/>
        </w:rPr>
        <w:t>Las municipalidades incrementaron su indicador de autonomía financiera respecto a lo observado en los dos años previos, siendo en 2021 del 30.3% mientras que en 2020 y 2019 había sido de 29.6% y 28.5% respectivamente. Adicionalmente, es oportuno mencionar que la cifra de 2021 se encuentra por encima del promedio observado entre 2016 y 2021, el cual es de 30.1% pero continúa mostrando una alta dependencia de las transferencias que recibe de otros sectores, especialmente de la Administración Central.</w:t>
      </w:r>
    </w:p>
    <w:p w14:paraId="61A3AA02" w14:textId="77777777" w:rsidR="00A102E4" w:rsidRDefault="00A102E4" w:rsidP="00A102E4">
      <w:pPr>
        <w:pStyle w:val="Sinespaciado"/>
        <w:ind w:left="567" w:right="49"/>
        <w:jc w:val="both"/>
        <w:rPr>
          <w:bCs/>
          <w:lang w:val="es-MX"/>
        </w:rPr>
      </w:pPr>
    </w:p>
    <w:p w14:paraId="5EBDEDBC" w14:textId="2DD7AB6F" w:rsidR="00A102E4" w:rsidRPr="003C4DE4" w:rsidRDefault="003C4DE4" w:rsidP="003C4DE4">
      <w:pPr>
        <w:pStyle w:val="Descripcin"/>
        <w:keepNext/>
        <w:rPr>
          <w:color w:val="auto"/>
        </w:rPr>
      </w:pPr>
      <w:bookmarkStart w:id="191" w:name="_Toc114493884"/>
      <w:r w:rsidRPr="003C4DE4">
        <w:rPr>
          <w:color w:val="auto"/>
        </w:rPr>
        <w:t xml:space="preserve">Gráfico </w:t>
      </w:r>
      <w:r w:rsidRPr="003C4DE4">
        <w:rPr>
          <w:color w:val="auto"/>
        </w:rPr>
        <w:fldChar w:fldCharType="begin"/>
      </w:r>
      <w:r w:rsidRPr="003C4DE4">
        <w:rPr>
          <w:color w:val="auto"/>
        </w:rPr>
        <w:instrText xml:space="preserve"> SEQ Gráfico \* ARABIC </w:instrText>
      </w:r>
      <w:r w:rsidRPr="003C4DE4">
        <w:rPr>
          <w:color w:val="auto"/>
        </w:rPr>
        <w:fldChar w:fldCharType="separate"/>
      </w:r>
      <w:r w:rsidR="002E7809">
        <w:rPr>
          <w:noProof/>
          <w:color w:val="auto"/>
        </w:rPr>
        <w:t>42</w:t>
      </w:r>
      <w:r w:rsidRPr="003C4DE4">
        <w:rPr>
          <w:color w:val="auto"/>
        </w:rPr>
        <w:fldChar w:fldCharType="end"/>
      </w:r>
      <w:r w:rsidRPr="003C4DE4">
        <w:rPr>
          <w:color w:val="auto"/>
        </w:rPr>
        <w:t xml:space="preserve">.  </w:t>
      </w:r>
      <w:r w:rsidR="00A102E4" w:rsidRPr="003C4DE4">
        <w:rPr>
          <w:bCs/>
          <w:color w:val="auto"/>
          <w:lang w:val="es-MX"/>
        </w:rPr>
        <w:t>Autonomía Financiera de las Municipalidades</w:t>
      </w:r>
      <w:bookmarkEnd w:id="191"/>
    </w:p>
    <w:p w14:paraId="37562B6D" w14:textId="77777777" w:rsidR="00A102E4" w:rsidRPr="00AE12D6" w:rsidRDefault="00A102E4" w:rsidP="00A102E4">
      <w:pPr>
        <w:pStyle w:val="Sinespaciado"/>
        <w:ind w:left="567" w:right="49"/>
        <w:jc w:val="center"/>
        <w:rPr>
          <w:b/>
          <w:bCs/>
        </w:rPr>
      </w:pPr>
      <w:r w:rsidRPr="006A7014">
        <w:rPr>
          <w:lang w:val="es-MX"/>
        </w:rPr>
        <w:t>(</w:t>
      </w:r>
      <w:r>
        <w:rPr>
          <w:lang w:val="es-MX"/>
        </w:rPr>
        <w:t>Como</w:t>
      </w:r>
      <w:r w:rsidRPr="006A7014">
        <w:rPr>
          <w:lang w:val="es-MX"/>
        </w:rPr>
        <w:t xml:space="preserve"> porcentajes respecto a sus ingresos totales)</w:t>
      </w:r>
      <w:r>
        <w:rPr>
          <w:noProof/>
          <w:lang w:val="es-GT" w:eastAsia="es-GT"/>
        </w:rPr>
        <w:drawing>
          <wp:inline distT="0" distB="0" distL="0" distR="0" wp14:anchorId="601C1B00" wp14:editId="1EC0FA79">
            <wp:extent cx="4850130" cy="1897812"/>
            <wp:effectExtent l="0" t="0" r="7620" b="7620"/>
            <wp:docPr id="40" name="Gráfico 40">
              <a:extLst xmlns:a="http://schemas.openxmlformats.org/drawingml/2006/main">
                <a:ext uri="{FF2B5EF4-FFF2-40B4-BE49-F238E27FC236}">
                  <a16:creationId xmlns:a16="http://schemas.microsoft.com/office/drawing/2014/main" id="{8D44FD47-14E1-84F2-4405-F15CAD60B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FCCBE2C" w14:textId="77777777" w:rsidR="00A102E4" w:rsidRPr="00960298" w:rsidRDefault="00A102E4" w:rsidP="00A102E4">
      <w:pPr>
        <w:autoSpaceDE w:val="0"/>
        <w:autoSpaceDN w:val="0"/>
        <w:adjustRightInd w:val="0"/>
        <w:ind w:left="708" w:firstLine="708"/>
        <w:rPr>
          <w:sz w:val="16"/>
        </w:rPr>
      </w:pPr>
      <w:r w:rsidRPr="00960298">
        <w:rPr>
          <w:sz w:val="16"/>
        </w:rPr>
        <w:t>Fuente: Sicoin GL</w:t>
      </w:r>
    </w:p>
    <w:p w14:paraId="6CA8AC6C" w14:textId="77777777" w:rsidR="00A102E4" w:rsidRDefault="00A102E4" w:rsidP="00A102E4">
      <w:pPr>
        <w:pStyle w:val="Sinespaciado"/>
        <w:ind w:left="567" w:right="49"/>
        <w:jc w:val="both"/>
        <w:rPr>
          <w:bCs/>
          <w:lang w:val="es-MX"/>
        </w:rPr>
      </w:pPr>
    </w:p>
    <w:p w14:paraId="1DEB909D" w14:textId="77777777" w:rsidR="00A102E4" w:rsidRPr="002333A9" w:rsidRDefault="00A102E4" w:rsidP="002333A9">
      <w:pPr>
        <w:jc w:val="both"/>
        <w:rPr>
          <w:bCs/>
          <w:color w:val="000000" w:themeColor="text1"/>
          <w:lang w:val="es-MX"/>
        </w:rPr>
      </w:pPr>
      <w:r w:rsidRPr="002333A9">
        <w:rPr>
          <w:bCs/>
          <w:color w:val="000000" w:themeColor="text1"/>
          <w:lang w:val="es-MX"/>
        </w:rPr>
        <w:t xml:space="preserve">Las principales municipalidades en las cuales se observan un alto nivel de autonomía financiera durante el 2021 son: Quetzaltenango con 78.7%, seguido de la municipalidad de Guatemala con el 78.0%, luego Mixco con 75.7%, Villa Nueva 69.3% y Santa Catarina Pínula 66.1%. </w:t>
      </w:r>
    </w:p>
    <w:p w14:paraId="7117A7BB" w14:textId="77777777" w:rsidR="00A102E4" w:rsidRPr="002333A9" w:rsidRDefault="00A102E4" w:rsidP="002333A9">
      <w:pPr>
        <w:jc w:val="both"/>
        <w:rPr>
          <w:bCs/>
          <w:color w:val="000000" w:themeColor="text1"/>
          <w:lang w:val="es-MX"/>
        </w:rPr>
      </w:pPr>
    </w:p>
    <w:p w14:paraId="338AA2D3" w14:textId="77777777" w:rsidR="00A102E4" w:rsidRPr="002333A9" w:rsidRDefault="00A102E4" w:rsidP="002333A9">
      <w:pPr>
        <w:jc w:val="both"/>
        <w:rPr>
          <w:bCs/>
          <w:color w:val="000000" w:themeColor="text1"/>
          <w:lang w:val="es-MX"/>
        </w:rPr>
      </w:pPr>
      <w:r w:rsidRPr="002333A9">
        <w:rPr>
          <w:bCs/>
          <w:color w:val="000000" w:themeColor="text1"/>
          <w:lang w:val="es-MX"/>
        </w:rPr>
        <w:t>En el caso contrario, las principales municipalidades con una baja autonomía y que dependen principalmente de las transferencias que reciben de la administración central, con la mayor dependencia financiera se encuentra la municipalidad de San Gaspar Ixchil con 1.5% de autonomía financiera, seguido de San Mateo Ixtatan con un 1.8%, luego Santa María Visitación con el 2.1%, Tajumulco con el 2.4% y San Bartolome Jocotenango con el 2.5%</w:t>
      </w:r>
    </w:p>
    <w:p w14:paraId="68955616" w14:textId="77777777" w:rsidR="00A102E4" w:rsidRPr="00C82725" w:rsidRDefault="00A102E4" w:rsidP="00A102E4">
      <w:pPr>
        <w:jc w:val="both"/>
        <w:rPr>
          <w:lang w:val="es-ES"/>
        </w:rPr>
      </w:pPr>
    </w:p>
    <w:tbl>
      <w:tblPr>
        <w:tblStyle w:val="Tablaconcuadrcula"/>
        <w:tblpPr w:leftFromText="141" w:rightFromText="141" w:vertAnchor="text" w:horzAnchor="margin" w:tblpY="-65"/>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3946"/>
        <w:gridCol w:w="265"/>
      </w:tblGrid>
      <w:tr w:rsidR="00A102E4" w:rsidRPr="002955CD" w14:paraId="3355BB47" w14:textId="77777777" w:rsidTr="003C4DE4">
        <w:trPr>
          <w:gridAfter w:val="1"/>
          <w:wAfter w:w="256" w:type="dxa"/>
          <w:trHeight w:val="698"/>
        </w:trPr>
        <w:tc>
          <w:tcPr>
            <w:tcW w:w="8582" w:type="dxa"/>
            <w:gridSpan w:val="2"/>
          </w:tcPr>
          <w:p w14:paraId="4414773D" w14:textId="7FBEFC2F" w:rsidR="00A102E4" w:rsidRPr="003C4DE4" w:rsidRDefault="003C4DE4" w:rsidP="003C4DE4">
            <w:pPr>
              <w:pStyle w:val="Descripcin"/>
              <w:keepNext/>
              <w:rPr>
                <w:color w:val="auto"/>
                <w:sz w:val="24"/>
                <w:szCs w:val="24"/>
              </w:rPr>
            </w:pPr>
            <w:bookmarkStart w:id="192" w:name="_Toc114493885"/>
            <w:r w:rsidRPr="003C4DE4">
              <w:rPr>
                <w:color w:val="auto"/>
                <w:sz w:val="24"/>
                <w:szCs w:val="24"/>
              </w:rPr>
              <w:t xml:space="preserve">Gráfico </w:t>
            </w:r>
            <w:r w:rsidRPr="003C4DE4">
              <w:rPr>
                <w:color w:val="auto"/>
              </w:rPr>
              <w:fldChar w:fldCharType="begin"/>
            </w:r>
            <w:r w:rsidRPr="003C4DE4">
              <w:rPr>
                <w:color w:val="auto"/>
                <w:sz w:val="24"/>
                <w:szCs w:val="24"/>
              </w:rPr>
              <w:instrText xml:space="preserve"> SEQ Gráfico \* ARABIC </w:instrText>
            </w:r>
            <w:r w:rsidRPr="003C4DE4">
              <w:rPr>
                <w:color w:val="auto"/>
              </w:rPr>
              <w:fldChar w:fldCharType="separate"/>
            </w:r>
            <w:r w:rsidR="002E7809">
              <w:rPr>
                <w:noProof/>
                <w:color w:val="auto"/>
                <w:sz w:val="24"/>
                <w:szCs w:val="24"/>
              </w:rPr>
              <w:t>43</w:t>
            </w:r>
            <w:r w:rsidRPr="003C4DE4">
              <w:rPr>
                <w:color w:val="auto"/>
              </w:rPr>
              <w:fldChar w:fldCharType="end"/>
            </w:r>
            <w:r w:rsidRPr="003C4DE4">
              <w:rPr>
                <w:color w:val="auto"/>
                <w:sz w:val="24"/>
                <w:szCs w:val="24"/>
              </w:rPr>
              <w:t xml:space="preserve">.  </w:t>
            </w:r>
            <w:r w:rsidR="00A102E4" w:rsidRPr="003C4DE4">
              <w:rPr>
                <w:bCs/>
                <w:color w:val="auto"/>
                <w:sz w:val="24"/>
                <w:szCs w:val="24"/>
              </w:rPr>
              <w:t>Principales Municipalidades</w:t>
            </w:r>
            <w:bookmarkEnd w:id="192"/>
          </w:p>
          <w:p w14:paraId="602F328E" w14:textId="77777777" w:rsidR="00A102E4" w:rsidRDefault="00A102E4" w:rsidP="003C4DE4">
            <w:pPr>
              <w:jc w:val="center"/>
              <w:rPr>
                <w:sz w:val="22"/>
                <w:szCs w:val="24"/>
              </w:rPr>
            </w:pPr>
            <w:r>
              <w:rPr>
                <w:sz w:val="22"/>
                <w:szCs w:val="24"/>
              </w:rPr>
              <w:t>P</w:t>
            </w:r>
            <w:r w:rsidRPr="00960298">
              <w:rPr>
                <w:sz w:val="22"/>
                <w:szCs w:val="24"/>
              </w:rPr>
              <w:t>ara el año 202</w:t>
            </w:r>
            <w:r>
              <w:rPr>
                <w:sz w:val="22"/>
                <w:szCs w:val="24"/>
              </w:rPr>
              <w:t>1</w:t>
            </w:r>
          </w:p>
          <w:p w14:paraId="0DB351CC" w14:textId="77777777" w:rsidR="00A102E4" w:rsidRPr="002955CD" w:rsidRDefault="00A102E4" w:rsidP="003C4DE4">
            <w:pPr>
              <w:jc w:val="center"/>
              <w:rPr>
                <w:sz w:val="24"/>
                <w:szCs w:val="24"/>
              </w:rPr>
            </w:pPr>
            <w:r>
              <w:rPr>
                <w:sz w:val="22"/>
                <w:szCs w:val="24"/>
              </w:rPr>
              <w:t>(Como porcentajes respecto a sus ingresos totales)</w:t>
            </w:r>
          </w:p>
        </w:tc>
      </w:tr>
      <w:tr w:rsidR="00A102E4" w:rsidRPr="002955CD" w14:paraId="02954021" w14:textId="77777777" w:rsidTr="003C4DE4">
        <w:tblPrEx>
          <w:tblCellMar>
            <w:left w:w="70" w:type="dxa"/>
            <w:right w:w="70" w:type="dxa"/>
          </w:tblCellMar>
        </w:tblPrEx>
        <w:trPr>
          <w:trHeight w:val="3192"/>
        </w:trPr>
        <w:tc>
          <w:tcPr>
            <w:tcW w:w="4693" w:type="dxa"/>
          </w:tcPr>
          <w:p w14:paraId="7AFE6729" w14:textId="77777777" w:rsidR="00A102E4" w:rsidRPr="002955CD" w:rsidRDefault="00A102E4" w:rsidP="003C4DE4">
            <w:pPr>
              <w:ind w:left="209"/>
              <w:rPr>
                <w:sz w:val="24"/>
                <w:szCs w:val="24"/>
              </w:rPr>
            </w:pPr>
            <w:r>
              <w:rPr>
                <w:noProof/>
              </w:rPr>
              <w:drawing>
                <wp:inline distT="0" distB="0" distL="0" distR="0" wp14:anchorId="33EB3C4F" wp14:editId="3F4FF136">
                  <wp:extent cx="2847975" cy="2124075"/>
                  <wp:effectExtent l="0" t="0" r="0" b="0"/>
                  <wp:docPr id="41" name="Gráfico 41">
                    <a:extLst xmlns:a="http://schemas.openxmlformats.org/drawingml/2006/main">
                      <a:ext uri="{FF2B5EF4-FFF2-40B4-BE49-F238E27FC236}">
                        <a16:creationId xmlns:a16="http://schemas.microsoft.com/office/drawing/2014/main" id="{AC59C9A4-A6F6-44BF-8A43-41A975461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145" w:type="dxa"/>
            <w:gridSpan w:val="2"/>
          </w:tcPr>
          <w:p w14:paraId="0CC87DF8" w14:textId="77777777" w:rsidR="00A102E4" w:rsidRPr="002955CD" w:rsidRDefault="00A102E4" w:rsidP="003C4DE4">
            <w:pPr>
              <w:rPr>
                <w:sz w:val="24"/>
                <w:szCs w:val="24"/>
              </w:rPr>
            </w:pPr>
            <w:r>
              <w:rPr>
                <w:noProof/>
              </w:rPr>
              <w:drawing>
                <wp:inline distT="0" distB="0" distL="0" distR="0" wp14:anchorId="511D8175" wp14:editId="0FB8D8F1">
                  <wp:extent cx="2706370" cy="2124075"/>
                  <wp:effectExtent l="0" t="0" r="0" b="0"/>
                  <wp:docPr id="42" name="Gráfico 42">
                    <a:extLst xmlns:a="http://schemas.openxmlformats.org/drawingml/2006/main">
                      <a:ext uri="{FF2B5EF4-FFF2-40B4-BE49-F238E27FC236}">
                        <a16:creationId xmlns:a16="http://schemas.microsoft.com/office/drawing/2014/main" id="{DFD41A59-5927-485D-A4CC-B9C37AF6E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32C9EBD6" w14:textId="77777777" w:rsidR="00A102E4" w:rsidRDefault="00A102E4" w:rsidP="00A102E4">
      <w:pPr>
        <w:ind w:firstLine="284"/>
        <w:rPr>
          <w:sz w:val="18"/>
        </w:rPr>
      </w:pPr>
      <w:r w:rsidRPr="0012440D">
        <w:rPr>
          <w:sz w:val="18"/>
        </w:rPr>
        <w:t>Fuente: Sicoin</w:t>
      </w:r>
      <w:r>
        <w:rPr>
          <w:sz w:val="18"/>
        </w:rPr>
        <w:t xml:space="preserve"> </w:t>
      </w:r>
      <w:r w:rsidRPr="0012440D">
        <w:rPr>
          <w:sz w:val="18"/>
        </w:rPr>
        <w:t>GL</w:t>
      </w:r>
    </w:p>
    <w:p w14:paraId="07692CEA" w14:textId="77777777" w:rsidR="00A102E4" w:rsidRDefault="00A102E4" w:rsidP="00A102E4">
      <w:pPr>
        <w:pStyle w:val="Sinespaciado"/>
        <w:ind w:right="49"/>
        <w:jc w:val="both"/>
        <w:rPr>
          <w:bCs/>
          <w:lang w:val="es-MX"/>
        </w:rPr>
      </w:pPr>
    </w:p>
    <w:p w14:paraId="68ECD204" w14:textId="399E4699" w:rsidR="00A102E4" w:rsidRDefault="00A102E4" w:rsidP="002333A9">
      <w:pPr>
        <w:jc w:val="both"/>
        <w:rPr>
          <w:bCs/>
          <w:color w:val="000000" w:themeColor="text1"/>
          <w:lang w:val="es-MX"/>
        </w:rPr>
      </w:pPr>
      <w:r w:rsidRPr="002333A9">
        <w:rPr>
          <w:bCs/>
          <w:color w:val="000000" w:themeColor="text1"/>
          <w:lang w:val="es-MX"/>
        </w:rPr>
        <w:t>Cabe mencionar que 327 municipalidades (el 96.2% del total) tiene una autonomía financiera inferior al 50% y son solamente 13 municipalidades que poseen un valor superior, de los cuales 7 municipalidades poseen un valor entre el 50% y 59.9%, 3 municipalidades entre el 60% y 69.9% y el restante (3 entidades) poseen un valor superior al 70%.</w:t>
      </w:r>
    </w:p>
    <w:p w14:paraId="08073413" w14:textId="7CB4030E" w:rsidR="00986740" w:rsidRDefault="00986740" w:rsidP="002333A9">
      <w:pPr>
        <w:jc w:val="both"/>
        <w:rPr>
          <w:bCs/>
          <w:color w:val="000000" w:themeColor="text1"/>
          <w:lang w:val="es-MX"/>
        </w:rPr>
      </w:pPr>
    </w:p>
    <w:p w14:paraId="20E63B3B" w14:textId="0A19E7E1" w:rsidR="00986740" w:rsidRPr="001D18D0" w:rsidRDefault="00986740" w:rsidP="001D18D0">
      <w:pPr>
        <w:pStyle w:val="Ttulo1"/>
        <w:widowControl/>
        <w:numPr>
          <w:ilvl w:val="1"/>
          <w:numId w:val="5"/>
        </w:numPr>
        <w:ind w:left="567" w:right="49" w:hanging="283"/>
        <w:jc w:val="left"/>
        <w:rPr>
          <w:color w:val="auto"/>
          <w:sz w:val="24"/>
          <w:lang w:val="es-MX"/>
        </w:rPr>
      </w:pPr>
      <w:bookmarkStart w:id="193" w:name="_Toc114495261"/>
      <w:r w:rsidRPr="001D18D0">
        <w:rPr>
          <w:color w:val="auto"/>
          <w:sz w:val="24"/>
          <w:lang w:val="es-MX"/>
        </w:rPr>
        <w:t>Inversión Real Directa por habitante de las municipalidades</w:t>
      </w:r>
      <w:bookmarkEnd w:id="193"/>
    </w:p>
    <w:p w14:paraId="79985CE1" w14:textId="6530248A" w:rsidR="00986740" w:rsidRDefault="00986740" w:rsidP="002333A9">
      <w:pPr>
        <w:jc w:val="both"/>
        <w:rPr>
          <w:bCs/>
          <w:color w:val="000000" w:themeColor="text1"/>
          <w:lang w:val="es-MX"/>
        </w:rPr>
      </w:pPr>
    </w:p>
    <w:p w14:paraId="73A3EE2F" w14:textId="073FFDB7" w:rsidR="00986740" w:rsidRDefault="00986740" w:rsidP="002333A9">
      <w:pPr>
        <w:jc w:val="both"/>
      </w:pPr>
      <w:r>
        <w:t xml:space="preserve">Dentro del Decreto 14-2022 “Ley General de Descentralización” se ha promovido la descentralización que busca darle una mayor responsabilidad a las municipalidades de forma progresiva en cuanto a las competencias que realiza el Organismo Ejecutivo, con el fin de optimizar la actuación del Estado en los territorios, tomando en cuenta además que las municipalidades son el ente de autoridad más cercado a las población local y derivado de ello tienen un mayor conocimiento de las necesidades y de la forma de satisfacerlas. </w:t>
      </w:r>
    </w:p>
    <w:p w14:paraId="4F02F766" w14:textId="77777777" w:rsidR="00986740" w:rsidRDefault="00986740" w:rsidP="002333A9">
      <w:pPr>
        <w:jc w:val="both"/>
      </w:pPr>
    </w:p>
    <w:p w14:paraId="50CC2150" w14:textId="77777777" w:rsidR="00986740" w:rsidRDefault="00986740" w:rsidP="002333A9">
      <w:pPr>
        <w:jc w:val="both"/>
      </w:pPr>
      <w:r>
        <w:t>Una fuente de riesgo fiscal para el gobierno central puede derivarse de la falta de correspondencia entre las responsabilidades que tienen las municipalidades en proveer bienes y servicios de calidad a la población y los recursos a su disposición, en la medida que estas demandas no sean suplidas por las municipalidades, existirá una mayor presión por parte de la población local para que el gobierno central asigne una mayor cantidad de recursos. Otro escenario posible es la migración interna, obligando con ello a que la demanda de necesidades sea cubierta por otra municipalidad con la consecuente presión que existirá hacia los recursos de esa municipalidad y por ende hacia el gobierno central.</w:t>
      </w:r>
    </w:p>
    <w:p w14:paraId="65F55E17" w14:textId="77777777" w:rsidR="00986740" w:rsidRDefault="00986740" w:rsidP="002333A9">
      <w:pPr>
        <w:jc w:val="both"/>
      </w:pPr>
    </w:p>
    <w:p w14:paraId="65258C12" w14:textId="77777777" w:rsidR="00720607" w:rsidRDefault="00986740" w:rsidP="002333A9">
      <w:pPr>
        <w:jc w:val="both"/>
      </w:pPr>
      <w:r>
        <w:t xml:space="preserve">El indicador considerado mide la inversión real directa por habitante que la municipalidad ha realizado, poniendo en evidencia si existe un esfuerzo por parte de la municipalidad en poner a disposición de la población una mayor cantidad de obras públicas. Una mayor ejecución en inversión real directa significa una mejora en la calidad de vida, a través de facilitar las principales actividades productivas de los municipios, favoreciendo el empleo, asegurando los medios de vida de la población local, y como consecuencia, se propicia el desarrollo local. </w:t>
      </w:r>
    </w:p>
    <w:p w14:paraId="56B353A6" w14:textId="77777777" w:rsidR="00720607" w:rsidRDefault="00720607" w:rsidP="002333A9">
      <w:pPr>
        <w:jc w:val="both"/>
      </w:pPr>
    </w:p>
    <w:p w14:paraId="02F6A544" w14:textId="761F3E66" w:rsidR="00986740" w:rsidRDefault="00986740" w:rsidP="002333A9">
      <w:pPr>
        <w:jc w:val="both"/>
      </w:pPr>
      <w:r w:rsidRPr="00B21A41">
        <w:t>Durante el 202</w:t>
      </w:r>
      <w:r w:rsidR="00E11535" w:rsidRPr="00B21A41">
        <w:t>1</w:t>
      </w:r>
      <w:r w:rsidRPr="00B21A41">
        <w:t>, las municipalidades invirtieron en promedio un monto de Q</w:t>
      </w:r>
      <w:r w:rsidR="00E11535" w:rsidRPr="00B21A41">
        <w:t>631.9</w:t>
      </w:r>
      <w:r w:rsidRPr="00B21A41">
        <w:t xml:space="preserve"> por cada uno de los habitantes de Guatemala. Cabe mencionar que esta cifra es m</w:t>
      </w:r>
      <w:r w:rsidR="00B21A41" w:rsidRPr="00B21A41">
        <w:t>ay</w:t>
      </w:r>
      <w:r w:rsidRPr="00B21A41">
        <w:t>or a lo observado en 20</w:t>
      </w:r>
      <w:r w:rsidR="00B21A41" w:rsidRPr="00B21A41">
        <w:t>20</w:t>
      </w:r>
      <w:r w:rsidRPr="00B21A41">
        <w:t xml:space="preserve"> cuando fue de Q</w:t>
      </w:r>
      <w:r w:rsidR="00B21A41" w:rsidRPr="00B21A41">
        <w:t>473</w:t>
      </w:r>
      <w:r w:rsidRPr="00B21A41">
        <w:t>.</w:t>
      </w:r>
      <w:r w:rsidR="00B21A41" w:rsidRPr="00B21A41">
        <w:t>0</w:t>
      </w:r>
      <w:r w:rsidRPr="00B21A41">
        <w:t xml:space="preserve"> por habitante</w:t>
      </w:r>
      <w:r w:rsidR="00B21A41" w:rsidRPr="00B21A41">
        <w:t xml:space="preserve"> y </w:t>
      </w:r>
      <w:r w:rsidR="00F805FE">
        <w:t xml:space="preserve">se encuentra </w:t>
      </w:r>
      <w:r w:rsidRPr="00B21A41">
        <w:t>por encima del valor promedio observado de Q4</w:t>
      </w:r>
      <w:r w:rsidR="00B21A41" w:rsidRPr="00B21A41">
        <w:t>94</w:t>
      </w:r>
      <w:r w:rsidRPr="00B21A41">
        <w:t>.</w:t>
      </w:r>
      <w:r w:rsidR="00B21A41" w:rsidRPr="00B21A41">
        <w:t>3</w:t>
      </w:r>
      <w:r w:rsidRPr="00B21A41">
        <w:t>. Este gasto en inversión real directa consiste principalmente en formación bruta de capital fijo, el cual incluye la construcción de calles, parques, plazas, caminos, puentes o cualquier obra pública destinada para utilidad o comodidad común</w:t>
      </w:r>
      <w:r w:rsidR="00B21A41" w:rsidRPr="00B21A41">
        <w:t>, en 2020 durante la pandemia del COVID-19 la inversión en infraestructura fue uno de los gastos sacrificados para dotar mayores recursos a la atención de la emergencia, mientras que en 2021 se hizo énfasis en la importancia de la inversión para la reactivación económica del país</w:t>
      </w:r>
      <w:r w:rsidR="00F805FE">
        <w:t xml:space="preserve"> y por ello se observa un incremento.</w:t>
      </w:r>
      <w:r w:rsidR="00B21A41">
        <w:t xml:space="preserve"> </w:t>
      </w:r>
    </w:p>
    <w:p w14:paraId="61D147E0" w14:textId="34BF5982" w:rsidR="00E11535" w:rsidRPr="006B316F" w:rsidRDefault="00E11535" w:rsidP="00E11535">
      <w:pPr>
        <w:jc w:val="center"/>
        <w:rPr>
          <w:b/>
          <w:bCs/>
          <w:sz w:val="16"/>
          <w:szCs w:val="16"/>
        </w:rPr>
      </w:pPr>
    </w:p>
    <w:p w14:paraId="33834CD8" w14:textId="38D6D503" w:rsidR="00E11535" w:rsidRPr="00C43CBD" w:rsidRDefault="00C43CBD" w:rsidP="00C43CBD">
      <w:pPr>
        <w:pStyle w:val="Descripcin"/>
        <w:keepNext/>
      </w:pPr>
      <w:bookmarkStart w:id="194" w:name="_Toc114493886"/>
      <w:r w:rsidRPr="00C43CBD">
        <w:rPr>
          <w:color w:val="auto"/>
        </w:rPr>
        <w:t xml:space="preserve">Gráfico </w:t>
      </w:r>
      <w:r w:rsidRPr="00C43CBD">
        <w:rPr>
          <w:color w:val="auto"/>
        </w:rPr>
        <w:fldChar w:fldCharType="begin"/>
      </w:r>
      <w:r w:rsidRPr="00C43CBD">
        <w:rPr>
          <w:color w:val="auto"/>
        </w:rPr>
        <w:instrText xml:space="preserve"> SEQ Gráfico \* ARABIC </w:instrText>
      </w:r>
      <w:r w:rsidRPr="00C43CBD">
        <w:rPr>
          <w:color w:val="auto"/>
        </w:rPr>
        <w:fldChar w:fldCharType="separate"/>
      </w:r>
      <w:r w:rsidR="002E7809">
        <w:rPr>
          <w:noProof/>
          <w:color w:val="auto"/>
        </w:rPr>
        <w:t>44</w:t>
      </w:r>
      <w:r w:rsidRPr="00C43CBD">
        <w:rPr>
          <w:color w:val="auto"/>
        </w:rPr>
        <w:fldChar w:fldCharType="end"/>
      </w:r>
      <w:r w:rsidRPr="00C43CBD">
        <w:rPr>
          <w:color w:val="auto"/>
        </w:rPr>
        <w:t xml:space="preserve">.  </w:t>
      </w:r>
      <w:r w:rsidR="00E11535" w:rsidRPr="00C43CBD">
        <w:rPr>
          <w:bCs/>
          <w:color w:val="auto"/>
        </w:rPr>
        <w:t>Inversión por Habitantes de las Municipalidades</w:t>
      </w:r>
      <w:bookmarkEnd w:id="194"/>
    </w:p>
    <w:p w14:paraId="2BD990BE" w14:textId="7DE77513" w:rsidR="00E11535" w:rsidRPr="00E11535" w:rsidRDefault="00E11535" w:rsidP="00E11535">
      <w:pPr>
        <w:jc w:val="center"/>
        <w:rPr>
          <w:bCs/>
          <w:color w:val="000000" w:themeColor="text1"/>
          <w:sz w:val="22"/>
          <w:szCs w:val="22"/>
          <w:lang w:val="es-MX"/>
        </w:rPr>
      </w:pPr>
      <w:r w:rsidRPr="00E11535">
        <w:rPr>
          <w:sz w:val="22"/>
          <w:szCs w:val="22"/>
        </w:rPr>
        <w:t>Cifras en Quetzales</w:t>
      </w:r>
    </w:p>
    <w:p w14:paraId="2A2DE2CC" w14:textId="0D6797B2" w:rsidR="00291FC6" w:rsidRDefault="00E11535" w:rsidP="002333A9">
      <w:pPr>
        <w:jc w:val="both"/>
        <w:rPr>
          <w:bCs/>
          <w:color w:val="000000" w:themeColor="text1"/>
          <w:lang w:val="es-MX"/>
        </w:rPr>
      </w:pPr>
      <w:r>
        <w:rPr>
          <w:bCs/>
          <w:noProof/>
          <w:color w:val="000000" w:themeColor="text1"/>
          <w:lang w:eastAsia="es-GT"/>
        </w:rPr>
        <w:drawing>
          <wp:inline distT="0" distB="0" distL="0" distR="0" wp14:anchorId="5A33355E" wp14:editId="25CC8104">
            <wp:extent cx="5486400" cy="2018996"/>
            <wp:effectExtent l="0" t="0" r="0" b="635"/>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21573D5" w14:textId="77777777" w:rsidR="00E11535" w:rsidRDefault="00E11535" w:rsidP="00E11535">
      <w:pPr>
        <w:ind w:firstLine="284"/>
        <w:rPr>
          <w:sz w:val="18"/>
        </w:rPr>
      </w:pPr>
      <w:r w:rsidRPr="0012440D">
        <w:rPr>
          <w:sz w:val="18"/>
        </w:rPr>
        <w:t>Fuente: Sicoin</w:t>
      </w:r>
      <w:r>
        <w:rPr>
          <w:sz w:val="18"/>
        </w:rPr>
        <w:t xml:space="preserve"> </w:t>
      </w:r>
      <w:r w:rsidRPr="0012440D">
        <w:rPr>
          <w:sz w:val="18"/>
        </w:rPr>
        <w:t>GL</w:t>
      </w:r>
    </w:p>
    <w:p w14:paraId="4A27239D" w14:textId="5A8E23A3" w:rsidR="00E11535" w:rsidRDefault="00E11535" w:rsidP="002333A9">
      <w:pPr>
        <w:jc w:val="both"/>
        <w:rPr>
          <w:bCs/>
          <w:color w:val="000000" w:themeColor="text1"/>
          <w:lang w:val="es-MX"/>
        </w:rPr>
      </w:pPr>
    </w:p>
    <w:p w14:paraId="2C36B629" w14:textId="443750B3" w:rsidR="00F805FE" w:rsidRDefault="00F805FE" w:rsidP="00F805FE">
      <w:pPr>
        <w:jc w:val="both"/>
      </w:pPr>
      <w:r w:rsidRPr="006B316F">
        <w:t xml:space="preserve">Un total de </w:t>
      </w:r>
      <w:r w:rsidR="006B316F" w:rsidRPr="006B316F">
        <w:t>63</w:t>
      </w:r>
      <w:r w:rsidRPr="006B316F">
        <w:t xml:space="preserve"> municipalidades (</w:t>
      </w:r>
      <w:r w:rsidR="006B316F" w:rsidRPr="006B316F">
        <w:t>18.5</w:t>
      </w:r>
      <w:r w:rsidRPr="006B316F">
        <w:t>%) tienen una inversión real directa por habitante menor al promedio del grupo institucional, mientras que 1</w:t>
      </w:r>
      <w:r w:rsidR="006B316F" w:rsidRPr="006B316F">
        <w:t>61</w:t>
      </w:r>
      <w:r w:rsidRPr="006B316F">
        <w:t xml:space="preserve"> municipalidades (4</w:t>
      </w:r>
      <w:r w:rsidR="006B316F" w:rsidRPr="006B316F">
        <w:t>7.4</w:t>
      </w:r>
      <w:r w:rsidRPr="006B316F">
        <w:t>%) realiza una inversión de hasta Q1,</w:t>
      </w:r>
      <w:r w:rsidR="006B316F" w:rsidRPr="006B316F">
        <w:t>0</w:t>
      </w:r>
      <w:r w:rsidRPr="006B316F">
        <w:t xml:space="preserve">00 por cada habitante, </w:t>
      </w:r>
      <w:r w:rsidR="006B316F" w:rsidRPr="006B316F">
        <w:t>107</w:t>
      </w:r>
      <w:r w:rsidRPr="006B316F">
        <w:t xml:space="preserve"> municipalidades (</w:t>
      </w:r>
      <w:r w:rsidR="006B316F" w:rsidRPr="006B316F">
        <w:t>31</w:t>
      </w:r>
      <w:r w:rsidRPr="006B316F">
        <w:t>.</w:t>
      </w:r>
      <w:r w:rsidR="006B316F" w:rsidRPr="006B316F">
        <w:t>5</w:t>
      </w:r>
      <w:r w:rsidRPr="006B316F">
        <w:t>%) tienen una inversión de hasta Q</w:t>
      </w:r>
      <w:r w:rsidR="006B316F" w:rsidRPr="006B316F">
        <w:t>3</w:t>
      </w:r>
      <w:r w:rsidRPr="006B316F">
        <w:t>,000 por habitante</w:t>
      </w:r>
      <w:r w:rsidR="006B316F" w:rsidRPr="006B316F">
        <w:t xml:space="preserve">, 7 municipalidades (2.1%) tienen una inversión de hasta Q5,000 por habitante y </w:t>
      </w:r>
      <w:r w:rsidRPr="006B316F">
        <w:t>solamente 2 municipalidades (0.6%) alcanzan una inversión mayor a Q6,000 por habitante.</w:t>
      </w:r>
    </w:p>
    <w:p w14:paraId="191FCB8E" w14:textId="0731339F" w:rsidR="00E1290B" w:rsidRDefault="00E1290B" w:rsidP="00F805FE">
      <w:pPr>
        <w:jc w:val="both"/>
      </w:pPr>
    </w:p>
    <w:p w14:paraId="05961A3B" w14:textId="77777777" w:rsidR="00847C90" w:rsidRDefault="00847C90" w:rsidP="00F805FE">
      <w:pPr>
        <w:jc w:val="both"/>
      </w:pPr>
    </w:p>
    <w:p w14:paraId="7443A024" w14:textId="22008233" w:rsidR="00F805FE" w:rsidRPr="00C43CBD" w:rsidRDefault="00C43CBD" w:rsidP="00C43CBD">
      <w:pPr>
        <w:pStyle w:val="Descripcin"/>
        <w:keepNext/>
      </w:pPr>
      <w:bookmarkStart w:id="195" w:name="_Toc114493887"/>
      <w:r w:rsidRPr="00C43CBD">
        <w:rPr>
          <w:color w:val="auto"/>
        </w:rPr>
        <w:t xml:space="preserve">Gráfico </w:t>
      </w:r>
      <w:r w:rsidRPr="00C43CBD">
        <w:rPr>
          <w:color w:val="auto"/>
        </w:rPr>
        <w:fldChar w:fldCharType="begin"/>
      </w:r>
      <w:r w:rsidRPr="00C43CBD">
        <w:rPr>
          <w:color w:val="auto"/>
        </w:rPr>
        <w:instrText xml:space="preserve"> SEQ Gráfico \* ARABIC </w:instrText>
      </w:r>
      <w:r w:rsidRPr="00C43CBD">
        <w:rPr>
          <w:color w:val="auto"/>
        </w:rPr>
        <w:fldChar w:fldCharType="separate"/>
      </w:r>
      <w:r w:rsidR="002E7809">
        <w:rPr>
          <w:noProof/>
          <w:color w:val="auto"/>
        </w:rPr>
        <w:t>45</w:t>
      </w:r>
      <w:r w:rsidRPr="00C43CBD">
        <w:rPr>
          <w:color w:val="auto"/>
        </w:rPr>
        <w:fldChar w:fldCharType="end"/>
      </w:r>
      <w:r w:rsidRPr="00C43CBD">
        <w:rPr>
          <w:color w:val="auto"/>
        </w:rPr>
        <w:t xml:space="preserve">.  </w:t>
      </w:r>
      <w:r w:rsidR="00F805FE" w:rsidRPr="00C43CBD">
        <w:rPr>
          <w:bCs/>
          <w:color w:val="auto"/>
        </w:rPr>
        <w:t>Principales Municipalidades</w:t>
      </w:r>
      <w:bookmarkEnd w:id="195"/>
    </w:p>
    <w:p w14:paraId="4E4DF4C4" w14:textId="5810E4DC" w:rsidR="00F805FE" w:rsidRPr="00F805FE" w:rsidRDefault="00F805FE" w:rsidP="00F805FE">
      <w:pPr>
        <w:jc w:val="center"/>
        <w:rPr>
          <w:sz w:val="22"/>
          <w:szCs w:val="22"/>
        </w:rPr>
      </w:pPr>
      <w:r w:rsidRPr="00F805FE">
        <w:rPr>
          <w:sz w:val="22"/>
          <w:szCs w:val="22"/>
        </w:rPr>
        <w:t>para el año 202</w:t>
      </w:r>
      <w:r>
        <w:rPr>
          <w:sz w:val="22"/>
          <w:szCs w:val="22"/>
        </w:rPr>
        <w:t>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096"/>
      </w:tblGrid>
      <w:tr w:rsidR="00CB7494" w14:paraId="0B039C2C" w14:textId="77777777" w:rsidTr="00CB7494">
        <w:tc>
          <w:tcPr>
            <w:tcW w:w="4414" w:type="dxa"/>
          </w:tcPr>
          <w:p w14:paraId="01F97EE8" w14:textId="12A849C2" w:rsidR="00F805FE" w:rsidRPr="00F805FE" w:rsidRDefault="00F805FE" w:rsidP="00F805FE">
            <w:pPr>
              <w:jc w:val="center"/>
              <w:rPr>
                <w:i/>
                <w:iCs/>
              </w:rPr>
            </w:pPr>
            <w:r w:rsidRPr="00F805FE">
              <w:rPr>
                <w:i/>
                <w:iCs/>
              </w:rPr>
              <w:t>Con mayor Inversión por habitante</w:t>
            </w:r>
          </w:p>
          <w:p w14:paraId="11BC1992" w14:textId="5D48B018" w:rsidR="00F805FE" w:rsidRPr="00F805FE" w:rsidRDefault="00C811A7" w:rsidP="00C811A7">
            <w:pPr>
              <w:jc w:val="center"/>
              <w:rPr>
                <w:i/>
                <w:iCs/>
              </w:rPr>
            </w:pPr>
            <w:r>
              <w:rPr>
                <w:noProof/>
              </w:rPr>
              <w:drawing>
                <wp:inline distT="0" distB="0" distL="0" distR="0" wp14:anchorId="32D7D437" wp14:editId="46EA24FA">
                  <wp:extent cx="2926080" cy="2048256"/>
                  <wp:effectExtent l="0" t="0" r="7620"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414" w:type="dxa"/>
          </w:tcPr>
          <w:p w14:paraId="14C12DC7" w14:textId="77777777" w:rsidR="00F805FE" w:rsidRDefault="00F805FE" w:rsidP="00F805FE">
            <w:pPr>
              <w:jc w:val="center"/>
              <w:rPr>
                <w:i/>
                <w:iCs/>
              </w:rPr>
            </w:pPr>
            <w:r w:rsidRPr="00F805FE">
              <w:rPr>
                <w:i/>
                <w:iCs/>
              </w:rPr>
              <w:t>Con menor Inversión por habitante</w:t>
            </w:r>
          </w:p>
          <w:p w14:paraId="782DAAEF" w14:textId="47766F45" w:rsidR="00CB7494" w:rsidRPr="00F805FE" w:rsidRDefault="00CB7494" w:rsidP="00F805FE">
            <w:pPr>
              <w:jc w:val="center"/>
              <w:rPr>
                <w:i/>
                <w:iCs/>
              </w:rPr>
            </w:pPr>
            <w:r>
              <w:rPr>
                <w:i/>
                <w:iCs/>
                <w:noProof/>
              </w:rPr>
              <w:drawing>
                <wp:inline distT="0" distB="0" distL="0" distR="0" wp14:anchorId="259792BE" wp14:editId="44BE5423">
                  <wp:extent cx="2514600" cy="2077085"/>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E53B8E" w14:paraId="0A77D6A4" w14:textId="77777777" w:rsidTr="00CB7494">
        <w:tc>
          <w:tcPr>
            <w:tcW w:w="4414" w:type="dxa"/>
          </w:tcPr>
          <w:p w14:paraId="13C83D9E" w14:textId="77777777" w:rsidR="00E53B8E" w:rsidRDefault="00E53B8E" w:rsidP="00E53B8E">
            <w:pPr>
              <w:ind w:firstLine="284"/>
              <w:rPr>
                <w:sz w:val="18"/>
              </w:rPr>
            </w:pPr>
            <w:r w:rsidRPr="0012440D">
              <w:rPr>
                <w:sz w:val="18"/>
              </w:rPr>
              <w:t>Fuente: Sicoin</w:t>
            </w:r>
            <w:r>
              <w:rPr>
                <w:sz w:val="18"/>
              </w:rPr>
              <w:t xml:space="preserve"> </w:t>
            </w:r>
            <w:r w:rsidRPr="0012440D">
              <w:rPr>
                <w:sz w:val="18"/>
              </w:rPr>
              <w:t>GL</w:t>
            </w:r>
          </w:p>
          <w:p w14:paraId="2634AF4E" w14:textId="77777777" w:rsidR="00E53B8E" w:rsidRPr="00F805FE" w:rsidRDefault="00E53B8E" w:rsidP="00F805FE">
            <w:pPr>
              <w:jc w:val="center"/>
              <w:rPr>
                <w:i/>
                <w:iCs/>
              </w:rPr>
            </w:pPr>
          </w:p>
        </w:tc>
        <w:tc>
          <w:tcPr>
            <w:tcW w:w="4414" w:type="dxa"/>
          </w:tcPr>
          <w:p w14:paraId="4E360C04" w14:textId="77777777" w:rsidR="00E53B8E" w:rsidRPr="00F805FE" w:rsidRDefault="00E53B8E" w:rsidP="00F805FE">
            <w:pPr>
              <w:jc w:val="center"/>
              <w:rPr>
                <w:i/>
                <w:iCs/>
              </w:rPr>
            </w:pPr>
          </w:p>
        </w:tc>
      </w:tr>
    </w:tbl>
    <w:p w14:paraId="5D780FEA" w14:textId="138D3BAA" w:rsidR="00291FC6" w:rsidRPr="00291FC6" w:rsidRDefault="00291FC6" w:rsidP="001D18D0">
      <w:pPr>
        <w:pStyle w:val="Ttulo1"/>
        <w:widowControl/>
        <w:numPr>
          <w:ilvl w:val="1"/>
          <w:numId w:val="5"/>
        </w:numPr>
        <w:ind w:left="567" w:right="49" w:hanging="283"/>
        <w:jc w:val="left"/>
        <w:rPr>
          <w:color w:val="auto"/>
          <w:sz w:val="24"/>
          <w:lang w:val="es-MX"/>
        </w:rPr>
      </w:pPr>
      <w:bookmarkStart w:id="196" w:name="_Toc114495262"/>
      <w:r w:rsidRPr="00291FC6">
        <w:rPr>
          <w:color w:val="auto"/>
          <w:sz w:val="24"/>
          <w:lang w:val="es-MX"/>
        </w:rPr>
        <w:t>Liquidez Financiera</w:t>
      </w:r>
      <w:bookmarkEnd w:id="196"/>
      <w:r w:rsidRPr="00291FC6">
        <w:rPr>
          <w:color w:val="auto"/>
          <w:sz w:val="24"/>
          <w:lang w:val="es-MX"/>
        </w:rPr>
        <w:t xml:space="preserve"> </w:t>
      </w:r>
    </w:p>
    <w:p w14:paraId="51CA46EE" w14:textId="77777777" w:rsidR="00291FC6" w:rsidRDefault="00291FC6" w:rsidP="002333A9">
      <w:pPr>
        <w:jc w:val="both"/>
      </w:pPr>
    </w:p>
    <w:p w14:paraId="0E636F0B" w14:textId="77777777" w:rsidR="00190C67" w:rsidRDefault="00291FC6" w:rsidP="002333A9">
      <w:pPr>
        <w:jc w:val="both"/>
      </w:pPr>
      <w:r>
        <w:t xml:space="preserve">El indicador de liquidez financiera considera los activos corrientes versus pasivos corrientes, los cuales determinan la capacidad que tiene una municipalidad para poder hacer frente a sus obligaciones de pago de corto plazo respaldándose para ello en sus activos corrientes, es decir, en los activos que tienen una mayor facilidad de convertirse en efectivo. En este indicador se consideran los activos como caja y bancos, inversiones temporales, cuentas por cobrar a corto plazo, entre otros; por su parte, los pasivos corrientes están compuestos de las cuentas por pagar de corto plazo, obligaciones de deuda pública de corto plazo. Una mayor disponibilidad de activos significa una mejor gestión en liquidez financiera, dado que los pasivos podrían ser cubiertos respaldándose en los activos. </w:t>
      </w:r>
    </w:p>
    <w:p w14:paraId="151DA051" w14:textId="77777777" w:rsidR="00190C67" w:rsidRDefault="00190C67" w:rsidP="002333A9">
      <w:pPr>
        <w:jc w:val="both"/>
      </w:pPr>
    </w:p>
    <w:p w14:paraId="51659E09" w14:textId="0C0A0195" w:rsidR="00986740" w:rsidRDefault="00291FC6" w:rsidP="002333A9">
      <w:pPr>
        <w:jc w:val="both"/>
        <w:rPr>
          <w:bCs/>
          <w:color w:val="000000" w:themeColor="text1"/>
          <w:lang w:val="es-MX"/>
        </w:rPr>
      </w:pPr>
      <w:r w:rsidRPr="00D311DD">
        <w:t>El nivel de liquidez financiera de las municipalidades, como grupo institucional, es relativamente alta. El promedio entre 2016 y 202</w:t>
      </w:r>
      <w:r w:rsidR="00D311DD" w:rsidRPr="00D311DD">
        <w:t>1</w:t>
      </w:r>
      <w:r w:rsidRPr="00D311DD">
        <w:t xml:space="preserve"> indica que el activo corriente ha sido de 14.</w:t>
      </w:r>
      <w:r w:rsidR="00D311DD" w:rsidRPr="00D311DD">
        <w:t>5</w:t>
      </w:r>
      <w:r w:rsidRPr="00D311DD">
        <w:t xml:space="preserve"> veces mayor respecto a los pasivos corrientes. </w:t>
      </w:r>
    </w:p>
    <w:p w14:paraId="69540BD0" w14:textId="5C8A63A1" w:rsidR="00E1290B" w:rsidRDefault="00E1290B" w:rsidP="002333A9">
      <w:pPr>
        <w:jc w:val="both"/>
        <w:rPr>
          <w:bCs/>
          <w:color w:val="000000" w:themeColor="text1"/>
          <w:lang w:val="es-MX"/>
        </w:rPr>
      </w:pPr>
    </w:p>
    <w:p w14:paraId="0170CE84" w14:textId="3CBA5082" w:rsidR="00190C67" w:rsidRPr="00C43CBD" w:rsidRDefault="00C43CBD" w:rsidP="00C43CBD">
      <w:pPr>
        <w:pStyle w:val="Descripcin"/>
        <w:keepNext/>
      </w:pPr>
      <w:bookmarkStart w:id="197" w:name="_Toc114493888"/>
      <w:r w:rsidRPr="00C43CBD">
        <w:rPr>
          <w:color w:val="auto"/>
        </w:rPr>
        <w:t xml:space="preserve">Gráfico </w:t>
      </w:r>
      <w:r w:rsidRPr="00C43CBD">
        <w:rPr>
          <w:color w:val="auto"/>
        </w:rPr>
        <w:fldChar w:fldCharType="begin"/>
      </w:r>
      <w:r w:rsidRPr="00C43CBD">
        <w:rPr>
          <w:color w:val="auto"/>
        </w:rPr>
        <w:instrText xml:space="preserve"> SEQ Gráfico \* ARABIC </w:instrText>
      </w:r>
      <w:r w:rsidRPr="00C43CBD">
        <w:rPr>
          <w:color w:val="auto"/>
        </w:rPr>
        <w:fldChar w:fldCharType="separate"/>
      </w:r>
      <w:r w:rsidR="002E7809">
        <w:rPr>
          <w:noProof/>
          <w:color w:val="auto"/>
        </w:rPr>
        <w:t>46</w:t>
      </w:r>
      <w:r w:rsidRPr="00C43CBD">
        <w:rPr>
          <w:color w:val="auto"/>
        </w:rPr>
        <w:fldChar w:fldCharType="end"/>
      </w:r>
      <w:r w:rsidRPr="00C43CBD">
        <w:rPr>
          <w:color w:val="auto"/>
        </w:rPr>
        <w:t xml:space="preserve">.  </w:t>
      </w:r>
      <w:r w:rsidR="00190C67" w:rsidRPr="00C43CBD">
        <w:rPr>
          <w:color w:val="auto"/>
          <w:lang w:val="es-MX"/>
        </w:rPr>
        <w:t>Liquidez Financiera de las Municipalidades</w:t>
      </w:r>
      <w:bookmarkEnd w:id="197"/>
    </w:p>
    <w:p w14:paraId="1D91ED99" w14:textId="6A7101A6" w:rsidR="00190C67" w:rsidRPr="00190C67" w:rsidRDefault="00D311DD" w:rsidP="00190C67">
      <w:pPr>
        <w:jc w:val="center"/>
        <w:rPr>
          <w:b/>
          <w:color w:val="000000" w:themeColor="text1"/>
          <w:lang w:val="es-MX"/>
        </w:rPr>
      </w:pPr>
      <w:r>
        <w:rPr>
          <w:b/>
          <w:noProof/>
          <w:color w:val="000000" w:themeColor="text1"/>
          <w:lang w:eastAsia="es-GT"/>
        </w:rPr>
        <w:drawing>
          <wp:inline distT="0" distB="0" distL="0" distR="0" wp14:anchorId="0C593F62" wp14:editId="752517A6">
            <wp:extent cx="5486400" cy="2208362"/>
            <wp:effectExtent l="0" t="0" r="0" b="190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5F1C568" w14:textId="77777777" w:rsidR="00D311DD" w:rsidRDefault="00D311DD" w:rsidP="00D311DD">
      <w:pPr>
        <w:ind w:firstLine="284"/>
        <w:rPr>
          <w:sz w:val="18"/>
        </w:rPr>
      </w:pPr>
      <w:r w:rsidRPr="0012440D">
        <w:rPr>
          <w:sz w:val="18"/>
        </w:rPr>
        <w:t>Fuente: Sicoin</w:t>
      </w:r>
      <w:r>
        <w:rPr>
          <w:sz w:val="18"/>
        </w:rPr>
        <w:t xml:space="preserve"> </w:t>
      </w:r>
      <w:r w:rsidRPr="0012440D">
        <w:rPr>
          <w:sz w:val="18"/>
        </w:rPr>
        <w:t>GL</w:t>
      </w:r>
    </w:p>
    <w:p w14:paraId="0B4FF84B" w14:textId="4A1AE057" w:rsidR="00190C67" w:rsidRDefault="00D311DD" w:rsidP="00D311DD">
      <w:pPr>
        <w:jc w:val="both"/>
        <w:rPr>
          <w:bCs/>
          <w:color w:val="000000" w:themeColor="text1"/>
          <w:lang w:val="es-MX"/>
        </w:rPr>
      </w:pPr>
      <w:r w:rsidRPr="00F17D48">
        <w:rPr>
          <w:bCs/>
          <w:color w:val="000000" w:themeColor="text1"/>
          <w:lang w:val="es-MX"/>
        </w:rPr>
        <w:t>En términos de liquidez se puede considerar como un nivel adecuado cuando una entidad tenga un valor mayor a uno y tomado esto en consideración, es oportuno mencionar que durante el 202</w:t>
      </w:r>
      <w:r w:rsidR="00265894" w:rsidRPr="00F17D48">
        <w:rPr>
          <w:bCs/>
          <w:color w:val="000000" w:themeColor="text1"/>
          <w:lang w:val="es-MX"/>
        </w:rPr>
        <w:t>1</w:t>
      </w:r>
      <w:r w:rsidRPr="00F17D48">
        <w:rPr>
          <w:bCs/>
          <w:color w:val="000000" w:themeColor="text1"/>
          <w:lang w:val="es-MX"/>
        </w:rPr>
        <w:t xml:space="preserve"> solamente </w:t>
      </w:r>
      <w:r w:rsidR="00265894" w:rsidRPr="00F17D48">
        <w:rPr>
          <w:bCs/>
          <w:color w:val="000000" w:themeColor="text1"/>
          <w:lang w:val="es-MX"/>
        </w:rPr>
        <w:t>2</w:t>
      </w:r>
      <w:r w:rsidRPr="00F17D48">
        <w:rPr>
          <w:bCs/>
          <w:color w:val="000000" w:themeColor="text1"/>
          <w:lang w:val="es-MX"/>
        </w:rPr>
        <w:t xml:space="preserve"> municipalidades poseen un indicador igual a 1, mientras que </w:t>
      </w:r>
      <w:r w:rsidR="00265894" w:rsidRPr="00F17D48">
        <w:rPr>
          <w:bCs/>
          <w:color w:val="000000" w:themeColor="text1"/>
          <w:lang w:val="es-MX"/>
        </w:rPr>
        <w:t>13</w:t>
      </w:r>
      <w:r w:rsidRPr="00F17D48">
        <w:rPr>
          <w:bCs/>
          <w:color w:val="000000" w:themeColor="text1"/>
          <w:lang w:val="es-MX"/>
        </w:rPr>
        <w:t xml:space="preserve"> entidades tienen un indicador entre 1.1 y 2 veces mayor. Por su parte, 1</w:t>
      </w:r>
      <w:r w:rsidR="00265894" w:rsidRPr="00F17D48">
        <w:rPr>
          <w:bCs/>
          <w:color w:val="000000" w:themeColor="text1"/>
          <w:lang w:val="es-MX"/>
        </w:rPr>
        <w:t>12</w:t>
      </w:r>
      <w:r w:rsidRPr="00F17D48">
        <w:rPr>
          <w:bCs/>
          <w:color w:val="000000" w:themeColor="text1"/>
          <w:lang w:val="es-MX"/>
        </w:rPr>
        <w:t xml:space="preserve"> municipalidades tienen un indicador al menos 16 veces mayor</w:t>
      </w:r>
      <w:r w:rsidR="00265894" w:rsidRPr="00F17D48">
        <w:rPr>
          <w:bCs/>
          <w:color w:val="000000" w:themeColor="text1"/>
          <w:lang w:val="es-MX"/>
        </w:rPr>
        <w:t xml:space="preserve"> en </w:t>
      </w:r>
      <w:r w:rsidRPr="00F17D48">
        <w:rPr>
          <w:bCs/>
          <w:color w:val="000000" w:themeColor="text1"/>
          <w:lang w:val="es-MX"/>
        </w:rPr>
        <w:t xml:space="preserve">sus activos corrientes respecto sus pasivos corrientes y las restantes </w:t>
      </w:r>
      <w:r w:rsidR="00265894" w:rsidRPr="00F17D48">
        <w:rPr>
          <w:bCs/>
          <w:color w:val="000000" w:themeColor="text1"/>
          <w:lang w:val="es-MX"/>
        </w:rPr>
        <w:t>199</w:t>
      </w:r>
      <w:r w:rsidRPr="00F17D48">
        <w:rPr>
          <w:bCs/>
          <w:color w:val="000000" w:themeColor="text1"/>
          <w:lang w:val="es-MX"/>
        </w:rPr>
        <w:t xml:space="preserve"> municipalidades tienen un indicador mayor a 16.1</w:t>
      </w:r>
      <w:r w:rsidR="00265894" w:rsidRPr="00F17D48">
        <w:rPr>
          <w:bCs/>
          <w:color w:val="000000" w:themeColor="text1"/>
          <w:lang w:val="es-MX"/>
        </w:rPr>
        <w:t xml:space="preserve"> veces</w:t>
      </w:r>
      <w:r w:rsidRPr="00F17D48">
        <w:rPr>
          <w:bCs/>
          <w:color w:val="000000" w:themeColor="text1"/>
          <w:lang w:val="es-MX"/>
        </w:rPr>
        <w:t xml:space="preserve"> </w:t>
      </w:r>
      <w:r w:rsidR="00265894" w:rsidRPr="00F17D48">
        <w:rPr>
          <w:bCs/>
          <w:color w:val="000000" w:themeColor="text1"/>
          <w:lang w:val="es-MX"/>
        </w:rPr>
        <w:t>mientras</w:t>
      </w:r>
      <w:r w:rsidRPr="00F17D48">
        <w:rPr>
          <w:bCs/>
          <w:color w:val="000000" w:themeColor="text1"/>
          <w:lang w:val="es-MX"/>
        </w:rPr>
        <w:t xml:space="preserve"> </w:t>
      </w:r>
      <w:r w:rsidR="00B36655" w:rsidRPr="00F17D48">
        <w:rPr>
          <w:bCs/>
          <w:color w:val="000000" w:themeColor="text1"/>
          <w:lang w:val="es-MX"/>
        </w:rPr>
        <w:t>que</w:t>
      </w:r>
      <w:r w:rsidRPr="00F17D48">
        <w:rPr>
          <w:bCs/>
          <w:color w:val="000000" w:themeColor="text1"/>
          <w:lang w:val="es-MX"/>
        </w:rPr>
        <w:t xml:space="preserve"> </w:t>
      </w:r>
      <w:r w:rsidR="00B36655" w:rsidRPr="00F17D48">
        <w:rPr>
          <w:bCs/>
          <w:color w:val="000000" w:themeColor="text1"/>
          <w:lang w:val="es-MX"/>
        </w:rPr>
        <w:t xml:space="preserve">14 </w:t>
      </w:r>
      <w:r w:rsidRPr="00F17D48">
        <w:rPr>
          <w:bCs/>
          <w:color w:val="000000" w:themeColor="text1"/>
          <w:lang w:val="es-MX"/>
        </w:rPr>
        <w:t>no presentaron cifras de pasivos corrientes y por lo tanto no fueron incluidas en la gráfica.</w:t>
      </w:r>
    </w:p>
    <w:p w14:paraId="7437148F" w14:textId="001C9A8E" w:rsidR="00190C67" w:rsidRDefault="00190C67" w:rsidP="002333A9">
      <w:pPr>
        <w:jc w:val="both"/>
        <w:rPr>
          <w:bCs/>
          <w:color w:val="000000" w:themeColor="text1"/>
          <w:lang w:val="es-MX"/>
        </w:rPr>
      </w:pPr>
    </w:p>
    <w:p w14:paraId="0DFC2ABB" w14:textId="7A025DC6" w:rsidR="00265894" w:rsidRPr="00C43CBD" w:rsidRDefault="00C43CBD" w:rsidP="00C43CBD">
      <w:pPr>
        <w:pStyle w:val="Descripcin"/>
        <w:keepNext/>
      </w:pPr>
      <w:bookmarkStart w:id="198" w:name="_Toc114493889"/>
      <w:r w:rsidRPr="00C43CBD">
        <w:rPr>
          <w:color w:val="auto"/>
        </w:rPr>
        <w:t xml:space="preserve">Gráfico </w:t>
      </w:r>
      <w:r w:rsidRPr="00C43CBD">
        <w:rPr>
          <w:color w:val="auto"/>
        </w:rPr>
        <w:fldChar w:fldCharType="begin"/>
      </w:r>
      <w:r w:rsidRPr="00C43CBD">
        <w:rPr>
          <w:color w:val="auto"/>
        </w:rPr>
        <w:instrText xml:space="preserve"> SEQ Gráfico \* ARABIC </w:instrText>
      </w:r>
      <w:r w:rsidRPr="00C43CBD">
        <w:rPr>
          <w:color w:val="auto"/>
        </w:rPr>
        <w:fldChar w:fldCharType="separate"/>
      </w:r>
      <w:r w:rsidR="002E7809">
        <w:rPr>
          <w:noProof/>
          <w:color w:val="auto"/>
        </w:rPr>
        <w:t>47</w:t>
      </w:r>
      <w:r w:rsidRPr="00C43CBD">
        <w:rPr>
          <w:color w:val="auto"/>
        </w:rPr>
        <w:fldChar w:fldCharType="end"/>
      </w:r>
      <w:r w:rsidRPr="00C43CBD">
        <w:rPr>
          <w:color w:val="auto"/>
        </w:rPr>
        <w:t xml:space="preserve">.  </w:t>
      </w:r>
      <w:r w:rsidR="00265894" w:rsidRPr="00C43CBD">
        <w:rPr>
          <w:bCs/>
          <w:color w:val="auto"/>
        </w:rPr>
        <w:t>Liquidez Financiera de la Municipalidades</w:t>
      </w:r>
      <w:bookmarkEnd w:id="198"/>
      <w:r w:rsidR="00265894" w:rsidRPr="00265894">
        <w:rPr>
          <w:bCs/>
        </w:rPr>
        <w:t xml:space="preserve"> </w:t>
      </w:r>
    </w:p>
    <w:p w14:paraId="00B8B8AF" w14:textId="75AC3323" w:rsidR="00265894" w:rsidRDefault="00265894" w:rsidP="00265894">
      <w:pPr>
        <w:jc w:val="center"/>
      </w:pPr>
      <w:r>
        <w:t xml:space="preserve">para el año 2021 </w:t>
      </w:r>
    </w:p>
    <w:p w14:paraId="6461DC93" w14:textId="1DFFFDCF" w:rsidR="00190C67" w:rsidRPr="00265894" w:rsidRDefault="00265894" w:rsidP="00265894">
      <w:pPr>
        <w:jc w:val="center"/>
        <w:rPr>
          <w:bCs/>
          <w:i/>
          <w:iCs/>
          <w:color w:val="000000" w:themeColor="text1"/>
          <w:lang w:val="es-MX"/>
        </w:rPr>
      </w:pPr>
      <w:r w:rsidRPr="00265894">
        <w:rPr>
          <w:i/>
          <w:iCs/>
        </w:rPr>
        <w:t>Cantidad de Municipalidades según el valor de su Liquidez</w:t>
      </w:r>
    </w:p>
    <w:p w14:paraId="5D298CE0" w14:textId="6388CFBD" w:rsidR="00190C67" w:rsidRDefault="00F17D48" w:rsidP="002333A9">
      <w:pPr>
        <w:jc w:val="both"/>
        <w:rPr>
          <w:bCs/>
          <w:color w:val="000000" w:themeColor="text1"/>
          <w:lang w:val="es-MX"/>
        </w:rPr>
      </w:pPr>
      <w:r w:rsidRPr="00F72293">
        <w:rPr>
          <w:bCs/>
          <w:noProof/>
          <w:color w:val="000000" w:themeColor="text1"/>
          <w:lang w:eastAsia="es-GT"/>
        </w:rPr>
        <w:drawing>
          <wp:inline distT="0" distB="0" distL="0" distR="0" wp14:anchorId="64ADFC0F" wp14:editId="6DA81BC9">
            <wp:extent cx="5486400" cy="2096219"/>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E265C94" w14:textId="5D0B89DF" w:rsidR="00E1290B" w:rsidRDefault="00E1290B" w:rsidP="002333A9">
      <w:pPr>
        <w:jc w:val="both"/>
      </w:pPr>
      <w:r w:rsidRPr="0012440D">
        <w:rPr>
          <w:sz w:val="18"/>
        </w:rPr>
        <w:t>Fuente: Sicoin</w:t>
      </w:r>
      <w:r>
        <w:rPr>
          <w:sz w:val="18"/>
        </w:rPr>
        <w:t xml:space="preserve"> </w:t>
      </w:r>
      <w:r w:rsidRPr="0012440D">
        <w:rPr>
          <w:sz w:val="18"/>
        </w:rPr>
        <w:t>GL</w:t>
      </w:r>
    </w:p>
    <w:p w14:paraId="0C6D6D6C" w14:textId="77777777" w:rsidR="00E1290B" w:rsidRDefault="00E1290B" w:rsidP="002333A9">
      <w:pPr>
        <w:jc w:val="both"/>
      </w:pPr>
    </w:p>
    <w:p w14:paraId="0CE5739B" w14:textId="00BA76D5" w:rsidR="00F17D48" w:rsidRDefault="00F17D48" w:rsidP="002333A9">
      <w:pPr>
        <w:jc w:val="both"/>
      </w:pPr>
      <w:r w:rsidRPr="00663C44">
        <w:t xml:space="preserve">Entre las municipalidades que se destacan por tener un nivel de liquidez considerado como bajo son: </w:t>
      </w:r>
      <w:r w:rsidR="005B2D59" w:rsidRPr="00663C44">
        <w:t>Santa Cruz Mulua y San José con 1</w:t>
      </w:r>
      <w:r w:rsidRPr="00663C44">
        <w:t xml:space="preserve"> ve</w:t>
      </w:r>
      <w:r w:rsidR="005B2D59" w:rsidRPr="00663C44">
        <w:t>z</w:t>
      </w:r>
      <w:r w:rsidRPr="00663C44">
        <w:t xml:space="preserve"> mayor sus activos corrientes respecto a sus pasivos corrientes, seguido de la municipalidad de </w:t>
      </w:r>
      <w:r w:rsidR="005B2D59" w:rsidRPr="00663C44">
        <w:t xml:space="preserve">Agua Blanca y Flores Costa Cuca </w:t>
      </w:r>
      <w:r w:rsidRPr="00663C44">
        <w:t xml:space="preserve">con </w:t>
      </w:r>
      <w:r w:rsidR="005B2D59" w:rsidRPr="00663C44">
        <w:t xml:space="preserve">1.1 </w:t>
      </w:r>
      <w:r w:rsidRPr="00663C44">
        <w:t>vez más. Cabe señalar que, mientras más bajo sea su liquidez tendrán un mayor riesgo financiero dado que contará con una limitada capacidad para hacer frente a compromisos de pago en el corto plazo y, por lo tanto, es importante que este indicador se encuentre por encima de 1 para tener una mayor disponibilidad de activos corrientes en caso de eventualidades.</w:t>
      </w:r>
      <w:r>
        <w:t xml:space="preserve"> </w:t>
      </w:r>
    </w:p>
    <w:p w14:paraId="1E188458" w14:textId="77777777" w:rsidR="00F17D48" w:rsidRDefault="00F17D48" w:rsidP="002333A9">
      <w:pPr>
        <w:jc w:val="both"/>
      </w:pPr>
    </w:p>
    <w:p w14:paraId="3E5F4F69" w14:textId="775B3B4D" w:rsidR="00F17D48" w:rsidRPr="00C43CBD" w:rsidRDefault="00C43CBD" w:rsidP="00C43CBD">
      <w:pPr>
        <w:pStyle w:val="Descripcin"/>
        <w:keepNext/>
      </w:pPr>
      <w:bookmarkStart w:id="199" w:name="_Toc114493890"/>
      <w:r w:rsidRPr="00C43CBD">
        <w:rPr>
          <w:color w:val="auto"/>
        </w:rPr>
        <w:t xml:space="preserve">Gráfico </w:t>
      </w:r>
      <w:r w:rsidRPr="00C43CBD">
        <w:rPr>
          <w:color w:val="auto"/>
        </w:rPr>
        <w:fldChar w:fldCharType="begin"/>
      </w:r>
      <w:r w:rsidRPr="00C43CBD">
        <w:rPr>
          <w:color w:val="auto"/>
        </w:rPr>
        <w:instrText xml:space="preserve"> SEQ Gráfico \* ARABIC </w:instrText>
      </w:r>
      <w:r w:rsidRPr="00C43CBD">
        <w:rPr>
          <w:color w:val="auto"/>
        </w:rPr>
        <w:fldChar w:fldCharType="separate"/>
      </w:r>
      <w:r w:rsidR="002E7809">
        <w:rPr>
          <w:noProof/>
          <w:color w:val="auto"/>
        </w:rPr>
        <w:t>48</w:t>
      </w:r>
      <w:r w:rsidRPr="00C43CBD">
        <w:rPr>
          <w:color w:val="auto"/>
        </w:rPr>
        <w:fldChar w:fldCharType="end"/>
      </w:r>
      <w:r w:rsidRPr="00C43CBD">
        <w:rPr>
          <w:color w:val="auto"/>
        </w:rPr>
        <w:t xml:space="preserve">.  </w:t>
      </w:r>
      <w:r w:rsidR="00F17D48" w:rsidRPr="00C43CBD">
        <w:rPr>
          <w:bCs/>
          <w:color w:val="auto"/>
        </w:rPr>
        <w:t>Principales Municipalidades</w:t>
      </w:r>
      <w:bookmarkEnd w:id="199"/>
      <w:r w:rsidR="00F17D48" w:rsidRPr="00F17D48">
        <w:rPr>
          <w:bCs/>
        </w:rPr>
        <w:t xml:space="preserve"> </w:t>
      </w:r>
    </w:p>
    <w:p w14:paraId="273E9E97" w14:textId="056AF0CD" w:rsidR="00190C67" w:rsidRPr="00F17D48" w:rsidRDefault="00F17D48" w:rsidP="00F17D48">
      <w:pPr>
        <w:jc w:val="center"/>
        <w:rPr>
          <w:color w:val="000000" w:themeColor="text1"/>
          <w:sz w:val="22"/>
          <w:szCs w:val="22"/>
          <w:lang w:val="es-MX"/>
        </w:rPr>
      </w:pPr>
      <w:r w:rsidRPr="00F17D48">
        <w:rPr>
          <w:sz w:val="22"/>
          <w:szCs w:val="22"/>
        </w:rPr>
        <w:t>para el año 202</w:t>
      </w:r>
      <w:r w:rsidR="005B2D59">
        <w:rPr>
          <w:sz w:val="22"/>
          <w:szCs w:val="22"/>
        </w:rPr>
        <w:t>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362"/>
      </w:tblGrid>
      <w:tr w:rsidR="005B2D59" w14:paraId="2063E851" w14:textId="77777777" w:rsidTr="00E1290B">
        <w:tc>
          <w:tcPr>
            <w:tcW w:w="4476" w:type="dxa"/>
          </w:tcPr>
          <w:p w14:paraId="6C506E79" w14:textId="00822FFA" w:rsidR="00F17D48" w:rsidRPr="00F17D48" w:rsidRDefault="00F17D48" w:rsidP="00F17D48">
            <w:pPr>
              <w:jc w:val="center"/>
              <w:rPr>
                <w:b/>
                <w:color w:val="000000" w:themeColor="text1"/>
                <w:lang w:val="es-MX"/>
              </w:rPr>
            </w:pPr>
            <w:r w:rsidRPr="00F17D48">
              <w:rPr>
                <w:b/>
                <w:color w:val="000000" w:themeColor="text1"/>
                <w:lang w:val="es-MX"/>
              </w:rPr>
              <w:t>Con mayor liquidez</w:t>
            </w:r>
          </w:p>
          <w:p w14:paraId="411782ED" w14:textId="71799BC3" w:rsidR="00F17D48" w:rsidRPr="00F17D48" w:rsidRDefault="00E53B8E" w:rsidP="00E53B8E">
            <w:pPr>
              <w:jc w:val="center"/>
              <w:rPr>
                <w:b/>
                <w:color w:val="000000" w:themeColor="text1"/>
                <w:lang w:val="es-MX"/>
              </w:rPr>
            </w:pPr>
            <w:r>
              <w:rPr>
                <w:b/>
                <w:noProof/>
                <w:color w:val="000000" w:themeColor="text1"/>
              </w:rPr>
              <w:drawing>
                <wp:inline distT="0" distB="0" distL="0" distR="0" wp14:anchorId="7CE9B33E" wp14:editId="7A97F754">
                  <wp:extent cx="2750185" cy="1535502"/>
                  <wp:effectExtent l="0" t="0" r="0" b="762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362" w:type="dxa"/>
          </w:tcPr>
          <w:p w14:paraId="6016A3CB" w14:textId="77777777" w:rsidR="00F17D48" w:rsidRDefault="00F17D48" w:rsidP="00F17D48">
            <w:pPr>
              <w:jc w:val="center"/>
              <w:rPr>
                <w:b/>
                <w:color w:val="000000" w:themeColor="text1"/>
                <w:lang w:val="es-MX"/>
              </w:rPr>
            </w:pPr>
            <w:r w:rsidRPr="00F17D48">
              <w:rPr>
                <w:b/>
                <w:color w:val="000000" w:themeColor="text1"/>
                <w:lang w:val="es-MX"/>
              </w:rPr>
              <w:t>Con menor liquidez</w:t>
            </w:r>
          </w:p>
          <w:p w14:paraId="3E06A7E6" w14:textId="27720E1D" w:rsidR="005B2D59" w:rsidRPr="00F17D48" w:rsidRDefault="005B2D59" w:rsidP="00F17D48">
            <w:pPr>
              <w:jc w:val="center"/>
              <w:rPr>
                <w:b/>
                <w:color w:val="000000" w:themeColor="text1"/>
                <w:lang w:val="es-MX"/>
              </w:rPr>
            </w:pPr>
            <w:r w:rsidRPr="005B2D59">
              <w:rPr>
                <w:b/>
                <w:noProof/>
                <w:color w:val="000000" w:themeColor="text1"/>
              </w:rPr>
              <w:drawing>
                <wp:inline distT="0" distB="0" distL="0" distR="0" wp14:anchorId="5D944141" wp14:editId="2D6D5189">
                  <wp:extent cx="2677160" cy="153543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7518A3A8" w14:textId="4A5CEB82" w:rsidR="00E1290B" w:rsidRPr="00E53B8E" w:rsidRDefault="00E1290B" w:rsidP="002333A9">
      <w:pPr>
        <w:jc w:val="both"/>
        <w:rPr>
          <w:sz w:val="18"/>
        </w:rPr>
      </w:pPr>
      <w:r w:rsidRPr="0012440D">
        <w:rPr>
          <w:sz w:val="18"/>
        </w:rPr>
        <w:t>Fuente: Sicoin</w:t>
      </w:r>
      <w:r>
        <w:rPr>
          <w:sz w:val="18"/>
        </w:rPr>
        <w:t xml:space="preserve"> </w:t>
      </w:r>
      <w:r w:rsidRPr="0012440D">
        <w:rPr>
          <w:sz w:val="18"/>
        </w:rPr>
        <w:t>GL</w:t>
      </w:r>
      <w:r w:rsidR="00E53B8E">
        <w:rPr>
          <w:sz w:val="18"/>
        </w:rPr>
        <w:t>.</w:t>
      </w:r>
    </w:p>
    <w:p w14:paraId="56B404A6" w14:textId="2E9688E1" w:rsidR="00A102E4" w:rsidRPr="00A07BD4" w:rsidRDefault="00A102E4" w:rsidP="001D18D0">
      <w:pPr>
        <w:pStyle w:val="Ttulo1"/>
        <w:widowControl/>
        <w:numPr>
          <w:ilvl w:val="1"/>
          <w:numId w:val="5"/>
        </w:numPr>
        <w:ind w:left="567" w:right="49" w:hanging="283"/>
        <w:jc w:val="left"/>
        <w:rPr>
          <w:color w:val="auto"/>
          <w:sz w:val="24"/>
          <w:lang w:val="es-MX"/>
        </w:rPr>
      </w:pPr>
      <w:bookmarkStart w:id="200" w:name="_Toc79746363"/>
      <w:bookmarkStart w:id="201" w:name="_Toc114495263"/>
      <w:r w:rsidRPr="00A07BD4">
        <w:rPr>
          <w:color w:val="auto"/>
          <w:sz w:val="24"/>
          <w:lang w:val="es-MX"/>
        </w:rPr>
        <w:t>Obligaciones Financieras por Pagar de las Municipalidades</w:t>
      </w:r>
      <w:bookmarkEnd w:id="200"/>
      <w:bookmarkEnd w:id="201"/>
    </w:p>
    <w:p w14:paraId="53232D78" w14:textId="77777777" w:rsidR="00A102E4" w:rsidRPr="001C0BBF" w:rsidRDefault="00A102E4" w:rsidP="00A102E4">
      <w:pPr>
        <w:pStyle w:val="Sinespaciado"/>
        <w:ind w:right="49"/>
        <w:jc w:val="both"/>
        <w:rPr>
          <w:bCs/>
          <w:sz w:val="22"/>
          <w:lang w:val="es-MX"/>
        </w:rPr>
      </w:pPr>
    </w:p>
    <w:p w14:paraId="07943448" w14:textId="77777777" w:rsidR="00A102E4" w:rsidRPr="002333A9" w:rsidRDefault="00A102E4" w:rsidP="002333A9">
      <w:pPr>
        <w:jc w:val="both"/>
        <w:rPr>
          <w:bCs/>
          <w:color w:val="000000" w:themeColor="text1"/>
          <w:lang w:val="es-MX"/>
        </w:rPr>
      </w:pPr>
      <w:r w:rsidRPr="002333A9">
        <w:rPr>
          <w:bCs/>
          <w:color w:val="000000" w:themeColor="text1"/>
          <w:lang w:val="es-MX"/>
        </w:rPr>
        <w:t xml:space="preserve">Las obligaciones financieras incluyen los compromisos adquiridos por las necesidades de endeudamiento a través de la adquisición de préstamos y las otras obligaciones por pagar. Cabe mencionar que este último concepto incluye para el caso de las municipalidades a las cuentas por pagar, documentos y efectos a pagar y los fondos de terceros.  Asimismo, los valores de las obligaciones financieras se expresan como porcentajes de sus ingresos totales. </w:t>
      </w:r>
    </w:p>
    <w:p w14:paraId="1D545F6D" w14:textId="36E87E73" w:rsidR="00E1290B" w:rsidRDefault="00E1290B" w:rsidP="00C43CBD">
      <w:pPr>
        <w:pStyle w:val="Descripcin"/>
        <w:keepNext/>
        <w:jc w:val="left"/>
        <w:rPr>
          <w:color w:val="auto"/>
        </w:rPr>
      </w:pPr>
    </w:p>
    <w:p w14:paraId="18BA3880" w14:textId="22B6C131" w:rsidR="00A102E4" w:rsidRPr="003C4DE4" w:rsidRDefault="003C4DE4" w:rsidP="003C4DE4">
      <w:pPr>
        <w:pStyle w:val="Descripcin"/>
        <w:keepNext/>
        <w:rPr>
          <w:color w:val="auto"/>
        </w:rPr>
      </w:pPr>
      <w:bookmarkStart w:id="202" w:name="_Toc114493891"/>
      <w:r w:rsidRPr="003C4DE4">
        <w:rPr>
          <w:color w:val="auto"/>
        </w:rPr>
        <w:t xml:space="preserve">Gráfico </w:t>
      </w:r>
      <w:r w:rsidRPr="003C4DE4">
        <w:rPr>
          <w:color w:val="auto"/>
        </w:rPr>
        <w:fldChar w:fldCharType="begin"/>
      </w:r>
      <w:r w:rsidRPr="003C4DE4">
        <w:rPr>
          <w:color w:val="auto"/>
        </w:rPr>
        <w:instrText xml:space="preserve"> SEQ Gráfico \* ARABIC </w:instrText>
      </w:r>
      <w:r w:rsidRPr="003C4DE4">
        <w:rPr>
          <w:color w:val="auto"/>
        </w:rPr>
        <w:fldChar w:fldCharType="separate"/>
      </w:r>
      <w:r w:rsidR="002E7809">
        <w:rPr>
          <w:noProof/>
          <w:color w:val="auto"/>
        </w:rPr>
        <w:t>49</w:t>
      </w:r>
      <w:r w:rsidRPr="003C4DE4">
        <w:rPr>
          <w:color w:val="auto"/>
        </w:rPr>
        <w:fldChar w:fldCharType="end"/>
      </w:r>
      <w:r w:rsidRPr="003C4DE4">
        <w:rPr>
          <w:color w:val="auto"/>
        </w:rPr>
        <w:t xml:space="preserve">.  </w:t>
      </w:r>
      <w:r w:rsidR="00A102E4" w:rsidRPr="003C4DE4">
        <w:rPr>
          <w:bCs/>
          <w:color w:val="auto"/>
          <w:lang w:val="es-MX"/>
        </w:rPr>
        <w:t>Obligaciones financieras de las Municipalidades</w:t>
      </w:r>
      <w:bookmarkEnd w:id="202"/>
    </w:p>
    <w:p w14:paraId="3B164B96" w14:textId="20E21E30" w:rsidR="00A102E4" w:rsidRDefault="00A102E4" w:rsidP="00A102E4">
      <w:pPr>
        <w:jc w:val="center"/>
        <w:rPr>
          <w:sz w:val="22"/>
        </w:rPr>
      </w:pPr>
      <w:r w:rsidRPr="00BB5E60">
        <w:rPr>
          <w:sz w:val="22"/>
        </w:rPr>
        <w:t>Como porcentaje de sus ingresos totales</w:t>
      </w:r>
    </w:p>
    <w:p w14:paraId="1DACCD2A" w14:textId="77777777" w:rsidR="00190C67" w:rsidRPr="00BB5E60" w:rsidRDefault="00190C67" w:rsidP="00A102E4">
      <w:pPr>
        <w:jc w:val="center"/>
        <w:rPr>
          <w:sz w:val="22"/>
        </w:rPr>
      </w:pPr>
    </w:p>
    <w:p w14:paraId="615E7F19" w14:textId="77777777" w:rsidR="00A102E4" w:rsidRDefault="00A102E4" w:rsidP="00B556EC">
      <w:pPr>
        <w:pStyle w:val="Prrafodelista"/>
        <w:autoSpaceDE w:val="0"/>
        <w:autoSpaceDN w:val="0"/>
        <w:adjustRightInd w:val="0"/>
        <w:ind w:left="142"/>
        <w:jc w:val="center"/>
      </w:pPr>
      <w:r>
        <w:rPr>
          <w:noProof/>
          <w:lang w:eastAsia="es-GT"/>
        </w:rPr>
        <w:drawing>
          <wp:inline distT="0" distB="0" distL="0" distR="0" wp14:anchorId="315B8A85" wp14:editId="7B526FAF">
            <wp:extent cx="4619625" cy="2001328"/>
            <wp:effectExtent l="0" t="0" r="0" b="0"/>
            <wp:docPr id="43" name="Gráfico 43">
              <a:extLst xmlns:a="http://schemas.openxmlformats.org/drawingml/2006/main">
                <a:ext uri="{FF2B5EF4-FFF2-40B4-BE49-F238E27FC236}">
                  <a16:creationId xmlns:a16="http://schemas.microsoft.com/office/drawing/2014/main" id="{4D37C0EF-86F9-4C9F-A1A4-541FD032C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13ED879" w14:textId="430F73F0" w:rsidR="00A102E4" w:rsidRPr="0012440D" w:rsidRDefault="00A102E4" w:rsidP="00A102E4">
      <w:pPr>
        <w:tabs>
          <w:tab w:val="left" w:pos="7513"/>
        </w:tabs>
        <w:rPr>
          <w:sz w:val="18"/>
        </w:rPr>
      </w:pPr>
      <w:r>
        <w:rPr>
          <w:sz w:val="18"/>
        </w:rPr>
        <w:t xml:space="preserve">                                 </w:t>
      </w:r>
      <w:r w:rsidRPr="0012440D">
        <w:rPr>
          <w:sz w:val="18"/>
        </w:rPr>
        <w:t>Fuente: Sicoin</w:t>
      </w:r>
      <w:r>
        <w:rPr>
          <w:sz w:val="18"/>
        </w:rPr>
        <w:t xml:space="preserve"> </w:t>
      </w:r>
      <w:r w:rsidRPr="0012440D">
        <w:rPr>
          <w:sz w:val="18"/>
        </w:rPr>
        <w:t>GL</w:t>
      </w:r>
      <w:r w:rsidR="00E53B8E">
        <w:rPr>
          <w:sz w:val="18"/>
        </w:rPr>
        <w:t>.</w:t>
      </w:r>
    </w:p>
    <w:p w14:paraId="63034D22" w14:textId="77777777" w:rsidR="00A102E4" w:rsidRDefault="00A102E4" w:rsidP="00A102E4">
      <w:pPr>
        <w:pStyle w:val="Sinespaciado"/>
        <w:ind w:left="567" w:right="49"/>
        <w:jc w:val="both"/>
        <w:rPr>
          <w:bCs/>
          <w:lang w:val="es-MX"/>
        </w:rPr>
      </w:pPr>
    </w:p>
    <w:p w14:paraId="10B2ED85" w14:textId="77777777" w:rsidR="00A102E4" w:rsidRPr="002333A9" w:rsidRDefault="00A102E4" w:rsidP="002333A9">
      <w:pPr>
        <w:jc w:val="both"/>
        <w:rPr>
          <w:bCs/>
          <w:color w:val="000000" w:themeColor="text1"/>
          <w:lang w:val="es-MX"/>
        </w:rPr>
      </w:pPr>
      <w:r w:rsidRPr="002333A9">
        <w:rPr>
          <w:bCs/>
          <w:color w:val="000000" w:themeColor="text1"/>
          <w:lang w:val="es-MX"/>
        </w:rPr>
        <w:t xml:space="preserve">Las municipalidades, como grupo institucional, han mantenido un nivel de obligaciones financieras moderado, siendo para el 2021 del 13.7% respecto a sus ingresos totales y que debe resaltarse es una disminución respecto al 14.9% observado el año previo (2020). </w:t>
      </w:r>
    </w:p>
    <w:p w14:paraId="3B4EAFEE" w14:textId="77777777" w:rsidR="00A102E4" w:rsidRPr="002333A9" w:rsidRDefault="00A102E4" w:rsidP="002333A9">
      <w:pPr>
        <w:jc w:val="both"/>
        <w:rPr>
          <w:bCs/>
          <w:color w:val="000000" w:themeColor="text1"/>
          <w:lang w:val="es-MX"/>
        </w:rPr>
      </w:pPr>
    </w:p>
    <w:p w14:paraId="54C0022B" w14:textId="77777777" w:rsidR="00A102E4" w:rsidRPr="002333A9" w:rsidRDefault="00A102E4" w:rsidP="002333A9">
      <w:pPr>
        <w:jc w:val="both"/>
        <w:rPr>
          <w:bCs/>
          <w:color w:val="000000" w:themeColor="text1"/>
          <w:lang w:val="es-MX"/>
        </w:rPr>
      </w:pPr>
      <w:r w:rsidRPr="002333A9">
        <w:rPr>
          <w:bCs/>
          <w:color w:val="000000" w:themeColor="text1"/>
          <w:lang w:val="es-MX"/>
        </w:rPr>
        <w:t>La principal obligación financiera para las municipalidades se deriva del pago por endeudamiento (los préstamos) y el cual equivale al 8.0% de sus ingresos totales mientras que el restante (es el 5.7% de sus ingresos totales) se produce por las otras obligaciones financieras, especialmente en la categoría de otras cuentas a pagar en el corto y largo plazo.</w:t>
      </w:r>
    </w:p>
    <w:p w14:paraId="337DD767" w14:textId="073D43A1" w:rsidR="003C4DE4" w:rsidRDefault="003C4DE4" w:rsidP="00A102E4">
      <w:pPr>
        <w:pStyle w:val="Sinespaciado"/>
        <w:ind w:left="567" w:right="49"/>
        <w:jc w:val="center"/>
        <w:rPr>
          <w:b/>
          <w:bCs/>
          <w:lang w:val="es-MX"/>
        </w:rPr>
      </w:pPr>
    </w:p>
    <w:p w14:paraId="1BBD0C2B" w14:textId="70515D3C" w:rsidR="00A102E4" w:rsidRPr="003C4DE4" w:rsidRDefault="003C4DE4" w:rsidP="003C4DE4">
      <w:pPr>
        <w:pStyle w:val="Descripcin"/>
        <w:keepNext/>
        <w:rPr>
          <w:color w:val="auto"/>
        </w:rPr>
      </w:pPr>
      <w:bookmarkStart w:id="203" w:name="_Toc114493892"/>
      <w:r w:rsidRPr="003C4DE4">
        <w:rPr>
          <w:color w:val="auto"/>
        </w:rPr>
        <w:t xml:space="preserve">Gráfico </w:t>
      </w:r>
      <w:r w:rsidRPr="003C4DE4">
        <w:rPr>
          <w:color w:val="auto"/>
        </w:rPr>
        <w:fldChar w:fldCharType="begin"/>
      </w:r>
      <w:r w:rsidRPr="003C4DE4">
        <w:rPr>
          <w:color w:val="auto"/>
        </w:rPr>
        <w:instrText xml:space="preserve"> SEQ Gráfico \* ARABIC </w:instrText>
      </w:r>
      <w:r w:rsidRPr="003C4DE4">
        <w:rPr>
          <w:color w:val="auto"/>
        </w:rPr>
        <w:fldChar w:fldCharType="separate"/>
      </w:r>
      <w:r w:rsidR="002E7809">
        <w:rPr>
          <w:noProof/>
          <w:color w:val="auto"/>
        </w:rPr>
        <w:t>50</w:t>
      </w:r>
      <w:r w:rsidRPr="003C4DE4">
        <w:rPr>
          <w:color w:val="auto"/>
        </w:rPr>
        <w:fldChar w:fldCharType="end"/>
      </w:r>
      <w:r w:rsidRPr="003C4DE4">
        <w:rPr>
          <w:color w:val="auto"/>
        </w:rPr>
        <w:t xml:space="preserve">.  </w:t>
      </w:r>
      <w:r w:rsidR="00A102E4" w:rsidRPr="003C4DE4">
        <w:rPr>
          <w:bCs/>
          <w:color w:val="auto"/>
          <w:lang w:val="es-MX"/>
        </w:rPr>
        <w:t>Municipalidades según sus niveles de Obligaciones Financieras</w:t>
      </w:r>
      <w:bookmarkEnd w:id="203"/>
    </w:p>
    <w:p w14:paraId="3E887EED" w14:textId="77777777" w:rsidR="00A102E4" w:rsidRDefault="00A102E4" w:rsidP="00A102E4">
      <w:pPr>
        <w:pStyle w:val="Sinespaciado"/>
        <w:ind w:left="567" w:right="49"/>
        <w:jc w:val="center"/>
        <w:rPr>
          <w:bCs/>
          <w:lang w:val="es-MX"/>
        </w:rPr>
      </w:pPr>
      <w:r w:rsidRPr="00BB4A07">
        <w:rPr>
          <w:bCs/>
          <w:lang w:val="es-MX"/>
        </w:rPr>
        <w:t>Para el año 202</w:t>
      </w:r>
      <w:r>
        <w:rPr>
          <w:bCs/>
          <w:lang w:val="es-MX"/>
        </w:rPr>
        <w:t>1</w:t>
      </w:r>
    </w:p>
    <w:p w14:paraId="157A1182" w14:textId="77777777" w:rsidR="00A102E4" w:rsidRPr="00BB4A07" w:rsidRDefault="00A102E4" w:rsidP="00A102E4">
      <w:pPr>
        <w:pStyle w:val="Sinespaciado"/>
        <w:ind w:left="567" w:right="49"/>
        <w:jc w:val="center"/>
        <w:rPr>
          <w:bCs/>
          <w:lang w:val="es-MX"/>
        </w:rPr>
      </w:pPr>
      <w:r>
        <w:rPr>
          <w:noProof/>
          <w:lang w:val="es-GT" w:eastAsia="es-GT"/>
        </w:rPr>
        <w:drawing>
          <wp:inline distT="0" distB="0" distL="0" distR="0" wp14:anchorId="1B568148" wp14:editId="3331D2B2">
            <wp:extent cx="5095875" cy="1846053"/>
            <wp:effectExtent l="0" t="0" r="0" b="1905"/>
            <wp:docPr id="44" name="Gráfico 44">
              <a:extLst xmlns:a="http://schemas.openxmlformats.org/drawingml/2006/main">
                <a:ext uri="{FF2B5EF4-FFF2-40B4-BE49-F238E27FC236}">
                  <a16:creationId xmlns:a16="http://schemas.microsoft.com/office/drawing/2014/main" id="{C26DBF34-E96A-46F7-83D7-18B79152D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7A93335" w14:textId="6407ABA3" w:rsidR="00A102E4" w:rsidRPr="00E53B8E" w:rsidRDefault="00A102E4" w:rsidP="00E53B8E">
      <w:pPr>
        <w:tabs>
          <w:tab w:val="left" w:pos="7513"/>
        </w:tabs>
        <w:rPr>
          <w:sz w:val="18"/>
        </w:rPr>
      </w:pPr>
      <w:r>
        <w:rPr>
          <w:sz w:val="18"/>
        </w:rPr>
        <w:t xml:space="preserve">               </w:t>
      </w:r>
      <w:r w:rsidRPr="0012440D">
        <w:rPr>
          <w:sz w:val="18"/>
        </w:rPr>
        <w:t>Fuente: Sicoin</w:t>
      </w:r>
      <w:r>
        <w:rPr>
          <w:sz w:val="18"/>
        </w:rPr>
        <w:t xml:space="preserve"> </w:t>
      </w:r>
      <w:r w:rsidRPr="0012440D">
        <w:rPr>
          <w:sz w:val="18"/>
        </w:rPr>
        <w:t>GL</w:t>
      </w:r>
    </w:p>
    <w:p w14:paraId="611E5D68" w14:textId="77777777" w:rsidR="00A102E4" w:rsidRPr="002333A9" w:rsidRDefault="00A102E4" w:rsidP="002333A9">
      <w:pPr>
        <w:jc w:val="both"/>
        <w:rPr>
          <w:bCs/>
          <w:color w:val="000000" w:themeColor="text1"/>
          <w:lang w:val="es-MX"/>
        </w:rPr>
      </w:pPr>
      <w:r w:rsidRPr="002333A9">
        <w:rPr>
          <w:bCs/>
          <w:color w:val="000000" w:themeColor="text1"/>
          <w:lang w:val="es-MX"/>
        </w:rPr>
        <w:t>En 2021 se observa un total de 218 municipalidades (64.1% del total) registran un valor de obligaciones financieras entre el 0% y 5% de sus ingresos totales, mientras que 87 entidades (25.6% del total) posee obligaciones financieras entre el 5.01% y 20% de sus ingresos y solamente 35 municipalidades (10.3% del total) poseen una cifra superior al 20% de sus ingresos totales.</w:t>
      </w:r>
    </w:p>
    <w:p w14:paraId="64F240DC" w14:textId="77777777" w:rsidR="00A102E4" w:rsidRPr="002333A9" w:rsidRDefault="00A102E4" w:rsidP="002333A9">
      <w:pPr>
        <w:jc w:val="both"/>
        <w:rPr>
          <w:bCs/>
          <w:color w:val="000000" w:themeColor="text1"/>
          <w:lang w:val="es-MX"/>
        </w:rPr>
      </w:pPr>
    </w:p>
    <w:p w14:paraId="3CAF2F35" w14:textId="16695BCB" w:rsidR="00A102E4" w:rsidRPr="002333A9" w:rsidRDefault="00A102E4" w:rsidP="002333A9">
      <w:pPr>
        <w:jc w:val="both"/>
        <w:rPr>
          <w:bCs/>
          <w:color w:val="000000" w:themeColor="text1"/>
          <w:lang w:val="es-MX"/>
        </w:rPr>
      </w:pPr>
      <w:r w:rsidRPr="002333A9">
        <w:rPr>
          <w:bCs/>
          <w:color w:val="000000" w:themeColor="text1"/>
          <w:lang w:val="es-MX"/>
        </w:rPr>
        <w:t xml:space="preserve">Las municipalidades que presentan el mayor valor de obligaciones financieras con relación a sus niveles de ingresos totales son: San Miguel Pochuta con el 77.3% respecto a sus ingresos, seguido de la municipalidad de Guatemala con el 71.9%, luego San Lorenzo (Suchitepéquez), Santa Catarina con el 59.8% y por último Escuintla con el 46.0%. Cabe mencionar que, en términos monetarios, las obligaciones financieras de la municipalidad de Guatemala es la </w:t>
      </w:r>
      <w:r w:rsidR="00E53B8E" w:rsidRPr="002333A9">
        <w:rPr>
          <w:bCs/>
          <w:color w:val="000000" w:themeColor="text1"/>
          <w:lang w:val="es-MX"/>
        </w:rPr>
        <w:t>más</w:t>
      </w:r>
      <w:r w:rsidRPr="002333A9">
        <w:rPr>
          <w:bCs/>
          <w:color w:val="000000" w:themeColor="text1"/>
          <w:lang w:val="es-MX"/>
        </w:rPr>
        <w:t xml:space="preserve"> alta, significando el 47.6% del total de todo el sector, pero de la misma manera, su nivel de ingresos es el más alto entre el grupo institucional.</w:t>
      </w:r>
    </w:p>
    <w:p w14:paraId="27B2E4B0" w14:textId="77777777" w:rsidR="00A102E4" w:rsidRPr="002333A9" w:rsidRDefault="00A102E4" w:rsidP="002333A9">
      <w:pPr>
        <w:jc w:val="both"/>
        <w:rPr>
          <w:bCs/>
          <w:color w:val="000000" w:themeColor="text1"/>
          <w:lang w:val="es-MX"/>
        </w:rPr>
      </w:pPr>
    </w:p>
    <w:p w14:paraId="14FC0503" w14:textId="77777777" w:rsidR="00A102E4" w:rsidRPr="002333A9" w:rsidRDefault="00A102E4" w:rsidP="002333A9">
      <w:pPr>
        <w:jc w:val="both"/>
        <w:rPr>
          <w:bCs/>
          <w:color w:val="000000" w:themeColor="text1"/>
          <w:lang w:val="es-MX"/>
        </w:rPr>
      </w:pPr>
      <w:r w:rsidRPr="002333A9">
        <w:rPr>
          <w:bCs/>
          <w:color w:val="000000" w:themeColor="text1"/>
          <w:lang w:val="es-MX"/>
        </w:rPr>
        <w:t>Por su parte, las municipalidades con las menores obligaciones financieras respecto a sus ingresos totales son: San Andrés Semetabaj y Rio Blanco que tienen una obligación del 0.02% respecto a sus ingresos, luego las municipalidades de Barberena, Patzite y Tacana con 0.3% cada una.</w:t>
      </w:r>
    </w:p>
    <w:p w14:paraId="23590C19" w14:textId="77777777" w:rsidR="00A102E4" w:rsidRDefault="00A102E4" w:rsidP="00A102E4">
      <w:pPr>
        <w:pStyle w:val="Sinespaciado"/>
        <w:ind w:left="567" w:right="49"/>
        <w:jc w:val="both"/>
        <w:rPr>
          <w:bCs/>
          <w:lang w:val="es-MX"/>
        </w:rPr>
      </w:pPr>
    </w:p>
    <w:tbl>
      <w:tblPr>
        <w:tblStyle w:val="Tablaconcuadrc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A102E4" w:rsidRPr="002955CD" w14:paraId="688430FD" w14:textId="77777777" w:rsidTr="004E5570">
        <w:trPr>
          <w:trHeight w:val="369"/>
        </w:trPr>
        <w:tc>
          <w:tcPr>
            <w:tcW w:w="9356" w:type="dxa"/>
          </w:tcPr>
          <w:p w14:paraId="2A31E3EA" w14:textId="53254470" w:rsidR="00A102E4" w:rsidRPr="00B556EC" w:rsidRDefault="00B556EC" w:rsidP="00B556EC">
            <w:pPr>
              <w:pStyle w:val="Descripcin"/>
              <w:keepNext/>
              <w:rPr>
                <w:color w:val="auto"/>
                <w:sz w:val="24"/>
                <w:szCs w:val="24"/>
              </w:rPr>
            </w:pPr>
            <w:bookmarkStart w:id="204" w:name="_Toc114493893"/>
            <w:r w:rsidRPr="00B556EC">
              <w:rPr>
                <w:color w:val="auto"/>
                <w:sz w:val="24"/>
                <w:szCs w:val="24"/>
              </w:rPr>
              <w:t xml:space="preserve">Gráfico </w:t>
            </w:r>
            <w:r w:rsidRPr="00B556EC">
              <w:rPr>
                <w:color w:val="auto"/>
              </w:rPr>
              <w:fldChar w:fldCharType="begin"/>
            </w:r>
            <w:r w:rsidRPr="00B556EC">
              <w:rPr>
                <w:color w:val="auto"/>
                <w:sz w:val="24"/>
                <w:szCs w:val="24"/>
              </w:rPr>
              <w:instrText xml:space="preserve"> SEQ Gráfico \* ARABIC </w:instrText>
            </w:r>
            <w:r w:rsidRPr="00B556EC">
              <w:rPr>
                <w:color w:val="auto"/>
              </w:rPr>
              <w:fldChar w:fldCharType="separate"/>
            </w:r>
            <w:r w:rsidR="002E7809">
              <w:rPr>
                <w:noProof/>
                <w:color w:val="auto"/>
                <w:sz w:val="24"/>
                <w:szCs w:val="24"/>
              </w:rPr>
              <w:t>51</w:t>
            </w:r>
            <w:r w:rsidRPr="00B556EC">
              <w:rPr>
                <w:color w:val="auto"/>
              </w:rPr>
              <w:fldChar w:fldCharType="end"/>
            </w:r>
            <w:r w:rsidRPr="00B556EC">
              <w:rPr>
                <w:color w:val="auto"/>
                <w:sz w:val="24"/>
                <w:szCs w:val="24"/>
              </w:rPr>
              <w:t xml:space="preserve">.  </w:t>
            </w:r>
            <w:r w:rsidR="00A102E4" w:rsidRPr="00B556EC">
              <w:rPr>
                <w:bCs/>
                <w:color w:val="auto"/>
                <w:sz w:val="24"/>
                <w:szCs w:val="24"/>
              </w:rPr>
              <w:t>Principales Municipalidades</w:t>
            </w:r>
            <w:bookmarkEnd w:id="204"/>
          </w:p>
          <w:p w14:paraId="570150C3" w14:textId="77777777" w:rsidR="00A102E4" w:rsidRPr="002955CD" w:rsidRDefault="00A102E4" w:rsidP="00ED483A">
            <w:pPr>
              <w:jc w:val="center"/>
              <w:rPr>
                <w:sz w:val="24"/>
                <w:szCs w:val="24"/>
              </w:rPr>
            </w:pPr>
            <w:r w:rsidRPr="00533075">
              <w:rPr>
                <w:sz w:val="22"/>
                <w:szCs w:val="28"/>
              </w:rPr>
              <w:t>para el año 2021</w:t>
            </w:r>
          </w:p>
        </w:tc>
      </w:tr>
      <w:tr w:rsidR="00A102E4" w:rsidRPr="002955CD" w14:paraId="7F893E9B" w14:textId="77777777" w:rsidTr="004E5570">
        <w:tblPrEx>
          <w:tblCellMar>
            <w:left w:w="70" w:type="dxa"/>
            <w:right w:w="70" w:type="dxa"/>
          </w:tblCellMar>
        </w:tblPrEx>
        <w:trPr>
          <w:trHeight w:val="369"/>
        </w:trPr>
        <w:tc>
          <w:tcPr>
            <w:tcW w:w="9356" w:type="dxa"/>
          </w:tcPr>
          <w:p w14:paraId="3258462F" w14:textId="77777777" w:rsidR="00A102E4" w:rsidRDefault="00A102E4" w:rsidP="00ED483A">
            <w:pPr>
              <w:jc w:val="center"/>
              <w:rPr>
                <w:b/>
                <w:bCs/>
                <w:sz w:val="24"/>
                <w:szCs w:val="24"/>
              </w:rPr>
            </w:pPr>
            <w:r>
              <w:rPr>
                <w:noProof/>
              </w:rPr>
              <w:drawing>
                <wp:inline distT="0" distB="0" distL="0" distR="0" wp14:anchorId="02E80494" wp14:editId="1E003E36">
                  <wp:extent cx="5581290" cy="1895475"/>
                  <wp:effectExtent l="0" t="0" r="635" b="0"/>
                  <wp:docPr id="38" name="Gráfico 38">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A102E4" w:rsidRPr="002955CD" w14:paraId="0CE9504F" w14:textId="77777777" w:rsidTr="004E5570">
        <w:tblPrEx>
          <w:tblCellMar>
            <w:left w:w="70" w:type="dxa"/>
            <w:right w:w="70" w:type="dxa"/>
          </w:tblCellMar>
        </w:tblPrEx>
        <w:trPr>
          <w:trHeight w:val="369"/>
        </w:trPr>
        <w:tc>
          <w:tcPr>
            <w:tcW w:w="9356" w:type="dxa"/>
          </w:tcPr>
          <w:p w14:paraId="4F33AFBA" w14:textId="77777777" w:rsidR="00A102E4" w:rsidRPr="00F44A16" w:rsidRDefault="00A102E4" w:rsidP="00ED483A">
            <w:pPr>
              <w:jc w:val="center"/>
              <w:rPr>
                <w:b/>
                <w:bCs/>
                <w:sz w:val="24"/>
                <w:szCs w:val="24"/>
              </w:rPr>
            </w:pPr>
            <w:r w:rsidRPr="00F44A16">
              <w:rPr>
                <w:noProof/>
              </w:rPr>
              <w:drawing>
                <wp:inline distT="0" distB="0" distL="0" distR="0" wp14:anchorId="338BFA18" wp14:editId="0FF9C2AD">
                  <wp:extent cx="5572664" cy="2367280"/>
                  <wp:effectExtent l="0" t="0" r="0" b="0"/>
                  <wp:docPr id="39" name="Gráfico 39">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6DBAA317" w14:textId="77777777" w:rsidR="00A102E4" w:rsidRDefault="00A102E4" w:rsidP="00A102E4">
      <w:pPr>
        <w:tabs>
          <w:tab w:val="left" w:pos="7513"/>
        </w:tabs>
        <w:rPr>
          <w:sz w:val="18"/>
        </w:rPr>
      </w:pPr>
      <w:r>
        <w:rPr>
          <w:sz w:val="18"/>
        </w:rPr>
        <w:t xml:space="preserve">            </w:t>
      </w:r>
      <w:r w:rsidRPr="0012440D">
        <w:rPr>
          <w:sz w:val="18"/>
        </w:rPr>
        <w:t>Fuente: Sicoin</w:t>
      </w:r>
      <w:r>
        <w:rPr>
          <w:sz w:val="18"/>
        </w:rPr>
        <w:t xml:space="preserve"> </w:t>
      </w:r>
      <w:r w:rsidRPr="0012440D">
        <w:rPr>
          <w:sz w:val="18"/>
        </w:rPr>
        <w:t>GL</w:t>
      </w:r>
    </w:p>
    <w:p w14:paraId="322F6252" w14:textId="77777777" w:rsidR="00BD6FA7" w:rsidRPr="0012440D" w:rsidRDefault="00BD6FA7" w:rsidP="00A102E4">
      <w:pPr>
        <w:tabs>
          <w:tab w:val="left" w:pos="7513"/>
        </w:tabs>
        <w:rPr>
          <w:sz w:val="18"/>
        </w:rPr>
      </w:pPr>
    </w:p>
    <w:p w14:paraId="3C579783" w14:textId="140B6C4F" w:rsidR="00BD6FA7" w:rsidRDefault="00BD6FA7" w:rsidP="00BD6FA7">
      <w:pPr>
        <w:pStyle w:val="Ttulo1"/>
        <w:widowControl/>
        <w:numPr>
          <w:ilvl w:val="1"/>
          <w:numId w:val="5"/>
        </w:numPr>
        <w:ind w:left="567" w:right="49" w:hanging="283"/>
        <w:jc w:val="left"/>
        <w:rPr>
          <w:color w:val="auto"/>
          <w:sz w:val="24"/>
          <w:lang w:val="es-MX"/>
        </w:rPr>
      </w:pPr>
      <w:bookmarkStart w:id="205" w:name="_Toc114495264"/>
      <w:r>
        <w:rPr>
          <w:color w:val="auto"/>
          <w:sz w:val="24"/>
          <w:lang w:val="es-MX"/>
        </w:rPr>
        <w:t>Obligaciones financieras respecto al PIB</w:t>
      </w:r>
      <w:bookmarkEnd w:id="205"/>
    </w:p>
    <w:p w14:paraId="0EF7F22E" w14:textId="77777777" w:rsidR="00A90C1C" w:rsidRPr="00A90C1C" w:rsidRDefault="00A90C1C" w:rsidP="00A90C1C">
      <w:pPr>
        <w:rPr>
          <w:lang w:val="es-MX"/>
        </w:rPr>
      </w:pPr>
    </w:p>
    <w:p w14:paraId="55A96F7A" w14:textId="335CE461" w:rsidR="009640CC" w:rsidRDefault="009640CC" w:rsidP="00595C75">
      <w:pPr>
        <w:jc w:val="both"/>
        <w:rPr>
          <w:lang w:val="es-MX"/>
        </w:rPr>
      </w:pPr>
      <w:r>
        <w:rPr>
          <w:lang w:val="es-MX"/>
        </w:rPr>
        <w:t>En términos del PIB</w:t>
      </w:r>
      <w:r w:rsidR="00C46544">
        <w:rPr>
          <w:lang w:val="es-MX"/>
        </w:rPr>
        <w:t>, las obligaciones financieras de las Municipalidades se sitúa</w:t>
      </w:r>
      <w:r w:rsidR="00595C75">
        <w:rPr>
          <w:lang w:val="es-MX"/>
        </w:rPr>
        <w:t>n</w:t>
      </w:r>
      <w:r w:rsidR="00C46544">
        <w:rPr>
          <w:lang w:val="es-MX"/>
        </w:rPr>
        <w:t xml:space="preserve"> </w:t>
      </w:r>
      <w:r w:rsidR="00595C75">
        <w:rPr>
          <w:lang w:val="es-MX"/>
        </w:rPr>
        <w:t xml:space="preserve">cercanas </w:t>
      </w:r>
      <w:r w:rsidR="00C46544">
        <w:rPr>
          <w:lang w:val="es-MX"/>
        </w:rPr>
        <w:t>al 0.32% del PIB</w:t>
      </w:r>
      <w:r w:rsidR="00A90C1C">
        <w:rPr>
          <w:lang w:val="es-MX"/>
        </w:rPr>
        <w:t xml:space="preserve"> en 2021</w:t>
      </w:r>
      <w:r w:rsidR="00C46544">
        <w:rPr>
          <w:lang w:val="es-MX"/>
        </w:rPr>
        <w:t xml:space="preserve">, dicho monto es una disminución respecto a </w:t>
      </w:r>
      <w:r w:rsidR="00595C75">
        <w:rPr>
          <w:lang w:val="es-MX"/>
        </w:rPr>
        <w:t>los 0.33% que se observaron</w:t>
      </w:r>
      <w:r w:rsidR="00C46544">
        <w:rPr>
          <w:lang w:val="es-MX"/>
        </w:rPr>
        <w:t xml:space="preserve"> el año previo. El endeudamiento </w:t>
      </w:r>
      <w:r w:rsidR="00A90C1C">
        <w:rPr>
          <w:lang w:val="es-MX"/>
        </w:rPr>
        <w:t xml:space="preserve">equivale al 0.19% del PIB </w:t>
      </w:r>
      <w:r w:rsidR="003B511A">
        <w:rPr>
          <w:lang w:val="es-MX"/>
        </w:rPr>
        <w:t>y es un</w:t>
      </w:r>
      <w:r w:rsidR="001C3BCF">
        <w:rPr>
          <w:lang w:val="es-MX"/>
        </w:rPr>
        <w:t xml:space="preserve"> ligero aumento respecto al 0.18% que se observó en 2020, sin embargo, </w:t>
      </w:r>
      <w:r w:rsidR="00E70F81">
        <w:rPr>
          <w:lang w:val="es-MX"/>
        </w:rPr>
        <w:t>continúa</w:t>
      </w:r>
      <w:r w:rsidR="001C3BCF">
        <w:rPr>
          <w:lang w:val="es-MX"/>
        </w:rPr>
        <w:t xml:space="preserve"> situándose por debajo </w:t>
      </w:r>
      <w:r w:rsidR="00E70F81">
        <w:rPr>
          <w:lang w:val="es-MX"/>
        </w:rPr>
        <w:t xml:space="preserve">de los valores observado en 2016,2017 y 2018. Por su parte, </w:t>
      </w:r>
      <w:r w:rsidR="003B511A">
        <w:rPr>
          <w:lang w:val="es-MX"/>
        </w:rPr>
        <w:t>las otras obligaciones financieras e</w:t>
      </w:r>
      <w:r w:rsidR="00E70F81">
        <w:rPr>
          <w:lang w:val="es-MX"/>
        </w:rPr>
        <w:t xml:space="preserve">quivalen al </w:t>
      </w:r>
      <w:r w:rsidR="003B511A">
        <w:rPr>
          <w:lang w:val="es-MX"/>
        </w:rPr>
        <w:t>0.14%</w:t>
      </w:r>
      <w:r w:rsidR="00E70F81">
        <w:rPr>
          <w:lang w:val="es-MX"/>
        </w:rPr>
        <w:t xml:space="preserve"> del PIB y es una disminución respecto al 0.15% observado en el año previo.</w:t>
      </w:r>
    </w:p>
    <w:p w14:paraId="3DCF76DC" w14:textId="77777777" w:rsidR="00595C75" w:rsidRPr="009640CC" w:rsidRDefault="00595C75" w:rsidP="009640CC">
      <w:pPr>
        <w:rPr>
          <w:lang w:val="es-MX"/>
        </w:rPr>
      </w:pPr>
    </w:p>
    <w:p w14:paraId="71566ED5" w14:textId="78329947" w:rsidR="00ED4C44" w:rsidRPr="00595C75" w:rsidRDefault="00595C75" w:rsidP="00595C75">
      <w:pPr>
        <w:pStyle w:val="Descripcin"/>
        <w:keepNext/>
      </w:pPr>
      <w:bookmarkStart w:id="206" w:name="_Toc114493894"/>
      <w:r w:rsidRPr="00595C75">
        <w:rPr>
          <w:color w:val="auto"/>
        </w:rPr>
        <w:t xml:space="preserve">Gráfico </w:t>
      </w:r>
      <w:r w:rsidRPr="00595C75">
        <w:rPr>
          <w:color w:val="auto"/>
        </w:rPr>
        <w:fldChar w:fldCharType="begin"/>
      </w:r>
      <w:r w:rsidRPr="00595C75">
        <w:rPr>
          <w:color w:val="auto"/>
        </w:rPr>
        <w:instrText xml:space="preserve"> SEQ Gráfico \* ARABIC </w:instrText>
      </w:r>
      <w:r w:rsidRPr="00595C75">
        <w:rPr>
          <w:color w:val="auto"/>
        </w:rPr>
        <w:fldChar w:fldCharType="separate"/>
      </w:r>
      <w:r w:rsidR="002E7809">
        <w:rPr>
          <w:noProof/>
          <w:color w:val="auto"/>
        </w:rPr>
        <w:t>52</w:t>
      </w:r>
      <w:r w:rsidRPr="00595C75">
        <w:rPr>
          <w:color w:val="auto"/>
        </w:rPr>
        <w:fldChar w:fldCharType="end"/>
      </w:r>
      <w:r w:rsidRPr="00595C75">
        <w:rPr>
          <w:color w:val="auto"/>
        </w:rPr>
        <w:t xml:space="preserve">.  </w:t>
      </w:r>
      <w:r w:rsidR="00ED4C44" w:rsidRPr="00595C75">
        <w:rPr>
          <w:rFonts w:eastAsia="Times New Roman"/>
          <w:color w:val="auto"/>
          <w:lang w:eastAsia="es-GT"/>
        </w:rPr>
        <w:t>Obligaciones financieras de las Municipalidades</w:t>
      </w:r>
      <w:bookmarkEnd w:id="206"/>
    </w:p>
    <w:p w14:paraId="1BE6DF69" w14:textId="5A93A146" w:rsidR="00ED4C44" w:rsidRDefault="00ED4C44" w:rsidP="00ED4C44">
      <w:pPr>
        <w:jc w:val="center"/>
        <w:rPr>
          <w:sz w:val="22"/>
        </w:rPr>
      </w:pPr>
      <w:r w:rsidRPr="00BB5E60">
        <w:rPr>
          <w:sz w:val="22"/>
        </w:rPr>
        <w:t>Como porcentaje de</w:t>
      </w:r>
      <w:r w:rsidR="005412A0">
        <w:rPr>
          <w:sz w:val="22"/>
        </w:rPr>
        <w:t>l PIB</w:t>
      </w:r>
    </w:p>
    <w:p w14:paraId="7B83B61B" w14:textId="0FD4A4E0" w:rsidR="00BD6FA7" w:rsidRDefault="003A3632" w:rsidP="009826C7">
      <w:pPr>
        <w:jc w:val="center"/>
      </w:pPr>
      <w:r>
        <w:rPr>
          <w:noProof/>
          <w:lang w:eastAsia="es-GT"/>
        </w:rPr>
        <w:drawing>
          <wp:inline distT="0" distB="0" distL="0" distR="0" wp14:anchorId="6BC5CDAF" wp14:editId="3729DA9A">
            <wp:extent cx="4572000" cy="2674188"/>
            <wp:effectExtent l="0" t="0" r="0" b="0"/>
            <wp:docPr id="73" name="Gráfico 73">
              <a:extLst xmlns:a="http://schemas.openxmlformats.org/drawingml/2006/main">
                <a:ext uri="{FF2B5EF4-FFF2-40B4-BE49-F238E27FC236}">
                  <a16:creationId xmlns:a16="http://schemas.microsoft.com/office/drawing/2014/main" id="{632EF218-DB5C-440C-8750-0D63F8C57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CC2EFE7" w14:textId="0C261437" w:rsidR="00C46544" w:rsidRDefault="00C46544" w:rsidP="00C46544">
      <w:pPr>
        <w:tabs>
          <w:tab w:val="left" w:pos="7513"/>
        </w:tabs>
        <w:rPr>
          <w:sz w:val="18"/>
        </w:rPr>
      </w:pPr>
      <w:r>
        <w:rPr>
          <w:sz w:val="18"/>
        </w:rPr>
        <w:t xml:space="preserve">            </w:t>
      </w:r>
      <w:r w:rsidRPr="0012440D">
        <w:rPr>
          <w:sz w:val="18"/>
        </w:rPr>
        <w:t>Fuente: Sicoin</w:t>
      </w:r>
      <w:r>
        <w:rPr>
          <w:sz w:val="18"/>
        </w:rPr>
        <w:t xml:space="preserve"> </w:t>
      </w:r>
      <w:r w:rsidRPr="0012440D">
        <w:rPr>
          <w:sz w:val="18"/>
        </w:rPr>
        <w:t>GL</w:t>
      </w:r>
      <w:r w:rsidR="001A37CA">
        <w:rPr>
          <w:sz w:val="18"/>
        </w:rPr>
        <w:t>.</w:t>
      </w:r>
    </w:p>
    <w:p w14:paraId="5916DA56" w14:textId="77777777" w:rsidR="00C46544" w:rsidRPr="00C46544" w:rsidRDefault="00C46544" w:rsidP="009826C7">
      <w:pPr>
        <w:jc w:val="center"/>
      </w:pPr>
    </w:p>
    <w:p w14:paraId="6C790C44" w14:textId="0E66AC16" w:rsidR="00A102E4" w:rsidRPr="00A07BD4" w:rsidRDefault="00A102E4" w:rsidP="00A9708A">
      <w:pPr>
        <w:pStyle w:val="Ttulo1"/>
        <w:widowControl/>
        <w:numPr>
          <w:ilvl w:val="1"/>
          <w:numId w:val="5"/>
        </w:numPr>
        <w:ind w:left="567" w:right="49" w:hanging="283"/>
        <w:jc w:val="left"/>
        <w:rPr>
          <w:color w:val="auto"/>
          <w:sz w:val="24"/>
          <w:lang w:val="es-MX"/>
        </w:rPr>
      </w:pPr>
      <w:bookmarkStart w:id="207" w:name="_Toc114495265"/>
      <w:r w:rsidRPr="00A07BD4">
        <w:rPr>
          <w:color w:val="auto"/>
          <w:sz w:val="24"/>
          <w:lang w:val="es-MX"/>
        </w:rPr>
        <w:t>Acciones realizadas para mitigar el riesgo</w:t>
      </w:r>
      <w:bookmarkEnd w:id="207"/>
    </w:p>
    <w:p w14:paraId="20A22998" w14:textId="082275E1" w:rsidR="00F72293" w:rsidRDefault="00F72293" w:rsidP="00F72293">
      <w:pPr>
        <w:pStyle w:val="Sinespaciado"/>
        <w:ind w:right="49"/>
        <w:jc w:val="both"/>
        <w:rPr>
          <w:bCs/>
          <w:lang w:val="es-MX"/>
        </w:rPr>
      </w:pPr>
    </w:p>
    <w:p w14:paraId="2D10DB0F" w14:textId="1E0EF59A" w:rsidR="00F72293" w:rsidRDefault="00F72293" w:rsidP="00F72293">
      <w:pPr>
        <w:pStyle w:val="Sinespaciado"/>
        <w:ind w:right="49"/>
        <w:jc w:val="both"/>
        <w:rPr>
          <w:bCs/>
          <w:lang w:val="es-MX"/>
        </w:rPr>
      </w:pPr>
      <w:r w:rsidRPr="00F72293">
        <w:rPr>
          <w:bCs/>
          <w:lang w:val="es-MX"/>
        </w:rPr>
        <w:t>El principal riesgo fiscal asociado a las municipalidades se encuentra asociado a la posibilidad de</w:t>
      </w:r>
      <w:r>
        <w:rPr>
          <w:bCs/>
          <w:lang w:val="es-MX"/>
        </w:rPr>
        <w:t xml:space="preserve"> </w:t>
      </w:r>
      <w:r w:rsidRPr="00F72293">
        <w:rPr>
          <w:bCs/>
          <w:lang w:val="es-MX"/>
        </w:rPr>
        <w:t>que el gobierno central acuda al rescate de las municipalidades en caso presenten dificultades, a</w:t>
      </w:r>
      <w:r>
        <w:rPr>
          <w:bCs/>
          <w:lang w:val="es-MX"/>
        </w:rPr>
        <w:t xml:space="preserve"> </w:t>
      </w:r>
      <w:r w:rsidRPr="00F72293">
        <w:rPr>
          <w:bCs/>
          <w:lang w:val="es-MX"/>
        </w:rPr>
        <w:t>pesar de que no exista una obligación legal que medie de por medio, estando relacionado</w:t>
      </w:r>
      <w:r>
        <w:rPr>
          <w:bCs/>
          <w:lang w:val="es-MX"/>
        </w:rPr>
        <w:t xml:space="preserve"> </w:t>
      </w:r>
      <w:r w:rsidRPr="00F72293">
        <w:rPr>
          <w:bCs/>
          <w:lang w:val="es-MX"/>
        </w:rPr>
        <w:t>principalmente al endeudamiento municipal.</w:t>
      </w:r>
    </w:p>
    <w:p w14:paraId="618EE618" w14:textId="77777777" w:rsidR="00F72293" w:rsidRDefault="00F72293" w:rsidP="00F72293">
      <w:pPr>
        <w:pStyle w:val="Sinespaciado"/>
        <w:ind w:right="49"/>
        <w:jc w:val="both"/>
        <w:rPr>
          <w:bCs/>
          <w:lang w:val="es-MX"/>
        </w:rPr>
      </w:pPr>
    </w:p>
    <w:p w14:paraId="60DECF3C" w14:textId="6539D01E" w:rsidR="00A102E4" w:rsidRPr="002333A9" w:rsidRDefault="00A102E4" w:rsidP="00F72293">
      <w:pPr>
        <w:jc w:val="both"/>
        <w:rPr>
          <w:bCs/>
          <w:color w:val="000000" w:themeColor="text1"/>
          <w:lang w:val="es-MX"/>
        </w:rPr>
      </w:pPr>
      <w:r w:rsidRPr="002333A9">
        <w:rPr>
          <w:bCs/>
          <w:color w:val="000000" w:themeColor="text1"/>
          <w:lang w:val="es-MX"/>
        </w:rPr>
        <w:t xml:space="preserve">Dentro del marco legal vigente se encuentran ciertas medidas de supervisión de las finanzas municipales para apoyar en la correcta disciplina fiscal dentro de las municipalidades. </w:t>
      </w:r>
      <w:r w:rsidR="00F72293" w:rsidRPr="00F72293">
        <w:rPr>
          <w:bCs/>
          <w:color w:val="000000" w:themeColor="text1"/>
          <w:lang w:val="es-MX"/>
        </w:rPr>
        <w:t>Algunas</w:t>
      </w:r>
      <w:r w:rsidR="00F72293">
        <w:rPr>
          <w:bCs/>
          <w:color w:val="000000" w:themeColor="text1"/>
          <w:lang w:val="es-MX"/>
        </w:rPr>
        <w:t xml:space="preserve"> </w:t>
      </w:r>
      <w:r w:rsidR="00F72293" w:rsidRPr="00F72293">
        <w:rPr>
          <w:bCs/>
          <w:color w:val="000000" w:themeColor="text1"/>
          <w:lang w:val="es-MX"/>
        </w:rPr>
        <w:t>formas de protegerse contra el riesgo del impago de obligaciones financieras se encuentran</w:t>
      </w:r>
      <w:r w:rsidR="00F72293">
        <w:rPr>
          <w:bCs/>
          <w:color w:val="000000" w:themeColor="text1"/>
          <w:lang w:val="es-MX"/>
        </w:rPr>
        <w:t xml:space="preserve"> </w:t>
      </w:r>
      <w:r w:rsidR="00F72293" w:rsidRPr="00F72293">
        <w:rPr>
          <w:bCs/>
          <w:color w:val="000000" w:themeColor="text1"/>
          <w:lang w:val="es-MX"/>
        </w:rPr>
        <w:t>contenidas en el Decreto 12-2002 Código Municipal y el Decreto 1132 Ley Orgánica del Instituto</w:t>
      </w:r>
      <w:r w:rsidR="00F72293">
        <w:rPr>
          <w:bCs/>
          <w:color w:val="000000" w:themeColor="text1"/>
          <w:lang w:val="es-MX"/>
        </w:rPr>
        <w:t xml:space="preserve"> </w:t>
      </w:r>
      <w:r w:rsidR="00F72293" w:rsidRPr="00F72293">
        <w:rPr>
          <w:bCs/>
          <w:color w:val="000000" w:themeColor="text1"/>
          <w:lang w:val="es-MX"/>
        </w:rPr>
        <w:t>de Fomento Municipal.</w:t>
      </w:r>
      <w:r w:rsidR="00F72293" w:rsidRPr="00F72293">
        <w:rPr>
          <w:bCs/>
          <w:color w:val="000000" w:themeColor="text1"/>
          <w:lang w:val="es-MX"/>
        </w:rPr>
        <w:cr/>
      </w:r>
    </w:p>
    <w:p w14:paraId="32FAB043" w14:textId="3740C1F3" w:rsidR="00A102E4" w:rsidRDefault="00A102E4" w:rsidP="002333A9">
      <w:pPr>
        <w:jc w:val="both"/>
        <w:rPr>
          <w:bCs/>
          <w:color w:val="000000" w:themeColor="text1"/>
          <w:lang w:val="es-MX"/>
        </w:rPr>
      </w:pPr>
      <w:r w:rsidRPr="002333A9">
        <w:rPr>
          <w:bCs/>
          <w:color w:val="000000" w:themeColor="text1"/>
          <w:lang w:val="es-MX"/>
        </w:rPr>
        <w:t>El Código Municipal limita el endeudamiento municipal observando el principio de la capacidad de pago a la hora de contratar préstamos buscando no afectar las finanzas municipales y asegurar a su vez, que el endeudamiento en el que incurren no afecta ni compromete las finanzas públicas nacionales. Asimismo, las municipalidades no pueden contraer obligaciones crediticias cuyo plazo de amortización sea mayor que el período de gobierno del Concejo Municipal (cuatro años), siempre que sea apoyado por estudios técnicos de factibilidad. Adicionalmente, podrán emitir, negociar y colocar títulos-valores en el mercado nacional o en el exterior, para cuyo efecto deberán contar previamente con las opiniones del Organismo Ejecutivo y de la Junta Monetaria.</w:t>
      </w:r>
    </w:p>
    <w:p w14:paraId="7699A612" w14:textId="7F8503F6" w:rsidR="005C022E" w:rsidRDefault="005C022E" w:rsidP="002333A9">
      <w:pPr>
        <w:jc w:val="both"/>
        <w:rPr>
          <w:bCs/>
          <w:color w:val="000000" w:themeColor="text1"/>
          <w:lang w:val="es-MX"/>
        </w:rPr>
      </w:pPr>
    </w:p>
    <w:p w14:paraId="2CF5E549" w14:textId="450E826B" w:rsidR="005C022E" w:rsidRDefault="005C022E" w:rsidP="005C022E">
      <w:pPr>
        <w:jc w:val="both"/>
        <w:rPr>
          <w:bCs/>
          <w:color w:val="000000" w:themeColor="text1"/>
          <w:lang w:val="es-MX"/>
        </w:rPr>
      </w:pPr>
      <w:r w:rsidRPr="005C022E">
        <w:rPr>
          <w:bCs/>
          <w:color w:val="000000" w:themeColor="text1"/>
          <w:lang w:val="es-MX"/>
        </w:rPr>
        <w:t>Otra forma de mitigar el riesgo es el monitoreo de las finanzas municipales y la sanción de</w:t>
      </w:r>
      <w:r>
        <w:rPr>
          <w:bCs/>
          <w:color w:val="000000" w:themeColor="text1"/>
          <w:lang w:val="es-MX"/>
        </w:rPr>
        <w:t xml:space="preserve"> </w:t>
      </w:r>
      <w:r w:rsidRPr="005C022E">
        <w:rPr>
          <w:bCs/>
          <w:color w:val="000000" w:themeColor="text1"/>
          <w:lang w:val="es-MX"/>
        </w:rPr>
        <w:t>comportamientos inadecuados, en especial en lo referente al endeudamiento, está</w:t>
      </w:r>
      <w:r>
        <w:rPr>
          <w:bCs/>
          <w:color w:val="000000" w:themeColor="text1"/>
          <w:lang w:val="es-MX"/>
        </w:rPr>
        <w:t xml:space="preserve"> </w:t>
      </w:r>
      <w:r w:rsidRPr="005C022E">
        <w:rPr>
          <w:bCs/>
          <w:color w:val="000000" w:themeColor="text1"/>
          <w:lang w:val="es-MX"/>
        </w:rPr>
        <w:t>establecido que el Concejo Municipal presente mensualmente, a través del módulo de deuda del</w:t>
      </w:r>
      <w:r>
        <w:rPr>
          <w:bCs/>
          <w:color w:val="000000" w:themeColor="text1"/>
          <w:lang w:val="es-MX"/>
        </w:rPr>
        <w:t xml:space="preserve"> </w:t>
      </w:r>
      <w:r w:rsidRPr="005C022E">
        <w:rPr>
          <w:bCs/>
          <w:color w:val="000000" w:themeColor="text1"/>
          <w:lang w:val="es-MX"/>
        </w:rPr>
        <w:t>Sistema Integrado de Administración Financiera, el detalle de los préstamos internos y externos</w:t>
      </w:r>
      <w:r>
        <w:rPr>
          <w:bCs/>
          <w:color w:val="000000" w:themeColor="text1"/>
          <w:lang w:val="es-MX"/>
        </w:rPr>
        <w:t xml:space="preserve"> </w:t>
      </w:r>
      <w:r w:rsidRPr="005C022E">
        <w:rPr>
          <w:bCs/>
          <w:color w:val="000000" w:themeColor="text1"/>
          <w:lang w:val="es-MX"/>
        </w:rPr>
        <w:t>vigentes y el saldo de la deuda contratada. La Dirección de Crédito Público del Ministerio de</w:t>
      </w:r>
      <w:r>
        <w:rPr>
          <w:bCs/>
          <w:color w:val="000000" w:themeColor="text1"/>
          <w:lang w:val="es-MX"/>
        </w:rPr>
        <w:t xml:space="preserve"> </w:t>
      </w:r>
      <w:r w:rsidRPr="005C022E">
        <w:rPr>
          <w:bCs/>
          <w:color w:val="000000" w:themeColor="text1"/>
          <w:lang w:val="es-MX"/>
        </w:rPr>
        <w:t>Finanzas Públicas, es la encargada de velar porque las municipalidades mantengan la información</w:t>
      </w:r>
      <w:r>
        <w:rPr>
          <w:bCs/>
          <w:color w:val="000000" w:themeColor="text1"/>
          <w:lang w:val="es-MX"/>
        </w:rPr>
        <w:t xml:space="preserve"> </w:t>
      </w:r>
      <w:r w:rsidRPr="005C022E">
        <w:rPr>
          <w:bCs/>
          <w:color w:val="000000" w:themeColor="text1"/>
          <w:lang w:val="es-MX"/>
        </w:rPr>
        <w:t>actualizada; cuando se determine que una municipalidad no está cumpliendo dicha obligación, se</w:t>
      </w:r>
      <w:r>
        <w:rPr>
          <w:bCs/>
          <w:color w:val="000000" w:themeColor="text1"/>
          <w:lang w:val="es-MX"/>
        </w:rPr>
        <w:t xml:space="preserve"> </w:t>
      </w:r>
      <w:r w:rsidRPr="005C022E">
        <w:rPr>
          <w:bCs/>
          <w:color w:val="000000" w:themeColor="text1"/>
          <w:lang w:val="es-MX"/>
        </w:rPr>
        <w:t>lo comunicará a la Contraloría General de Cuentas para que aplique la sanción legalmente</w:t>
      </w:r>
      <w:r>
        <w:rPr>
          <w:bCs/>
          <w:color w:val="000000" w:themeColor="text1"/>
          <w:lang w:val="es-MX"/>
        </w:rPr>
        <w:t xml:space="preserve"> </w:t>
      </w:r>
      <w:r w:rsidRPr="005C022E">
        <w:rPr>
          <w:bCs/>
          <w:color w:val="000000" w:themeColor="text1"/>
          <w:lang w:val="es-MX"/>
        </w:rPr>
        <w:t>correspondiente.</w:t>
      </w:r>
      <w:r w:rsidRPr="005C022E">
        <w:rPr>
          <w:bCs/>
          <w:color w:val="000000" w:themeColor="text1"/>
          <w:lang w:val="es-MX"/>
        </w:rPr>
        <w:cr/>
      </w:r>
    </w:p>
    <w:p w14:paraId="2B55DBAF" w14:textId="1022A056" w:rsidR="005C022E" w:rsidRDefault="005C022E" w:rsidP="005C022E">
      <w:pPr>
        <w:jc w:val="both"/>
        <w:rPr>
          <w:bCs/>
          <w:color w:val="000000" w:themeColor="text1"/>
          <w:lang w:val="es-MX"/>
        </w:rPr>
      </w:pPr>
      <w:r w:rsidRPr="005C022E">
        <w:rPr>
          <w:bCs/>
          <w:color w:val="000000" w:themeColor="text1"/>
          <w:lang w:val="es-MX"/>
        </w:rPr>
        <w:t>Asimismo, la difusión de la situación financiera de las municipalidades es una forma de</w:t>
      </w:r>
      <w:r>
        <w:rPr>
          <w:bCs/>
          <w:color w:val="000000" w:themeColor="text1"/>
          <w:lang w:val="es-MX"/>
        </w:rPr>
        <w:t xml:space="preserve"> </w:t>
      </w:r>
      <w:r w:rsidRPr="005C022E">
        <w:rPr>
          <w:bCs/>
          <w:color w:val="000000" w:themeColor="text1"/>
          <w:lang w:val="es-MX"/>
        </w:rPr>
        <w:t>protegerse,</w:t>
      </w:r>
      <w:r>
        <w:rPr>
          <w:bCs/>
          <w:color w:val="000000" w:themeColor="text1"/>
          <w:lang w:val="es-MX"/>
        </w:rPr>
        <w:t xml:space="preserve"> </w:t>
      </w:r>
      <w:r w:rsidRPr="005C022E">
        <w:rPr>
          <w:bCs/>
          <w:color w:val="000000" w:themeColor="text1"/>
          <w:lang w:val="es-MX"/>
        </w:rPr>
        <w:t>dentro del Código Municipal como parte de la rendición de cuentas, se contempla</w:t>
      </w:r>
      <w:r>
        <w:rPr>
          <w:bCs/>
          <w:color w:val="000000" w:themeColor="text1"/>
          <w:lang w:val="es-MX"/>
        </w:rPr>
        <w:t xml:space="preserve"> </w:t>
      </w:r>
      <w:r w:rsidRPr="005C022E">
        <w:rPr>
          <w:bCs/>
          <w:color w:val="000000" w:themeColor="text1"/>
          <w:lang w:val="es-MX"/>
        </w:rPr>
        <w:t>que, en febrero</w:t>
      </w:r>
      <w:r>
        <w:rPr>
          <w:bCs/>
          <w:color w:val="000000" w:themeColor="text1"/>
          <w:lang w:val="es-MX"/>
        </w:rPr>
        <w:t xml:space="preserve"> </w:t>
      </w:r>
      <w:r w:rsidRPr="005C022E">
        <w:rPr>
          <w:bCs/>
          <w:color w:val="000000" w:themeColor="text1"/>
          <w:lang w:val="es-MX"/>
        </w:rPr>
        <w:t>de cada año, los Concejos Municipales que hagan uso de los préstamos internos o externos, deben</w:t>
      </w:r>
      <w:r>
        <w:rPr>
          <w:bCs/>
          <w:color w:val="000000" w:themeColor="text1"/>
          <w:lang w:val="es-MX"/>
        </w:rPr>
        <w:t xml:space="preserve"> </w:t>
      </w:r>
      <w:r w:rsidRPr="005C022E">
        <w:rPr>
          <w:bCs/>
          <w:color w:val="000000" w:themeColor="text1"/>
          <w:lang w:val="es-MX"/>
        </w:rPr>
        <w:t>informar a la población sobre los destinos y ejecución de los recursos, a través de los Consejos</w:t>
      </w:r>
      <w:r>
        <w:rPr>
          <w:bCs/>
          <w:color w:val="000000" w:themeColor="text1"/>
          <w:lang w:val="es-MX"/>
        </w:rPr>
        <w:t xml:space="preserve"> </w:t>
      </w:r>
      <w:r w:rsidRPr="005C022E">
        <w:rPr>
          <w:bCs/>
          <w:color w:val="000000" w:themeColor="text1"/>
          <w:lang w:val="es-MX"/>
        </w:rPr>
        <w:t>Municipales de Desarrollo y de los medios de comunicación que estén disponibles, siendo una</w:t>
      </w:r>
      <w:r>
        <w:rPr>
          <w:bCs/>
          <w:color w:val="000000" w:themeColor="text1"/>
          <w:lang w:val="es-MX"/>
        </w:rPr>
        <w:t xml:space="preserve"> </w:t>
      </w:r>
      <w:r w:rsidRPr="005C022E">
        <w:rPr>
          <w:bCs/>
          <w:color w:val="000000" w:themeColor="text1"/>
          <w:lang w:val="es-MX"/>
        </w:rPr>
        <w:t>forma de auditoria social.</w:t>
      </w:r>
      <w:r w:rsidRPr="005C022E">
        <w:rPr>
          <w:bCs/>
          <w:color w:val="000000" w:themeColor="text1"/>
          <w:lang w:val="es-MX"/>
        </w:rPr>
        <w:cr/>
      </w:r>
    </w:p>
    <w:p w14:paraId="10EE2891" w14:textId="3A3A6662" w:rsidR="005C022E" w:rsidRPr="002333A9" w:rsidRDefault="005C022E" w:rsidP="005C022E">
      <w:pPr>
        <w:jc w:val="both"/>
        <w:rPr>
          <w:bCs/>
          <w:color w:val="000000" w:themeColor="text1"/>
          <w:lang w:val="es-MX"/>
        </w:rPr>
      </w:pPr>
      <w:r w:rsidRPr="005C022E">
        <w:rPr>
          <w:bCs/>
          <w:color w:val="000000" w:themeColor="text1"/>
          <w:lang w:val="es-MX"/>
        </w:rPr>
        <w:t>Estas disposiciones contenidas en el Código Municipal aumentan la percepción de riesgo por</w:t>
      </w:r>
      <w:r>
        <w:rPr>
          <w:bCs/>
          <w:color w:val="000000" w:themeColor="text1"/>
          <w:lang w:val="es-MX"/>
        </w:rPr>
        <w:t xml:space="preserve"> </w:t>
      </w:r>
      <w:r w:rsidRPr="005C022E">
        <w:rPr>
          <w:bCs/>
          <w:color w:val="000000" w:themeColor="text1"/>
          <w:lang w:val="es-MX"/>
        </w:rPr>
        <w:t>parte</w:t>
      </w:r>
      <w:r>
        <w:rPr>
          <w:bCs/>
          <w:color w:val="000000" w:themeColor="text1"/>
          <w:lang w:val="es-MX"/>
        </w:rPr>
        <w:t xml:space="preserve"> </w:t>
      </w:r>
      <w:r w:rsidRPr="005C022E">
        <w:rPr>
          <w:bCs/>
          <w:color w:val="000000" w:themeColor="text1"/>
          <w:lang w:val="es-MX"/>
        </w:rPr>
        <w:t>de las autoridades ediles y por ello podría inducirlos a una mayor cautela al momento</w:t>
      </w:r>
      <w:r>
        <w:rPr>
          <w:bCs/>
          <w:color w:val="000000" w:themeColor="text1"/>
          <w:lang w:val="es-MX"/>
        </w:rPr>
        <w:t xml:space="preserve"> </w:t>
      </w:r>
      <w:r w:rsidRPr="005C022E">
        <w:rPr>
          <w:bCs/>
          <w:color w:val="000000" w:themeColor="text1"/>
          <w:lang w:val="es-MX"/>
        </w:rPr>
        <w:t>de contraer</w:t>
      </w:r>
      <w:r>
        <w:rPr>
          <w:bCs/>
          <w:color w:val="000000" w:themeColor="text1"/>
          <w:lang w:val="es-MX"/>
        </w:rPr>
        <w:t xml:space="preserve"> </w:t>
      </w:r>
      <w:r w:rsidRPr="005C022E">
        <w:rPr>
          <w:bCs/>
          <w:color w:val="000000" w:themeColor="text1"/>
          <w:lang w:val="es-MX"/>
        </w:rPr>
        <w:t>deuda, ejerciendo una política de endeudamiento municipal limitada por la capacidad de pago y</w:t>
      </w:r>
      <w:r>
        <w:rPr>
          <w:bCs/>
          <w:color w:val="000000" w:themeColor="text1"/>
          <w:lang w:val="es-MX"/>
        </w:rPr>
        <w:t xml:space="preserve"> </w:t>
      </w:r>
      <w:r w:rsidRPr="005C022E">
        <w:rPr>
          <w:bCs/>
          <w:color w:val="000000" w:themeColor="text1"/>
          <w:lang w:val="es-MX"/>
        </w:rPr>
        <w:t>por el período específico que le concierne al Concejo Municipal electo.</w:t>
      </w:r>
    </w:p>
    <w:p w14:paraId="5648C4BE" w14:textId="77777777" w:rsidR="00A102E4" w:rsidRPr="002333A9" w:rsidRDefault="00A102E4" w:rsidP="002333A9">
      <w:pPr>
        <w:jc w:val="both"/>
        <w:rPr>
          <w:bCs/>
          <w:color w:val="000000" w:themeColor="text1"/>
          <w:lang w:val="es-MX"/>
        </w:rPr>
      </w:pPr>
    </w:p>
    <w:p w14:paraId="40B09506" w14:textId="3072C3C1" w:rsidR="00A102E4" w:rsidRPr="002333A9" w:rsidRDefault="00A102E4" w:rsidP="002333A9">
      <w:pPr>
        <w:jc w:val="both"/>
        <w:rPr>
          <w:bCs/>
          <w:color w:val="000000" w:themeColor="text1"/>
          <w:lang w:val="es-MX"/>
        </w:rPr>
      </w:pPr>
      <w:r w:rsidRPr="002333A9">
        <w:rPr>
          <w:bCs/>
          <w:color w:val="000000" w:themeColor="text1"/>
          <w:lang w:val="es-MX"/>
        </w:rPr>
        <w:t>En el Instituto Nacional de Fomento Municipal -INFOM- como parte de su objetivo de coadyuvar al progreso de las municipalidades, otorga préstamos. Los préstamos que se otorgan si bien no requieren la aprobación por parte del Ejecutivo, ni el dictamen de la Junta Monetaria, si debe</w:t>
      </w:r>
      <w:r w:rsidR="00507E51">
        <w:rPr>
          <w:bCs/>
          <w:color w:val="000000" w:themeColor="text1"/>
          <w:lang w:val="es-MX"/>
        </w:rPr>
        <w:t>n</w:t>
      </w:r>
      <w:r w:rsidRPr="002333A9">
        <w:rPr>
          <w:bCs/>
          <w:color w:val="000000" w:themeColor="text1"/>
          <w:lang w:val="es-MX"/>
        </w:rPr>
        <w:t xml:space="preserve"> suscribir un Convenio Interinstitucional, para que el INFOM este facultado para realizar descuentos provenientes del Aporte Constitucional, Iva-Paz u otro aporte, como garantía del préstamo contratado. Además, el INFOM puede participar en operaciones de intermediación financiera pero no sin antes otorgar a las entidades bancarias información sobre la capacidad de endeudamiento de la municipalidad solicitante. Estas disposiciones, entre otras, aumentan la percepción de riesgo y control por parte de las autoridades ediles contribuyendo a una política de endeudamiento municipal más </w:t>
      </w:r>
      <w:r w:rsidR="005C022E">
        <w:rPr>
          <w:bCs/>
          <w:color w:val="000000" w:themeColor="text1"/>
          <w:lang w:val="es-MX"/>
        </w:rPr>
        <w:t>prudente</w:t>
      </w:r>
      <w:r w:rsidRPr="002333A9">
        <w:rPr>
          <w:bCs/>
          <w:color w:val="000000" w:themeColor="text1"/>
          <w:lang w:val="es-MX"/>
        </w:rPr>
        <w:t>.</w:t>
      </w:r>
    </w:p>
    <w:p w14:paraId="5151E584" w14:textId="77777777" w:rsidR="00A102E4" w:rsidRPr="002333A9" w:rsidRDefault="00A102E4" w:rsidP="002333A9">
      <w:pPr>
        <w:jc w:val="both"/>
        <w:rPr>
          <w:bCs/>
          <w:color w:val="000000" w:themeColor="text1"/>
          <w:lang w:val="es-MX"/>
        </w:rPr>
      </w:pPr>
    </w:p>
    <w:p w14:paraId="4DDEC6BA" w14:textId="77777777" w:rsidR="00A102E4" w:rsidRPr="002333A9" w:rsidRDefault="00A102E4" w:rsidP="002333A9">
      <w:pPr>
        <w:jc w:val="both"/>
        <w:rPr>
          <w:bCs/>
          <w:color w:val="000000" w:themeColor="text1"/>
          <w:lang w:val="es-MX"/>
        </w:rPr>
      </w:pPr>
      <w:r w:rsidRPr="002333A9">
        <w:rPr>
          <w:bCs/>
          <w:color w:val="000000" w:themeColor="text1"/>
          <w:lang w:val="es-MX"/>
        </w:rPr>
        <w:t>Por su parte, la Dirección de Asistencia a la Administración Financiera Municipal (DAAFIM) tiene a su cargo la asistencia y asesoría técnica a las municipalidades, mancomunidades, dependencias y empresas municipales del país en lo que concierte a las normativas del Sistema de Administración Financiera (SIAF) y la metodología presupuestaria. En ese sentido, dentro de sus principales funciones se encuentra el diseño e implementación de políticas, planes, normas, procedimientos de administración financiera y endeudamiento municipal que orienten las finanzas municipales, así como coordinar la elaboración de estudios sobre finanzas municipales y el desarrollo de indicadores de sostenibilidad financiera y fiscal desde el ámbito municipal.</w:t>
      </w:r>
    </w:p>
    <w:p w14:paraId="767ABC3D" w14:textId="77777777" w:rsidR="00A102E4" w:rsidRPr="002333A9" w:rsidRDefault="00A102E4" w:rsidP="002333A9">
      <w:pPr>
        <w:jc w:val="both"/>
        <w:rPr>
          <w:bCs/>
          <w:color w:val="000000" w:themeColor="text1"/>
          <w:lang w:val="es-MX"/>
        </w:rPr>
      </w:pPr>
    </w:p>
    <w:p w14:paraId="3543825E" w14:textId="77777777" w:rsidR="00A102E4" w:rsidRDefault="00A102E4" w:rsidP="00A102E4">
      <w:pPr>
        <w:jc w:val="both"/>
        <w:rPr>
          <w:bCs/>
          <w:color w:val="000000" w:themeColor="text1"/>
          <w:lang w:val="es-MX"/>
        </w:rPr>
      </w:pPr>
      <w:r w:rsidRPr="002333A9">
        <w:rPr>
          <w:bCs/>
          <w:color w:val="000000" w:themeColor="text1"/>
          <w:lang w:val="es-MX"/>
        </w:rPr>
        <w:t>La DAAFIM apoyó a la elaboración del Ranking de Gestión Municipal coordinado por la Segeplan, en su versión 2020-2021 tuvo a su cargo apoyar la elaboración de los índices que componen el Ranking, pero en especial asumió el Índice de Gestión Financiera, el cual se encuentra compuesto por siete indicadores: autonomía financiera municipal, ingresos propios por habitante -sin regalías-, ingresos del IUSI en relación con los ingresos propios -sin regalías-,  inversión en capital fijo por habitante,  inversión en capital fijo con recursos percibidos por ingresos propios, inversión en capital fijo con recursos percibidos por transferencias del gobierno central e independencia financ</w:t>
      </w:r>
      <w:r w:rsidR="00A77EE7">
        <w:rPr>
          <w:bCs/>
          <w:color w:val="000000" w:themeColor="text1"/>
          <w:lang w:val="es-MX"/>
        </w:rPr>
        <w:t xml:space="preserve">iera por endeudamiento público.  </w:t>
      </w:r>
      <w:r w:rsidRPr="002333A9">
        <w:rPr>
          <w:bCs/>
          <w:color w:val="000000" w:themeColor="text1"/>
          <w:lang w:val="es-MX"/>
        </w:rPr>
        <w:t>Con ello se mide la eficiencia en el uso de los recursos financieros, constituyéndose en una herramienta de análisis que permite focalizar acciones para optimizar los recursos municipales y poder mejorar la efectividad y sostenibilida</w:t>
      </w:r>
      <w:r w:rsidR="00A77EE7">
        <w:rPr>
          <w:bCs/>
          <w:color w:val="000000" w:themeColor="text1"/>
          <w:lang w:val="es-MX"/>
        </w:rPr>
        <w:t>d de las finanzas municipales.</w:t>
      </w:r>
    </w:p>
    <w:p w14:paraId="73FE6E49" w14:textId="77777777" w:rsidR="00986740" w:rsidRDefault="00986740" w:rsidP="00A102E4">
      <w:pPr>
        <w:jc w:val="both"/>
        <w:rPr>
          <w:bCs/>
          <w:color w:val="000000" w:themeColor="text1"/>
          <w:lang w:val="es-MX"/>
        </w:rPr>
      </w:pPr>
    </w:p>
    <w:p w14:paraId="3D9F03A6" w14:textId="2D43F55B" w:rsidR="00986740" w:rsidRPr="00A77EE7" w:rsidRDefault="00986740" w:rsidP="00A102E4">
      <w:pPr>
        <w:jc w:val="both"/>
        <w:rPr>
          <w:bCs/>
          <w:color w:val="000000" w:themeColor="text1"/>
          <w:lang w:val="es-MX"/>
        </w:rPr>
        <w:sectPr w:rsidR="00986740" w:rsidRPr="00A77EE7" w:rsidSect="0046566D">
          <w:headerReference w:type="default" r:id="rId81"/>
          <w:footerReference w:type="even" r:id="rId82"/>
          <w:footerReference w:type="default" r:id="rId83"/>
          <w:pgSz w:w="12240" w:h="15840" w:code="1"/>
          <w:pgMar w:top="1417" w:right="1701" w:bottom="1417" w:left="1701" w:header="397" w:footer="590" w:gutter="0"/>
          <w:cols w:space="720"/>
          <w:titlePg/>
          <w:docGrid w:linePitch="326"/>
        </w:sectPr>
      </w:pPr>
    </w:p>
    <w:p w14:paraId="3DB812F5" w14:textId="756780E9" w:rsidR="006649A2" w:rsidRPr="00A77EE7" w:rsidRDefault="006649A2" w:rsidP="00F54565">
      <w:pPr>
        <w:pStyle w:val="Ttulo1"/>
        <w:numPr>
          <w:ilvl w:val="0"/>
          <w:numId w:val="5"/>
        </w:numPr>
        <w:ind w:left="426"/>
        <w:jc w:val="both"/>
        <w:rPr>
          <w:color w:val="auto"/>
          <w:sz w:val="24"/>
          <w:szCs w:val="28"/>
        </w:rPr>
      </w:pPr>
      <w:bookmarkStart w:id="208" w:name="_Toc79746366"/>
      <w:bookmarkStart w:id="209" w:name="_Toc114495266"/>
      <w:r w:rsidRPr="00A77EE7">
        <w:rPr>
          <w:color w:val="auto"/>
          <w:sz w:val="24"/>
          <w:szCs w:val="28"/>
        </w:rPr>
        <w:t>Riesgos Fiscales asociados a las empresas públicas</w:t>
      </w:r>
      <w:r w:rsidR="00966515">
        <w:rPr>
          <w:color w:val="auto"/>
          <w:sz w:val="24"/>
          <w:szCs w:val="28"/>
        </w:rPr>
        <w:t xml:space="preserve"> </w:t>
      </w:r>
      <w:r w:rsidRPr="00A77EE7">
        <w:rPr>
          <w:color w:val="auto"/>
          <w:sz w:val="24"/>
          <w:szCs w:val="28"/>
        </w:rPr>
        <w:t>no financieras</w:t>
      </w:r>
      <w:bookmarkEnd w:id="208"/>
      <w:r w:rsidR="00CF3F87">
        <w:rPr>
          <w:color w:val="auto"/>
          <w:sz w:val="24"/>
          <w:szCs w:val="28"/>
        </w:rPr>
        <w:t xml:space="preserve"> </w:t>
      </w:r>
      <w:r w:rsidR="00291F17">
        <w:rPr>
          <w:color w:val="auto"/>
          <w:sz w:val="24"/>
          <w:szCs w:val="28"/>
        </w:rPr>
        <w:t xml:space="preserve">nacionales </w:t>
      </w:r>
      <w:r w:rsidR="00291F17" w:rsidRPr="00966515">
        <w:t>y</w:t>
      </w:r>
      <w:r w:rsidR="00966515" w:rsidRPr="00966515">
        <w:t xml:space="preserve"> </w:t>
      </w:r>
      <w:r w:rsidR="00966515" w:rsidRPr="00966515">
        <w:rPr>
          <w:color w:val="auto"/>
          <w:sz w:val="24"/>
          <w:szCs w:val="28"/>
        </w:rPr>
        <w:t>municipales</w:t>
      </w:r>
      <w:bookmarkEnd w:id="209"/>
    </w:p>
    <w:p w14:paraId="59BC0350" w14:textId="77777777" w:rsidR="006649A2" w:rsidRPr="004C5FE3" w:rsidRDefault="006649A2" w:rsidP="006649A2">
      <w:pPr>
        <w:ind w:left="567"/>
        <w:jc w:val="both"/>
        <w:rPr>
          <w:rFonts w:eastAsia="OptimaLTStd"/>
          <w:color w:val="FF0000"/>
        </w:rPr>
      </w:pPr>
    </w:p>
    <w:p w14:paraId="1CD80AC0" w14:textId="48261793" w:rsidR="006649A2" w:rsidRDefault="006649A2" w:rsidP="002333A9">
      <w:pPr>
        <w:jc w:val="both"/>
        <w:rPr>
          <w:bCs/>
          <w:color w:val="000000" w:themeColor="text1"/>
          <w:lang w:val="es-MX"/>
        </w:rPr>
      </w:pPr>
      <w:r w:rsidRPr="002333A9">
        <w:rPr>
          <w:bCs/>
          <w:color w:val="000000" w:themeColor="text1"/>
          <w:lang w:val="es-MX"/>
        </w:rPr>
        <w:t>Las empresas públicas</w:t>
      </w:r>
      <w:r w:rsidR="00966515">
        <w:rPr>
          <w:bCs/>
          <w:color w:val="000000" w:themeColor="text1"/>
          <w:lang w:val="es-MX"/>
        </w:rPr>
        <w:t xml:space="preserve"> municipales y no financieras</w:t>
      </w:r>
      <w:r w:rsidRPr="002333A9">
        <w:rPr>
          <w:bCs/>
          <w:color w:val="000000" w:themeColor="text1"/>
          <w:lang w:val="es-MX"/>
        </w:rPr>
        <w:t xml:space="preserve"> pueden ser una fuente de riesgo fiscal para las finanzas públicas guatemaltecas, dado que sus obligaciones pueden estar garantizadas explícita o implícitamente por el gobierno</w:t>
      </w:r>
      <w:r w:rsidR="00966515">
        <w:rPr>
          <w:bCs/>
          <w:color w:val="000000" w:themeColor="text1"/>
          <w:lang w:val="es-MX"/>
        </w:rPr>
        <w:t xml:space="preserve"> o la municipalidad en la que se encuentra establecida</w:t>
      </w:r>
      <w:r w:rsidRPr="002333A9">
        <w:rPr>
          <w:bCs/>
          <w:color w:val="000000" w:themeColor="text1"/>
          <w:lang w:val="es-MX"/>
        </w:rPr>
        <w:t>, por lo cual es importante hacer una revisión de algunos de los indicadores financieros de estas empresas para saber hasta qué grado pueden verse comprometidas las finanzas públicas.</w:t>
      </w:r>
      <w:r w:rsidR="00291F17">
        <w:rPr>
          <w:bCs/>
          <w:color w:val="000000" w:themeColor="text1"/>
          <w:lang w:val="es-MX"/>
        </w:rPr>
        <w:t xml:space="preserve"> En especial, </w:t>
      </w:r>
      <w:r w:rsidR="009255D0">
        <w:rPr>
          <w:bCs/>
          <w:color w:val="000000" w:themeColor="text1"/>
          <w:lang w:val="es-MX"/>
        </w:rPr>
        <w:t xml:space="preserve">si la empresa es de importancia estratégica o los bienes y servicios que provee son relevantes para la población. </w:t>
      </w:r>
    </w:p>
    <w:p w14:paraId="797E4DE7" w14:textId="7D7F880E" w:rsidR="00966515" w:rsidRDefault="00966515" w:rsidP="002333A9">
      <w:pPr>
        <w:jc w:val="both"/>
        <w:rPr>
          <w:bCs/>
          <w:color w:val="000000" w:themeColor="text1"/>
          <w:lang w:val="es-MX"/>
        </w:rPr>
      </w:pPr>
    </w:p>
    <w:p w14:paraId="214856A4" w14:textId="37126FB9" w:rsidR="00966515" w:rsidRDefault="00966515" w:rsidP="00966515">
      <w:pPr>
        <w:jc w:val="both"/>
        <w:rPr>
          <w:bCs/>
          <w:color w:val="000000" w:themeColor="text1"/>
          <w:lang w:val="es-MX"/>
        </w:rPr>
      </w:pPr>
      <w:r w:rsidRPr="00966515">
        <w:rPr>
          <w:bCs/>
          <w:color w:val="000000" w:themeColor="text1"/>
          <w:lang w:val="es-MX"/>
        </w:rPr>
        <w:t>Los riesgos fiscales se encuentran asociados a una serie de factores que se pueden presentar</w:t>
      </w:r>
      <w:r>
        <w:rPr>
          <w:bCs/>
          <w:color w:val="000000" w:themeColor="text1"/>
          <w:lang w:val="es-MX"/>
        </w:rPr>
        <w:t xml:space="preserve"> </w:t>
      </w:r>
    </w:p>
    <w:p w14:paraId="272136CD" w14:textId="2C38D46A" w:rsidR="006649A2" w:rsidRPr="002333A9" w:rsidRDefault="00CF3F87" w:rsidP="002333A9">
      <w:pPr>
        <w:jc w:val="both"/>
        <w:rPr>
          <w:bCs/>
          <w:color w:val="000000" w:themeColor="text1"/>
          <w:lang w:val="es-MX"/>
        </w:rPr>
      </w:pPr>
      <w:r>
        <w:rPr>
          <w:bCs/>
          <w:color w:val="000000" w:themeColor="text1"/>
          <w:lang w:val="es-MX"/>
        </w:rPr>
        <w:t>d</w:t>
      </w:r>
      <w:r w:rsidR="00966515" w:rsidRPr="00966515">
        <w:rPr>
          <w:bCs/>
          <w:color w:val="000000" w:themeColor="text1"/>
          <w:lang w:val="es-MX"/>
        </w:rPr>
        <w:t>urante</w:t>
      </w:r>
      <w:r w:rsidR="00966515">
        <w:rPr>
          <w:bCs/>
          <w:color w:val="000000" w:themeColor="text1"/>
          <w:lang w:val="es-MX"/>
        </w:rPr>
        <w:t xml:space="preserve"> </w:t>
      </w:r>
      <w:r w:rsidR="00966515" w:rsidRPr="00966515">
        <w:rPr>
          <w:bCs/>
          <w:color w:val="000000" w:themeColor="text1"/>
          <w:lang w:val="es-MX"/>
        </w:rPr>
        <w:t>la operación de las empresas, tales como: la variabilidad de los dividendos, incertidumbre en los</w:t>
      </w:r>
      <w:r w:rsidR="00966515">
        <w:rPr>
          <w:bCs/>
          <w:color w:val="000000" w:themeColor="text1"/>
          <w:lang w:val="es-MX"/>
        </w:rPr>
        <w:t xml:space="preserve"> </w:t>
      </w:r>
      <w:r w:rsidR="00966515" w:rsidRPr="00966515">
        <w:rPr>
          <w:bCs/>
          <w:color w:val="000000" w:themeColor="text1"/>
          <w:lang w:val="es-MX"/>
        </w:rPr>
        <w:t>mercados y condiciones fluctuantes en que operaran, pérdidas operativas que hacen necesaria la</w:t>
      </w:r>
      <w:r w:rsidR="00966515">
        <w:rPr>
          <w:bCs/>
          <w:color w:val="000000" w:themeColor="text1"/>
          <w:lang w:val="es-MX"/>
        </w:rPr>
        <w:t xml:space="preserve"> </w:t>
      </w:r>
      <w:r w:rsidR="00966515" w:rsidRPr="00966515">
        <w:rPr>
          <w:bCs/>
          <w:color w:val="000000" w:themeColor="text1"/>
          <w:lang w:val="es-MX"/>
        </w:rPr>
        <w:t>intervención gubernamental por medio de recapitalizaciones periódicas y, los bienes y servicios</w:t>
      </w:r>
      <w:r w:rsidR="00966515">
        <w:rPr>
          <w:bCs/>
          <w:color w:val="000000" w:themeColor="text1"/>
          <w:lang w:val="es-MX"/>
        </w:rPr>
        <w:t xml:space="preserve"> </w:t>
      </w:r>
      <w:r w:rsidR="00966515" w:rsidRPr="00966515">
        <w:rPr>
          <w:bCs/>
          <w:color w:val="000000" w:themeColor="text1"/>
          <w:lang w:val="es-MX"/>
        </w:rPr>
        <w:t>que proveen las empresas públicas no responden a un precio de mercado.</w:t>
      </w:r>
      <w:r w:rsidR="00966515" w:rsidRPr="00966515">
        <w:rPr>
          <w:bCs/>
          <w:color w:val="000000" w:themeColor="text1"/>
          <w:lang w:val="es-MX"/>
        </w:rPr>
        <w:cr/>
      </w:r>
    </w:p>
    <w:p w14:paraId="40402227" w14:textId="50B2AAF0" w:rsidR="006649A2" w:rsidRDefault="006649A2" w:rsidP="002333A9">
      <w:pPr>
        <w:jc w:val="both"/>
        <w:rPr>
          <w:bCs/>
          <w:color w:val="000000" w:themeColor="text1"/>
          <w:lang w:val="es-MX"/>
        </w:rPr>
      </w:pPr>
      <w:r w:rsidRPr="002333A9">
        <w:rPr>
          <w:bCs/>
          <w:color w:val="000000" w:themeColor="text1"/>
          <w:lang w:val="es-MX"/>
        </w:rPr>
        <w:t xml:space="preserve">Es importante considerar que la posible materialización de riesgos asociados a empresas públicas nacionales y municipales se debe a garantías, avales o similares que podrían provenir del Gobierno General afectando la situación financiera del mismo. Adicionalmente, algunas empresas públicas podrían realizar operaciones cuasi fiscales, situación que se presenta en el momento que la empresa pública presta un servicio a un precio menor al de mercado, es decir, subvencionando el precio y este componente subvencionado representa una pérdida en el balance de la empresa. Esto tiene una repercusión importante, dado que las actividades cuasi fiscales conllevan riesgos fiscales, que pueden repercutir en el presupuesto, por medio de una menor transferencia de utilidades, pago de impuestos por parte de la empresa pública hacia el gobierno o por la necesidad que podría presentar la empresa pública en ser recapitalizada. </w:t>
      </w:r>
    </w:p>
    <w:p w14:paraId="71549340" w14:textId="54A1E4D3" w:rsidR="00CF3F87" w:rsidRDefault="00CF3F87" w:rsidP="002333A9">
      <w:pPr>
        <w:jc w:val="both"/>
        <w:rPr>
          <w:bCs/>
          <w:color w:val="000000" w:themeColor="text1"/>
          <w:lang w:val="es-MX"/>
        </w:rPr>
      </w:pPr>
    </w:p>
    <w:p w14:paraId="61D4661D" w14:textId="6944DC29" w:rsidR="00CF3F87" w:rsidRDefault="00CF3F87" w:rsidP="002333A9">
      <w:pPr>
        <w:jc w:val="both"/>
        <w:rPr>
          <w:bCs/>
          <w:color w:val="000000" w:themeColor="text1"/>
          <w:lang w:val="es-MX"/>
        </w:rPr>
      </w:pPr>
      <w:r>
        <w:t xml:space="preserve">Dentro del Manual de Transparencia Fiscal del Fondo Monetario Internacional (FMI), se reconoce la importancia de separar las funciones del gobierno y las actividades comerciales, dado que coadyuva a promover una clara rendición de cuentas al distanciar la conducción de la política pública y las </w:t>
      </w:r>
      <w:r w:rsidR="00291F17">
        <w:t xml:space="preserve">otras </w:t>
      </w:r>
      <w:r>
        <w:t>actividades. Asimismo, en el Manual de Estadísticas de Finanzas Públicas 201</w:t>
      </w:r>
      <w:r w:rsidR="00291F17">
        <w:t>4</w:t>
      </w:r>
      <w:r>
        <w:t>, se reconoce que puede ser difícil determinar cuándo una entidad se clasifica como entidad gubernamental o como corporación pública, todo dependerá si la corporación vende bienes y servicios de mercado, es decir, si se provee a precios que se consideran económicamente significativos y, por lo tanto, influyen tanto en la oferta como en la demanda. En el caso de las empresas públicas, determinar ese precio puede ser complicado. Una de las recomendaciones del Manual de Transparencia Fiscal en torno a las empresas públicas gira en relación a la clara definición de las relaciones financieras con el gobierno, dado que las mismas pueden ser de propiedad total o parcial del gobierno, por ello debe existir un marco legal claro sobre la forma que se realizar</w:t>
      </w:r>
      <w:r w:rsidR="008F48D5">
        <w:t>á</w:t>
      </w:r>
      <w:r>
        <w:t>n las transferencias de utilidades o pago de dividendos al gobierno.</w:t>
      </w:r>
    </w:p>
    <w:p w14:paraId="7F3BC006" w14:textId="77777777" w:rsidR="009255D0" w:rsidRDefault="009255D0" w:rsidP="002333A9">
      <w:pPr>
        <w:jc w:val="both"/>
      </w:pPr>
    </w:p>
    <w:p w14:paraId="4AE6753F" w14:textId="5810DD6D" w:rsidR="00CF3F87" w:rsidRDefault="009255D0" w:rsidP="002333A9">
      <w:pPr>
        <w:jc w:val="both"/>
        <w:rPr>
          <w:bCs/>
          <w:color w:val="000000" w:themeColor="text1"/>
          <w:lang w:val="es-MX"/>
        </w:rPr>
      </w:pPr>
      <w:r>
        <w:t xml:space="preserve">Uno de los principales riesgos fiscales por empresas públicas se da por la garantía del gobierno a préstamos otorgados a las empresas públicas. Estas deudas acumuladas garantizadas, </w:t>
      </w:r>
      <w:r w:rsidR="000513CD">
        <w:t xml:space="preserve">cuando </w:t>
      </w:r>
      <w:r>
        <w:t xml:space="preserve">no pueden ser asumidas por la empresa pública, pasan a ser reconocidas por el gobierno como parte de la deuda pública, </w:t>
      </w:r>
      <w:r w:rsidR="000513CD">
        <w:t>dejando de ser</w:t>
      </w:r>
      <w:r>
        <w:t xml:space="preserve"> un pasivo con características de contingente </w:t>
      </w:r>
      <w:r w:rsidR="000513CD">
        <w:t>a uno</w:t>
      </w:r>
      <w:r>
        <w:t xml:space="preserve"> explícito.</w:t>
      </w:r>
    </w:p>
    <w:p w14:paraId="776AF72D" w14:textId="77777777" w:rsidR="006649A2" w:rsidRPr="002333A9" w:rsidRDefault="006649A2" w:rsidP="002333A9">
      <w:pPr>
        <w:jc w:val="both"/>
        <w:rPr>
          <w:bCs/>
          <w:color w:val="000000" w:themeColor="text1"/>
          <w:lang w:val="es-MX"/>
        </w:rPr>
      </w:pPr>
    </w:p>
    <w:p w14:paraId="5D995E59" w14:textId="77777777" w:rsidR="006649A2" w:rsidRPr="002333A9" w:rsidRDefault="006649A2" w:rsidP="002333A9">
      <w:pPr>
        <w:jc w:val="both"/>
        <w:rPr>
          <w:bCs/>
          <w:color w:val="000000" w:themeColor="text1"/>
          <w:lang w:val="es-MX"/>
        </w:rPr>
      </w:pPr>
      <w:r w:rsidRPr="002333A9">
        <w:rPr>
          <w:bCs/>
          <w:color w:val="000000" w:themeColor="text1"/>
          <w:lang w:val="es-MX"/>
        </w:rPr>
        <w:t>Conocer la magnitud del problema es un primer paso, por ello en este informe se presenta por primera vez los resultados de 14 empresas municipales y 8 nacionales, seleccionado 22 empresas públicas en total para analizar su estado financiero presupuestario durante el año 2021, estas son:</w:t>
      </w:r>
    </w:p>
    <w:p w14:paraId="5FC576D7" w14:textId="77777777" w:rsidR="006649A2" w:rsidRDefault="006649A2" w:rsidP="006649A2">
      <w:pPr>
        <w:ind w:left="561"/>
        <w:jc w:val="both"/>
        <w:rPr>
          <w:rFonts w:eastAsia="Calibri"/>
          <w:szCs w:val="22"/>
        </w:rPr>
      </w:pPr>
    </w:p>
    <w:p w14:paraId="356CEF45" w14:textId="7BF51FD9" w:rsidR="006649A2" w:rsidRPr="00A77EE7" w:rsidRDefault="00A77EE7" w:rsidP="00A77EE7">
      <w:pPr>
        <w:pStyle w:val="Descripcin"/>
        <w:keepNext/>
      </w:pPr>
      <w:bookmarkStart w:id="210" w:name="_Toc114493934"/>
      <w:r w:rsidRPr="00A77EE7">
        <w:rPr>
          <w:color w:val="auto"/>
        </w:rPr>
        <w:t xml:space="preserve">Tabla </w:t>
      </w:r>
      <w:r w:rsidRPr="00A77EE7">
        <w:rPr>
          <w:color w:val="auto"/>
        </w:rPr>
        <w:fldChar w:fldCharType="begin"/>
      </w:r>
      <w:r w:rsidRPr="00A77EE7">
        <w:rPr>
          <w:color w:val="auto"/>
        </w:rPr>
        <w:instrText xml:space="preserve"> SEQ Tabla \* ARABIC </w:instrText>
      </w:r>
      <w:r w:rsidRPr="00A77EE7">
        <w:rPr>
          <w:color w:val="auto"/>
        </w:rPr>
        <w:fldChar w:fldCharType="separate"/>
      </w:r>
      <w:r w:rsidR="002E7809">
        <w:rPr>
          <w:noProof/>
          <w:color w:val="auto"/>
        </w:rPr>
        <w:t>11</w:t>
      </w:r>
      <w:r w:rsidRPr="00A77EE7">
        <w:rPr>
          <w:color w:val="auto"/>
        </w:rPr>
        <w:fldChar w:fldCharType="end"/>
      </w:r>
      <w:r w:rsidRPr="00A77EE7">
        <w:rPr>
          <w:color w:val="auto"/>
        </w:rPr>
        <w:t xml:space="preserve">.  </w:t>
      </w:r>
      <w:r w:rsidR="006649A2" w:rsidRPr="00A77EE7">
        <w:rPr>
          <w:rFonts w:eastAsia="Calibri"/>
          <w:color w:val="auto"/>
        </w:rPr>
        <w:t>Lista de entidades consideradas para analizar sus riesgos financieros</w:t>
      </w:r>
      <w:bookmarkEnd w:id="210"/>
    </w:p>
    <w:tbl>
      <w:tblPr>
        <w:tblStyle w:val="Tabladecuadrcula5oscura-nfasis1"/>
        <w:tblW w:w="4655"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
        <w:gridCol w:w="860"/>
        <w:gridCol w:w="5097"/>
        <w:gridCol w:w="2252"/>
      </w:tblGrid>
      <w:tr w:rsidR="006649A2" w:rsidRPr="00CB4881" w14:paraId="7E66FEF2" w14:textId="77777777" w:rsidTr="001A37CA">
        <w:trPr>
          <w:gridBefore w:val="1"/>
          <w:cnfStyle w:val="100000000000" w:firstRow="1" w:lastRow="0" w:firstColumn="0" w:lastColumn="0" w:oddVBand="0" w:evenVBand="0" w:oddHBand="0" w:evenHBand="0" w:firstRowFirstColumn="0" w:firstRowLastColumn="0" w:lastRowFirstColumn="0" w:lastRowLastColumn="0"/>
          <w:wBefore w:w="6" w:type="pct"/>
          <w:trHeight w:val="258"/>
          <w:jc w:val="center"/>
        </w:trPr>
        <w:tc>
          <w:tcPr>
            <w:cnfStyle w:val="001000000000" w:firstRow="0" w:lastRow="0" w:firstColumn="1" w:lastColumn="0" w:oddVBand="0" w:evenVBand="0" w:oddHBand="0" w:evenHBand="0" w:firstRowFirstColumn="0" w:firstRowLastColumn="0" w:lastRowFirstColumn="0" w:lastRowLastColumn="0"/>
            <w:tcW w:w="523" w:type="pct"/>
            <w:tcBorders>
              <w:bottom w:val="single" w:sz="4" w:space="0" w:color="auto"/>
            </w:tcBorders>
            <w:shd w:val="clear" w:color="auto" w:fill="44546A" w:themeFill="text2"/>
            <w:vAlign w:val="center"/>
            <w:hideMark/>
          </w:tcPr>
          <w:p w14:paraId="2F2409C0" w14:textId="77777777" w:rsidR="006649A2" w:rsidRPr="00CB4881" w:rsidRDefault="006649A2" w:rsidP="00ED483A">
            <w:pPr>
              <w:jc w:val="center"/>
              <w:rPr>
                <w:sz w:val="14"/>
                <w:szCs w:val="14"/>
              </w:rPr>
            </w:pPr>
            <w:r w:rsidRPr="00CB4881">
              <w:rPr>
                <w:sz w:val="14"/>
                <w:szCs w:val="14"/>
              </w:rPr>
              <w:t>Tipo</w:t>
            </w:r>
          </w:p>
        </w:tc>
        <w:tc>
          <w:tcPr>
            <w:tcW w:w="3101" w:type="pct"/>
            <w:tcBorders>
              <w:bottom w:val="single" w:sz="4" w:space="0" w:color="auto"/>
            </w:tcBorders>
            <w:shd w:val="clear" w:color="auto" w:fill="44546A" w:themeFill="text2"/>
            <w:noWrap/>
            <w:vAlign w:val="center"/>
            <w:hideMark/>
          </w:tcPr>
          <w:p w14:paraId="1496E2DE" w14:textId="77777777" w:rsidR="006649A2" w:rsidRPr="00CB4881" w:rsidRDefault="006649A2" w:rsidP="00ED483A">
            <w:pPr>
              <w:jc w:val="center"/>
              <w:cnfStyle w:val="100000000000" w:firstRow="1" w:lastRow="0" w:firstColumn="0" w:lastColumn="0" w:oddVBand="0" w:evenVBand="0" w:oddHBand="0" w:evenHBand="0" w:firstRowFirstColumn="0" w:firstRowLastColumn="0" w:lastRowFirstColumn="0" w:lastRowLastColumn="0"/>
              <w:rPr>
                <w:sz w:val="14"/>
                <w:szCs w:val="14"/>
              </w:rPr>
            </w:pPr>
            <w:r w:rsidRPr="00CB4881">
              <w:rPr>
                <w:sz w:val="14"/>
                <w:szCs w:val="14"/>
              </w:rPr>
              <w:t>Entidad</w:t>
            </w:r>
          </w:p>
        </w:tc>
        <w:tc>
          <w:tcPr>
            <w:tcW w:w="1371" w:type="pct"/>
            <w:tcBorders>
              <w:bottom w:val="single" w:sz="4" w:space="0" w:color="auto"/>
            </w:tcBorders>
            <w:shd w:val="clear" w:color="auto" w:fill="44546A" w:themeFill="text2"/>
            <w:noWrap/>
            <w:vAlign w:val="center"/>
            <w:hideMark/>
          </w:tcPr>
          <w:p w14:paraId="7B8A2980" w14:textId="77777777" w:rsidR="006649A2" w:rsidRPr="00CB4881" w:rsidRDefault="006649A2" w:rsidP="00ED483A">
            <w:pPr>
              <w:jc w:val="center"/>
              <w:cnfStyle w:val="100000000000" w:firstRow="1" w:lastRow="0" w:firstColumn="0" w:lastColumn="0" w:oddVBand="0" w:evenVBand="0" w:oddHBand="0" w:evenHBand="0" w:firstRowFirstColumn="0" w:firstRowLastColumn="0" w:lastRowFirstColumn="0" w:lastRowLastColumn="0"/>
              <w:rPr>
                <w:sz w:val="14"/>
                <w:szCs w:val="14"/>
              </w:rPr>
            </w:pPr>
            <w:r w:rsidRPr="00B10D07">
              <w:rPr>
                <w:sz w:val="14"/>
                <w:szCs w:val="14"/>
              </w:rPr>
              <w:t>Abreviación</w:t>
            </w:r>
          </w:p>
        </w:tc>
      </w:tr>
      <w:tr w:rsidR="006649A2" w:rsidRPr="00CB4881" w14:paraId="44BED1BC" w14:textId="77777777" w:rsidTr="001A37CA">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val="restart"/>
            <w:tcBorders>
              <w:top w:val="single" w:sz="4" w:space="0" w:color="auto"/>
              <w:left w:val="none" w:sz="0" w:space="0" w:color="auto"/>
              <w:bottom w:val="single" w:sz="4" w:space="0" w:color="FFFFFF" w:themeColor="background1"/>
            </w:tcBorders>
            <w:vAlign w:val="center"/>
            <w:hideMark/>
          </w:tcPr>
          <w:p w14:paraId="504F7609" w14:textId="77777777" w:rsidR="006649A2" w:rsidRPr="00CB4881" w:rsidRDefault="006649A2" w:rsidP="00ED483A">
            <w:pPr>
              <w:jc w:val="center"/>
              <w:rPr>
                <w:sz w:val="14"/>
                <w:szCs w:val="14"/>
              </w:rPr>
            </w:pPr>
            <w:r w:rsidRPr="00CB4881">
              <w:rPr>
                <w:sz w:val="14"/>
                <w:szCs w:val="14"/>
              </w:rPr>
              <w:t>Municipa</w:t>
            </w:r>
            <w:r>
              <w:rPr>
                <w:sz w:val="14"/>
                <w:szCs w:val="14"/>
              </w:rPr>
              <w:t>l</w:t>
            </w:r>
          </w:p>
        </w:tc>
        <w:tc>
          <w:tcPr>
            <w:tcW w:w="3101" w:type="pct"/>
            <w:tcBorders>
              <w:top w:val="single" w:sz="4" w:space="0" w:color="auto"/>
              <w:bottom w:val="single" w:sz="4" w:space="0" w:color="FFFFFF" w:themeColor="background1"/>
            </w:tcBorders>
            <w:shd w:val="clear" w:color="auto" w:fill="DEEAF6" w:themeFill="accent5" w:themeFillTint="33"/>
            <w:noWrap/>
            <w:vAlign w:val="center"/>
            <w:hideMark/>
          </w:tcPr>
          <w:p w14:paraId="1370154F" w14:textId="77777777" w:rsidR="006649A2" w:rsidRPr="00950A4C" w:rsidRDefault="006649A2" w:rsidP="006649A2">
            <w:pPr>
              <w:pStyle w:val="Prrafodelista"/>
              <w:widowControl/>
              <w:numPr>
                <w:ilvl w:val="0"/>
                <w:numId w:val="20"/>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ELECTRICA MUNI. DE HUEHUETENANGO</w:t>
            </w:r>
          </w:p>
        </w:tc>
        <w:tc>
          <w:tcPr>
            <w:tcW w:w="1367" w:type="pct"/>
            <w:tcBorders>
              <w:top w:val="single" w:sz="4" w:space="0" w:color="auto"/>
              <w:bottom w:val="single" w:sz="4" w:space="0" w:color="FFFFFF" w:themeColor="background1"/>
            </w:tcBorders>
            <w:shd w:val="clear" w:color="auto" w:fill="DEEAF6" w:themeFill="accent5" w:themeFillTint="33"/>
            <w:noWrap/>
            <w:vAlign w:val="center"/>
            <w:hideMark/>
          </w:tcPr>
          <w:p w14:paraId="4DEE299A"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ELEC</w:t>
            </w:r>
            <w:r>
              <w:rPr>
                <w:color w:val="000000"/>
                <w:sz w:val="12"/>
                <w:szCs w:val="12"/>
              </w:rPr>
              <w:t>T</w:t>
            </w:r>
            <w:r w:rsidRPr="00CB4881">
              <w:rPr>
                <w:color w:val="000000"/>
                <w:sz w:val="12"/>
                <w:szCs w:val="12"/>
              </w:rPr>
              <w:t>. DE HUEHUETENANGO</w:t>
            </w:r>
          </w:p>
        </w:tc>
      </w:tr>
      <w:tr w:rsidR="006649A2" w:rsidRPr="00CB4881" w14:paraId="3FC17CA1" w14:textId="77777777" w:rsidTr="001A37CA">
        <w:trPr>
          <w:trHeight w:val="138"/>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6780FC80"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5A63A738" w14:textId="77777777" w:rsidR="006649A2" w:rsidRPr="00950A4C" w:rsidRDefault="006649A2" w:rsidP="006649A2">
            <w:pPr>
              <w:pStyle w:val="Prrafodelista"/>
              <w:widowControl/>
              <w:numPr>
                <w:ilvl w:val="0"/>
                <w:numId w:val="20"/>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ELECTRICA MUNI. DE SAN PEDRO PINULA</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3C12FEB0"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ELEC</w:t>
            </w:r>
            <w:r>
              <w:rPr>
                <w:color w:val="000000"/>
                <w:sz w:val="12"/>
                <w:szCs w:val="12"/>
              </w:rPr>
              <w:t>T.</w:t>
            </w:r>
            <w:r w:rsidRPr="00CB4881">
              <w:rPr>
                <w:color w:val="000000"/>
                <w:sz w:val="12"/>
                <w:szCs w:val="12"/>
              </w:rPr>
              <w:t xml:space="preserve"> SAN PEDRO PINULA</w:t>
            </w:r>
          </w:p>
        </w:tc>
      </w:tr>
      <w:tr w:rsidR="006649A2" w:rsidRPr="00CB4881" w14:paraId="75B63B88" w14:textId="77777777" w:rsidTr="001A37CA">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7CD70C65"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61036BB6" w14:textId="77777777" w:rsidR="006649A2" w:rsidRPr="00950A4C" w:rsidRDefault="006649A2" w:rsidP="006649A2">
            <w:pPr>
              <w:pStyle w:val="Prrafodelista"/>
              <w:widowControl/>
              <w:numPr>
                <w:ilvl w:val="0"/>
                <w:numId w:val="20"/>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ELECTRICA DE GUALAN</w:t>
            </w:r>
          </w:p>
        </w:tc>
        <w:tc>
          <w:tcPr>
            <w:tcW w:w="1367"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5B480A0B"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ELEC</w:t>
            </w:r>
            <w:r>
              <w:rPr>
                <w:color w:val="000000"/>
                <w:sz w:val="12"/>
                <w:szCs w:val="12"/>
              </w:rPr>
              <w:t>T</w:t>
            </w:r>
            <w:r w:rsidRPr="00CB4881">
              <w:rPr>
                <w:color w:val="000000"/>
                <w:sz w:val="12"/>
                <w:szCs w:val="12"/>
              </w:rPr>
              <w:t>. DE GUALAN</w:t>
            </w:r>
          </w:p>
        </w:tc>
      </w:tr>
      <w:tr w:rsidR="006649A2" w:rsidRPr="00CB4881" w14:paraId="072CE1BD" w14:textId="77777777" w:rsidTr="001A37CA">
        <w:trPr>
          <w:trHeight w:val="129"/>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6B16D40E"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65D1FC78" w14:textId="77777777" w:rsidR="006649A2" w:rsidRPr="00950A4C" w:rsidRDefault="006649A2" w:rsidP="006649A2">
            <w:pPr>
              <w:pStyle w:val="Prrafodelista"/>
              <w:widowControl/>
              <w:numPr>
                <w:ilvl w:val="0"/>
                <w:numId w:val="20"/>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ELECTRICA MUNICIPAL DE GUASTATOYA</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43CF6A46"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ELEC</w:t>
            </w:r>
            <w:r>
              <w:rPr>
                <w:color w:val="000000"/>
                <w:sz w:val="12"/>
                <w:szCs w:val="12"/>
              </w:rPr>
              <w:t>T</w:t>
            </w:r>
            <w:r w:rsidRPr="00CB4881">
              <w:rPr>
                <w:color w:val="000000"/>
                <w:sz w:val="12"/>
                <w:szCs w:val="12"/>
              </w:rPr>
              <w:t>. DE GUASTATOYA</w:t>
            </w:r>
          </w:p>
        </w:tc>
      </w:tr>
      <w:tr w:rsidR="006649A2" w:rsidRPr="00CB4881" w14:paraId="377B83BA" w14:textId="77777777" w:rsidTr="001A37CA">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5FDCCF1F"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3502D2B2" w14:textId="77777777" w:rsidR="006649A2" w:rsidRPr="00950A4C" w:rsidRDefault="006649A2" w:rsidP="006649A2">
            <w:pPr>
              <w:pStyle w:val="Prrafodelista"/>
              <w:widowControl/>
              <w:numPr>
                <w:ilvl w:val="0"/>
                <w:numId w:val="20"/>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ELECTRICA MUNICIPAL DE JALAPA</w:t>
            </w:r>
          </w:p>
        </w:tc>
        <w:tc>
          <w:tcPr>
            <w:tcW w:w="1367"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4859C8DC"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ELEC</w:t>
            </w:r>
            <w:r>
              <w:rPr>
                <w:color w:val="000000"/>
                <w:sz w:val="12"/>
                <w:szCs w:val="12"/>
              </w:rPr>
              <w:t>T</w:t>
            </w:r>
            <w:r w:rsidRPr="00CB4881">
              <w:rPr>
                <w:color w:val="000000"/>
                <w:sz w:val="12"/>
                <w:szCs w:val="12"/>
              </w:rPr>
              <w:t>. DE JALAPA</w:t>
            </w:r>
          </w:p>
        </w:tc>
      </w:tr>
      <w:tr w:rsidR="006649A2" w:rsidRPr="00CB4881" w14:paraId="6D900FF9" w14:textId="77777777" w:rsidTr="001A37CA">
        <w:trPr>
          <w:trHeight w:val="118"/>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18794E50"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00BE2171" w14:textId="77777777" w:rsidR="006649A2" w:rsidRPr="00950A4C" w:rsidRDefault="006649A2" w:rsidP="006649A2">
            <w:pPr>
              <w:pStyle w:val="Prrafodelista"/>
              <w:widowControl/>
              <w:numPr>
                <w:ilvl w:val="0"/>
                <w:numId w:val="20"/>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ELECTRICA MUNICIPAL DE JOYABAJ, QUICHE</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19159F61"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ELEC</w:t>
            </w:r>
            <w:r>
              <w:rPr>
                <w:color w:val="000000"/>
                <w:sz w:val="12"/>
                <w:szCs w:val="12"/>
              </w:rPr>
              <w:t>T</w:t>
            </w:r>
            <w:r w:rsidRPr="00CB4881">
              <w:rPr>
                <w:color w:val="000000"/>
                <w:sz w:val="12"/>
                <w:szCs w:val="12"/>
              </w:rPr>
              <w:t>. DE JOYABAJ</w:t>
            </w:r>
          </w:p>
        </w:tc>
      </w:tr>
      <w:tr w:rsidR="006649A2" w:rsidRPr="00CB4881" w14:paraId="7B28F921" w14:textId="77777777" w:rsidTr="001A37CA">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4AC1B097"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03A06D19" w14:textId="77777777" w:rsidR="006649A2" w:rsidRPr="00950A4C" w:rsidRDefault="006649A2" w:rsidP="006649A2">
            <w:pPr>
              <w:pStyle w:val="Prrafodelista"/>
              <w:widowControl/>
              <w:numPr>
                <w:ilvl w:val="0"/>
                <w:numId w:val="20"/>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ELECTRICA MUNICIPAL DE PUERTO BARRIOS</w:t>
            </w:r>
          </w:p>
        </w:tc>
        <w:tc>
          <w:tcPr>
            <w:tcW w:w="1367"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3C85FC33"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ELEC</w:t>
            </w:r>
            <w:r>
              <w:rPr>
                <w:color w:val="000000"/>
                <w:sz w:val="12"/>
                <w:szCs w:val="12"/>
              </w:rPr>
              <w:t>T</w:t>
            </w:r>
            <w:r w:rsidRPr="00CB4881">
              <w:rPr>
                <w:color w:val="000000"/>
                <w:sz w:val="12"/>
                <w:szCs w:val="12"/>
              </w:rPr>
              <w:t>. DE PUERTO BARRIOS</w:t>
            </w:r>
          </w:p>
        </w:tc>
      </w:tr>
      <w:tr w:rsidR="006649A2" w:rsidRPr="00CB4881" w14:paraId="0642F872" w14:textId="77777777" w:rsidTr="001A37CA">
        <w:trPr>
          <w:trHeight w:val="95"/>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6DEA6790"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5493F3D3" w14:textId="77777777" w:rsidR="006649A2" w:rsidRPr="00950A4C" w:rsidRDefault="006649A2" w:rsidP="006649A2">
            <w:pPr>
              <w:pStyle w:val="Prrafodelista"/>
              <w:widowControl/>
              <w:numPr>
                <w:ilvl w:val="0"/>
                <w:numId w:val="20"/>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ELECTRICA MUNICIPAL DE ZACAPA</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4AFDD0E0"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ELEC</w:t>
            </w:r>
            <w:r>
              <w:rPr>
                <w:color w:val="000000"/>
                <w:sz w:val="12"/>
                <w:szCs w:val="12"/>
              </w:rPr>
              <w:t>T</w:t>
            </w:r>
            <w:r w:rsidRPr="00CB4881">
              <w:rPr>
                <w:color w:val="000000"/>
                <w:sz w:val="12"/>
                <w:szCs w:val="12"/>
              </w:rPr>
              <w:t>. DE ZACAPA</w:t>
            </w:r>
          </w:p>
        </w:tc>
      </w:tr>
      <w:tr w:rsidR="006649A2" w:rsidRPr="00CB4881" w14:paraId="653766F2" w14:textId="77777777" w:rsidTr="001A37C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5241E370"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44BF181A" w14:textId="77777777" w:rsidR="006649A2" w:rsidRPr="00950A4C" w:rsidRDefault="006649A2" w:rsidP="006649A2">
            <w:pPr>
              <w:pStyle w:val="Prrafodelista"/>
              <w:widowControl/>
              <w:numPr>
                <w:ilvl w:val="0"/>
                <w:numId w:val="20"/>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MUNICIPAL DE AGUA (EMPAGUA)</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720C842B"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EMPAGUA</w:t>
            </w:r>
          </w:p>
        </w:tc>
      </w:tr>
      <w:tr w:rsidR="006649A2" w:rsidRPr="00CB4881" w14:paraId="626B93E6" w14:textId="77777777" w:rsidTr="001A37CA">
        <w:trPr>
          <w:trHeight w:val="84"/>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19753F89"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42133AA5" w14:textId="77777777" w:rsidR="006649A2" w:rsidRPr="00950A4C" w:rsidRDefault="006649A2" w:rsidP="006649A2">
            <w:pPr>
              <w:pStyle w:val="Prrafodelista"/>
              <w:widowControl/>
              <w:numPr>
                <w:ilvl w:val="0"/>
                <w:numId w:val="20"/>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MUNICIPAL DE AGUA JALAPAGUA</w:t>
            </w:r>
          </w:p>
        </w:tc>
        <w:tc>
          <w:tcPr>
            <w:tcW w:w="1367"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76BD978B"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AGUA DE JALAPAGUA</w:t>
            </w:r>
          </w:p>
        </w:tc>
      </w:tr>
      <w:tr w:rsidR="006649A2" w:rsidRPr="00CB4881" w14:paraId="4AB7A6F0" w14:textId="77777777" w:rsidTr="001A37C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5415C7AE"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629A31FB" w14:textId="77777777" w:rsidR="006649A2" w:rsidRPr="00950A4C" w:rsidRDefault="006649A2" w:rsidP="006649A2">
            <w:pPr>
              <w:pStyle w:val="Prrafodelista"/>
              <w:widowControl/>
              <w:numPr>
                <w:ilvl w:val="0"/>
                <w:numId w:val="20"/>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MUNICIPAL DE AGUA POTABLE Y ALCANTARILLADO (EMAPET), FLORES-SAN BENITO, PETEN</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507C46DF"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EMAPET</w:t>
            </w:r>
          </w:p>
        </w:tc>
      </w:tr>
      <w:tr w:rsidR="006649A2" w:rsidRPr="00CB4881" w14:paraId="239D5C02" w14:textId="77777777" w:rsidTr="001A37CA">
        <w:trPr>
          <w:trHeight w:val="76"/>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028C1B6F"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5405276C" w14:textId="77777777" w:rsidR="006649A2" w:rsidRPr="00950A4C" w:rsidRDefault="006649A2" w:rsidP="006649A2">
            <w:pPr>
              <w:pStyle w:val="Prrafodelista"/>
              <w:widowControl/>
              <w:numPr>
                <w:ilvl w:val="0"/>
                <w:numId w:val="20"/>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MUNICIPAL DE TRANSPORTE DE LA CIUDAD DE GUATEMALA</w:t>
            </w:r>
          </w:p>
        </w:tc>
        <w:tc>
          <w:tcPr>
            <w:tcW w:w="1367" w:type="pct"/>
            <w:tcBorders>
              <w:top w:val="single" w:sz="4" w:space="0" w:color="FFFFFF" w:themeColor="background1"/>
              <w:bottom w:val="single" w:sz="4" w:space="0" w:color="FFFFFF" w:themeColor="background1"/>
            </w:tcBorders>
            <w:shd w:val="clear" w:color="auto" w:fill="DEEAF6" w:themeFill="accent5" w:themeFillTint="33"/>
            <w:noWrap/>
            <w:vAlign w:val="center"/>
            <w:hideMark/>
          </w:tcPr>
          <w:p w14:paraId="64C6399E"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EMP. DE TRANSPORTE DE GUA</w:t>
            </w:r>
          </w:p>
        </w:tc>
      </w:tr>
      <w:tr w:rsidR="006649A2" w:rsidRPr="00CB4881" w14:paraId="4F73BBF4" w14:textId="77777777" w:rsidTr="001A37C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hideMark/>
          </w:tcPr>
          <w:p w14:paraId="66DF8AFF"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28E44369" w14:textId="77777777" w:rsidR="006649A2" w:rsidRPr="00950A4C" w:rsidRDefault="006649A2" w:rsidP="006649A2">
            <w:pPr>
              <w:pStyle w:val="Prrafodelista"/>
              <w:widowControl/>
              <w:numPr>
                <w:ilvl w:val="0"/>
                <w:numId w:val="20"/>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MUNICIPAL RURAL DE ELECTRICIDAD IXCAN (EMRE)</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57FAE6C3"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EMRE</w:t>
            </w:r>
          </w:p>
        </w:tc>
      </w:tr>
      <w:tr w:rsidR="006649A2" w:rsidRPr="00CB4881" w14:paraId="2CD2B912" w14:textId="77777777" w:rsidTr="001A37CA">
        <w:trPr>
          <w:trHeight w:val="222"/>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left w:val="single" w:sz="4" w:space="0" w:color="auto"/>
              <w:bottom w:val="single" w:sz="4" w:space="0" w:color="auto"/>
            </w:tcBorders>
            <w:hideMark/>
          </w:tcPr>
          <w:p w14:paraId="25FE55CF"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auto"/>
            </w:tcBorders>
            <w:shd w:val="clear" w:color="auto" w:fill="DEEAF6" w:themeFill="accent5" w:themeFillTint="33"/>
            <w:noWrap/>
            <w:vAlign w:val="center"/>
            <w:hideMark/>
          </w:tcPr>
          <w:p w14:paraId="292EBBB2" w14:textId="77777777" w:rsidR="006649A2" w:rsidRPr="00950A4C" w:rsidRDefault="006649A2" w:rsidP="006649A2">
            <w:pPr>
              <w:pStyle w:val="Prrafodelista"/>
              <w:widowControl/>
              <w:numPr>
                <w:ilvl w:val="0"/>
                <w:numId w:val="20"/>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PARA LA VIVIENDA DEL MUNICIPIO DE SANTA CATARINA PINULA</w:t>
            </w:r>
          </w:p>
        </w:tc>
        <w:tc>
          <w:tcPr>
            <w:tcW w:w="1367" w:type="pct"/>
            <w:tcBorders>
              <w:top w:val="single" w:sz="4" w:space="0" w:color="FFFFFF" w:themeColor="background1"/>
              <w:bottom w:val="single" w:sz="4" w:space="0" w:color="auto"/>
            </w:tcBorders>
            <w:shd w:val="clear" w:color="auto" w:fill="DEEAF6" w:themeFill="accent5" w:themeFillTint="33"/>
            <w:noWrap/>
            <w:vAlign w:val="center"/>
            <w:hideMark/>
          </w:tcPr>
          <w:p w14:paraId="00E358CF"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VIVIENDA DE SANTA CATARINA PINULA</w:t>
            </w:r>
          </w:p>
        </w:tc>
      </w:tr>
      <w:tr w:rsidR="006649A2" w:rsidRPr="00CB4881" w14:paraId="2722DE7B" w14:textId="77777777" w:rsidTr="001A37CA">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val="restart"/>
            <w:tcBorders>
              <w:top w:val="single" w:sz="4" w:space="0" w:color="auto"/>
              <w:left w:val="none" w:sz="0" w:space="0" w:color="auto"/>
              <w:bottom w:val="single" w:sz="4" w:space="0" w:color="FFFFFF" w:themeColor="background1"/>
            </w:tcBorders>
            <w:shd w:val="clear" w:color="auto" w:fill="538135" w:themeFill="accent6" w:themeFillShade="BF"/>
            <w:vAlign w:val="center"/>
            <w:hideMark/>
          </w:tcPr>
          <w:p w14:paraId="2B12A00A" w14:textId="77777777" w:rsidR="006649A2" w:rsidRPr="00CB4881" w:rsidRDefault="006649A2" w:rsidP="00ED483A">
            <w:pPr>
              <w:jc w:val="center"/>
              <w:rPr>
                <w:b w:val="0"/>
                <w:bCs w:val="0"/>
                <w:color w:val="000000"/>
                <w:sz w:val="14"/>
                <w:szCs w:val="14"/>
              </w:rPr>
            </w:pPr>
            <w:r w:rsidRPr="00CB4881">
              <w:rPr>
                <w:sz w:val="14"/>
                <w:szCs w:val="14"/>
              </w:rPr>
              <w:t>Nacional</w:t>
            </w:r>
          </w:p>
        </w:tc>
        <w:tc>
          <w:tcPr>
            <w:tcW w:w="3101" w:type="pct"/>
            <w:tcBorders>
              <w:top w:val="single" w:sz="4" w:space="0" w:color="auto"/>
              <w:bottom w:val="single" w:sz="4" w:space="0" w:color="FFFFFF" w:themeColor="background1"/>
            </w:tcBorders>
            <w:shd w:val="clear" w:color="auto" w:fill="auto"/>
            <w:noWrap/>
            <w:vAlign w:val="center"/>
            <w:hideMark/>
          </w:tcPr>
          <w:p w14:paraId="04925CF7" w14:textId="77777777" w:rsidR="006649A2" w:rsidRPr="00950A4C" w:rsidRDefault="006649A2" w:rsidP="006649A2">
            <w:pPr>
              <w:pStyle w:val="Prrafodelista"/>
              <w:widowControl/>
              <w:numPr>
                <w:ilvl w:val="0"/>
                <w:numId w:val="21"/>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FERROCARRILES DE GUATEMALA (FEGUA)</w:t>
            </w:r>
          </w:p>
        </w:tc>
        <w:tc>
          <w:tcPr>
            <w:tcW w:w="1367" w:type="pct"/>
            <w:tcBorders>
              <w:top w:val="single" w:sz="4" w:space="0" w:color="auto"/>
              <w:bottom w:val="single" w:sz="4" w:space="0" w:color="FFFFFF" w:themeColor="background1"/>
            </w:tcBorders>
            <w:shd w:val="clear" w:color="auto" w:fill="auto"/>
            <w:noWrap/>
            <w:vAlign w:val="center"/>
            <w:hideMark/>
          </w:tcPr>
          <w:p w14:paraId="7E0529D5"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FEGUA</w:t>
            </w:r>
          </w:p>
        </w:tc>
      </w:tr>
      <w:tr w:rsidR="006649A2" w:rsidRPr="00CB4881" w14:paraId="7D50D255" w14:textId="77777777" w:rsidTr="001A37CA">
        <w:trPr>
          <w:trHeight w:val="144"/>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shd w:val="clear" w:color="auto" w:fill="538135" w:themeFill="accent6" w:themeFillShade="BF"/>
            <w:hideMark/>
          </w:tcPr>
          <w:p w14:paraId="7FBDEDEB"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E2EFD9" w:themeFill="accent6" w:themeFillTint="33"/>
            <w:noWrap/>
            <w:vAlign w:val="center"/>
            <w:hideMark/>
          </w:tcPr>
          <w:p w14:paraId="345D5D63" w14:textId="77777777" w:rsidR="006649A2" w:rsidRPr="00950A4C" w:rsidRDefault="006649A2" w:rsidP="006649A2">
            <w:pPr>
              <w:pStyle w:val="Prrafodelista"/>
              <w:widowControl/>
              <w:numPr>
                <w:ilvl w:val="0"/>
                <w:numId w:val="21"/>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GUATEMALTECA DE TELECOMUNICACIONES (GUATEL)</w:t>
            </w:r>
          </w:p>
        </w:tc>
        <w:tc>
          <w:tcPr>
            <w:tcW w:w="1367" w:type="pct"/>
            <w:tcBorders>
              <w:top w:val="single" w:sz="4" w:space="0" w:color="FFFFFF" w:themeColor="background1"/>
              <w:bottom w:val="single" w:sz="4" w:space="0" w:color="FFFFFF" w:themeColor="background1"/>
            </w:tcBorders>
            <w:shd w:val="clear" w:color="auto" w:fill="E2EFD9" w:themeFill="accent6" w:themeFillTint="33"/>
            <w:noWrap/>
            <w:vAlign w:val="center"/>
            <w:hideMark/>
          </w:tcPr>
          <w:p w14:paraId="7CD4731B"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GUATEL</w:t>
            </w:r>
          </w:p>
        </w:tc>
      </w:tr>
      <w:tr w:rsidR="006649A2" w:rsidRPr="00CB4881" w14:paraId="574E411F" w14:textId="77777777" w:rsidTr="001A37CA">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shd w:val="clear" w:color="auto" w:fill="538135" w:themeFill="accent6" w:themeFillShade="BF"/>
            <w:hideMark/>
          </w:tcPr>
          <w:p w14:paraId="20A20D14"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03DC7809" w14:textId="77777777" w:rsidR="006649A2" w:rsidRPr="00950A4C" w:rsidRDefault="006649A2" w:rsidP="006649A2">
            <w:pPr>
              <w:pStyle w:val="Prrafodelista"/>
              <w:widowControl/>
              <w:numPr>
                <w:ilvl w:val="0"/>
                <w:numId w:val="21"/>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PORTUARIA NACIONAL DE CHAMPERICO (EPNCH)</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3BF5947D"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EPNCH</w:t>
            </w:r>
          </w:p>
        </w:tc>
      </w:tr>
      <w:tr w:rsidR="006649A2" w:rsidRPr="00CB4881" w14:paraId="5EE7E700" w14:textId="77777777" w:rsidTr="001A37CA">
        <w:trPr>
          <w:trHeight w:val="120"/>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shd w:val="clear" w:color="auto" w:fill="538135" w:themeFill="accent6" w:themeFillShade="BF"/>
            <w:hideMark/>
          </w:tcPr>
          <w:p w14:paraId="70252790"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E2EFD9" w:themeFill="accent6" w:themeFillTint="33"/>
            <w:noWrap/>
            <w:vAlign w:val="center"/>
            <w:hideMark/>
          </w:tcPr>
          <w:p w14:paraId="5C6BAF54" w14:textId="77777777" w:rsidR="006649A2" w:rsidRPr="00950A4C" w:rsidRDefault="006649A2" w:rsidP="006649A2">
            <w:pPr>
              <w:pStyle w:val="Prrafodelista"/>
              <w:widowControl/>
              <w:numPr>
                <w:ilvl w:val="0"/>
                <w:numId w:val="21"/>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EMPRESA PORTUARIA NACIONAL SANTO TOMAS DE CASTILLA (EMPORNAC)</w:t>
            </w:r>
          </w:p>
        </w:tc>
        <w:tc>
          <w:tcPr>
            <w:tcW w:w="1367" w:type="pct"/>
            <w:tcBorders>
              <w:top w:val="single" w:sz="4" w:space="0" w:color="FFFFFF" w:themeColor="background1"/>
              <w:bottom w:val="single" w:sz="4" w:space="0" w:color="FFFFFF" w:themeColor="background1"/>
            </w:tcBorders>
            <w:shd w:val="clear" w:color="auto" w:fill="E2EFD9" w:themeFill="accent6" w:themeFillTint="33"/>
            <w:noWrap/>
            <w:vAlign w:val="center"/>
            <w:hideMark/>
          </w:tcPr>
          <w:p w14:paraId="2A3218A3"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EMPORNAC</w:t>
            </w:r>
          </w:p>
        </w:tc>
      </w:tr>
      <w:tr w:rsidR="006649A2" w:rsidRPr="00CB4881" w14:paraId="5C6C294B" w14:textId="77777777" w:rsidTr="001A37CA">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shd w:val="clear" w:color="auto" w:fill="538135" w:themeFill="accent6" w:themeFillShade="BF"/>
            <w:hideMark/>
          </w:tcPr>
          <w:p w14:paraId="0195D747"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6C705DF6" w14:textId="77777777" w:rsidR="006649A2" w:rsidRPr="00950A4C" w:rsidRDefault="006649A2" w:rsidP="006649A2">
            <w:pPr>
              <w:pStyle w:val="Prrafodelista"/>
              <w:widowControl/>
              <w:numPr>
                <w:ilvl w:val="0"/>
                <w:numId w:val="21"/>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EMPRESA PORTUARIA QUETZAL (EPQ)</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2DD195CA"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EPQ</w:t>
            </w:r>
          </w:p>
        </w:tc>
      </w:tr>
      <w:tr w:rsidR="006649A2" w:rsidRPr="00CB4881" w14:paraId="31EA3D52" w14:textId="77777777" w:rsidTr="001A37CA">
        <w:trPr>
          <w:trHeight w:val="110"/>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left w:val="none" w:sz="0" w:space="0" w:color="auto"/>
              <w:bottom w:val="single" w:sz="4" w:space="0" w:color="FFFFFF" w:themeColor="background1"/>
            </w:tcBorders>
            <w:shd w:val="clear" w:color="auto" w:fill="538135" w:themeFill="accent6" w:themeFillShade="BF"/>
            <w:hideMark/>
          </w:tcPr>
          <w:p w14:paraId="3C7903F4"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E2EFD9" w:themeFill="accent6" w:themeFillTint="33"/>
            <w:noWrap/>
            <w:vAlign w:val="center"/>
            <w:hideMark/>
          </w:tcPr>
          <w:p w14:paraId="09997C17" w14:textId="77777777" w:rsidR="006649A2" w:rsidRPr="00950A4C" w:rsidRDefault="006649A2" w:rsidP="006649A2">
            <w:pPr>
              <w:pStyle w:val="Prrafodelista"/>
              <w:widowControl/>
              <w:numPr>
                <w:ilvl w:val="0"/>
                <w:numId w:val="21"/>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INSTITUTO NACIONAL DE COMERCIALIZACIÓN AGRICOLA (INDECA)</w:t>
            </w:r>
          </w:p>
        </w:tc>
        <w:tc>
          <w:tcPr>
            <w:tcW w:w="1367" w:type="pct"/>
            <w:tcBorders>
              <w:top w:val="single" w:sz="4" w:space="0" w:color="FFFFFF" w:themeColor="background1"/>
              <w:bottom w:val="single" w:sz="4" w:space="0" w:color="FFFFFF" w:themeColor="background1"/>
            </w:tcBorders>
            <w:shd w:val="clear" w:color="auto" w:fill="E2EFD9" w:themeFill="accent6" w:themeFillTint="33"/>
            <w:noWrap/>
            <w:vAlign w:val="center"/>
            <w:hideMark/>
          </w:tcPr>
          <w:p w14:paraId="603A26AA"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INDECA</w:t>
            </w:r>
          </w:p>
        </w:tc>
      </w:tr>
      <w:tr w:rsidR="006649A2" w:rsidRPr="00CB4881" w14:paraId="0015A925" w14:textId="77777777" w:rsidTr="001A37C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bottom w:val="single" w:sz="4" w:space="0" w:color="FFFFFF" w:themeColor="background1"/>
            </w:tcBorders>
            <w:shd w:val="clear" w:color="auto" w:fill="538135" w:themeFill="accent6" w:themeFillShade="BF"/>
            <w:hideMark/>
          </w:tcPr>
          <w:p w14:paraId="023F4C68"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FFFFFF" w:themeColor="background1"/>
            </w:tcBorders>
            <w:shd w:val="clear" w:color="auto" w:fill="auto"/>
            <w:noWrap/>
            <w:vAlign w:val="center"/>
            <w:hideMark/>
          </w:tcPr>
          <w:p w14:paraId="5162EE8C" w14:textId="77777777" w:rsidR="006649A2" w:rsidRPr="00950A4C" w:rsidRDefault="006649A2" w:rsidP="006649A2">
            <w:pPr>
              <w:pStyle w:val="Prrafodelista"/>
              <w:widowControl/>
              <w:numPr>
                <w:ilvl w:val="0"/>
                <w:numId w:val="21"/>
              </w:numPr>
              <w:ind w:left="180" w:hanging="180"/>
              <w:cnfStyle w:val="000000100000" w:firstRow="0" w:lastRow="0" w:firstColumn="0" w:lastColumn="0" w:oddVBand="0" w:evenVBand="0" w:oddHBand="1" w:evenHBand="0" w:firstRowFirstColumn="0" w:firstRowLastColumn="0" w:lastRowFirstColumn="0" w:lastRowLastColumn="0"/>
              <w:rPr>
                <w:color w:val="000000"/>
                <w:sz w:val="12"/>
                <w:szCs w:val="12"/>
              </w:rPr>
            </w:pPr>
            <w:r w:rsidRPr="00950A4C">
              <w:rPr>
                <w:color w:val="000000"/>
                <w:sz w:val="12"/>
                <w:szCs w:val="12"/>
              </w:rPr>
              <w:t>INSTITUTO NACIONAL DE ELECTRIFICACIÓN (INDE)</w:t>
            </w:r>
          </w:p>
        </w:tc>
        <w:tc>
          <w:tcPr>
            <w:tcW w:w="1367" w:type="pct"/>
            <w:tcBorders>
              <w:top w:val="single" w:sz="4" w:space="0" w:color="FFFFFF" w:themeColor="background1"/>
              <w:bottom w:val="single" w:sz="4" w:space="0" w:color="FFFFFF" w:themeColor="background1"/>
            </w:tcBorders>
            <w:shd w:val="clear" w:color="auto" w:fill="auto"/>
            <w:noWrap/>
            <w:vAlign w:val="center"/>
            <w:hideMark/>
          </w:tcPr>
          <w:p w14:paraId="5B66569D" w14:textId="77777777" w:rsidR="006649A2" w:rsidRPr="00CB4881" w:rsidRDefault="006649A2" w:rsidP="00ED483A">
            <w:pPr>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CB4881">
              <w:rPr>
                <w:color w:val="000000"/>
                <w:sz w:val="12"/>
                <w:szCs w:val="12"/>
              </w:rPr>
              <w:t>INDE</w:t>
            </w:r>
          </w:p>
        </w:tc>
      </w:tr>
      <w:tr w:rsidR="006649A2" w:rsidRPr="00CB4881" w14:paraId="3F058D97" w14:textId="77777777" w:rsidTr="001A37CA">
        <w:trPr>
          <w:trHeight w:val="74"/>
          <w:jc w:val="center"/>
        </w:trPr>
        <w:tc>
          <w:tcPr>
            <w:cnfStyle w:val="001000000000" w:firstRow="0" w:lastRow="0" w:firstColumn="1" w:lastColumn="0" w:oddVBand="0" w:evenVBand="0" w:oddHBand="0" w:evenHBand="0" w:firstRowFirstColumn="0" w:firstRowLastColumn="0" w:lastRowFirstColumn="0" w:lastRowLastColumn="0"/>
            <w:tcW w:w="529" w:type="pct"/>
            <w:gridSpan w:val="2"/>
            <w:vMerge/>
            <w:tcBorders>
              <w:top w:val="single" w:sz="4" w:space="0" w:color="FFFFFF" w:themeColor="background1"/>
              <w:left w:val="none" w:sz="0" w:space="0" w:color="auto"/>
              <w:bottom w:val="single" w:sz="4" w:space="0" w:color="auto"/>
            </w:tcBorders>
            <w:shd w:val="clear" w:color="auto" w:fill="538135" w:themeFill="accent6" w:themeFillShade="BF"/>
            <w:hideMark/>
          </w:tcPr>
          <w:p w14:paraId="5A069754" w14:textId="77777777" w:rsidR="006649A2" w:rsidRPr="00CB4881" w:rsidRDefault="006649A2" w:rsidP="00ED483A">
            <w:pPr>
              <w:jc w:val="center"/>
              <w:rPr>
                <w:b w:val="0"/>
                <w:bCs w:val="0"/>
                <w:color w:val="000000"/>
                <w:sz w:val="14"/>
                <w:szCs w:val="14"/>
              </w:rPr>
            </w:pPr>
          </w:p>
        </w:tc>
        <w:tc>
          <w:tcPr>
            <w:tcW w:w="3101" w:type="pct"/>
            <w:tcBorders>
              <w:top w:val="single" w:sz="4" w:space="0" w:color="FFFFFF" w:themeColor="background1"/>
              <w:bottom w:val="single" w:sz="4" w:space="0" w:color="auto"/>
            </w:tcBorders>
            <w:shd w:val="clear" w:color="auto" w:fill="E2EFD9" w:themeFill="accent6" w:themeFillTint="33"/>
            <w:noWrap/>
            <w:vAlign w:val="center"/>
            <w:hideMark/>
          </w:tcPr>
          <w:p w14:paraId="49E855C5" w14:textId="77777777" w:rsidR="006649A2" w:rsidRPr="00950A4C" w:rsidRDefault="006649A2" w:rsidP="006649A2">
            <w:pPr>
              <w:pStyle w:val="Prrafodelista"/>
              <w:widowControl/>
              <w:numPr>
                <w:ilvl w:val="0"/>
                <w:numId w:val="21"/>
              </w:numPr>
              <w:ind w:left="180" w:hanging="180"/>
              <w:cnfStyle w:val="000000000000" w:firstRow="0" w:lastRow="0" w:firstColumn="0" w:lastColumn="0" w:oddVBand="0" w:evenVBand="0" w:oddHBand="0" w:evenHBand="0" w:firstRowFirstColumn="0" w:firstRowLastColumn="0" w:lastRowFirstColumn="0" w:lastRowLastColumn="0"/>
              <w:rPr>
                <w:color w:val="000000"/>
                <w:sz w:val="12"/>
                <w:szCs w:val="12"/>
              </w:rPr>
            </w:pPr>
            <w:r w:rsidRPr="00950A4C">
              <w:rPr>
                <w:color w:val="000000"/>
                <w:sz w:val="12"/>
                <w:szCs w:val="12"/>
              </w:rPr>
              <w:t>ZONA LIBRE DE INDUSTRIA Y COMERCIO SANTO TOMÁS DE CASTILLA (ZOLIC)</w:t>
            </w:r>
          </w:p>
        </w:tc>
        <w:tc>
          <w:tcPr>
            <w:tcW w:w="1367" w:type="pct"/>
            <w:tcBorders>
              <w:top w:val="single" w:sz="4" w:space="0" w:color="FFFFFF" w:themeColor="background1"/>
              <w:bottom w:val="single" w:sz="4" w:space="0" w:color="auto"/>
            </w:tcBorders>
            <w:shd w:val="clear" w:color="auto" w:fill="E2EFD9" w:themeFill="accent6" w:themeFillTint="33"/>
            <w:noWrap/>
            <w:vAlign w:val="center"/>
            <w:hideMark/>
          </w:tcPr>
          <w:p w14:paraId="712F4F63" w14:textId="77777777" w:rsidR="006649A2" w:rsidRPr="00CB4881" w:rsidRDefault="006649A2" w:rsidP="00ED483A">
            <w:pPr>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CB4881">
              <w:rPr>
                <w:color w:val="000000"/>
                <w:sz w:val="12"/>
                <w:szCs w:val="12"/>
              </w:rPr>
              <w:t>ZOLIC</w:t>
            </w:r>
          </w:p>
        </w:tc>
      </w:tr>
    </w:tbl>
    <w:p w14:paraId="3FB9C902" w14:textId="729AADC0" w:rsidR="009255D0" w:rsidRDefault="001A37CA" w:rsidP="001A37CA">
      <w:pPr>
        <w:jc w:val="both"/>
        <w:rPr>
          <w:bCs/>
          <w:color w:val="000000" w:themeColor="text1"/>
          <w:lang w:val="es-MX"/>
        </w:rPr>
      </w:pPr>
      <w:r>
        <w:rPr>
          <w:sz w:val="18"/>
        </w:rPr>
        <w:t xml:space="preserve">          </w:t>
      </w:r>
      <w:r w:rsidRPr="0012440D">
        <w:rPr>
          <w:sz w:val="18"/>
        </w:rPr>
        <w:t>Fuente: Sicoin</w:t>
      </w:r>
      <w:r>
        <w:rPr>
          <w:sz w:val="18"/>
        </w:rPr>
        <w:t>.</w:t>
      </w:r>
    </w:p>
    <w:p w14:paraId="69546206" w14:textId="7EFE3DA0" w:rsidR="001A37CA" w:rsidRDefault="001A37CA" w:rsidP="002333A9">
      <w:pPr>
        <w:jc w:val="both"/>
        <w:rPr>
          <w:bCs/>
          <w:color w:val="000000" w:themeColor="text1"/>
          <w:lang w:val="es-MX"/>
        </w:rPr>
      </w:pPr>
    </w:p>
    <w:p w14:paraId="7FC725EC" w14:textId="470223A6" w:rsidR="006649A2" w:rsidRPr="002333A9" w:rsidRDefault="006649A2" w:rsidP="002333A9">
      <w:pPr>
        <w:jc w:val="both"/>
        <w:rPr>
          <w:bCs/>
          <w:color w:val="000000" w:themeColor="text1"/>
          <w:lang w:val="es-MX"/>
        </w:rPr>
      </w:pPr>
      <w:r w:rsidRPr="002333A9">
        <w:rPr>
          <w:bCs/>
          <w:color w:val="000000" w:themeColor="text1"/>
          <w:lang w:val="es-MX"/>
        </w:rPr>
        <w:t>Cabe mencionar que en el caso de la empresa Metropolitana de Vivienda y Desarrollo Urbano, durante el periodo analizado no existió registro de operaciones en ingresos, gastos e información de pasivos en el sistema de S</w:t>
      </w:r>
      <w:r w:rsidR="000513CD">
        <w:rPr>
          <w:bCs/>
          <w:color w:val="000000" w:themeColor="text1"/>
          <w:lang w:val="es-MX"/>
        </w:rPr>
        <w:t>ICOIN</w:t>
      </w:r>
      <w:r w:rsidRPr="002333A9">
        <w:rPr>
          <w:bCs/>
          <w:color w:val="000000" w:themeColor="text1"/>
          <w:lang w:val="es-MX"/>
        </w:rPr>
        <w:t xml:space="preserve"> por lo que no fue incluido en el análisis correspondiente.</w:t>
      </w:r>
    </w:p>
    <w:p w14:paraId="1606D130" w14:textId="77777777" w:rsidR="006649A2" w:rsidRPr="002333A9" w:rsidRDefault="006649A2" w:rsidP="002333A9">
      <w:pPr>
        <w:jc w:val="both"/>
        <w:rPr>
          <w:bCs/>
          <w:color w:val="000000" w:themeColor="text1"/>
          <w:lang w:val="es-MX"/>
        </w:rPr>
      </w:pPr>
    </w:p>
    <w:p w14:paraId="1E93DB0F" w14:textId="381E7A70" w:rsidR="006649A2" w:rsidRPr="002333A9" w:rsidRDefault="006649A2" w:rsidP="002333A9">
      <w:pPr>
        <w:jc w:val="both"/>
        <w:rPr>
          <w:bCs/>
          <w:color w:val="000000" w:themeColor="text1"/>
          <w:lang w:val="es-MX"/>
        </w:rPr>
      </w:pPr>
      <w:r w:rsidRPr="002333A9">
        <w:rPr>
          <w:bCs/>
          <w:color w:val="000000" w:themeColor="text1"/>
          <w:lang w:val="es-MX"/>
        </w:rPr>
        <w:t>Por último, es oportuno indicar que los gobiernos pueden reducir la exposición de los riesgos fiscales de las empresas públicas</w:t>
      </w:r>
      <w:r w:rsidR="000513CD">
        <w:rPr>
          <w:bCs/>
          <w:color w:val="000000" w:themeColor="text1"/>
          <w:lang w:val="es-MX"/>
        </w:rPr>
        <w:t>,</w:t>
      </w:r>
      <w:r w:rsidRPr="002333A9">
        <w:rPr>
          <w:bCs/>
          <w:color w:val="000000" w:themeColor="text1"/>
          <w:lang w:val="es-MX"/>
        </w:rPr>
        <w:t xml:space="preserve"> a través de reducir la participación del Estado en las actividades comerciales, reducir la magnitud de las actividades cuasi fiscales, limitar el otorgamiento de garantías explícitas, prohibir o intervenir en caso se otorguen garantías de empresas a terceros y restringir el uso de los activos como mecanismo de garantía en búsqueda de financiamiento. </w:t>
      </w:r>
    </w:p>
    <w:p w14:paraId="29477FE7" w14:textId="77777777" w:rsidR="006649A2" w:rsidRPr="00F22FB7" w:rsidRDefault="006649A2" w:rsidP="006649A2">
      <w:pPr>
        <w:ind w:left="567"/>
        <w:jc w:val="both"/>
        <w:rPr>
          <w:rFonts w:eastAsia="Calibri"/>
          <w:szCs w:val="22"/>
        </w:rPr>
      </w:pPr>
    </w:p>
    <w:p w14:paraId="794B5DE8" w14:textId="3BB5451C" w:rsidR="006649A2" w:rsidRPr="00F52418" w:rsidRDefault="00F52418" w:rsidP="00F52418">
      <w:pPr>
        <w:pStyle w:val="Ttulo1"/>
        <w:ind w:left="708"/>
        <w:jc w:val="left"/>
        <w:rPr>
          <w:color w:val="1F3864" w:themeColor="accent1" w:themeShade="80"/>
          <w:sz w:val="24"/>
          <w:szCs w:val="40"/>
        </w:rPr>
      </w:pPr>
      <w:bookmarkStart w:id="211" w:name="_Toc79746368"/>
      <w:bookmarkStart w:id="212" w:name="_Toc114495267"/>
      <w:r w:rsidRPr="00F52418">
        <w:rPr>
          <w:sz w:val="24"/>
          <w:szCs w:val="40"/>
        </w:rPr>
        <w:t xml:space="preserve">5.1 </w:t>
      </w:r>
      <w:r w:rsidR="006649A2" w:rsidRPr="00F52418">
        <w:rPr>
          <w:sz w:val="24"/>
          <w:szCs w:val="40"/>
        </w:rPr>
        <w:t>Rentabilidad de las Empresas</w:t>
      </w:r>
      <w:bookmarkEnd w:id="211"/>
      <w:r w:rsidR="006649A2" w:rsidRPr="00F52418">
        <w:rPr>
          <w:sz w:val="24"/>
          <w:szCs w:val="40"/>
        </w:rPr>
        <w:t xml:space="preserve"> como grupo institucional</w:t>
      </w:r>
      <w:bookmarkEnd w:id="212"/>
    </w:p>
    <w:p w14:paraId="5B5E77C1" w14:textId="77777777" w:rsidR="006649A2" w:rsidRDefault="006649A2" w:rsidP="006649A2">
      <w:pPr>
        <w:jc w:val="both"/>
        <w:rPr>
          <w:rFonts w:eastAsia="OptimaLTStd"/>
          <w:color w:val="FF0000"/>
          <w:lang w:val="es-ES"/>
        </w:rPr>
      </w:pPr>
    </w:p>
    <w:p w14:paraId="5225054C" w14:textId="77777777" w:rsidR="006649A2" w:rsidRDefault="006649A2" w:rsidP="002333A9">
      <w:pPr>
        <w:jc w:val="both"/>
        <w:rPr>
          <w:rFonts w:eastAsia="Calibri"/>
        </w:rPr>
      </w:pPr>
      <w:r w:rsidRPr="002333A9">
        <w:rPr>
          <w:bCs/>
          <w:color w:val="000000" w:themeColor="text1"/>
          <w:lang w:val="es-MX"/>
        </w:rPr>
        <w:t>En cuanto al estado presupuestario de las Empresas Públicas No Financieras Nacionales, estas han mostrado resultados presupuestarios superavitarios en los últimos años, aun sin tomar en consideración los ingresos que puedan haber recibo por concepto de transferencias provenientes de otras entidades, con excepción del 2020, en el cual cabe mencionar que fue un año afectado por la Pandemia del Covid-19. Para el 2021, como grupo institucional, se observa un superávit de Q1,158.2 millones y sin tomar en consideración a los ingresos por transferencias, este es de Q775.4 millones.</w:t>
      </w:r>
      <w:r>
        <w:rPr>
          <w:rFonts w:eastAsia="Calibri"/>
        </w:rPr>
        <w:t xml:space="preserve"> </w:t>
      </w:r>
    </w:p>
    <w:p w14:paraId="71491ACF" w14:textId="77777777" w:rsidR="006649A2" w:rsidRDefault="006649A2" w:rsidP="006649A2">
      <w:pPr>
        <w:autoSpaceDE w:val="0"/>
        <w:autoSpaceDN w:val="0"/>
        <w:adjustRightInd w:val="0"/>
        <w:ind w:left="567"/>
        <w:jc w:val="both"/>
        <w:rPr>
          <w:rFonts w:eastAsia="Calibri"/>
        </w:rPr>
      </w:pPr>
    </w:p>
    <w:p w14:paraId="1C966E1D" w14:textId="7F70A743" w:rsidR="006649A2" w:rsidRPr="00A77EE7" w:rsidRDefault="00A77EE7" w:rsidP="00A77EE7">
      <w:pPr>
        <w:pStyle w:val="Descripcin"/>
        <w:keepNext/>
      </w:pPr>
      <w:bookmarkStart w:id="213" w:name="_Toc114493895"/>
      <w:r w:rsidRPr="00A77EE7">
        <w:rPr>
          <w:color w:val="auto"/>
        </w:rPr>
        <w:t xml:space="preserve">Gráfico </w:t>
      </w:r>
      <w:r w:rsidRPr="00A77EE7">
        <w:rPr>
          <w:color w:val="auto"/>
        </w:rPr>
        <w:fldChar w:fldCharType="begin"/>
      </w:r>
      <w:r w:rsidRPr="00A77EE7">
        <w:rPr>
          <w:color w:val="auto"/>
        </w:rPr>
        <w:instrText xml:space="preserve"> SEQ Gráfico \* ARABIC </w:instrText>
      </w:r>
      <w:r w:rsidRPr="00A77EE7">
        <w:rPr>
          <w:color w:val="auto"/>
        </w:rPr>
        <w:fldChar w:fldCharType="separate"/>
      </w:r>
      <w:r w:rsidR="002E7809">
        <w:rPr>
          <w:noProof/>
          <w:color w:val="auto"/>
        </w:rPr>
        <w:t>53</w:t>
      </w:r>
      <w:r w:rsidRPr="00A77EE7">
        <w:rPr>
          <w:color w:val="auto"/>
        </w:rPr>
        <w:fldChar w:fldCharType="end"/>
      </w:r>
      <w:r w:rsidRPr="00A77EE7">
        <w:rPr>
          <w:color w:val="auto"/>
        </w:rPr>
        <w:t xml:space="preserve">.  </w:t>
      </w:r>
      <w:r w:rsidR="006649A2" w:rsidRPr="00A77EE7">
        <w:rPr>
          <w:rFonts w:eastAsia="Calibri"/>
          <w:color w:val="auto"/>
        </w:rPr>
        <w:t>Resultado Presupuestario de las Empresas Públicas Nacionales y Municipales</w:t>
      </w:r>
      <w:bookmarkEnd w:id="213"/>
    </w:p>
    <w:p w14:paraId="520B0C33" w14:textId="77777777" w:rsidR="006649A2" w:rsidRPr="004C5FE3" w:rsidRDefault="006649A2" w:rsidP="006649A2">
      <w:pPr>
        <w:autoSpaceDE w:val="0"/>
        <w:autoSpaceDN w:val="0"/>
        <w:adjustRightInd w:val="0"/>
        <w:ind w:left="567"/>
        <w:jc w:val="center"/>
        <w:rPr>
          <w:rFonts w:eastAsia="Calibri"/>
          <w:sz w:val="22"/>
        </w:rPr>
      </w:pPr>
      <w:r w:rsidRPr="004C5FE3">
        <w:rPr>
          <w:rFonts w:eastAsia="Calibri"/>
          <w:sz w:val="22"/>
        </w:rPr>
        <w:t>En millones de quetzales</w:t>
      </w:r>
    </w:p>
    <w:tbl>
      <w:tblPr>
        <w:tblStyle w:val="Tablaconcuadrcula"/>
        <w:tblW w:w="8938"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36"/>
        <w:gridCol w:w="4836"/>
      </w:tblGrid>
      <w:tr w:rsidR="006649A2" w14:paraId="16FA393D" w14:textId="77777777" w:rsidTr="00E26495">
        <w:trPr>
          <w:trHeight w:val="3799"/>
          <w:jc w:val="center"/>
        </w:trPr>
        <w:tc>
          <w:tcPr>
            <w:tcW w:w="4469" w:type="dxa"/>
          </w:tcPr>
          <w:p w14:paraId="0CDFED2D" w14:textId="77777777" w:rsidR="006649A2" w:rsidRDefault="006649A2" w:rsidP="00ED483A">
            <w:pPr>
              <w:autoSpaceDE w:val="0"/>
              <w:autoSpaceDN w:val="0"/>
              <w:adjustRightInd w:val="0"/>
              <w:jc w:val="both"/>
              <w:rPr>
                <w:rFonts w:eastAsia="Calibri"/>
                <w:sz w:val="24"/>
                <w:lang w:eastAsia="en-US"/>
              </w:rPr>
            </w:pPr>
            <w:r>
              <w:rPr>
                <w:rFonts w:eastAsia="Calibri"/>
                <w:noProof/>
              </w:rPr>
              <w:drawing>
                <wp:inline distT="0" distB="0" distL="0" distR="0" wp14:anchorId="539845D6" wp14:editId="48D75482">
                  <wp:extent cx="2926080" cy="2417196"/>
                  <wp:effectExtent l="0" t="0" r="762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469" w:type="dxa"/>
          </w:tcPr>
          <w:p w14:paraId="059A995D" w14:textId="77777777" w:rsidR="006649A2" w:rsidRDefault="006649A2" w:rsidP="00ED483A">
            <w:pPr>
              <w:autoSpaceDE w:val="0"/>
              <w:autoSpaceDN w:val="0"/>
              <w:adjustRightInd w:val="0"/>
              <w:jc w:val="both"/>
              <w:rPr>
                <w:rFonts w:eastAsia="Calibri"/>
                <w:sz w:val="24"/>
                <w:lang w:eastAsia="en-US"/>
              </w:rPr>
            </w:pPr>
            <w:r>
              <w:rPr>
                <w:rFonts w:eastAsia="Calibri"/>
                <w:noProof/>
              </w:rPr>
              <w:drawing>
                <wp:inline distT="0" distB="0" distL="0" distR="0" wp14:anchorId="2E7C814E" wp14:editId="357BC950">
                  <wp:extent cx="2926080" cy="2417196"/>
                  <wp:effectExtent l="0" t="0" r="762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14:paraId="18729255" w14:textId="77777777" w:rsidR="006649A2" w:rsidRDefault="006649A2" w:rsidP="006649A2">
      <w:pPr>
        <w:spacing w:after="160" w:line="259" w:lineRule="auto"/>
        <w:ind w:left="567"/>
        <w:rPr>
          <w:rFonts w:eastAsia="Calibri"/>
          <w:sz w:val="16"/>
        </w:rPr>
      </w:pPr>
      <w:r w:rsidRPr="004C5FE3">
        <w:rPr>
          <w:rFonts w:eastAsia="Calibri"/>
          <w:sz w:val="16"/>
        </w:rPr>
        <w:t>Fuente: Sicoin</w:t>
      </w:r>
    </w:p>
    <w:p w14:paraId="7E64910E" w14:textId="7BF796B1" w:rsidR="006649A2" w:rsidRDefault="006649A2" w:rsidP="002333A9">
      <w:pPr>
        <w:jc w:val="both"/>
        <w:rPr>
          <w:rFonts w:eastAsia="Calibri"/>
        </w:rPr>
      </w:pPr>
      <w:r w:rsidRPr="002333A9">
        <w:rPr>
          <w:bCs/>
          <w:color w:val="000000" w:themeColor="text1"/>
          <w:lang w:val="es-MX"/>
        </w:rPr>
        <w:t>En cuanto a las Empresas Públicas No Financieras Municipales, estas han mostrado resultados presupuestarios variados en los últimos años, obteniendo superávits en 4 de los últimos 6 años y los restantes 2 años fueron deficitarios</w:t>
      </w:r>
      <w:r w:rsidR="000513CD">
        <w:rPr>
          <w:bCs/>
          <w:color w:val="000000" w:themeColor="text1"/>
          <w:lang w:val="es-MX"/>
        </w:rPr>
        <w:t xml:space="preserve">. </w:t>
      </w:r>
      <w:r w:rsidRPr="002333A9">
        <w:rPr>
          <w:bCs/>
          <w:color w:val="000000" w:themeColor="text1"/>
          <w:lang w:val="es-MX"/>
        </w:rPr>
        <w:t xml:space="preserve"> </w:t>
      </w:r>
      <w:r w:rsidR="000513CD">
        <w:rPr>
          <w:bCs/>
          <w:color w:val="000000" w:themeColor="text1"/>
          <w:lang w:val="es-MX"/>
        </w:rPr>
        <w:t>S</w:t>
      </w:r>
      <w:r w:rsidRPr="002333A9">
        <w:rPr>
          <w:bCs/>
          <w:color w:val="000000" w:themeColor="text1"/>
          <w:lang w:val="es-MX"/>
        </w:rPr>
        <w:t>in embargo, al no incluir las transferencias corrientes y de capital en sus ingresos totales, todos los años han sido deficitarios</w:t>
      </w:r>
      <w:r w:rsidR="000513CD">
        <w:rPr>
          <w:bCs/>
          <w:color w:val="000000" w:themeColor="text1"/>
          <w:lang w:val="es-MX"/>
        </w:rPr>
        <w:t>,</w:t>
      </w:r>
      <w:r w:rsidRPr="002333A9">
        <w:rPr>
          <w:bCs/>
          <w:color w:val="000000" w:themeColor="text1"/>
          <w:lang w:val="es-MX"/>
        </w:rPr>
        <w:t xml:space="preserve"> pero es oportuno mencionar que, las empresas municipales son relativamente pequeñas y el resultado como grupo presupuestario se ve afectado principalmente por la Empresa Municipal de Transporte de la Ciudad de Guatemala que</w:t>
      </w:r>
      <w:r w:rsidR="000513CD">
        <w:rPr>
          <w:bCs/>
          <w:color w:val="000000" w:themeColor="text1"/>
          <w:lang w:val="es-MX"/>
        </w:rPr>
        <w:t>,</w:t>
      </w:r>
      <w:r w:rsidRPr="002333A9">
        <w:rPr>
          <w:bCs/>
          <w:color w:val="000000" w:themeColor="text1"/>
          <w:lang w:val="es-MX"/>
        </w:rPr>
        <w:t xml:space="preserve"> en realidad no se encuentra realizando o brindando servicios a precios de mercado y por este motivo se recomienda analizar de forma individual cada una de las empresas que conforman a este grupo institucional.</w:t>
      </w:r>
    </w:p>
    <w:p w14:paraId="731DBF8B" w14:textId="0F0987C8" w:rsidR="006649A2" w:rsidRDefault="006649A2" w:rsidP="006649A2">
      <w:pPr>
        <w:ind w:left="567"/>
        <w:jc w:val="both"/>
        <w:rPr>
          <w:rFonts w:eastAsia="Calibri"/>
        </w:rPr>
      </w:pPr>
    </w:p>
    <w:p w14:paraId="7BAACF68" w14:textId="17B50C62" w:rsidR="003C6336" w:rsidRDefault="003C6336" w:rsidP="006649A2">
      <w:pPr>
        <w:ind w:left="567"/>
        <w:jc w:val="both"/>
        <w:rPr>
          <w:rFonts w:eastAsia="Calibri"/>
        </w:rPr>
      </w:pPr>
    </w:p>
    <w:p w14:paraId="17A8C513" w14:textId="77777777" w:rsidR="003C6336" w:rsidRDefault="003C6336" w:rsidP="006649A2">
      <w:pPr>
        <w:ind w:left="567"/>
        <w:jc w:val="both"/>
        <w:rPr>
          <w:rFonts w:eastAsia="Calibri"/>
        </w:rPr>
      </w:pPr>
    </w:p>
    <w:p w14:paraId="574A2245" w14:textId="77777777" w:rsidR="006649A2" w:rsidRPr="00A77EE7" w:rsidRDefault="006649A2" w:rsidP="00A9708A">
      <w:pPr>
        <w:pStyle w:val="Ttulo1"/>
        <w:numPr>
          <w:ilvl w:val="2"/>
          <w:numId w:val="5"/>
        </w:numPr>
        <w:ind w:left="851" w:right="49" w:hanging="284"/>
        <w:jc w:val="both"/>
        <w:rPr>
          <w:color w:val="auto"/>
          <w:sz w:val="24"/>
        </w:rPr>
      </w:pPr>
      <w:bookmarkStart w:id="214" w:name="_Toc114495268"/>
      <w:r w:rsidRPr="00A77EE7">
        <w:rPr>
          <w:color w:val="auto"/>
          <w:sz w:val="24"/>
        </w:rPr>
        <w:t>Rentabilidad de las Empresas de forma individual</w:t>
      </w:r>
      <w:bookmarkEnd w:id="214"/>
    </w:p>
    <w:p w14:paraId="6BC3E6C8" w14:textId="77777777" w:rsidR="00A77EE7" w:rsidRDefault="00A77EE7" w:rsidP="002333A9">
      <w:pPr>
        <w:jc w:val="both"/>
        <w:rPr>
          <w:bCs/>
          <w:color w:val="000000" w:themeColor="text1"/>
          <w:lang w:val="es-MX"/>
        </w:rPr>
      </w:pPr>
    </w:p>
    <w:p w14:paraId="521184C3" w14:textId="5093329B" w:rsidR="006649A2" w:rsidRDefault="006649A2" w:rsidP="002333A9">
      <w:pPr>
        <w:jc w:val="both"/>
        <w:rPr>
          <w:bCs/>
          <w:color w:val="000000" w:themeColor="text1"/>
          <w:lang w:val="es-MX"/>
        </w:rPr>
      </w:pPr>
      <w:r w:rsidRPr="002333A9">
        <w:rPr>
          <w:bCs/>
          <w:color w:val="000000" w:themeColor="text1"/>
          <w:lang w:val="es-MX"/>
        </w:rPr>
        <w:t xml:space="preserve">Entre las empresas nacionales, el INDE es quien posee el superávit más alto en 2021 siendo este de Q692.1 millones (Q332.1 millones al no incluir las transferencias recibidas de la administración central por concepto de subsidio) seguido de EPQ con un superávit de Q290.6 millones, EMPORNAC con Q174.4 millones y ZOLIC con Q3.0 millones, cabe mencionar estas últimas tres entidades no recibieron transferencias corrientes ni de capital. </w:t>
      </w:r>
    </w:p>
    <w:p w14:paraId="3A094B69" w14:textId="77777777" w:rsidR="00E26495" w:rsidRPr="002333A9" w:rsidRDefault="00E26495" w:rsidP="002333A9">
      <w:pPr>
        <w:jc w:val="both"/>
        <w:rPr>
          <w:bCs/>
          <w:color w:val="000000" w:themeColor="text1"/>
          <w:lang w:val="es-MX"/>
        </w:rPr>
      </w:pPr>
    </w:p>
    <w:p w14:paraId="051F0290" w14:textId="5AC87054" w:rsidR="006649A2" w:rsidRDefault="006649A2" w:rsidP="002333A9">
      <w:pPr>
        <w:jc w:val="both"/>
        <w:rPr>
          <w:bCs/>
          <w:color w:val="000000" w:themeColor="text1"/>
          <w:lang w:val="es-MX"/>
        </w:rPr>
      </w:pPr>
      <w:r w:rsidRPr="002333A9">
        <w:rPr>
          <w:bCs/>
          <w:color w:val="000000" w:themeColor="text1"/>
          <w:lang w:val="es-MX"/>
        </w:rPr>
        <w:t>Es importante resaltar que el INDE recibió transferencias de la administración central por Q360.0 millones, pero no tienen la finalidad de absorber pérdidas financieras, sino que es un aporte que realiza el gobierno para apoyar a la población por medio de la tarifa social a la energía eléctrica (subsidio) y que aun sin considerar este aporte, el INDE estaría reportando superávit.</w:t>
      </w:r>
    </w:p>
    <w:p w14:paraId="568A3C60" w14:textId="77777777" w:rsidR="002333A9" w:rsidRPr="002333A9" w:rsidRDefault="002333A9" w:rsidP="002333A9">
      <w:pPr>
        <w:jc w:val="both"/>
        <w:rPr>
          <w:bCs/>
          <w:color w:val="000000" w:themeColor="text1"/>
          <w:lang w:val="es-MX"/>
        </w:rPr>
      </w:pPr>
    </w:p>
    <w:p w14:paraId="11B1FA00" w14:textId="264D4C6A" w:rsidR="006649A2" w:rsidRDefault="006649A2" w:rsidP="002333A9">
      <w:pPr>
        <w:jc w:val="both"/>
        <w:rPr>
          <w:bCs/>
          <w:color w:val="000000" w:themeColor="text1"/>
          <w:lang w:val="es-MX"/>
        </w:rPr>
      </w:pPr>
      <w:r w:rsidRPr="002333A9">
        <w:rPr>
          <w:bCs/>
          <w:color w:val="000000" w:themeColor="text1"/>
          <w:lang w:val="es-MX"/>
        </w:rPr>
        <w:t xml:space="preserve">Con excepción de GUATEL, que obtuvo un resultado presupuestario deficitario por Q4.3 millones, el resto de las empresas recibieron aportes financieros por parte de otras entidades del sector público y gracias a este obtuvieron resultados superavitarios, pero si no se </w:t>
      </w:r>
      <w:r w:rsidR="00896889">
        <w:rPr>
          <w:bCs/>
          <w:color w:val="000000" w:themeColor="text1"/>
          <w:lang w:val="es-MX"/>
        </w:rPr>
        <w:t xml:space="preserve">incluyeran </w:t>
      </w:r>
      <w:r w:rsidRPr="002333A9">
        <w:rPr>
          <w:bCs/>
          <w:color w:val="000000" w:themeColor="text1"/>
          <w:lang w:val="es-MX"/>
        </w:rPr>
        <w:t>es</w:t>
      </w:r>
      <w:r w:rsidR="00896889">
        <w:rPr>
          <w:bCs/>
          <w:color w:val="000000" w:themeColor="text1"/>
          <w:lang w:val="es-MX"/>
        </w:rPr>
        <w:t>tas transferencias,</w:t>
      </w:r>
      <w:r w:rsidRPr="002333A9">
        <w:rPr>
          <w:bCs/>
          <w:color w:val="000000" w:themeColor="text1"/>
          <w:lang w:val="es-MX"/>
        </w:rPr>
        <w:t xml:space="preserve"> tendrían un resultado deficitario y la entidad con el mayor déficit </w:t>
      </w:r>
      <w:r w:rsidR="00896889">
        <w:rPr>
          <w:bCs/>
          <w:color w:val="000000" w:themeColor="text1"/>
          <w:lang w:val="es-MX"/>
        </w:rPr>
        <w:t xml:space="preserve">fue </w:t>
      </w:r>
      <w:r w:rsidRPr="002333A9">
        <w:rPr>
          <w:bCs/>
          <w:color w:val="000000" w:themeColor="text1"/>
          <w:lang w:val="es-MX"/>
        </w:rPr>
        <w:t>INDECA con Q12.4 millones (es superavitario por Q0.6 millones al incluir las transferencias)</w:t>
      </w:r>
      <w:r w:rsidR="00896889">
        <w:rPr>
          <w:bCs/>
          <w:color w:val="000000" w:themeColor="text1"/>
          <w:lang w:val="es-MX"/>
        </w:rPr>
        <w:t>,</w:t>
      </w:r>
      <w:r w:rsidRPr="002333A9">
        <w:rPr>
          <w:bCs/>
          <w:color w:val="000000" w:themeColor="text1"/>
          <w:lang w:val="es-MX"/>
        </w:rPr>
        <w:t xml:space="preserve"> seguido de EPNCH con un déficit sin transferencias de Q4.4 millones (superávit de Q1.2 millones al incluir las transferencias) y FEGUA con un déficit de Q3.6 millones (superávit de Q0.6 millones incluyendo transferencias). </w:t>
      </w:r>
    </w:p>
    <w:p w14:paraId="1427C108" w14:textId="77777777" w:rsidR="002333A9" w:rsidRDefault="002333A9" w:rsidP="002333A9">
      <w:pPr>
        <w:jc w:val="both"/>
        <w:rPr>
          <w:rFonts w:eastAsia="Calibri"/>
        </w:rPr>
      </w:pPr>
    </w:p>
    <w:p w14:paraId="73D08180" w14:textId="11E23AE6" w:rsidR="006649A2" w:rsidRPr="00A77EE7" w:rsidRDefault="00A77EE7" w:rsidP="00A77EE7">
      <w:pPr>
        <w:pStyle w:val="Descripcin"/>
        <w:keepNext/>
        <w:rPr>
          <w:color w:val="auto"/>
        </w:rPr>
      </w:pPr>
      <w:bookmarkStart w:id="215" w:name="_Toc114493896"/>
      <w:r w:rsidRPr="00A77EE7">
        <w:rPr>
          <w:color w:val="auto"/>
        </w:rPr>
        <w:t xml:space="preserve">Gráfico </w:t>
      </w:r>
      <w:r w:rsidRPr="00A77EE7">
        <w:rPr>
          <w:color w:val="auto"/>
        </w:rPr>
        <w:fldChar w:fldCharType="begin"/>
      </w:r>
      <w:r w:rsidRPr="00A77EE7">
        <w:rPr>
          <w:color w:val="auto"/>
        </w:rPr>
        <w:instrText xml:space="preserve"> SEQ Gráfico \* ARABIC </w:instrText>
      </w:r>
      <w:r w:rsidRPr="00A77EE7">
        <w:rPr>
          <w:color w:val="auto"/>
        </w:rPr>
        <w:fldChar w:fldCharType="separate"/>
      </w:r>
      <w:r w:rsidR="002E7809">
        <w:rPr>
          <w:noProof/>
          <w:color w:val="auto"/>
        </w:rPr>
        <w:t>54</w:t>
      </w:r>
      <w:r w:rsidRPr="00A77EE7">
        <w:rPr>
          <w:color w:val="auto"/>
        </w:rPr>
        <w:fldChar w:fldCharType="end"/>
      </w:r>
      <w:r w:rsidRPr="00A77EE7">
        <w:rPr>
          <w:color w:val="auto"/>
        </w:rPr>
        <w:t xml:space="preserve">.  </w:t>
      </w:r>
      <w:r w:rsidR="006649A2" w:rsidRPr="00A77EE7">
        <w:rPr>
          <w:rFonts w:eastAsia="Calibri"/>
          <w:color w:val="auto"/>
        </w:rPr>
        <w:t>Resultado Presupuestario para el 2021 de las Empresas Públicas</w:t>
      </w:r>
      <w:bookmarkEnd w:id="215"/>
      <w:r w:rsidR="006649A2" w:rsidRPr="00A77EE7">
        <w:rPr>
          <w:rFonts w:eastAsia="Calibri"/>
          <w:color w:val="auto"/>
        </w:rPr>
        <w:t xml:space="preserve"> </w:t>
      </w:r>
    </w:p>
    <w:p w14:paraId="210511D9" w14:textId="77777777" w:rsidR="006649A2" w:rsidRPr="004C5FE3" w:rsidRDefault="006649A2" w:rsidP="006649A2">
      <w:pPr>
        <w:ind w:left="567"/>
        <w:jc w:val="center"/>
        <w:rPr>
          <w:rFonts w:eastAsia="Calibri"/>
          <w:b/>
        </w:rPr>
      </w:pPr>
      <w:r w:rsidRPr="004C5FE3">
        <w:rPr>
          <w:rFonts w:eastAsia="Calibri"/>
          <w:b/>
        </w:rPr>
        <w:t>No Financieras</w:t>
      </w:r>
      <w:r>
        <w:rPr>
          <w:rFonts w:eastAsia="Calibri"/>
          <w:b/>
        </w:rPr>
        <w:t xml:space="preserve"> Nacionales</w:t>
      </w:r>
    </w:p>
    <w:p w14:paraId="5A8A7F88" w14:textId="77777777" w:rsidR="006649A2" w:rsidRPr="004C5FE3" w:rsidRDefault="006649A2" w:rsidP="006649A2">
      <w:pPr>
        <w:ind w:left="567"/>
        <w:jc w:val="center"/>
        <w:rPr>
          <w:rFonts w:eastAsia="Calibri"/>
          <w:sz w:val="22"/>
        </w:rPr>
      </w:pPr>
      <w:r w:rsidRPr="004C5FE3">
        <w:rPr>
          <w:rFonts w:eastAsia="Calibri"/>
          <w:sz w:val="22"/>
        </w:rPr>
        <w:t>En millones de quetzales</w:t>
      </w:r>
    </w:p>
    <w:p w14:paraId="0E4B6C1C" w14:textId="77777777" w:rsidR="006649A2" w:rsidRDefault="006649A2" w:rsidP="009701B8">
      <w:pPr>
        <w:rPr>
          <w:rFonts w:eastAsia="Calibri"/>
          <w:sz w:val="16"/>
        </w:rPr>
      </w:pPr>
      <w:r>
        <w:rPr>
          <w:rFonts w:eastAsia="Calibri"/>
          <w:noProof/>
          <w:lang w:eastAsia="es-GT"/>
        </w:rPr>
        <w:drawing>
          <wp:inline distT="0" distB="0" distL="0" distR="0" wp14:anchorId="3EB7BAB4" wp14:editId="646A8EB3">
            <wp:extent cx="5572125" cy="2475781"/>
            <wp:effectExtent l="0" t="0" r="0" b="127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760F84">
        <w:rPr>
          <w:rFonts w:eastAsia="Calibri"/>
          <w:sz w:val="16"/>
        </w:rPr>
        <w:t xml:space="preserve"> </w:t>
      </w:r>
      <w:r w:rsidRPr="004C5FE3">
        <w:rPr>
          <w:rFonts w:eastAsia="Calibri"/>
          <w:sz w:val="16"/>
        </w:rPr>
        <w:t>Fuente: Sicoin</w:t>
      </w:r>
    </w:p>
    <w:p w14:paraId="7E7F30A1" w14:textId="77777777" w:rsidR="006649A2" w:rsidRDefault="006649A2" w:rsidP="006649A2">
      <w:pPr>
        <w:ind w:left="567"/>
        <w:rPr>
          <w:rFonts w:eastAsia="Calibri"/>
          <w:sz w:val="16"/>
        </w:rPr>
      </w:pPr>
    </w:p>
    <w:p w14:paraId="7079951C" w14:textId="4BAEDAA2" w:rsidR="006649A2" w:rsidRDefault="006649A2" w:rsidP="002333A9">
      <w:pPr>
        <w:jc w:val="both"/>
        <w:rPr>
          <w:bCs/>
          <w:color w:val="000000" w:themeColor="text1"/>
          <w:lang w:val="es-MX"/>
        </w:rPr>
      </w:pPr>
      <w:r w:rsidRPr="002333A9">
        <w:rPr>
          <w:bCs/>
          <w:color w:val="000000" w:themeColor="text1"/>
          <w:lang w:val="es-MX"/>
        </w:rPr>
        <w:t xml:space="preserve">A nivel de Empresas Municipales, EMPAGUA es la empresa con mayor superávit en 2021, siendo este de Q14.4 millones, cabe resaltar que no recibió transferencias, luego viene la Empresa Eléctrica de Gualan con un superávit de Q5.4 millones, seguido de la Empresa Eléctrica de Guastatoya con Q5.2 millones, la Empresa Eléctrica de Jalapa con Q3.5 millones y luego la Empresa Eléctrica de Zacapa con Q3.0 millones. </w:t>
      </w:r>
    </w:p>
    <w:p w14:paraId="035A407F" w14:textId="0169F2D0" w:rsidR="006649A2" w:rsidRDefault="006649A2" w:rsidP="002333A9">
      <w:pPr>
        <w:jc w:val="both"/>
        <w:rPr>
          <w:bCs/>
          <w:color w:val="000000" w:themeColor="text1"/>
          <w:lang w:val="es-MX"/>
        </w:rPr>
      </w:pPr>
      <w:r w:rsidRPr="002333A9">
        <w:rPr>
          <w:bCs/>
          <w:color w:val="000000" w:themeColor="text1"/>
          <w:lang w:val="es-MX"/>
        </w:rPr>
        <w:t xml:space="preserve">En el caso de la Empresa para la Vivienda de Santa Catarina Pinula obtuvo un resultado presupuestario positivo por Q1.5 millones, pero al </w:t>
      </w:r>
      <w:r w:rsidR="00896889">
        <w:rPr>
          <w:bCs/>
          <w:color w:val="000000" w:themeColor="text1"/>
          <w:lang w:val="es-MX"/>
        </w:rPr>
        <w:t>excluir l</w:t>
      </w:r>
      <w:r w:rsidRPr="002333A9">
        <w:rPr>
          <w:bCs/>
          <w:color w:val="000000" w:themeColor="text1"/>
          <w:lang w:val="es-MX"/>
        </w:rPr>
        <w:t>as transferencias recibidas, este fue deficitario por Q2.5 millones</w:t>
      </w:r>
      <w:r w:rsidR="00896889">
        <w:rPr>
          <w:bCs/>
          <w:color w:val="000000" w:themeColor="text1"/>
          <w:lang w:val="es-MX"/>
        </w:rPr>
        <w:t xml:space="preserve">. </w:t>
      </w:r>
      <w:r w:rsidRPr="002333A9">
        <w:rPr>
          <w:bCs/>
          <w:color w:val="000000" w:themeColor="text1"/>
          <w:lang w:val="es-MX"/>
        </w:rPr>
        <w:t xml:space="preserve"> </w:t>
      </w:r>
      <w:r w:rsidR="00896889">
        <w:rPr>
          <w:bCs/>
          <w:color w:val="000000" w:themeColor="text1"/>
          <w:lang w:val="es-MX"/>
        </w:rPr>
        <w:t>S</w:t>
      </w:r>
      <w:r w:rsidRPr="002333A9">
        <w:rPr>
          <w:bCs/>
          <w:color w:val="000000" w:themeColor="text1"/>
          <w:lang w:val="es-MX"/>
        </w:rPr>
        <w:t xml:space="preserve">in embargo, es importante mencionar que esta entidad es reciente, fue creada a mediados del 2020. </w:t>
      </w:r>
    </w:p>
    <w:p w14:paraId="74B33CE3" w14:textId="77777777" w:rsidR="00A77EE7" w:rsidRPr="002333A9" w:rsidRDefault="00A77EE7" w:rsidP="002333A9">
      <w:pPr>
        <w:jc w:val="both"/>
        <w:rPr>
          <w:bCs/>
          <w:color w:val="000000" w:themeColor="text1"/>
          <w:lang w:val="es-MX"/>
        </w:rPr>
      </w:pPr>
    </w:p>
    <w:p w14:paraId="3868FC36" w14:textId="42862291" w:rsidR="006649A2" w:rsidRDefault="006649A2" w:rsidP="002333A9">
      <w:pPr>
        <w:jc w:val="both"/>
        <w:rPr>
          <w:bCs/>
          <w:color w:val="000000" w:themeColor="text1"/>
          <w:lang w:val="es-MX"/>
        </w:rPr>
      </w:pPr>
      <w:r w:rsidRPr="002333A9">
        <w:rPr>
          <w:bCs/>
          <w:color w:val="000000" w:themeColor="text1"/>
          <w:lang w:val="es-MX"/>
        </w:rPr>
        <w:t xml:space="preserve">En el caso de la EMAPET, tuvo un resultado presupuestario positivo </w:t>
      </w:r>
      <w:r w:rsidR="00896889">
        <w:rPr>
          <w:bCs/>
          <w:color w:val="000000" w:themeColor="text1"/>
          <w:lang w:val="es-MX"/>
        </w:rPr>
        <w:t>de</w:t>
      </w:r>
      <w:r w:rsidRPr="002333A9">
        <w:rPr>
          <w:bCs/>
          <w:color w:val="000000" w:themeColor="text1"/>
          <w:lang w:val="es-MX"/>
        </w:rPr>
        <w:t xml:space="preserve"> Q1.1 millones, mientras que la Empresa de Agua de Jalapagua tuvo un resultado presupuestario superavitario de Q0.2 millones, pero al no tomar en consideración las transferencias, tendría un resultado deficitario de Q0.8 millones.</w:t>
      </w:r>
    </w:p>
    <w:p w14:paraId="43431D8A" w14:textId="77777777" w:rsidR="00A77EE7" w:rsidRPr="002333A9" w:rsidRDefault="00A77EE7" w:rsidP="002333A9">
      <w:pPr>
        <w:jc w:val="both"/>
        <w:rPr>
          <w:bCs/>
          <w:color w:val="000000" w:themeColor="text1"/>
          <w:lang w:val="es-MX"/>
        </w:rPr>
      </w:pPr>
    </w:p>
    <w:p w14:paraId="2EA086AC" w14:textId="55F20051" w:rsidR="006649A2" w:rsidRDefault="006649A2" w:rsidP="002333A9">
      <w:pPr>
        <w:jc w:val="both"/>
        <w:rPr>
          <w:bCs/>
          <w:color w:val="000000" w:themeColor="text1"/>
          <w:lang w:val="es-MX"/>
        </w:rPr>
      </w:pPr>
      <w:r w:rsidRPr="002333A9">
        <w:rPr>
          <w:bCs/>
          <w:color w:val="000000" w:themeColor="text1"/>
          <w:lang w:val="es-MX"/>
        </w:rPr>
        <w:t>Por su parte, las empresas EMRE, la Empresa Eléctrica San Pedro Pinula, Eléctrica de Joyabaj, Eléctrica de Huehuetenango, Eléctrica de Transporte de Guatemala</w:t>
      </w:r>
      <w:r w:rsidR="00E26495">
        <w:rPr>
          <w:bCs/>
          <w:color w:val="000000" w:themeColor="text1"/>
          <w:lang w:val="es-MX"/>
        </w:rPr>
        <w:t xml:space="preserve"> </w:t>
      </w:r>
      <w:r w:rsidRPr="002333A9">
        <w:rPr>
          <w:bCs/>
          <w:color w:val="000000" w:themeColor="text1"/>
          <w:lang w:val="es-MX"/>
        </w:rPr>
        <w:t xml:space="preserve">y la Empresa Eléctrica de Puerto Barrios registraron déficit presupuestario y siendo los </w:t>
      </w:r>
      <w:r w:rsidR="00A77EE7" w:rsidRPr="002333A9">
        <w:rPr>
          <w:bCs/>
          <w:color w:val="000000" w:themeColor="text1"/>
          <w:lang w:val="es-MX"/>
        </w:rPr>
        <w:t>más</w:t>
      </w:r>
      <w:r w:rsidRPr="002333A9">
        <w:rPr>
          <w:bCs/>
          <w:color w:val="000000" w:themeColor="text1"/>
          <w:lang w:val="es-MX"/>
        </w:rPr>
        <w:t xml:space="preserve"> altos el caso de la Empresa de Puerto Barrios con Q6.8 millones y la Empresa de Transporte de Guatemala con un déficit de Q4.0 millones que al no tomar en consideración sus ingresos por transferencias, sería negativo por Q32.8 millones.</w:t>
      </w:r>
    </w:p>
    <w:p w14:paraId="1C688F63" w14:textId="77777777" w:rsidR="002333A9" w:rsidRPr="002333A9" w:rsidRDefault="002333A9" w:rsidP="002333A9">
      <w:pPr>
        <w:jc w:val="both"/>
        <w:rPr>
          <w:bCs/>
          <w:color w:val="000000" w:themeColor="text1"/>
          <w:lang w:val="es-MX"/>
        </w:rPr>
      </w:pPr>
    </w:p>
    <w:p w14:paraId="5F5B5344" w14:textId="66837E3E" w:rsidR="006649A2" w:rsidRPr="00A77EE7" w:rsidRDefault="00A77EE7" w:rsidP="00A77EE7">
      <w:pPr>
        <w:pStyle w:val="Descripcin"/>
        <w:keepNext/>
      </w:pPr>
      <w:bookmarkStart w:id="216" w:name="_Toc114493897"/>
      <w:r w:rsidRPr="00A77EE7">
        <w:rPr>
          <w:color w:val="auto"/>
        </w:rPr>
        <w:t xml:space="preserve">Gráfico </w:t>
      </w:r>
      <w:r w:rsidRPr="00A77EE7">
        <w:rPr>
          <w:color w:val="auto"/>
        </w:rPr>
        <w:fldChar w:fldCharType="begin"/>
      </w:r>
      <w:r w:rsidRPr="00A77EE7">
        <w:rPr>
          <w:color w:val="auto"/>
        </w:rPr>
        <w:instrText xml:space="preserve"> SEQ Gráfico \* ARABIC </w:instrText>
      </w:r>
      <w:r w:rsidRPr="00A77EE7">
        <w:rPr>
          <w:color w:val="auto"/>
        </w:rPr>
        <w:fldChar w:fldCharType="separate"/>
      </w:r>
      <w:r w:rsidR="002E7809">
        <w:rPr>
          <w:noProof/>
          <w:color w:val="auto"/>
        </w:rPr>
        <w:t>55</w:t>
      </w:r>
      <w:r w:rsidRPr="00A77EE7">
        <w:rPr>
          <w:color w:val="auto"/>
        </w:rPr>
        <w:fldChar w:fldCharType="end"/>
      </w:r>
      <w:r w:rsidRPr="00A77EE7">
        <w:rPr>
          <w:color w:val="auto"/>
        </w:rPr>
        <w:t xml:space="preserve">.  </w:t>
      </w:r>
      <w:r w:rsidR="006649A2" w:rsidRPr="00A77EE7">
        <w:rPr>
          <w:rFonts w:eastAsia="Calibri"/>
          <w:color w:val="auto"/>
        </w:rPr>
        <w:t>Resultado Presupuestario para el 2021 de las Empresas Públicas</w:t>
      </w:r>
      <w:bookmarkEnd w:id="216"/>
      <w:r w:rsidR="006649A2" w:rsidRPr="00A77EE7">
        <w:rPr>
          <w:rFonts w:eastAsia="Calibri"/>
          <w:color w:val="auto"/>
        </w:rPr>
        <w:t xml:space="preserve"> </w:t>
      </w:r>
    </w:p>
    <w:p w14:paraId="4D964F4A" w14:textId="77777777" w:rsidR="006649A2" w:rsidRPr="004C5FE3" w:rsidRDefault="006649A2" w:rsidP="006649A2">
      <w:pPr>
        <w:ind w:left="567"/>
        <w:jc w:val="center"/>
        <w:rPr>
          <w:rFonts w:eastAsia="Calibri"/>
          <w:b/>
        </w:rPr>
      </w:pPr>
      <w:r w:rsidRPr="004C5FE3">
        <w:rPr>
          <w:rFonts w:eastAsia="Calibri"/>
          <w:b/>
        </w:rPr>
        <w:t>No Financieras</w:t>
      </w:r>
      <w:r>
        <w:rPr>
          <w:rFonts w:eastAsia="Calibri"/>
          <w:b/>
        </w:rPr>
        <w:t xml:space="preserve"> Municipales</w:t>
      </w:r>
    </w:p>
    <w:p w14:paraId="1A6C9FD4" w14:textId="77777777" w:rsidR="006649A2" w:rsidRPr="004C5FE3" w:rsidRDefault="006649A2" w:rsidP="006649A2">
      <w:pPr>
        <w:ind w:left="567"/>
        <w:jc w:val="center"/>
        <w:rPr>
          <w:rFonts w:eastAsia="Calibri"/>
          <w:sz w:val="22"/>
        </w:rPr>
      </w:pPr>
      <w:r w:rsidRPr="004C5FE3">
        <w:rPr>
          <w:rFonts w:eastAsia="Calibri"/>
          <w:sz w:val="22"/>
        </w:rPr>
        <w:t>En millones de quetzales</w:t>
      </w:r>
    </w:p>
    <w:p w14:paraId="543C489A" w14:textId="77777777" w:rsidR="006649A2" w:rsidRPr="00F22FB7" w:rsidRDefault="006649A2" w:rsidP="00E26495">
      <w:pPr>
        <w:spacing w:line="259" w:lineRule="auto"/>
        <w:ind w:left="567"/>
        <w:jc w:val="center"/>
        <w:rPr>
          <w:rFonts w:eastAsia="Calibri"/>
          <w:sz w:val="18"/>
        </w:rPr>
      </w:pPr>
      <w:r>
        <w:rPr>
          <w:rFonts w:eastAsia="Calibri"/>
          <w:noProof/>
          <w:lang w:eastAsia="es-GT"/>
        </w:rPr>
        <w:drawing>
          <wp:inline distT="0" distB="0" distL="0" distR="0" wp14:anchorId="0C3885AD" wp14:editId="3BF0B1BD">
            <wp:extent cx="5194300" cy="2933205"/>
            <wp:effectExtent l="0" t="0" r="6350" b="63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7BA2BD1" w14:textId="34F6B026" w:rsidR="006649A2" w:rsidRDefault="006649A2" w:rsidP="006649A2">
      <w:pPr>
        <w:ind w:left="567"/>
        <w:rPr>
          <w:rFonts w:eastAsia="Calibri"/>
          <w:sz w:val="16"/>
        </w:rPr>
      </w:pPr>
      <w:r w:rsidRPr="004C5FE3">
        <w:rPr>
          <w:rFonts w:eastAsia="Calibri"/>
          <w:sz w:val="16"/>
        </w:rPr>
        <w:t>Fuente: Sicoin</w:t>
      </w:r>
    </w:p>
    <w:p w14:paraId="76D07D4A" w14:textId="77777777" w:rsidR="00A77EE7" w:rsidRDefault="00A77EE7" w:rsidP="006649A2">
      <w:pPr>
        <w:ind w:left="567"/>
        <w:rPr>
          <w:rFonts w:eastAsia="Calibri"/>
          <w:sz w:val="16"/>
        </w:rPr>
      </w:pPr>
    </w:p>
    <w:p w14:paraId="2C2FABAC" w14:textId="77777777" w:rsidR="006649A2" w:rsidRPr="00A77EE7" w:rsidRDefault="006649A2" w:rsidP="00A9708A">
      <w:pPr>
        <w:pStyle w:val="Ttulo1"/>
        <w:numPr>
          <w:ilvl w:val="1"/>
          <w:numId w:val="5"/>
        </w:numPr>
        <w:ind w:left="567" w:right="49" w:hanging="283"/>
        <w:jc w:val="both"/>
        <w:rPr>
          <w:color w:val="auto"/>
          <w:sz w:val="24"/>
        </w:rPr>
      </w:pPr>
      <w:bookmarkStart w:id="217" w:name="_Toc114495269"/>
      <w:r w:rsidRPr="00A77EE7">
        <w:rPr>
          <w:color w:val="auto"/>
          <w:sz w:val="24"/>
        </w:rPr>
        <w:t>Obligaciones Financieras por Pagar de las Empresas Públicas</w:t>
      </w:r>
      <w:bookmarkEnd w:id="217"/>
    </w:p>
    <w:p w14:paraId="3BD9A88C" w14:textId="77777777" w:rsidR="006649A2" w:rsidRDefault="006649A2" w:rsidP="006649A2">
      <w:pPr>
        <w:ind w:left="567"/>
        <w:jc w:val="both"/>
        <w:rPr>
          <w:rFonts w:eastAsia="Calibri"/>
        </w:rPr>
      </w:pPr>
    </w:p>
    <w:p w14:paraId="2823CC24" w14:textId="6BB64DDB" w:rsidR="006649A2" w:rsidRPr="002333A9" w:rsidRDefault="006649A2" w:rsidP="00BC572D">
      <w:pPr>
        <w:jc w:val="both"/>
        <w:rPr>
          <w:bCs/>
          <w:color w:val="000000" w:themeColor="text1"/>
          <w:lang w:val="es-MX"/>
        </w:rPr>
      </w:pPr>
      <w:r w:rsidRPr="002333A9">
        <w:rPr>
          <w:bCs/>
          <w:color w:val="000000" w:themeColor="text1"/>
          <w:lang w:val="es-MX"/>
        </w:rPr>
        <w:t xml:space="preserve">Las obligaciones financieras por pagar incluyen el endeudamiento por </w:t>
      </w:r>
      <w:r w:rsidR="00A77EE7" w:rsidRPr="002333A9">
        <w:rPr>
          <w:bCs/>
          <w:color w:val="000000" w:themeColor="text1"/>
          <w:lang w:val="es-MX"/>
        </w:rPr>
        <w:t>préstamos</w:t>
      </w:r>
      <w:r w:rsidRPr="002333A9">
        <w:rPr>
          <w:bCs/>
          <w:color w:val="000000" w:themeColor="text1"/>
          <w:lang w:val="es-MX"/>
        </w:rPr>
        <w:t xml:space="preserve"> por pagar tanto en el corto como en el largo plazo, </w:t>
      </w:r>
      <w:r w:rsidR="00A77EE7" w:rsidRPr="002333A9">
        <w:rPr>
          <w:bCs/>
          <w:color w:val="000000" w:themeColor="text1"/>
          <w:lang w:val="es-MX"/>
        </w:rPr>
        <w:t>además</w:t>
      </w:r>
      <w:r w:rsidRPr="002333A9">
        <w:rPr>
          <w:bCs/>
          <w:color w:val="000000" w:themeColor="text1"/>
          <w:lang w:val="es-MX"/>
        </w:rPr>
        <w:t xml:space="preserve"> las otras obligaciones financieras como cuentas por pagar, documentos y efectos a pagar y fondos de terceros. </w:t>
      </w:r>
    </w:p>
    <w:p w14:paraId="64AE6CC6" w14:textId="77777777" w:rsidR="003C6336" w:rsidRDefault="003C6336" w:rsidP="00BC572D">
      <w:pPr>
        <w:jc w:val="both"/>
        <w:rPr>
          <w:bCs/>
          <w:color w:val="000000" w:themeColor="text1"/>
          <w:lang w:val="es-MX"/>
        </w:rPr>
      </w:pPr>
    </w:p>
    <w:p w14:paraId="49B09294" w14:textId="48544A2D" w:rsidR="006649A2" w:rsidRPr="002333A9" w:rsidRDefault="006649A2" w:rsidP="00BC572D">
      <w:pPr>
        <w:jc w:val="both"/>
        <w:rPr>
          <w:bCs/>
          <w:color w:val="000000" w:themeColor="text1"/>
          <w:lang w:val="es-MX"/>
        </w:rPr>
      </w:pPr>
      <w:r w:rsidRPr="002333A9">
        <w:rPr>
          <w:bCs/>
          <w:color w:val="000000" w:themeColor="text1"/>
          <w:lang w:val="es-MX"/>
        </w:rPr>
        <w:t xml:space="preserve">Para el año 2021 las Empresas Nacionales disminuyeron sus obligaciones Financieras, siendo estas de 24.3% respecto a sus ingresos totales, esto es reducción de 1.8 puntos porcentuales respecto al 26.1% observado en el año previo. La mayor obligación se encuentra en su endeudamiento (préstamos) el cual equivale a 19.1% de sus ingresos totales y sus otras obligaciones son equivalentes al 5.0% de los ingresos totales del grupo institucional. </w:t>
      </w:r>
    </w:p>
    <w:p w14:paraId="15F4264A" w14:textId="77777777" w:rsidR="006649A2" w:rsidRPr="002333A9" w:rsidRDefault="006649A2" w:rsidP="00BC572D">
      <w:pPr>
        <w:jc w:val="both"/>
        <w:rPr>
          <w:bCs/>
          <w:color w:val="000000" w:themeColor="text1"/>
          <w:lang w:val="es-MX"/>
        </w:rPr>
      </w:pPr>
    </w:p>
    <w:p w14:paraId="526DA3AC" w14:textId="1C38FB31" w:rsidR="006649A2" w:rsidRPr="00BC572D" w:rsidRDefault="006649A2" w:rsidP="00BC572D">
      <w:pPr>
        <w:jc w:val="both"/>
        <w:rPr>
          <w:bCs/>
          <w:color w:val="000000" w:themeColor="text1"/>
          <w:lang w:val="es-MX"/>
        </w:rPr>
      </w:pPr>
      <w:r w:rsidRPr="002333A9">
        <w:rPr>
          <w:bCs/>
          <w:color w:val="000000" w:themeColor="text1"/>
          <w:lang w:val="es-MX"/>
        </w:rPr>
        <w:t xml:space="preserve">Por su parte, las empresas municipales poseen una obligación financiera superior al valor total de sus ingresos, </w:t>
      </w:r>
      <w:r w:rsidR="00DD4B48">
        <w:rPr>
          <w:bCs/>
          <w:color w:val="000000" w:themeColor="text1"/>
          <w:lang w:val="es-MX"/>
        </w:rPr>
        <w:t>situándose en</w:t>
      </w:r>
      <w:r w:rsidRPr="002333A9">
        <w:rPr>
          <w:bCs/>
          <w:color w:val="000000" w:themeColor="text1"/>
          <w:lang w:val="es-MX"/>
        </w:rPr>
        <w:t xml:space="preserve"> 2021 </w:t>
      </w:r>
      <w:r w:rsidR="00DD4B48">
        <w:rPr>
          <w:bCs/>
          <w:color w:val="000000" w:themeColor="text1"/>
          <w:lang w:val="es-MX"/>
        </w:rPr>
        <w:t>en</w:t>
      </w:r>
      <w:r w:rsidRPr="002333A9">
        <w:rPr>
          <w:bCs/>
          <w:color w:val="000000" w:themeColor="text1"/>
          <w:lang w:val="es-MX"/>
        </w:rPr>
        <w:t xml:space="preserve"> 121.0% de sus ingresos como grupo institucional. La mayor obligación de deuda se encuentra en las otras obligaciones financieras, las cuales equivalen al 109.2% de los ingresos totales y cabe mencionar que la entidad que tiene la mayor obligación es EMPAGUA, que para dicho año ascienden a Q769.42 millones (Q134.19 millones por endeudamiento y Q635.23 millones por otras obligaciones) y este monto representa el 55% del total de todas las obligaciones del grupo institucional.</w:t>
      </w:r>
    </w:p>
    <w:p w14:paraId="532CDF91" w14:textId="77777777" w:rsidR="006649A2" w:rsidRDefault="006649A2" w:rsidP="006649A2">
      <w:pPr>
        <w:spacing w:line="259" w:lineRule="auto"/>
        <w:ind w:left="567"/>
        <w:jc w:val="both"/>
        <w:rPr>
          <w:rFonts w:eastAsia="Calibri"/>
          <w:noProof/>
          <w:szCs w:val="22"/>
        </w:rPr>
      </w:pPr>
    </w:p>
    <w:p w14:paraId="7B898E98" w14:textId="28803F28" w:rsidR="006649A2" w:rsidRPr="00A77EE7" w:rsidRDefault="00A77EE7" w:rsidP="00A77EE7">
      <w:pPr>
        <w:pStyle w:val="Descripcin"/>
        <w:keepNext/>
        <w:rPr>
          <w:color w:val="auto"/>
        </w:rPr>
      </w:pPr>
      <w:bookmarkStart w:id="218" w:name="_Toc114493898"/>
      <w:r w:rsidRPr="00A77EE7">
        <w:rPr>
          <w:color w:val="auto"/>
        </w:rPr>
        <w:t xml:space="preserve">Gráfico </w:t>
      </w:r>
      <w:r w:rsidRPr="00A77EE7">
        <w:rPr>
          <w:color w:val="auto"/>
        </w:rPr>
        <w:fldChar w:fldCharType="begin"/>
      </w:r>
      <w:r w:rsidRPr="00A77EE7">
        <w:rPr>
          <w:color w:val="auto"/>
        </w:rPr>
        <w:instrText xml:space="preserve"> SEQ Gráfico \* ARABIC </w:instrText>
      </w:r>
      <w:r w:rsidRPr="00A77EE7">
        <w:rPr>
          <w:color w:val="auto"/>
        </w:rPr>
        <w:fldChar w:fldCharType="separate"/>
      </w:r>
      <w:r w:rsidR="002E7809">
        <w:rPr>
          <w:noProof/>
          <w:color w:val="auto"/>
        </w:rPr>
        <w:t>56</w:t>
      </w:r>
      <w:r w:rsidRPr="00A77EE7">
        <w:rPr>
          <w:color w:val="auto"/>
        </w:rPr>
        <w:fldChar w:fldCharType="end"/>
      </w:r>
      <w:r w:rsidRPr="00A77EE7">
        <w:rPr>
          <w:color w:val="auto"/>
        </w:rPr>
        <w:t xml:space="preserve">.  </w:t>
      </w:r>
      <w:r w:rsidR="006649A2" w:rsidRPr="00A77EE7">
        <w:rPr>
          <w:bCs/>
          <w:color w:val="auto"/>
          <w:lang w:val="es-MX"/>
        </w:rPr>
        <w:t>Obligaciones financieras de las Empresas Públicas</w:t>
      </w:r>
      <w:bookmarkEnd w:id="218"/>
      <w:r w:rsidR="006649A2" w:rsidRPr="00A77EE7">
        <w:rPr>
          <w:bCs/>
          <w:color w:val="auto"/>
          <w:lang w:val="es-MX"/>
        </w:rPr>
        <w:t xml:space="preserve"> </w:t>
      </w:r>
    </w:p>
    <w:p w14:paraId="67306403" w14:textId="77777777" w:rsidR="006649A2" w:rsidRPr="00BB4A07" w:rsidRDefault="006649A2" w:rsidP="006649A2">
      <w:pPr>
        <w:pStyle w:val="Sinespaciado"/>
        <w:ind w:left="785" w:right="49"/>
        <w:jc w:val="center"/>
        <w:rPr>
          <w:b/>
          <w:bCs/>
          <w:lang w:val="es-MX"/>
        </w:rPr>
      </w:pPr>
      <w:r>
        <w:rPr>
          <w:b/>
          <w:bCs/>
          <w:lang w:val="es-MX"/>
        </w:rPr>
        <w:t>No Financieras</w:t>
      </w:r>
    </w:p>
    <w:p w14:paraId="4679BE9A" w14:textId="77777777" w:rsidR="006649A2" w:rsidRPr="00BB5E60" w:rsidRDefault="006649A2" w:rsidP="006649A2">
      <w:pPr>
        <w:jc w:val="center"/>
        <w:rPr>
          <w:sz w:val="22"/>
        </w:rPr>
      </w:pPr>
      <w:r w:rsidRPr="00BB5E60">
        <w:rPr>
          <w:sz w:val="22"/>
        </w:rPr>
        <w:t>Como porcentaje de sus ingresos totales</w:t>
      </w:r>
    </w:p>
    <w:tbl>
      <w:tblPr>
        <w:tblStyle w:val="Tablaconcuadrcula"/>
        <w:tblW w:w="9686"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43"/>
        <w:gridCol w:w="4843"/>
      </w:tblGrid>
      <w:tr w:rsidR="006649A2" w14:paraId="227D608C" w14:textId="77777777" w:rsidTr="001A37CA">
        <w:trPr>
          <w:trHeight w:val="3784"/>
          <w:jc w:val="center"/>
        </w:trPr>
        <w:tc>
          <w:tcPr>
            <w:tcW w:w="4843" w:type="dxa"/>
          </w:tcPr>
          <w:p w14:paraId="4791E8EB" w14:textId="77777777" w:rsidR="006649A2" w:rsidRDefault="006649A2" w:rsidP="00021A28">
            <w:pPr>
              <w:autoSpaceDE w:val="0"/>
              <w:autoSpaceDN w:val="0"/>
              <w:adjustRightInd w:val="0"/>
              <w:rPr>
                <w:rFonts w:eastAsia="Calibri"/>
                <w:sz w:val="24"/>
                <w:lang w:eastAsia="en-US"/>
              </w:rPr>
            </w:pPr>
            <w:r>
              <w:rPr>
                <w:rFonts w:eastAsia="Calibri"/>
                <w:noProof/>
              </w:rPr>
              <w:drawing>
                <wp:inline distT="0" distB="0" distL="0" distR="0" wp14:anchorId="4189CDCA" wp14:editId="7584B325">
                  <wp:extent cx="2926080" cy="2346385"/>
                  <wp:effectExtent l="0" t="0" r="762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843" w:type="dxa"/>
          </w:tcPr>
          <w:p w14:paraId="43A16A72" w14:textId="77777777" w:rsidR="006649A2" w:rsidRDefault="006649A2" w:rsidP="001A37CA">
            <w:pPr>
              <w:autoSpaceDE w:val="0"/>
              <w:autoSpaceDN w:val="0"/>
              <w:adjustRightInd w:val="0"/>
              <w:jc w:val="both"/>
              <w:rPr>
                <w:rFonts w:eastAsia="Calibri"/>
                <w:sz w:val="24"/>
                <w:lang w:eastAsia="en-US"/>
              </w:rPr>
            </w:pPr>
            <w:r>
              <w:rPr>
                <w:rFonts w:eastAsia="Calibri"/>
                <w:noProof/>
              </w:rPr>
              <w:drawing>
                <wp:inline distT="0" distB="0" distL="0" distR="0" wp14:anchorId="05A80B97" wp14:editId="6104CC26">
                  <wp:extent cx="2926080" cy="2346325"/>
                  <wp:effectExtent l="0" t="0" r="762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3EED9920" w14:textId="77777777" w:rsidR="006649A2" w:rsidRPr="004C5FE3" w:rsidRDefault="006649A2" w:rsidP="006649A2">
      <w:pPr>
        <w:ind w:left="567"/>
        <w:rPr>
          <w:rFonts w:eastAsia="Calibri"/>
          <w:sz w:val="16"/>
        </w:rPr>
      </w:pPr>
      <w:r w:rsidRPr="004C5FE3">
        <w:rPr>
          <w:rFonts w:eastAsia="Calibri"/>
          <w:sz w:val="16"/>
        </w:rPr>
        <w:t>Fuente: Sicoin</w:t>
      </w:r>
    </w:p>
    <w:p w14:paraId="3C18384B" w14:textId="77777777" w:rsidR="006649A2" w:rsidRDefault="006649A2" w:rsidP="006649A2">
      <w:pPr>
        <w:spacing w:line="259" w:lineRule="auto"/>
        <w:ind w:left="567"/>
        <w:jc w:val="both"/>
        <w:rPr>
          <w:rFonts w:eastAsia="Calibri"/>
          <w:noProof/>
          <w:szCs w:val="22"/>
        </w:rPr>
      </w:pPr>
    </w:p>
    <w:p w14:paraId="08345CA8" w14:textId="28510E7B" w:rsidR="006649A2" w:rsidRPr="00BC572D" w:rsidRDefault="006649A2" w:rsidP="00BC572D">
      <w:pPr>
        <w:jc w:val="both"/>
        <w:rPr>
          <w:bCs/>
          <w:color w:val="000000" w:themeColor="text1"/>
          <w:lang w:val="es-MX"/>
        </w:rPr>
      </w:pPr>
      <w:r w:rsidRPr="00BC572D">
        <w:rPr>
          <w:bCs/>
          <w:color w:val="000000" w:themeColor="text1"/>
          <w:lang w:val="es-MX"/>
        </w:rPr>
        <w:t>En el caso de las empresas públicas, el principal riesgo fiscal proviene de las obligaciones que se encuentran garantizadas explícitamente, de acuerdo al Sistema de Administración de la Deuda Pública Externa -SINADEP- a 2022</w:t>
      </w:r>
      <w:r w:rsidR="00EB7F91">
        <w:rPr>
          <w:bCs/>
          <w:color w:val="000000" w:themeColor="text1"/>
          <w:lang w:val="es-MX"/>
        </w:rPr>
        <w:t>,</w:t>
      </w:r>
      <w:r w:rsidRPr="00BC572D">
        <w:rPr>
          <w:bCs/>
          <w:color w:val="000000" w:themeColor="text1"/>
          <w:lang w:val="es-MX"/>
        </w:rPr>
        <w:t xml:space="preserve"> se tienen saldos de préstamos a estas entidades por un monto de</w:t>
      </w:r>
      <w:r w:rsidR="00012579">
        <w:rPr>
          <w:bCs/>
          <w:color w:val="000000" w:themeColor="text1"/>
          <w:lang w:val="es-MX"/>
        </w:rPr>
        <w:t xml:space="preserve"> </w:t>
      </w:r>
      <w:r w:rsidR="004D7D3E">
        <w:rPr>
          <w:bCs/>
          <w:color w:val="000000" w:themeColor="text1"/>
          <w:lang w:val="es-MX"/>
        </w:rPr>
        <w:t xml:space="preserve">US$ </w:t>
      </w:r>
      <w:r w:rsidRPr="00BC572D">
        <w:rPr>
          <w:bCs/>
          <w:color w:val="000000" w:themeColor="text1"/>
          <w:lang w:val="es-MX"/>
        </w:rPr>
        <w:t>2</w:t>
      </w:r>
      <w:r w:rsidR="004D7D3E">
        <w:rPr>
          <w:bCs/>
          <w:color w:val="000000" w:themeColor="text1"/>
          <w:lang w:val="es-MX"/>
        </w:rPr>
        <w:t>4</w:t>
      </w:r>
      <w:r w:rsidRPr="00BC572D">
        <w:rPr>
          <w:bCs/>
          <w:color w:val="000000" w:themeColor="text1"/>
          <w:lang w:val="es-MX"/>
        </w:rPr>
        <w:t>.</w:t>
      </w:r>
      <w:r w:rsidR="004D7D3E">
        <w:rPr>
          <w:bCs/>
          <w:color w:val="000000" w:themeColor="text1"/>
          <w:lang w:val="es-MX"/>
        </w:rPr>
        <w:t>0</w:t>
      </w:r>
      <w:r w:rsidRPr="00BC572D">
        <w:rPr>
          <w:bCs/>
          <w:color w:val="000000" w:themeColor="text1"/>
          <w:lang w:val="es-MX"/>
        </w:rPr>
        <w:t xml:space="preserve"> millones,</w:t>
      </w:r>
      <w:r w:rsidR="00436562">
        <w:rPr>
          <w:bCs/>
          <w:color w:val="000000" w:themeColor="text1"/>
          <w:lang w:val="es-MX"/>
        </w:rPr>
        <w:t xml:space="preserve"> que corresponden en su totalidad al INDE,</w:t>
      </w:r>
      <w:r w:rsidRPr="00BC572D">
        <w:rPr>
          <w:bCs/>
          <w:color w:val="000000" w:themeColor="text1"/>
          <w:lang w:val="es-MX"/>
        </w:rPr>
        <w:t xml:space="preserve"> los cuales cuentan con la garantía del gobierno central.  A este respecto, es importante indicar que dicho saldo representa el 0.</w:t>
      </w:r>
      <w:r w:rsidR="004D7D3E">
        <w:rPr>
          <w:bCs/>
          <w:color w:val="000000" w:themeColor="text1"/>
          <w:lang w:val="es-MX"/>
        </w:rPr>
        <w:t>03</w:t>
      </w:r>
      <w:r w:rsidRPr="00BC572D">
        <w:rPr>
          <w:bCs/>
          <w:color w:val="000000" w:themeColor="text1"/>
          <w:lang w:val="es-MX"/>
        </w:rPr>
        <w:t xml:space="preserve">% del PIB y el </w:t>
      </w:r>
      <w:r w:rsidR="004D7D3E">
        <w:rPr>
          <w:bCs/>
          <w:color w:val="000000" w:themeColor="text1"/>
          <w:lang w:val="es-MX"/>
        </w:rPr>
        <w:t>0</w:t>
      </w:r>
      <w:r w:rsidRPr="00BC572D">
        <w:rPr>
          <w:bCs/>
          <w:color w:val="000000" w:themeColor="text1"/>
          <w:lang w:val="es-MX"/>
        </w:rPr>
        <w:t xml:space="preserve">.2% de los ingresos fiscales del gobierno estimados para dicho año. </w:t>
      </w:r>
    </w:p>
    <w:p w14:paraId="61C98526" w14:textId="1892F8D5" w:rsidR="006649A2" w:rsidRPr="00A77EE7" w:rsidRDefault="00A77EE7" w:rsidP="00A77EE7">
      <w:pPr>
        <w:pStyle w:val="Descripcin"/>
        <w:keepNext/>
      </w:pPr>
      <w:bookmarkStart w:id="219" w:name="_Toc114493935"/>
      <w:r w:rsidRPr="00A77EE7">
        <w:rPr>
          <w:color w:val="auto"/>
        </w:rPr>
        <w:t xml:space="preserve">Tabla </w:t>
      </w:r>
      <w:r w:rsidRPr="00A77EE7">
        <w:rPr>
          <w:color w:val="auto"/>
        </w:rPr>
        <w:fldChar w:fldCharType="begin"/>
      </w:r>
      <w:r w:rsidRPr="00A77EE7">
        <w:rPr>
          <w:color w:val="auto"/>
        </w:rPr>
        <w:instrText xml:space="preserve"> SEQ Tabla \* ARABIC </w:instrText>
      </w:r>
      <w:r w:rsidRPr="00A77EE7">
        <w:rPr>
          <w:color w:val="auto"/>
        </w:rPr>
        <w:fldChar w:fldCharType="separate"/>
      </w:r>
      <w:r w:rsidR="002E7809">
        <w:rPr>
          <w:noProof/>
          <w:color w:val="auto"/>
        </w:rPr>
        <w:t>12</w:t>
      </w:r>
      <w:r w:rsidRPr="00A77EE7">
        <w:rPr>
          <w:color w:val="auto"/>
        </w:rPr>
        <w:fldChar w:fldCharType="end"/>
      </w:r>
      <w:r w:rsidRPr="00A77EE7">
        <w:rPr>
          <w:color w:val="auto"/>
        </w:rPr>
        <w:t xml:space="preserve">.  </w:t>
      </w:r>
      <w:r w:rsidR="006649A2" w:rsidRPr="00A77EE7">
        <w:rPr>
          <w:rFonts w:eastAsia="Calibri"/>
          <w:bCs/>
          <w:noProof/>
          <w:color w:val="auto"/>
          <w:szCs w:val="22"/>
        </w:rPr>
        <w:t>Préstamos Garantizados por el Gobierno</w:t>
      </w:r>
      <w:bookmarkEnd w:id="219"/>
    </w:p>
    <w:p w14:paraId="0B05E4E4" w14:textId="06694CA2" w:rsidR="006649A2" w:rsidRDefault="006649A2" w:rsidP="006649A2">
      <w:pPr>
        <w:spacing w:line="259" w:lineRule="auto"/>
        <w:ind w:left="567"/>
        <w:jc w:val="center"/>
        <w:rPr>
          <w:rFonts w:eastAsia="Calibri"/>
          <w:noProof/>
          <w:szCs w:val="22"/>
        </w:rPr>
      </w:pPr>
      <w:r>
        <w:rPr>
          <w:rFonts w:eastAsia="Calibri"/>
          <w:noProof/>
          <w:szCs w:val="22"/>
        </w:rPr>
        <w:t>Cifra</w:t>
      </w:r>
      <w:r w:rsidRPr="00BC673C">
        <w:rPr>
          <w:rFonts w:eastAsia="Calibri"/>
          <w:noProof/>
          <w:szCs w:val="22"/>
        </w:rPr>
        <w:t>s</w:t>
      </w:r>
      <w:r>
        <w:rPr>
          <w:rFonts w:eastAsia="Calibri"/>
          <w:noProof/>
          <w:szCs w:val="22"/>
        </w:rPr>
        <w:t xml:space="preserve"> en millones de </w:t>
      </w:r>
      <w:r w:rsidR="00051C9B">
        <w:rPr>
          <w:rFonts w:eastAsia="Calibri"/>
          <w:noProof/>
          <w:szCs w:val="22"/>
        </w:rPr>
        <w:t>US$ Dólares</w:t>
      </w:r>
    </w:p>
    <w:tbl>
      <w:tblPr>
        <w:tblW w:w="8659" w:type="dxa"/>
        <w:jc w:val="center"/>
        <w:tblCellMar>
          <w:left w:w="70" w:type="dxa"/>
          <w:right w:w="70" w:type="dxa"/>
        </w:tblCellMar>
        <w:tblLook w:val="04A0" w:firstRow="1" w:lastRow="0" w:firstColumn="1" w:lastColumn="0" w:noHBand="0" w:noVBand="1"/>
      </w:tblPr>
      <w:tblGrid>
        <w:gridCol w:w="3109"/>
        <w:gridCol w:w="750"/>
        <w:gridCol w:w="1200"/>
        <w:gridCol w:w="1200"/>
        <w:gridCol w:w="1200"/>
        <w:gridCol w:w="1200"/>
      </w:tblGrid>
      <w:tr w:rsidR="00051C9B" w14:paraId="069B858E" w14:textId="77777777" w:rsidTr="00EB7F91">
        <w:trPr>
          <w:trHeight w:val="315"/>
          <w:jc w:val="center"/>
        </w:trPr>
        <w:tc>
          <w:tcPr>
            <w:tcW w:w="3109" w:type="dxa"/>
            <w:tcBorders>
              <w:top w:val="single" w:sz="8" w:space="0" w:color="auto"/>
              <w:left w:val="single" w:sz="8" w:space="0" w:color="auto"/>
              <w:bottom w:val="single" w:sz="4" w:space="0" w:color="auto"/>
              <w:right w:val="nil"/>
            </w:tcBorders>
            <w:shd w:val="clear" w:color="auto" w:fill="1F3864" w:themeFill="accent1" w:themeFillShade="80"/>
          </w:tcPr>
          <w:p w14:paraId="1C75980A" w14:textId="4676576A" w:rsidR="00051C9B" w:rsidRPr="00B915B5" w:rsidRDefault="00051C9B" w:rsidP="00ED483A">
            <w:pPr>
              <w:jc w:val="center"/>
              <w:rPr>
                <w:b/>
                <w:bCs/>
                <w:color w:val="FFFFFF" w:themeColor="background1"/>
              </w:rPr>
            </w:pPr>
            <w:r>
              <w:rPr>
                <w:b/>
                <w:bCs/>
                <w:color w:val="FFFFFF" w:themeColor="background1"/>
              </w:rPr>
              <w:t>Descripción</w:t>
            </w:r>
          </w:p>
        </w:tc>
        <w:tc>
          <w:tcPr>
            <w:tcW w:w="750" w:type="dxa"/>
            <w:tcBorders>
              <w:top w:val="single" w:sz="8" w:space="0" w:color="auto"/>
              <w:left w:val="single" w:sz="8" w:space="0" w:color="auto"/>
              <w:bottom w:val="single" w:sz="4" w:space="0" w:color="auto"/>
              <w:right w:val="nil"/>
            </w:tcBorders>
            <w:shd w:val="clear" w:color="auto" w:fill="1F3864" w:themeFill="accent1" w:themeFillShade="80"/>
            <w:noWrap/>
            <w:vAlign w:val="bottom"/>
            <w:hideMark/>
          </w:tcPr>
          <w:p w14:paraId="7C2AA962" w14:textId="2C56E400" w:rsidR="00051C9B" w:rsidRPr="00B915B5" w:rsidRDefault="00051C9B" w:rsidP="00ED483A">
            <w:pPr>
              <w:jc w:val="center"/>
              <w:rPr>
                <w:b/>
                <w:bCs/>
                <w:color w:val="FFFFFF" w:themeColor="background1"/>
              </w:rPr>
            </w:pPr>
            <w:r w:rsidRPr="00B915B5">
              <w:rPr>
                <w:b/>
                <w:bCs/>
                <w:color w:val="FFFFFF" w:themeColor="background1"/>
              </w:rPr>
              <w:t>2018</w:t>
            </w:r>
          </w:p>
        </w:tc>
        <w:tc>
          <w:tcPr>
            <w:tcW w:w="1200" w:type="dxa"/>
            <w:tcBorders>
              <w:top w:val="single" w:sz="8" w:space="0" w:color="auto"/>
              <w:left w:val="nil"/>
              <w:bottom w:val="single" w:sz="4" w:space="0" w:color="auto"/>
              <w:right w:val="nil"/>
            </w:tcBorders>
            <w:shd w:val="clear" w:color="auto" w:fill="1F3864" w:themeFill="accent1" w:themeFillShade="80"/>
            <w:noWrap/>
            <w:vAlign w:val="bottom"/>
            <w:hideMark/>
          </w:tcPr>
          <w:p w14:paraId="0BB11B67" w14:textId="77777777" w:rsidR="00051C9B" w:rsidRPr="00B915B5" w:rsidRDefault="00051C9B" w:rsidP="00ED483A">
            <w:pPr>
              <w:jc w:val="center"/>
              <w:rPr>
                <w:b/>
                <w:bCs/>
                <w:color w:val="FFFFFF" w:themeColor="background1"/>
              </w:rPr>
            </w:pPr>
            <w:r w:rsidRPr="00B915B5">
              <w:rPr>
                <w:b/>
                <w:bCs/>
                <w:color w:val="FFFFFF" w:themeColor="background1"/>
              </w:rPr>
              <w:t>2019</w:t>
            </w:r>
          </w:p>
        </w:tc>
        <w:tc>
          <w:tcPr>
            <w:tcW w:w="1200" w:type="dxa"/>
            <w:tcBorders>
              <w:top w:val="single" w:sz="8" w:space="0" w:color="auto"/>
              <w:left w:val="nil"/>
              <w:bottom w:val="single" w:sz="4" w:space="0" w:color="auto"/>
              <w:right w:val="nil"/>
            </w:tcBorders>
            <w:shd w:val="clear" w:color="auto" w:fill="1F3864" w:themeFill="accent1" w:themeFillShade="80"/>
            <w:noWrap/>
            <w:vAlign w:val="bottom"/>
            <w:hideMark/>
          </w:tcPr>
          <w:p w14:paraId="2474E934" w14:textId="77777777" w:rsidR="00051C9B" w:rsidRPr="00B915B5" w:rsidRDefault="00051C9B" w:rsidP="00ED483A">
            <w:pPr>
              <w:jc w:val="center"/>
              <w:rPr>
                <w:b/>
                <w:bCs/>
                <w:color w:val="FFFFFF" w:themeColor="background1"/>
              </w:rPr>
            </w:pPr>
            <w:r w:rsidRPr="00B915B5">
              <w:rPr>
                <w:b/>
                <w:bCs/>
                <w:color w:val="FFFFFF" w:themeColor="background1"/>
              </w:rPr>
              <w:t>2020</w:t>
            </w:r>
          </w:p>
        </w:tc>
        <w:tc>
          <w:tcPr>
            <w:tcW w:w="1200" w:type="dxa"/>
            <w:tcBorders>
              <w:top w:val="single" w:sz="8" w:space="0" w:color="auto"/>
              <w:left w:val="nil"/>
              <w:bottom w:val="single" w:sz="4" w:space="0" w:color="auto"/>
              <w:right w:val="nil"/>
            </w:tcBorders>
            <w:shd w:val="clear" w:color="auto" w:fill="1F3864" w:themeFill="accent1" w:themeFillShade="80"/>
            <w:noWrap/>
            <w:vAlign w:val="bottom"/>
            <w:hideMark/>
          </w:tcPr>
          <w:p w14:paraId="34233EDE" w14:textId="77777777" w:rsidR="00051C9B" w:rsidRPr="00B915B5" w:rsidRDefault="00051C9B" w:rsidP="00ED483A">
            <w:pPr>
              <w:jc w:val="center"/>
              <w:rPr>
                <w:b/>
                <w:bCs/>
                <w:color w:val="FFFFFF" w:themeColor="background1"/>
              </w:rPr>
            </w:pPr>
            <w:r w:rsidRPr="00B915B5">
              <w:rPr>
                <w:b/>
                <w:bCs/>
                <w:color w:val="FFFFFF" w:themeColor="background1"/>
              </w:rPr>
              <w:t>2021</w:t>
            </w:r>
          </w:p>
        </w:tc>
        <w:tc>
          <w:tcPr>
            <w:tcW w:w="1200" w:type="dxa"/>
            <w:tcBorders>
              <w:top w:val="single" w:sz="8" w:space="0" w:color="auto"/>
              <w:left w:val="nil"/>
              <w:bottom w:val="single" w:sz="4" w:space="0" w:color="auto"/>
              <w:right w:val="single" w:sz="8" w:space="0" w:color="auto"/>
            </w:tcBorders>
            <w:shd w:val="clear" w:color="auto" w:fill="1F3864" w:themeFill="accent1" w:themeFillShade="80"/>
            <w:noWrap/>
            <w:vAlign w:val="bottom"/>
            <w:hideMark/>
          </w:tcPr>
          <w:p w14:paraId="472F8F5C" w14:textId="4C1BD86A" w:rsidR="00051C9B" w:rsidRPr="00B915B5" w:rsidRDefault="00051C9B" w:rsidP="00ED483A">
            <w:pPr>
              <w:jc w:val="center"/>
              <w:rPr>
                <w:b/>
                <w:bCs/>
                <w:color w:val="FFFFFF" w:themeColor="background1"/>
              </w:rPr>
            </w:pPr>
            <w:r w:rsidRPr="00B915B5">
              <w:rPr>
                <w:b/>
                <w:bCs/>
                <w:color w:val="FFFFFF" w:themeColor="background1"/>
              </w:rPr>
              <w:t>2022</w:t>
            </w:r>
            <w:r>
              <w:rPr>
                <w:b/>
                <w:bCs/>
                <w:color w:val="FFFFFF" w:themeColor="background1"/>
              </w:rPr>
              <w:t>*</w:t>
            </w:r>
          </w:p>
        </w:tc>
      </w:tr>
      <w:tr w:rsidR="00051C9B" w14:paraId="7AB10EA4" w14:textId="77777777" w:rsidTr="00EB7F91">
        <w:trPr>
          <w:trHeight w:val="330"/>
          <w:jc w:val="center"/>
        </w:trPr>
        <w:tc>
          <w:tcPr>
            <w:tcW w:w="3109" w:type="dxa"/>
            <w:tcBorders>
              <w:top w:val="nil"/>
              <w:left w:val="single" w:sz="8" w:space="0" w:color="auto"/>
              <w:bottom w:val="single" w:sz="8" w:space="0" w:color="auto"/>
              <w:right w:val="nil"/>
            </w:tcBorders>
            <w:vAlign w:val="center"/>
          </w:tcPr>
          <w:p w14:paraId="1BF06781" w14:textId="71D929D7" w:rsidR="00051C9B" w:rsidRPr="00EB7F91" w:rsidRDefault="00051C9B" w:rsidP="00436562">
            <w:pPr>
              <w:rPr>
                <w:color w:val="000000"/>
                <w:sz w:val="22"/>
                <w:szCs w:val="22"/>
              </w:rPr>
            </w:pPr>
            <w:r w:rsidRPr="00EB7F91">
              <w:rPr>
                <w:color w:val="000000"/>
                <w:sz w:val="22"/>
                <w:szCs w:val="22"/>
              </w:rPr>
              <w:t>Monto del Préstamo</w:t>
            </w:r>
          </w:p>
        </w:tc>
        <w:tc>
          <w:tcPr>
            <w:tcW w:w="750" w:type="dxa"/>
            <w:tcBorders>
              <w:top w:val="nil"/>
              <w:left w:val="single" w:sz="8" w:space="0" w:color="auto"/>
              <w:bottom w:val="single" w:sz="8" w:space="0" w:color="auto"/>
              <w:right w:val="nil"/>
            </w:tcBorders>
            <w:shd w:val="clear" w:color="auto" w:fill="auto"/>
            <w:noWrap/>
            <w:vAlign w:val="bottom"/>
          </w:tcPr>
          <w:p w14:paraId="0BE0A596" w14:textId="66566869" w:rsidR="00051C9B" w:rsidRPr="00EB7F91" w:rsidRDefault="00051C9B" w:rsidP="00051C9B">
            <w:pPr>
              <w:jc w:val="center"/>
              <w:rPr>
                <w:color w:val="000000"/>
                <w:sz w:val="22"/>
                <w:szCs w:val="22"/>
              </w:rPr>
            </w:pPr>
            <w:r w:rsidRPr="00EB7F91">
              <w:rPr>
                <w:color w:val="000000"/>
                <w:sz w:val="22"/>
                <w:szCs w:val="22"/>
              </w:rPr>
              <w:t>177.9</w:t>
            </w:r>
          </w:p>
        </w:tc>
        <w:tc>
          <w:tcPr>
            <w:tcW w:w="1200" w:type="dxa"/>
            <w:tcBorders>
              <w:top w:val="nil"/>
              <w:left w:val="nil"/>
              <w:bottom w:val="single" w:sz="8" w:space="0" w:color="auto"/>
              <w:right w:val="nil"/>
            </w:tcBorders>
            <w:shd w:val="clear" w:color="auto" w:fill="auto"/>
            <w:noWrap/>
            <w:vAlign w:val="bottom"/>
          </w:tcPr>
          <w:p w14:paraId="443D2D48" w14:textId="1BD96642" w:rsidR="00051C9B" w:rsidRPr="00EB7F91" w:rsidRDefault="00051C9B" w:rsidP="00051C9B">
            <w:pPr>
              <w:jc w:val="center"/>
              <w:rPr>
                <w:color w:val="000000"/>
                <w:sz w:val="22"/>
                <w:szCs w:val="22"/>
              </w:rPr>
            </w:pPr>
            <w:r w:rsidRPr="00EB7F91">
              <w:rPr>
                <w:color w:val="000000"/>
                <w:sz w:val="22"/>
                <w:szCs w:val="22"/>
              </w:rPr>
              <w:t>141.9</w:t>
            </w:r>
          </w:p>
        </w:tc>
        <w:tc>
          <w:tcPr>
            <w:tcW w:w="1200" w:type="dxa"/>
            <w:tcBorders>
              <w:top w:val="nil"/>
              <w:left w:val="nil"/>
              <w:bottom w:val="single" w:sz="8" w:space="0" w:color="auto"/>
              <w:right w:val="nil"/>
            </w:tcBorders>
            <w:shd w:val="clear" w:color="auto" w:fill="auto"/>
            <w:noWrap/>
            <w:vAlign w:val="bottom"/>
          </w:tcPr>
          <w:p w14:paraId="79FEE910" w14:textId="7E34B6D5" w:rsidR="00051C9B" w:rsidRPr="00EB7F91" w:rsidRDefault="00051C9B" w:rsidP="00051C9B">
            <w:pPr>
              <w:jc w:val="center"/>
              <w:rPr>
                <w:color w:val="000000"/>
                <w:sz w:val="22"/>
                <w:szCs w:val="22"/>
              </w:rPr>
            </w:pPr>
            <w:r w:rsidRPr="00EB7F91">
              <w:rPr>
                <w:color w:val="000000"/>
                <w:sz w:val="22"/>
                <w:szCs w:val="22"/>
              </w:rPr>
              <w:t>145.1</w:t>
            </w:r>
          </w:p>
        </w:tc>
        <w:tc>
          <w:tcPr>
            <w:tcW w:w="1200" w:type="dxa"/>
            <w:tcBorders>
              <w:top w:val="nil"/>
              <w:left w:val="nil"/>
              <w:bottom w:val="single" w:sz="8" w:space="0" w:color="auto"/>
              <w:right w:val="nil"/>
            </w:tcBorders>
            <w:shd w:val="clear" w:color="auto" w:fill="auto"/>
            <w:noWrap/>
            <w:vAlign w:val="bottom"/>
          </w:tcPr>
          <w:p w14:paraId="433FF6B6" w14:textId="475706CF" w:rsidR="00051C9B" w:rsidRPr="00EB7F91" w:rsidRDefault="00051C9B" w:rsidP="00051C9B">
            <w:pPr>
              <w:jc w:val="center"/>
              <w:rPr>
                <w:color w:val="000000"/>
                <w:sz w:val="22"/>
                <w:szCs w:val="22"/>
              </w:rPr>
            </w:pPr>
            <w:r w:rsidRPr="00EB7F91">
              <w:rPr>
                <w:color w:val="000000"/>
                <w:sz w:val="22"/>
                <w:szCs w:val="22"/>
              </w:rPr>
              <w:t>139.5</w:t>
            </w:r>
          </w:p>
        </w:tc>
        <w:tc>
          <w:tcPr>
            <w:tcW w:w="1200" w:type="dxa"/>
            <w:tcBorders>
              <w:top w:val="nil"/>
              <w:left w:val="nil"/>
              <w:bottom w:val="single" w:sz="8" w:space="0" w:color="auto"/>
              <w:right w:val="single" w:sz="8" w:space="0" w:color="auto"/>
            </w:tcBorders>
            <w:shd w:val="clear" w:color="auto" w:fill="auto"/>
            <w:noWrap/>
            <w:vAlign w:val="bottom"/>
          </w:tcPr>
          <w:p w14:paraId="07E86D2D" w14:textId="70AD0FBC" w:rsidR="00051C9B" w:rsidRPr="00EB7F91" w:rsidRDefault="00051C9B" w:rsidP="00051C9B">
            <w:pPr>
              <w:jc w:val="center"/>
              <w:rPr>
                <w:color w:val="000000"/>
                <w:sz w:val="22"/>
                <w:szCs w:val="22"/>
              </w:rPr>
            </w:pPr>
            <w:r w:rsidRPr="00EB7F91">
              <w:rPr>
                <w:color w:val="000000"/>
                <w:sz w:val="22"/>
                <w:szCs w:val="22"/>
              </w:rPr>
              <w:t>132.6</w:t>
            </w:r>
          </w:p>
        </w:tc>
      </w:tr>
      <w:tr w:rsidR="00051C9B" w14:paraId="78D6C257" w14:textId="77777777" w:rsidTr="00436562">
        <w:trPr>
          <w:trHeight w:val="330"/>
          <w:jc w:val="center"/>
        </w:trPr>
        <w:tc>
          <w:tcPr>
            <w:tcW w:w="3109" w:type="dxa"/>
            <w:tcBorders>
              <w:top w:val="nil"/>
              <w:left w:val="single" w:sz="8" w:space="0" w:color="auto"/>
              <w:bottom w:val="nil"/>
              <w:right w:val="nil"/>
            </w:tcBorders>
            <w:vAlign w:val="center"/>
          </w:tcPr>
          <w:p w14:paraId="7AE3EBD8" w14:textId="419A72FC" w:rsidR="00051C9B" w:rsidRPr="00EB7F91" w:rsidRDefault="00051C9B" w:rsidP="00436562">
            <w:pPr>
              <w:rPr>
                <w:color w:val="000000"/>
                <w:sz w:val="22"/>
                <w:szCs w:val="22"/>
              </w:rPr>
            </w:pPr>
            <w:r w:rsidRPr="00EB7F91">
              <w:rPr>
                <w:color w:val="000000"/>
                <w:sz w:val="22"/>
                <w:szCs w:val="22"/>
              </w:rPr>
              <w:t xml:space="preserve">Saldo </w:t>
            </w:r>
            <w:r w:rsidR="00EB7F91">
              <w:rPr>
                <w:color w:val="000000"/>
                <w:sz w:val="22"/>
                <w:szCs w:val="22"/>
              </w:rPr>
              <w:t>p</w:t>
            </w:r>
            <w:r w:rsidRPr="00EB7F91">
              <w:rPr>
                <w:color w:val="000000"/>
                <w:sz w:val="22"/>
                <w:szCs w:val="22"/>
              </w:rPr>
              <w:t>endiente de amortizar</w:t>
            </w:r>
          </w:p>
        </w:tc>
        <w:tc>
          <w:tcPr>
            <w:tcW w:w="750" w:type="dxa"/>
            <w:tcBorders>
              <w:top w:val="nil"/>
              <w:left w:val="single" w:sz="8" w:space="0" w:color="auto"/>
              <w:bottom w:val="nil"/>
              <w:right w:val="nil"/>
            </w:tcBorders>
            <w:shd w:val="clear" w:color="auto" w:fill="auto"/>
            <w:noWrap/>
            <w:vAlign w:val="center"/>
            <w:hideMark/>
          </w:tcPr>
          <w:p w14:paraId="175F56DB" w14:textId="74F7DAC9" w:rsidR="00051C9B" w:rsidRPr="00EB7F91" w:rsidRDefault="00051C9B" w:rsidP="00051C9B">
            <w:pPr>
              <w:jc w:val="center"/>
              <w:rPr>
                <w:color w:val="000000"/>
                <w:sz w:val="22"/>
                <w:szCs w:val="22"/>
              </w:rPr>
            </w:pPr>
            <w:r w:rsidRPr="00EB7F91">
              <w:rPr>
                <w:color w:val="000000"/>
                <w:sz w:val="22"/>
                <w:szCs w:val="22"/>
              </w:rPr>
              <w:t>49.5</w:t>
            </w:r>
          </w:p>
        </w:tc>
        <w:tc>
          <w:tcPr>
            <w:tcW w:w="1200" w:type="dxa"/>
            <w:tcBorders>
              <w:top w:val="nil"/>
              <w:left w:val="nil"/>
              <w:bottom w:val="nil"/>
              <w:right w:val="nil"/>
            </w:tcBorders>
            <w:shd w:val="clear" w:color="auto" w:fill="auto"/>
            <w:noWrap/>
            <w:vAlign w:val="center"/>
            <w:hideMark/>
          </w:tcPr>
          <w:p w14:paraId="3F93C0DD" w14:textId="158216C0" w:rsidR="00051C9B" w:rsidRPr="00EB7F91" w:rsidRDefault="00051C9B" w:rsidP="00051C9B">
            <w:pPr>
              <w:jc w:val="center"/>
              <w:rPr>
                <w:color w:val="000000"/>
                <w:sz w:val="22"/>
                <w:szCs w:val="22"/>
              </w:rPr>
            </w:pPr>
            <w:r w:rsidRPr="00EB7F91">
              <w:rPr>
                <w:color w:val="000000"/>
                <w:sz w:val="22"/>
                <w:szCs w:val="22"/>
              </w:rPr>
              <w:t>42.4</w:t>
            </w:r>
          </w:p>
        </w:tc>
        <w:tc>
          <w:tcPr>
            <w:tcW w:w="1200" w:type="dxa"/>
            <w:tcBorders>
              <w:top w:val="nil"/>
              <w:left w:val="nil"/>
              <w:bottom w:val="nil"/>
              <w:right w:val="nil"/>
            </w:tcBorders>
            <w:shd w:val="clear" w:color="auto" w:fill="auto"/>
            <w:noWrap/>
            <w:vAlign w:val="center"/>
            <w:hideMark/>
          </w:tcPr>
          <w:p w14:paraId="225AA5B2" w14:textId="5DBD68CC" w:rsidR="00051C9B" w:rsidRPr="00EB7F91" w:rsidRDefault="00051C9B" w:rsidP="00051C9B">
            <w:pPr>
              <w:jc w:val="center"/>
              <w:rPr>
                <w:color w:val="000000"/>
                <w:sz w:val="22"/>
                <w:szCs w:val="22"/>
              </w:rPr>
            </w:pPr>
            <w:r w:rsidRPr="00EB7F91">
              <w:rPr>
                <w:color w:val="000000"/>
                <w:sz w:val="22"/>
                <w:szCs w:val="22"/>
              </w:rPr>
              <w:t>35.8</w:t>
            </w:r>
          </w:p>
        </w:tc>
        <w:tc>
          <w:tcPr>
            <w:tcW w:w="1200" w:type="dxa"/>
            <w:tcBorders>
              <w:top w:val="nil"/>
              <w:left w:val="nil"/>
              <w:bottom w:val="nil"/>
              <w:right w:val="nil"/>
            </w:tcBorders>
            <w:shd w:val="clear" w:color="auto" w:fill="auto"/>
            <w:noWrap/>
            <w:vAlign w:val="center"/>
            <w:hideMark/>
          </w:tcPr>
          <w:p w14:paraId="0A93551D" w14:textId="453CCE1C" w:rsidR="00051C9B" w:rsidRPr="00EB7F91" w:rsidRDefault="00051C9B" w:rsidP="00051C9B">
            <w:pPr>
              <w:jc w:val="center"/>
              <w:rPr>
                <w:color w:val="000000"/>
                <w:sz w:val="22"/>
                <w:szCs w:val="22"/>
              </w:rPr>
            </w:pPr>
            <w:r w:rsidRPr="00EB7F91">
              <w:rPr>
                <w:color w:val="000000"/>
                <w:sz w:val="22"/>
                <w:szCs w:val="22"/>
              </w:rPr>
              <w:t>28.0</w:t>
            </w:r>
          </w:p>
        </w:tc>
        <w:tc>
          <w:tcPr>
            <w:tcW w:w="1200" w:type="dxa"/>
            <w:tcBorders>
              <w:top w:val="nil"/>
              <w:left w:val="nil"/>
              <w:bottom w:val="nil"/>
              <w:right w:val="single" w:sz="8" w:space="0" w:color="auto"/>
            </w:tcBorders>
            <w:shd w:val="clear" w:color="auto" w:fill="auto"/>
            <w:noWrap/>
            <w:vAlign w:val="center"/>
            <w:hideMark/>
          </w:tcPr>
          <w:p w14:paraId="5134FCE5" w14:textId="50E64E7F" w:rsidR="00051C9B" w:rsidRPr="00EB7F91" w:rsidRDefault="00051C9B" w:rsidP="00051C9B">
            <w:pPr>
              <w:jc w:val="center"/>
              <w:rPr>
                <w:color w:val="000000"/>
                <w:sz w:val="22"/>
                <w:szCs w:val="22"/>
              </w:rPr>
            </w:pPr>
            <w:r w:rsidRPr="00EB7F91">
              <w:rPr>
                <w:color w:val="000000"/>
                <w:sz w:val="22"/>
                <w:szCs w:val="22"/>
              </w:rPr>
              <w:t>24.0</w:t>
            </w:r>
          </w:p>
        </w:tc>
      </w:tr>
      <w:tr w:rsidR="00436562" w14:paraId="0473BB12" w14:textId="77777777" w:rsidTr="00436562">
        <w:trPr>
          <w:trHeight w:val="330"/>
          <w:jc w:val="center"/>
        </w:trPr>
        <w:tc>
          <w:tcPr>
            <w:tcW w:w="3109" w:type="dxa"/>
            <w:tcBorders>
              <w:top w:val="nil"/>
              <w:left w:val="single" w:sz="8" w:space="0" w:color="auto"/>
              <w:bottom w:val="nil"/>
              <w:right w:val="nil"/>
            </w:tcBorders>
            <w:vAlign w:val="center"/>
          </w:tcPr>
          <w:p w14:paraId="758BABBA" w14:textId="6A97F1DE" w:rsidR="00436562" w:rsidRPr="00EB7F91" w:rsidRDefault="00436562" w:rsidP="00436562">
            <w:pPr>
              <w:ind w:left="708"/>
              <w:rPr>
                <w:color w:val="000000"/>
                <w:sz w:val="22"/>
                <w:szCs w:val="22"/>
              </w:rPr>
            </w:pPr>
            <w:r>
              <w:rPr>
                <w:color w:val="000000"/>
                <w:sz w:val="22"/>
                <w:szCs w:val="22"/>
              </w:rPr>
              <w:t>EMPAGUA</w:t>
            </w:r>
          </w:p>
        </w:tc>
        <w:tc>
          <w:tcPr>
            <w:tcW w:w="750" w:type="dxa"/>
            <w:tcBorders>
              <w:top w:val="nil"/>
              <w:left w:val="single" w:sz="8" w:space="0" w:color="auto"/>
              <w:bottom w:val="nil"/>
              <w:right w:val="nil"/>
            </w:tcBorders>
            <w:shd w:val="clear" w:color="auto" w:fill="auto"/>
            <w:noWrap/>
            <w:vAlign w:val="center"/>
          </w:tcPr>
          <w:p w14:paraId="0A47EC0B" w14:textId="637ED492" w:rsidR="00436562" w:rsidRPr="00EB7F91" w:rsidRDefault="00436562" w:rsidP="00051C9B">
            <w:pPr>
              <w:jc w:val="center"/>
              <w:rPr>
                <w:color w:val="000000"/>
                <w:sz w:val="22"/>
                <w:szCs w:val="22"/>
              </w:rPr>
            </w:pPr>
            <w:r>
              <w:rPr>
                <w:color w:val="000000"/>
                <w:sz w:val="22"/>
                <w:szCs w:val="22"/>
              </w:rPr>
              <w:t>6.9</w:t>
            </w:r>
          </w:p>
        </w:tc>
        <w:tc>
          <w:tcPr>
            <w:tcW w:w="1200" w:type="dxa"/>
            <w:tcBorders>
              <w:top w:val="nil"/>
              <w:left w:val="nil"/>
              <w:bottom w:val="nil"/>
              <w:right w:val="nil"/>
            </w:tcBorders>
            <w:shd w:val="clear" w:color="auto" w:fill="auto"/>
            <w:noWrap/>
            <w:vAlign w:val="center"/>
          </w:tcPr>
          <w:p w14:paraId="04372403" w14:textId="6621E1E3" w:rsidR="00436562" w:rsidRPr="00EB7F91" w:rsidRDefault="00436562" w:rsidP="00051C9B">
            <w:pPr>
              <w:jc w:val="center"/>
              <w:rPr>
                <w:color w:val="000000"/>
                <w:sz w:val="22"/>
                <w:szCs w:val="22"/>
              </w:rPr>
            </w:pPr>
            <w:r>
              <w:rPr>
                <w:color w:val="000000"/>
                <w:sz w:val="22"/>
                <w:szCs w:val="22"/>
              </w:rPr>
              <w:t>5.1</w:t>
            </w:r>
          </w:p>
        </w:tc>
        <w:tc>
          <w:tcPr>
            <w:tcW w:w="1200" w:type="dxa"/>
            <w:tcBorders>
              <w:top w:val="nil"/>
              <w:left w:val="nil"/>
              <w:bottom w:val="nil"/>
              <w:right w:val="nil"/>
            </w:tcBorders>
            <w:shd w:val="clear" w:color="auto" w:fill="auto"/>
            <w:noWrap/>
            <w:vAlign w:val="center"/>
          </w:tcPr>
          <w:p w14:paraId="526D3B8A" w14:textId="16C6D5BE" w:rsidR="00436562" w:rsidRPr="00EB7F91" w:rsidRDefault="00436562" w:rsidP="00051C9B">
            <w:pPr>
              <w:jc w:val="center"/>
              <w:rPr>
                <w:color w:val="000000"/>
                <w:sz w:val="22"/>
                <w:szCs w:val="22"/>
              </w:rPr>
            </w:pPr>
            <w:r>
              <w:rPr>
                <w:color w:val="000000"/>
                <w:sz w:val="22"/>
                <w:szCs w:val="22"/>
              </w:rPr>
              <w:t>3.2</w:t>
            </w:r>
          </w:p>
        </w:tc>
        <w:tc>
          <w:tcPr>
            <w:tcW w:w="1200" w:type="dxa"/>
            <w:tcBorders>
              <w:top w:val="nil"/>
              <w:left w:val="nil"/>
              <w:bottom w:val="nil"/>
              <w:right w:val="nil"/>
            </w:tcBorders>
            <w:shd w:val="clear" w:color="auto" w:fill="auto"/>
            <w:noWrap/>
            <w:vAlign w:val="center"/>
          </w:tcPr>
          <w:p w14:paraId="4391FCAB" w14:textId="2945D56C" w:rsidR="00436562" w:rsidRPr="00EB7F91" w:rsidRDefault="00436562" w:rsidP="00051C9B">
            <w:pPr>
              <w:jc w:val="center"/>
              <w:rPr>
                <w:color w:val="000000"/>
                <w:sz w:val="22"/>
                <w:szCs w:val="22"/>
              </w:rPr>
            </w:pPr>
            <w:r>
              <w:rPr>
                <w:color w:val="000000"/>
                <w:sz w:val="22"/>
                <w:szCs w:val="22"/>
              </w:rPr>
              <w:t>0.9</w:t>
            </w:r>
          </w:p>
        </w:tc>
        <w:tc>
          <w:tcPr>
            <w:tcW w:w="1200" w:type="dxa"/>
            <w:tcBorders>
              <w:top w:val="nil"/>
              <w:left w:val="nil"/>
              <w:bottom w:val="nil"/>
              <w:right w:val="single" w:sz="8" w:space="0" w:color="auto"/>
            </w:tcBorders>
            <w:shd w:val="clear" w:color="auto" w:fill="auto"/>
            <w:noWrap/>
            <w:vAlign w:val="center"/>
          </w:tcPr>
          <w:p w14:paraId="5296F64D" w14:textId="27C2DD66" w:rsidR="00436562" w:rsidRPr="00EB7F91" w:rsidRDefault="00436562" w:rsidP="00051C9B">
            <w:pPr>
              <w:jc w:val="center"/>
              <w:rPr>
                <w:color w:val="000000"/>
                <w:sz w:val="22"/>
                <w:szCs w:val="22"/>
              </w:rPr>
            </w:pPr>
            <w:r>
              <w:rPr>
                <w:color w:val="000000"/>
                <w:sz w:val="22"/>
                <w:szCs w:val="22"/>
              </w:rPr>
              <w:t>0.0</w:t>
            </w:r>
          </w:p>
        </w:tc>
      </w:tr>
      <w:tr w:rsidR="00436562" w14:paraId="4DD50E80" w14:textId="77777777" w:rsidTr="00EB7F91">
        <w:trPr>
          <w:trHeight w:val="330"/>
          <w:jc w:val="center"/>
        </w:trPr>
        <w:tc>
          <w:tcPr>
            <w:tcW w:w="3109" w:type="dxa"/>
            <w:tcBorders>
              <w:top w:val="nil"/>
              <w:left w:val="single" w:sz="8" w:space="0" w:color="auto"/>
              <w:bottom w:val="single" w:sz="8" w:space="0" w:color="auto"/>
              <w:right w:val="nil"/>
            </w:tcBorders>
            <w:vAlign w:val="center"/>
          </w:tcPr>
          <w:p w14:paraId="44BB7864" w14:textId="1FCEBCB4" w:rsidR="00436562" w:rsidRPr="00EB7F91" w:rsidRDefault="00436562" w:rsidP="00436562">
            <w:pPr>
              <w:ind w:left="708"/>
              <w:rPr>
                <w:color w:val="000000"/>
                <w:sz w:val="22"/>
                <w:szCs w:val="22"/>
              </w:rPr>
            </w:pPr>
            <w:r>
              <w:rPr>
                <w:color w:val="000000"/>
                <w:sz w:val="22"/>
                <w:szCs w:val="22"/>
              </w:rPr>
              <w:t>INDE</w:t>
            </w:r>
          </w:p>
        </w:tc>
        <w:tc>
          <w:tcPr>
            <w:tcW w:w="750" w:type="dxa"/>
            <w:tcBorders>
              <w:top w:val="nil"/>
              <w:left w:val="single" w:sz="8" w:space="0" w:color="auto"/>
              <w:bottom w:val="single" w:sz="8" w:space="0" w:color="auto"/>
              <w:right w:val="nil"/>
            </w:tcBorders>
            <w:shd w:val="clear" w:color="auto" w:fill="auto"/>
            <w:noWrap/>
            <w:vAlign w:val="center"/>
          </w:tcPr>
          <w:p w14:paraId="67065E6E" w14:textId="0779B0C6" w:rsidR="00436562" w:rsidRPr="00EB7F91" w:rsidRDefault="00436562" w:rsidP="00051C9B">
            <w:pPr>
              <w:jc w:val="center"/>
              <w:rPr>
                <w:color w:val="000000"/>
                <w:sz w:val="22"/>
                <w:szCs w:val="22"/>
              </w:rPr>
            </w:pPr>
            <w:r>
              <w:rPr>
                <w:color w:val="000000"/>
                <w:sz w:val="22"/>
                <w:szCs w:val="22"/>
              </w:rPr>
              <w:t>42.6</w:t>
            </w:r>
          </w:p>
        </w:tc>
        <w:tc>
          <w:tcPr>
            <w:tcW w:w="1200" w:type="dxa"/>
            <w:tcBorders>
              <w:top w:val="nil"/>
              <w:left w:val="nil"/>
              <w:bottom w:val="single" w:sz="8" w:space="0" w:color="auto"/>
              <w:right w:val="nil"/>
            </w:tcBorders>
            <w:shd w:val="clear" w:color="auto" w:fill="auto"/>
            <w:noWrap/>
            <w:vAlign w:val="center"/>
          </w:tcPr>
          <w:p w14:paraId="7A619473" w14:textId="12058BB9" w:rsidR="00436562" w:rsidRPr="00EB7F91" w:rsidRDefault="00436562" w:rsidP="00051C9B">
            <w:pPr>
              <w:jc w:val="center"/>
              <w:rPr>
                <w:color w:val="000000"/>
                <w:sz w:val="22"/>
                <w:szCs w:val="22"/>
              </w:rPr>
            </w:pPr>
            <w:r>
              <w:rPr>
                <w:color w:val="000000"/>
                <w:sz w:val="22"/>
                <w:szCs w:val="22"/>
              </w:rPr>
              <w:t>37.3</w:t>
            </w:r>
          </w:p>
        </w:tc>
        <w:tc>
          <w:tcPr>
            <w:tcW w:w="1200" w:type="dxa"/>
            <w:tcBorders>
              <w:top w:val="nil"/>
              <w:left w:val="nil"/>
              <w:bottom w:val="single" w:sz="8" w:space="0" w:color="auto"/>
              <w:right w:val="nil"/>
            </w:tcBorders>
            <w:shd w:val="clear" w:color="auto" w:fill="auto"/>
            <w:noWrap/>
            <w:vAlign w:val="center"/>
          </w:tcPr>
          <w:p w14:paraId="0C88EE9A" w14:textId="11ED396D" w:rsidR="00436562" w:rsidRPr="00EB7F91" w:rsidRDefault="00436562" w:rsidP="00051C9B">
            <w:pPr>
              <w:jc w:val="center"/>
              <w:rPr>
                <w:color w:val="000000"/>
                <w:sz w:val="22"/>
                <w:szCs w:val="22"/>
              </w:rPr>
            </w:pPr>
            <w:r>
              <w:rPr>
                <w:color w:val="000000"/>
                <w:sz w:val="22"/>
                <w:szCs w:val="22"/>
              </w:rPr>
              <w:t>32.7</w:t>
            </w:r>
          </w:p>
        </w:tc>
        <w:tc>
          <w:tcPr>
            <w:tcW w:w="1200" w:type="dxa"/>
            <w:tcBorders>
              <w:top w:val="nil"/>
              <w:left w:val="nil"/>
              <w:bottom w:val="single" w:sz="8" w:space="0" w:color="auto"/>
              <w:right w:val="nil"/>
            </w:tcBorders>
            <w:shd w:val="clear" w:color="auto" w:fill="auto"/>
            <w:noWrap/>
            <w:vAlign w:val="center"/>
          </w:tcPr>
          <w:p w14:paraId="7C362FEE" w14:textId="2FD8D457" w:rsidR="00436562" w:rsidRPr="00EB7F91" w:rsidRDefault="00436562" w:rsidP="00051C9B">
            <w:pPr>
              <w:jc w:val="center"/>
              <w:rPr>
                <w:color w:val="000000"/>
                <w:sz w:val="22"/>
                <w:szCs w:val="22"/>
              </w:rPr>
            </w:pPr>
            <w:r>
              <w:rPr>
                <w:color w:val="000000"/>
                <w:sz w:val="22"/>
                <w:szCs w:val="22"/>
              </w:rPr>
              <w:t>27.0</w:t>
            </w:r>
          </w:p>
        </w:tc>
        <w:tc>
          <w:tcPr>
            <w:tcW w:w="1200" w:type="dxa"/>
            <w:tcBorders>
              <w:top w:val="nil"/>
              <w:left w:val="nil"/>
              <w:bottom w:val="single" w:sz="8" w:space="0" w:color="auto"/>
              <w:right w:val="single" w:sz="8" w:space="0" w:color="auto"/>
            </w:tcBorders>
            <w:shd w:val="clear" w:color="auto" w:fill="auto"/>
            <w:noWrap/>
            <w:vAlign w:val="center"/>
          </w:tcPr>
          <w:p w14:paraId="45D9C12F" w14:textId="2AD3D5AC" w:rsidR="00436562" w:rsidRPr="00EB7F91" w:rsidRDefault="00436562" w:rsidP="00051C9B">
            <w:pPr>
              <w:jc w:val="center"/>
              <w:rPr>
                <w:color w:val="000000"/>
                <w:sz w:val="22"/>
                <w:szCs w:val="22"/>
              </w:rPr>
            </w:pPr>
            <w:r>
              <w:rPr>
                <w:color w:val="000000"/>
                <w:sz w:val="22"/>
                <w:szCs w:val="22"/>
              </w:rPr>
              <w:t>24.0</w:t>
            </w:r>
          </w:p>
        </w:tc>
      </w:tr>
    </w:tbl>
    <w:p w14:paraId="3395ABAC" w14:textId="608274FA" w:rsidR="00051C9B" w:rsidRDefault="00EB7F91" w:rsidP="00EB7F91">
      <w:pPr>
        <w:spacing w:line="259" w:lineRule="auto"/>
        <w:jc w:val="both"/>
        <w:rPr>
          <w:rFonts w:eastAsia="Calibri"/>
          <w:noProof/>
          <w:sz w:val="16"/>
          <w:szCs w:val="16"/>
        </w:rPr>
      </w:pPr>
      <w:r>
        <w:rPr>
          <w:rFonts w:eastAsia="Calibri"/>
          <w:noProof/>
          <w:sz w:val="16"/>
          <w:szCs w:val="16"/>
        </w:rPr>
        <w:t xml:space="preserve">   </w:t>
      </w:r>
      <w:r w:rsidR="00051C9B">
        <w:rPr>
          <w:rFonts w:eastAsia="Calibri"/>
          <w:noProof/>
          <w:sz w:val="16"/>
          <w:szCs w:val="16"/>
        </w:rPr>
        <w:t>*al 30 de junio del 2022</w:t>
      </w:r>
    </w:p>
    <w:p w14:paraId="7E0B9FB7" w14:textId="28EC0305" w:rsidR="006649A2" w:rsidRDefault="00EB7F91" w:rsidP="001A37CA">
      <w:pPr>
        <w:spacing w:line="259" w:lineRule="auto"/>
        <w:jc w:val="both"/>
        <w:rPr>
          <w:rFonts w:eastAsia="Calibri"/>
          <w:noProof/>
          <w:sz w:val="16"/>
          <w:szCs w:val="16"/>
        </w:rPr>
      </w:pPr>
      <w:r>
        <w:rPr>
          <w:rFonts w:eastAsia="Calibri"/>
          <w:noProof/>
          <w:sz w:val="16"/>
          <w:szCs w:val="16"/>
        </w:rPr>
        <w:t xml:space="preserve">   </w:t>
      </w:r>
      <w:r w:rsidR="006649A2" w:rsidRPr="00BC673C">
        <w:rPr>
          <w:rFonts w:eastAsia="Calibri"/>
          <w:noProof/>
          <w:sz w:val="16"/>
          <w:szCs w:val="16"/>
        </w:rPr>
        <w:t xml:space="preserve">Fuente: </w:t>
      </w:r>
      <w:r w:rsidR="006649A2">
        <w:rPr>
          <w:rFonts w:eastAsia="Calibri"/>
          <w:noProof/>
          <w:sz w:val="16"/>
          <w:szCs w:val="16"/>
        </w:rPr>
        <w:t>Dirección de Crédito Público</w:t>
      </w:r>
      <w:r w:rsidR="001A37CA">
        <w:rPr>
          <w:rFonts w:eastAsia="Calibri"/>
          <w:noProof/>
          <w:sz w:val="16"/>
          <w:szCs w:val="16"/>
        </w:rPr>
        <w:t>.</w:t>
      </w:r>
    </w:p>
    <w:p w14:paraId="013C9B28" w14:textId="77777777" w:rsidR="00187B93" w:rsidRPr="001A37CA" w:rsidRDefault="00187B93" w:rsidP="001A37CA">
      <w:pPr>
        <w:spacing w:line="259" w:lineRule="auto"/>
        <w:jc w:val="both"/>
        <w:rPr>
          <w:rFonts w:eastAsia="Calibri"/>
          <w:noProof/>
          <w:sz w:val="16"/>
          <w:szCs w:val="16"/>
        </w:rPr>
      </w:pPr>
    </w:p>
    <w:p w14:paraId="1EFB3D3F" w14:textId="77777777" w:rsidR="006649A2" w:rsidRPr="00A77EE7" w:rsidRDefault="006649A2" w:rsidP="00A9708A">
      <w:pPr>
        <w:pStyle w:val="Ttulo1"/>
        <w:numPr>
          <w:ilvl w:val="1"/>
          <w:numId w:val="5"/>
        </w:numPr>
        <w:ind w:left="567" w:right="49" w:hanging="283"/>
        <w:jc w:val="both"/>
        <w:rPr>
          <w:color w:val="auto"/>
          <w:sz w:val="24"/>
        </w:rPr>
      </w:pPr>
      <w:bookmarkStart w:id="220" w:name="_Toc114495270"/>
      <w:r w:rsidRPr="00A77EE7">
        <w:rPr>
          <w:color w:val="auto"/>
          <w:sz w:val="24"/>
        </w:rPr>
        <w:t>Obligaciones Financieras por Empresa Pública</w:t>
      </w:r>
      <w:bookmarkEnd w:id="220"/>
    </w:p>
    <w:p w14:paraId="276966D7" w14:textId="77777777" w:rsidR="006649A2" w:rsidRPr="009015E1" w:rsidRDefault="006649A2" w:rsidP="006649A2">
      <w:pPr>
        <w:spacing w:line="259" w:lineRule="auto"/>
        <w:ind w:left="567"/>
        <w:jc w:val="both"/>
        <w:rPr>
          <w:rFonts w:eastAsia="Calibri"/>
        </w:rPr>
      </w:pPr>
    </w:p>
    <w:p w14:paraId="119B0E7D" w14:textId="77777777" w:rsidR="006649A2" w:rsidRPr="00BC572D" w:rsidRDefault="006649A2" w:rsidP="00BC572D">
      <w:pPr>
        <w:jc w:val="both"/>
        <w:rPr>
          <w:bCs/>
          <w:color w:val="000000" w:themeColor="text1"/>
          <w:lang w:val="es-MX"/>
        </w:rPr>
      </w:pPr>
      <w:r w:rsidRPr="00BC572D">
        <w:rPr>
          <w:bCs/>
          <w:color w:val="000000" w:themeColor="text1"/>
          <w:lang w:val="es-MX"/>
        </w:rPr>
        <w:t>Entre las empresas nacionales, FEGUA es la empresa que posee la mayor obligación financiera respecto a sus niveles de ingresos, para el 2021 estas equivalen al 108.7% de los ingresos y únicamente se deriva de otras obligaciones ya que no registra obligaciones por endeudamiento, sin embargo, es importante resaltar que en términos monetarios sus obligaciones ascienden a Q9.46 millones. La segunda entidad con mayores obligaciones financieras es GUATEL con el 90.1% (Q17.90 millones) de sus ingresos, seguido de INDECA con un 39.5% (Q5.29 millones), ZOLIC con un 34.6% (Q11.34 millones), INDE con obligaciones financieras equivalentes al 32.8% (Q933.94 millones), EPQ por 9.6% (Q75.12 millones), EMPORNAC con el 4.8% (Q37.45 millones) y por último EPNCH con un equivalente al 0.2% (Q0.01 millones) respecto a los ingresos.</w:t>
      </w:r>
    </w:p>
    <w:p w14:paraId="048796B9" w14:textId="77777777" w:rsidR="006649A2" w:rsidRDefault="006649A2" w:rsidP="006649A2">
      <w:pPr>
        <w:spacing w:line="259" w:lineRule="auto"/>
        <w:ind w:left="567"/>
        <w:jc w:val="both"/>
        <w:rPr>
          <w:rFonts w:eastAsia="Calibri"/>
        </w:rPr>
      </w:pPr>
    </w:p>
    <w:p w14:paraId="60ADEB5B" w14:textId="3A94EB30" w:rsidR="006649A2" w:rsidRPr="00A77EE7" w:rsidRDefault="00A77EE7" w:rsidP="00A77EE7">
      <w:pPr>
        <w:pStyle w:val="Descripcin"/>
        <w:keepNext/>
        <w:rPr>
          <w:color w:val="auto"/>
        </w:rPr>
      </w:pPr>
      <w:bookmarkStart w:id="221" w:name="_Toc114493899"/>
      <w:r w:rsidRPr="00A77EE7">
        <w:rPr>
          <w:color w:val="auto"/>
        </w:rPr>
        <w:t xml:space="preserve">Gráfico </w:t>
      </w:r>
      <w:r w:rsidRPr="00A77EE7">
        <w:rPr>
          <w:color w:val="auto"/>
        </w:rPr>
        <w:fldChar w:fldCharType="begin"/>
      </w:r>
      <w:r w:rsidRPr="00A77EE7">
        <w:rPr>
          <w:color w:val="auto"/>
        </w:rPr>
        <w:instrText xml:space="preserve"> SEQ Gráfico \* ARABIC </w:instrText>
      </w:r>
      <w:r w:rsidRPr="00A77EE7">
        <w:rPr>
          <w:color w:val="auto"/>
        </w:rPr>
        <w:fldChar w:fldCharType="separate"/>
      </w:r>
      <w:r w:rsidR="002E7809">
        <w:rPr>
          <w:noProof/>
          <w:color w:val="auto"/>
        </w:rPr>
        <w:t>57</w:t>
      </w:r>
      <w:r w:rsidRPr="00A77EE7">
        <w:rPr>
          <w:color w:val="auto"/>
        </w:rPr>
        <w:fldChar w:fldCharType="end"/>
      </w:r>
      <w:r w:rsidRPr="00A77EE7">
        <w:rPr>
          <w:color w:val="auto"/>
        </w:rPr>
        <w:t xml:space="preserve">.  </w:t>
      </w:r>
      <w:r w:rsidR="006649A2" w:rsidRPr="00A77EE7">
        <w:rPr>
          <w:bCs/>
          <w:color w:val="auto"/>
          <w:lang w:val="es-MX"/>
        </w:rPr>
        <w:t>Obligaciones financieras de las Empresas Públicas</w:t>
      </w:r>
      <w:bookmarkEnd w:id="221"/>
      <w:r w:rsidR="006649A2" w:rsidRPr="00A77EE7">
        <w:rPr>
          <w:bCs/>
          <w:color w:val="auto"/>
          <w:lang w:val="es-MX"/>
        </w:rPr>
        <w:t xml:space="preserve"> </w:t>
      </w:r>
    </w:p>
    <w:p w14:paraId="0B2AEC16" w14:textId="77777777" w:rsidR="006649A2" w:rsidRPr="004B227D" w:rsidRDefault="006649A2" w:rsidP="006649A2">
      <w:pPr>
        <w:pStyle w:val="Sinespaciado"/>
        <w:ind w:left="785" w:right="49"/>
        <w:jc w:val="center"/>
        <w:rPr>
          <w:b/>
          <w:bCs/>
          <w:lang w:val="es-MX"/>
        </w:rPr>
      </w:pPr>
      <w:r w:rsidRPr="004B227D">
        <w:rPr>
          <w:b/>
          <w:bCs/>
          <w:lang w:val="es-MX"/>
        </w:rPr>
        <w:t>No Financieras</w:t>
      </w:r>
    </w:p>
    <w:p w14:paraId="08AFBC4C" w14:textId="77777777" w:rsidR="006649A2" w:rsidRPr="00BB5E60" w:rsidRDefault="006649A2" w:rsidP="006649A2">
      <w:pPr>
        <w:jc w:val="center"/>
        <w:rPr>
          <w:sz w:val="22"/>
        </w:rPr>
      </w:pPr>
      <w:r w:rsidRPr="004B227D">
        <w:rPr>
          <w:sz w:val="22"/>
        </w:rPr>
        <w:t>Como porcentaje de sus ingresos totales</w:t>
      </w:r>
    </w:p>
    <w:tbl>
      <w:tblPr>
        <w:tblStyle w:val="Tablaconcuadrcula1"/>
        <w:tblW w:w="9520" w:type="dxa"/>
        <w:jc w:val="center"/>
        <w:tblCellMar>
          <w:left w:w="70" w:type="dxa"/>
          <w:right w:w="70" w:type="dxa"/>
        </w:tblCellMar>
        <w:tblLook w:val="04A0" w:firstRow="1" w:lastRow="0" w:firstColumn="1" w:lastColumn="0" w:noHBand="0" w:noVBand="1"/>
      </w:tblPr>
      <w:tblGrid>
        <w:gridCol w:w="4760"/>
        <w:gridCol w:w="4760"/>
      </w:tblGrid>
      <w:tr w:rsidR="006649A2" w:rsidRPr="00F22FB7" w14:paraId="1441172D" w14:textId="77777777" w:rsidTr="00ED483A">
        <w:trPr>
          <w:trHeight w:val="2931"/>
          <w:jc w:val="center"/>
        </w:trPr>
        <w:tc>
          <w:tcPr>
            <w:tcW w:w="4760" w:type="dxa"/>
            <w:tcBorders>
              <w:top w:val="nil"/>
              <w:left w:val="nil"/>
              <w:bottom w:val="nil"/>
            </w:tcBorders>
          </w:tcPr>
          <w:p w14:paraId="58D75AD8" w14:textId="77777777" w:rsidR="006649A2" w:rsidRPr="00F22FB7" w:rsidRDefault="006649A2" w:rsidP="00ED483A">
            <w:pPr>
              <w:spacing w:after="160" w:line="259" w:lineRule="auto"/>
              <w:jc w:val="both"/>
              <w:rPr>
                <w:rFonts w:eastAsia="Calibri"/>
                <w:sz w:val="18"/>
              </w:rPr>
            </w:pPr>
            <w:r>
              <w:rPr>
                <w:rFonts w:eastAsia="Calibri"/>
                <w:noProof/>
                <w:lang w:eastAsia="es-GT"/>
              </w:rPr>
              <w:drawing>
                <wp:inline distT="0" distB="0" distL="0" distR="0" wp14:anchorId="69A50A80" wp14:editId="261B4F79">
                  <wp:extent cx="2926080" cy="2571750"/>
                  <wp:effectExtent l="0" t="0" r="762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4760" w:type="dxa"/>
            <w:tcBorders>
              <w:top w:val="nil"/>
              <w:bottom w:val="nil"/>
              <w:right w:val="nil"/>
            </w:tcBorders>
          </w:tcPr>
          <w:p w14:paraId="58C4E2E4" w14:textId="77777777" w:rsidR="006649A2" w:rsidRPr="00F22FB7" w:rsidRDefault="006649A2" w:rsidP="00ED483A">
            <w:pPr>
              <w:spacing w:after="160" w:line="259" w:lineRule="auto"/>
              <w:jc w:val="both"/>
              <w:rPr>
                <w:rFonts w:eastAsia="Calibri"/>
                <w:sz w:val="6"/>
              </w:rPr>
            </w:pPr>
            <w:r>
              <w:rPr>
                <w:rFonts w:eastAsia="Calibri"/>
                <w:noProof/>
                <w:lang w:eastAsia="es-GT"/>
              </w:rPr>
              <w:drawing>
                <wp:inline distT="0" distB="0" distL="0" distR="0" wp14:anchorId="7A228369" wp14:editId="13CFFE3F">
                  <wp:extent cx="2926080" cy="2571750"/>
                  <wp:effectExtent l="0" t="0" r="762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2022E4BA" w14:textId="77777777" w:rsidR="006649A2" w:rsidRPr="00706DBC" w:rsidRDefault="006649A2" w:rsidP="006649A2">
      <w:pPr>
        <w:ind w:left="567"/>
        <w:jc w:val="both"/>
        <w:rPr>
          <w:rFonts w:eastAsia="Calibri"/>
          <w:sz w:val="16"/>
        </w:rPr>
      </w:pPr>
      <w:r w:rsidRPr="00706DBC">
        <w:rPr>
          <w:rFonts w:eastAsia="Calibri"/>
          <w:sz w:val="16"/>
        </w:rPr>
        <w:t>Fuente: Sicoin.</w:t>
      </w:r>
    </w:p>
    <w:p w14:paraId="75AD8311" w14:textId="77777777" w:rsidR="006649A2" w:rsidRDefault="006649A2" w:rsidP="006649A2">
      <w:pPr>
        <w:ind w:left="567"/>
        <w:jc w:val="both"/>
        <w:rPr>
          <w:rFonts w:eastAsia="Calibri"/>
        </w:rPr>
      </w:pPr>
    </w:p>
    <w:p w14:paraId="1C8A18AA" w14:textId="77777777" w:rsidR="006649A2" w:rsidRPr="00BC572D" w:rsidRDefault="006649A2" w:rsidP="00BC572D">
      <w:pPr>
        <w:jc w:val="both"/>
        <w:rPr>
          <w:bCs/>
          <w:color w:val="000000" w:themeColor="text1"/>
          <w:lang w:val="es-MX"/>
        </w:rPr>
      </w:pPr>
      <w:r w:rsidRPr="00BC572D">
        <w:rPr>
          <w:bCs/>
          <w:color w:val="000000" w:themeColor="text1"/>
          <w:lang w:val="es-MX"/>
        </w:rPr>
        <w:t>En cuanto a las obligaciones financieras de las municipalidades, son 4 las entidades que poseen una cifra superior al 100% de sus ingresos totales, siendo la entidad con mayor obligación financieras respecto a sus ingresos la Empresa Eléctrica de Jalapa, con obligaciones que representan el 393.8% respecto a sus ingresos totales, lo que equivale a un valor monetario de Q175.1 millones y su principal obligación financiera se encuentra en las cuentas contables de documentos a pagar a largo plazo que son de Q141.3 millones.</w:t>
      </w:r>
    </w:p>
    <w:p w14:paraId="78E10467" w14:textId="77777777" w:rsidR="006649A2" w:rsidRPr="00BC572D" w:rsidRDefault="006649A2" w:rsidP="00BC572D">
      <w:pPr>
        <w:jc w:val="both"/>
        <w:rPr>
          <w:bCs/>
          <w:color w:val="000000" w:themeColor="text1"/>
          <w:lang w:val="es-MX"/>
        </w:rPr>
      </w:pPr>
    </w:p>
    <w:p w14:paraId="6B72CAAB" w14:textId="77777777" w:rsidR="006649A2" w:rsidRPr="00BC572D" w:rsidRDefault="006649A2" w:rsidP="00BC572D">
      <w:pPr>
        <w:jc w:val="both"/>
        <w:rPr>
          <w:bCs/>
          <w:color w:val="000000" w:themeColor="text1"/>
          <w:lang w:val="es-MX"/>
        </w:rPr>
      </w:pPr>
      <w:r w:rsidRPr="00BC572D">
        <w:rPr>
          <w:bCs/>
          <w:color w:val="000000" w:themeColor="text1"/>
          <w:lang w:val="es-MX"/>
        </w:rPr>
        <w:t>La segunda entidad con la mayor obligación financiera respecto a sus ingresos es la empresa Eléctrica de Puerto Barrios que posee para 2021 una obligación equivalente al 284.0% (Q324.5 millones) de sus ingresos, producidos principalmente por documentos a pagar a largo plazo (Q322.4 millones). Por su parte, la Empresa Eléctrica de Guastatoya posee una obligación financiera equivalente al 235.6% (Q105.79 millones) de sus ingresos derivado principalmente por documentos a pagar a largo plazo (Q105.72 millones).</w:t>
      </w:r>
    </w:p>
    <w:p w14:paraId="2DD5E7A6" w14:textId="77777777" w:rsidR="006649A2" w:rsidRPr="00BC572D" w:rsidRDefault="006649A2" w:rsidP="00BC572D">
      <w:pPr>
        <w:jc w:val="both"/>
        <w:rPr>
          <w:bCs/>
          <w:color w:val="000000" w:themeColor="text1"/>
          <w:lang w:val="es-MX"/>
        </w:rPr>
      </w:pPr>
    </w:p>
    <w:p w14:paraId="0224A9F1" w14:textId="62869D5E" w:rsidR="006649A2" w:rsidRDefault="006649A2" w:rsidP="00BC572D">
      <w:pPr>
        <w:jc w:val="both"/>
        <w:rPr>
          <w:bCs/>
          <w:color w:val="000000" w:themeColor="text1"/>
          <w:lang w:val="es-MX"/>
        </w:rPr>
      </w:pPr>
      <w:r w:rsidRPr="00BC572D">
        <w:rPr>
          <w:bCs/>
          <w:color w:val="000000" w:themeColor="text1"/>
          <w:lang w:val="es-MX"/>
        </w:rPr>
        <w:t xml:space="preserve">Por último, es importante resaltar a EMPAGUA que posee unas obligaciones financieras equivalentes al 130.2% (Q769.42 millones) de sus ingresos y que a su vez es la </w:t>
      </w:r>
      <w:r w:rsidR="00A77EE7" w:rsidRPr="00BC572D">
        <w:rPr>
          <w:bCs/>
          <w:color w:val="000000" w:themeColor="text1"/>
          <w:lang w:val="es-MX"/>
        </w:rPr>
        <w:t>más</w:t>
      </w:r>
      <w:r w:rsidRPr="00BC572D">
        <w:rPr>
          <w:bCs/>
          <w:color w:val="000000" w:themeColor="text1"/>
          <w:lang w:val="es-MX"/>
        </w:rPr>
        <w:t xml:space="preserve"> significativa entre el grupo institucional de empresas municipales. Su mayor obligación se encuentra en otras cuentas por pagar a largo plazo (Q615.73 millones), las cuales se constituyen por adeudos con el Instituto Guatemalteco de Seguridad Social por concepto de cuota patronal y con el Gobierno Central por notas de abono por consumo de agua. </w:t>
      </w:r>
    </w:p>
    <w:p w14:paraId="61500FFD" w14:textId="57824BE1" w:rsidR="000D7638" w:rsidRDefault="000D7638" w:rsidP="00BC572D">
      <w:pPr>
        <w:jc w:val="both"/>
        <w:rPr>
          <w:bCs/>
          <w:color w:val="000000" w:themeColor="text1"/>
          <w:lang w:val="es-MX"/>
        </w:rPr>
      </w:pPr>
    </w:p>
    <w:p w14:paraId="3CA5D0F4" w14:textId="49B70574" w:rsidR="000D7638" w:rsidRPr="00482832" w:rsidRDefault="000D7638" w:rsidP="00482832">
      <w:pPr>
        <w:pStyle w:val="Ttulo1"/>
        <w:numPr>
          <w:ilvl w:val="1"/>
          <w:numId w:val="5"/>
        </w:numPr>
        <w:ind w:left="567" w:right="49" w:hanging="283"/>
        <w:jc w:val="both"/>
        <w:rPr>
          <w:color w:val="auto"/>
          <w:sz w:val="24"/>
        </w:rPr>
      </w:pPr>
      <w:bookmarkStart w:id="222" w:name="_Toc114495271"/>
      <w:r w:rsidRPr="00482832">
        <w:rPr>
          <w:color w:val="auto"/>
          <w:sz w:val="24"/>
        </w:rPr>
        <w:t>Liquidez Financiera</w:t>
      </w:r>
      <w:bookmarkEnd w:id="222"/>
    </w:p>
    <w:p w14:paraId="577BAC6A" w14:textId="344D51E4" w:rsidR="00A102E4" w:rsidRDefault="00A102E4" w:rsidP="002846D1">
      <w:pPr>
        <w:pStyle w:val="Prrafodelista"/>
        <w:jc w:val="both"/>
      </w:pPr>
    </w:p>
    <w:p w14:paraId="5A63924B" w14:textId="000E6951" w:rsidR="004E7647" w:rsidRDefault="000D7638" w:rsidP="00B84372">
      <w:pPr>
        <w:jc w:val="both"/>
      </w:pPr>
      <w:r>
        <w:t>Las Empresas Públicas No Financieras Nacionales</w:t>
      </w:r>
      <w:r w:rsidR="00F5351E">
        <w:t xml:space="preserve"> </w:t>
      </w:r>
      <w:r>
        <w:t>han mantenido un alto nivel de liquidez</w:t>
      </w:r>
      <w:r w:rsidR="00F5351E">
        <w:t>, mientras que en las empresas municipales ha sido menor.</w:t>
      </w:r>
      <w:r>
        <w:t xml:space="preserve"> Se observa que el mismo ha fluctuado a lo largo del tiempo, pasando de ser 21.4 veces mayor </w:t>
      </w:r>
      <w:r w:rsidR="004E7647">
        <w:t>lo</w:t>
      </w:r>
      <w:r>
        <w:t>s activos corrientes respecto a sus pasivos corrientes en el</w:t>
      </w:r>
      <w:r w:rsidR="004E7647">
        <w:t xml:space="preserve"> </w:t>
      </w:r>
      <w:r>
        <w:t>2016 a ser 14.</w:t>
      </w:r>
      <w:r w:rsidR="004E7647">
        <w:t>3</w:t>
      </w:r>
      <w:r>
        <w:t xml:space="preserve"> veces mayor en 202</w:t>
      </w:r>
      <w:r w:rsidR="004E7647">
        <w:t>1</w:t>
      </w:r>
      <w:r>
        <w:t>, por abajo del promedio que es de 16.8 veces en dichos años.</w:t>
      </w:r>
      <w:r w:rsidR="004E7647">
        <w:t xml:space="preserve"> Mientras que, en el caso de las empresas municipales, la liquidez financiera ha aumentado, pasando de ser 2.9 veces mayor los activos corrientes respecto a sus pasivos corrientes en el 2016 a 3.9 veces mayor en 2021, ubicándose por arriba del promedio de 3.6 veces del período.</w:t>
      </w:r>
    </w:p>
    <w:p w14:paraId="7117E4CE" w14:textId="77777777" w:rsidR="004E7647" w:rsidRDefault="004E7647" w:rsidP="00B84372">
      <w:pPr>
        <w:jc w:val="both"/>
      </w:pPr>
    </w:p>
    <w:p w14:paraId="154B762A" w14:textId="04A69A05" w:rsidR="00B84372" w:rsidRDefault="000D7638" w:rsidP="00B84372">
      <w:pPr>
        <w:jc w:val="both"/>
      </w:pPr>
      <w:r>
        <w:t xml:space="preserve">Cabe mencionar que la reducción de liquidez no debe ser considerado como un indicador negativo, ya que mantener un alto grado de liquidez implica también la existencia de recursos ociosos y considerando que estas son empresas públicas, una liquidez muy alta puede ser contraproducente para el giro del negocio. También es importante recalcar que el tener el indicador de liquidez financiera menor a 1 puede ser considerado como un riesgo, derivado </w:t>
      </w:r>
      <w:r w:rsidR="004E7647">
        <w:t>de los</w:t>
      </w:r>
      <w:r>
        <w:t xml:space="preserve"> problemas que p</w:t>
      </w:r>
      <w:r w:rsidR="004E7647">
        <w:t>odrían</w:t>
      </w:r>
      <w:r>
        <w:t xml:space="preserve"> surgir en las capacidades financieras para hacer frente a compromisos de pago a corto plazo.</w:t>
      </w:r>
    </w:p>
    <w:p w14:paraId="5CD46E33" w14:textId="77777777" w:rsidR="00436562" w:rsidRDefault="00436562" w:rsidP="00B84372">
      <w:pPr>
        <w:jc w:val="both"/>
      </w:pPr>
    </w:p>
    <w:p w14:paraId="472AEA6F" w14:textId="1C79F993" w:rsidR="000D7638" w:rsidRPr="00A77EE7" w:rsidRDefault="000D7638" w:rsidP="000D7638">
      <w:pPr>
        <w:pStyle w:val="Descripcin"/>
        <w:keepNext/>
        <w:rPr>
          <w:color w:val="auto"/>
        </w:rPr>
      </w:pPr>
      <w:bookmarkStart w:id="223" w:name="_Toc114493900"/>
      <w:r w:rsidRPr="00A77EE7">
        <w:rPr>
          <w:color w:val="auto"/>
        </w:rPr>
        <w:t xml:space="preserve">Gráfico </w:t>
      </w:r>
      <w:r w:rsidRPr="00A77EE7">
        <w:rPr>
          <w:color w:val="auto"/>
        </w:rPr>
        <w:fldChar w:fldCharType="begin"/>
      </w:r>
      <w:r w:rsidRPr="00A77EE7">
        <w:rPr>
          <w:color w:val="auto"/>
        </w:rPr>
        <w:instrText xml:space="preserve"> SEQ Gráfico \* ARABIC </w:instrText>
      </w:r>
      <w:r w:rsidRPr="00A77EE7">
        <w:rPr>
          <w:color w:val="auto"/>
        </w:rPr>
        <w:fldChar w:fldCharType="separate"/>
      </w:r>
      <w:r w:rsidR="002E7809">
        <w:rPr>
          <w:noProof/>
          <w:color w:val="auto"/>
        </w:rPr>
        <w:t>58</w:t>
      </w:r>
      <w:r w:rsidRPr="00A77EE7">
        <w:rPr>
          <w:color w:val="auto"/>
        </w:rPr>
        <w:fldChar w:fldCharType="end"/>
      </w:r>
      <w:r w:rsidRPr="00A77EE7">
        <w:rPr>
          <w:color w:val="auto"/>
        </w:rPr>
        <w:t xml:space="preserve">.  </w:t>
      </w:r>
      <w:r>
        <w:rPr>
          <w:bCs/>
          <w:color w:val="auto"/>
          <w:lang w:val="es-MX"/>
        </w:rPr>
        <w:t>Liquidez Financiera</w:t>
      </w:r>
      <w:r w:rsidRPr="00A77EE7">
        <w:rPr>
          <w:bCs/>
          <w:color w:val="auto"/>
          <w:lang w:val="es-MX"/>
        </w:rPr>
        <w:t xml:space="preserve"> Empresas Públicas</w:t>
      </w:r>
      <w:bookmarkEnd w:id="223"/>
      <w:r w:rsidRPr="00A77EE7">
        <w:rPr>
          <w:bCs/>
          <w:color w:val="auto"/>
          <w:lang w:val="es-MX"/>
        </w:rPr>
        <w:t xml:space="preserve"> </w:t>
      </w:r>
    </w:p>
    <w:p w14:paraId="5470728C" w14:textId="77777777" w:rsidR="000D7638" w:rsidRPr="00BB4A07" w:rsidRDefault="000D7638" w:rsidP="000D7638">
      <w:pPr>
        <w:pStyle w:val="Sinespaciado"/>
        <w:ind w:left="785" w:right="49"/>
        <w:jc w:val="center"/>
        <w:rPr>
          <w:b/>
          <w:bCs/>
          <w:lang w:val="es-MX"/>
        </w:rPr>
      </w:pPr>
      <w:r>
        <w:rPr>
          <w:b/>
          <w:bCs/>
          <w:lang w:val="es-MX"/>
        </w:rPr>
        <w:t>No Financieras</w:t>
      </w:r>
    </w:p>
    <w:p w14:paraId="78E756F9" w14:textId="19D82B41" w:rsidR="000D7638" w:rsidRDefault="000D7638" w:rsidP="000D7638">
      <w:pPr>
        <w:jc w:val="center"/>
        <w:rPr>
          <w:sz w:val="22"/>
        </w:rPr>
      </w:pPr>
      <w:r>
        <w:rPr>
          <w:sz w:val="22"/>
        </w:rPr>
        <w:t>Activos corrientes/Pasivos corrientes</w:t>
      </w:r>
    </w:p>
    <w:tbl>
      <w:tblPr>
        <w:tblStyle w:val="Tablaconcuadrcula"/>
        <w:tblW w:w="10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181"/>
      </w:tblGrid>
      <w:tr w:rsidR="000D7638" w14:paraId="0129A478" w14:textId="77777777" w:rsidTr="00DD4B48">
        <w:trPr>
          <w:trHeight w:val="4003"/>
          <w:jc w:val="center"/>
        </w:trPr>
        <w:tc>
          <w:tcPr>
            <w:tcW w:w="4841" w:type="dxa"/>
          </w:tcPr>
          <w:p w14:paraId="6D90381B" w14:textId="77777777" w:rsidR="00454230" w:rsidRPr="00454230" w:rsidRDefault="00454230" w:rsidP="004364C3">
            <w:pPr>
              <w:jc w:val="center"/>
              <w:rPr>
                <w:b/>
                <w:bCs/>
                <w:sz w:val="22"/>
                <w:szCs w:val="22"/>
              </w:rPr>
            </w:pPr>
            <w:r w:rsidRPr="00454230">
              <w:rPr>
                <w:b/>
                <w:bCs/>
                <w:sz w:val="22"/>
                <w:szCs w:val="22"/>
              </w:rPr>
              <w:t>De las Empresas Públicas No Financieras</w:t>
            </w:r>
          </w:p>
          <w:p w14:paraId="2B9E0966" w14:textId="13F65E66" w:rsidR="000D7638" w:rsidRPr="00454230" w:rsidRDefault="00454230" w:rsidP="004364C3">
            <w:pPr>
              <w:jc w:val="center"/>
              <w:rPr>
                <w:b/>
                <w:bCs/>
                <w:noProof/>
                <w:sz w:val="24"/>
                <w:szCs w:val="22"/>
              </w:rPr>
            </w:pPr>
            <w:r w:rsidRPr="00454230">
              <w:rPr>
                <w:b/>
                <w:bCs/>
                <w:sz w:val="22"/>
                <w:szCs w:val="22"/>
              </w:rPr>
              <w:t xml:space="preserve"> Nacionales</w:t>
            </w:r>
          </w:p>
          <w:p w14:paraId="45F7E08A" w14:textId="08C68D3A" w:rsidR="00454230" w:rsidRDefault="00454230" w:rsidP="004364C3">
            <w:pPr>
              <w:jc w:val="center"/>
              <w:rPr>
                <w:sz w:val="22"/>
              </w:rPr>
            </w:pPr>
            <w:r>
              <w:rPr>
                <w:noProof/>
                <w:sz w:val="22"/>
              </w:rPr>
              <w:drawing>
                <wp:inline distT="0" distB="0" distL="0" distR="0" wp14:anchorId="44249108" wp14:editId="13FDDA9E">
                  <wp:extent cx="2952750" cy="2066925"/>
                  <wp:effectExtent l="0" t="0" r="0" b="0"/>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5206" w:type="dxa"/>
          </w:tcPr>
          <w:p w14:paraId="7EB081E5" w14:textId="77777777" w:rsidR="00276CB0" w:rsidRPr="00454230" w:rsidRDefault="00276CB0" w:rsidP="00276CB0">
            <w:pPr>
              <w:jc w:val="center"/>
              <w:rPr>
                <w:b/>
                <w:bCs/>
                <w:sz w:val="22"/>
                <w:szCs w:val="22"/>
              </w:rPr>
            </w:pPr>
            <w:r w:rsidRPr="00454230">
              <w:rPr>
                <w:b/>
                <w:bCs/>
                <w:sz w:val="22"/>
                <w:szCs w:val="22"/>
              </w:rPr>
              <w:t>De las Empresas Públicas No Financieras</w:t>
            </w:r>
          </w:p>
          <w:p w14:paraId="54741EE2" w14:textId="643FFF13" w:rsidR="00276CB0" w:rsidRPr="00454230" w:rsidRDefault="00276CB0" w:rsidP="00276CB0">
            <w:pPr>
              <w:jc w:val="center"/>
              <w:rPr>
                <w:b/>
                <w:bCs/>
                <w:noProof/>
                <w:sz w:val="24"/>
                <w:szCs w:val="22"/>
              </w:rPr>
            </w:pPr>
            <w:r w:rsidRPr="00454230">
              <w:rPr>
                <w:b/>
                <w:bCs/>
                <w:sz w:val="22"/>
                <w:szCs w:val="22"/>
              </w:rPr>
              <w:t xml:space="preserve"> </w:t>
            </w:r>
            <w:r>
              <w:rPr>
                <w:b/>
                <w:bCs/>
                <w:sz w:val="22"/>
                <w:szCs w:val="22"/>
              </w:rPr>
              <w:t>Municipales</w:t>
            </w:r>
          </w:p>
          <w:p w14:paraId="516DECFE" w14:textId="452932F1" w:rsidR="000D7638" w:rsidRDefault="00276CB0" w:rsidP="000D7638">
            <w:pPr>
              <w:jc w:val="center"/>
              <w:rPr>
                <w:sz w:val="22"/>
              </w:rPr>
            </w:pPr>
            <w:r>
              <w:rPr>
                <w:noProof/>
                <w:sz w:val="22"/>
              </w:rPr>
              <w:drawing>
                <wp:inline distT="0" distB="0" distL="0" distR="0" wp14:anchorId="589417A6" wp14:editId="7BA25FCA">
                  <wp:extent cx="3116580" cy="2143125"/>
                  <wp:effectExtent l="0" t="0" r="762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14:paraId="490F3251" w14:textId="77777777" w:rsidR="005F4376" w:rsidRPr="004C5FE3" w:rsidRDefault="005F4376" w:rsidP="005F4376">
      <w:pPr>
        <w:ind w:left="567"/>
        <w:rPr>
          <w:rFonts w:eastAsia="Calibri"/>
          <w:sz w:val="16"/>
        </w:rPr>
      </w:pPr>
      <w:r w:rsidRPr="004C5FE3">
        <w:rPr>
          <w:rFonts w:eastAsia="Calibri"/>
          <w:sz w:val="16"/>
        </w:rPr>
        <w:t>Fuente: Sicoin</w:t>
      </w:r>
    </w:p>
    <w:p w14:paraId="15001C15" w14:textId="77777777" w:rsidR="000D7638" w:rsidRPr="00BB5E60" w:rsidRDefault="000D7638" w:rsidP="000D7638">
      <w:pPr>
        <w:jc w:val="center"/>
        <w:rPr>
          <w:sz w:val="22"/>
        </w:rPr>
      </w:pPr>
    </w:p>
    <w:p w14:paraId="18040CEC" w14:textId="5810E2A2" w:rsidR="000D7638" w:rsidRDefault="0086367B" w:rsidP="00B84372">
      <w:pPr>
        <w:jc w:val="both"/>
      </w:pPr>
      <w:r>
        <w:t xml:space="preserve">En términos individuales, sobresale la Empresa Portuaria Nacional de Champerico (EPNCH) como la empresa con el mayor indicador de liquidez, siendo este en </w:t>
      </w:r>
      <w:r w:rsidR="003835CD">
        <w:t>220</w:t>
      </w:r>
      <w:r>
        <w:t>.</w:t>
      </w:r>
      <w:r w:rsidR="003835CD">
        <w:t>5</w:t>
      </w:r>
      <w:r>
        <w:t xml:space="preserve"> veces mayor </w:t>
      </w:r>
      <w:r w:rsidR="003835CD">
        <w:t xml:space="preserve">el ingreso corriente respecto a los pasivos corrientes, </w:t>
      </w:r>
      <w:r>
        <w:t>seguido de I</w:t>
      </w:r>
      <w:r w:rsidR="00B861C6">
        <w:t>NDECA</w:t>
      </w:r>
      <w:r>
        <w:t xml:space="preserve"> con </w:t>
      </w:r>
      <w:r w:rsidR="003835CD">
        <w:t>50</w:t>
      </w:r>
      <w:r>
        <w:t>.</w:t>
      </w:r>
      <w:r w:rsidR="003835CD">
        <w:t>2</w:t>
      </w:r>
      <w:r>
        <w:t xml:space="preserve"> veces y E</w:t>
      </w:r>
      <w:r w:rsidR="003835CD">
        <w:t>MPORNAC</w:t>
      </w:r>
      <w:r>
        <w:t xml:space="preserve"> con 1</w:t>
      </w:r>
      <w:r w:rsidR="003835CD">
        <w:t>7</w:t>
      </w:r>
      <w:r>
        <w:t>.</w:t>
      </w:r>
      <w:r w:rsidR="003835CD">
        <w:t>5</w:t>
      </w:r>
      <w:r>
        <w:t xml:space="preserve"> veces. Estas entidades tienen un nivel de liquidez por encima del resto de entidades y esto puede ser un indicador de contar con recursos ociosos que podría ser invertidos para el fortalecimiento institucional por medio de inversiones. Por el contrario, F</w:t>
      </w:r>
      <w:r w:rsidR="00B861C6">
        <w:t>EGUA</w:t>
      </w:r>
      <w:r>
        <w:t xml:space="preserve"> tiene el menor indicador de liquidez, siendo este solamente 0.6 veces mayor </w:t>
      </w:r>
      <w:r w:rsidR="00B861C6">
        <w:t xml:space="preserve">a </w:t>
      </w:r>
      <w:r>
        <w:t>sus activos corrientes respecto a sus pasivos corrientes, esto podría convertirse en un riesgo institucional de liquidez si no se mejora el indicador</w:t>
      </w:r>
      <w:r w:rsidR="003835CD">
        <w:t>.</w:t>
      </w:r>
    </w:p>
    <w:p w14:paraId="6D171FE3" w14:textId="2B2F3131" w:rsidR="000D7638" w:rsidRDefault="000D7638" w:rsidP="00B84372">
      <w:pPr>
        <w:jc w:val="both"/>
      </w:pPr>
    </w:p>
    <w:p w14:paraId="21A5EFE3" w14:textId="69AB6DC4" w:rsidR="0086367B" w:rsidRPr="00595C75" w:rsidRDefault="00595C75" w:rsidP="00595C75">
      <w:pPr>
        <w:pStyle w:val="Descripcin"/>
        <w:keepNext/>
      </w:pPr>
      <w:bookmarkStart w:id="224" w:name="_Toc114493901"/>
      <w:r w:rsidRPr="00595C75">
        <w:rPr>
          <w:color w:val="auto"/>
        </w:rPr>
        <w:t xml:space="preserve">Gráfico </w:t>
      </w:r>
      <w:r w:rsidRPr="00595C75">
        <w:rPr>
          <w:color w:val="auto"/>
        </w:rPr>
        <w:fldChar w:fldCharType="begin"/>
      </w:r>
      <w:r w:rsidRPr="00595C75">
        <w:rPr>
          <w:color w:val="auto"/>
        </w:rPr>
        <w:instrText xml:space="preserve"> SEQ Gráfico \* ARABIC </w:instrText>
      </w:r>
      <w:r w:rsidRPr="00595C75">
        <w:rPr>
          <w:color w:val="auto"/>
        </w:rPr>
        <w:fldChar w:fldCharType="separate"/>
      </w:r>
      <w:r w:rsidR="002E7809">
        <w:rPr>
          <w:noProof/>
          <w:color w:val="auto"/>
        </w:rPr>
        <w:t>59</w:t>
      </w:r>
      <w:r w:rsidRPr="00595C75">
        <w:rPr>
          <w:color w:val="auto"/>
        </w:rPr>
        <w:fldChar w:fldCharType="end"/>
      </w:r>
      <w:r w:rsidRPr="00595C75">
        <w:rPr>
          <w:color w:val="auto"/>
        </w:rPr>
        <w:t xml:space="preserve">.  </w:t>
      </w:r>
      <w:r w:rsidR="0086367B" w:rsidRPr="00595C75">
        <w:rPr>
          <w:bCs/>
          <w:color w:val="auto"/>
        </w:rPr>
        <w:t>Liquidez Financiera para el año 2021 De las Empresas Públicas No Financieras Nacionales</w:t>
      </w:r>
      <w:bookmarkEnd w:id="224"/>
      <w:r w:rsidR="0086367B" w:rsidRPr="00595C75">
        <w:t xml:space="preserve"> </w:t>
      </w:r>
    </w:p>
    <w:p w14:paraId="4C7EE3AA" w14:textId="1989FCF8" w:rsidR="000D7638" w:rsidRPr="008F48D5" w:rsidRDefault="0086367B" w:rsidP="0086367B">
      <w:pPr>
        <w:jc w:val="center"/>
      </w:pPr>
      <w:r w:rsidRPr="008F48D5">
        <w:t>En cantidad de veces mayor el activo corriente respecto al pasivo corriente</w:t>
      </w:r>
    </w:p>
    <w:p w14:paraId="5DBA6393" w14:textId="7A27B050" w:rsidR="003835CD" w:rsidRPr="0086367B" w:rsidRDefault="001A37CA" w:rsidP="0086367B">
      <w:pPr>
        <w:jc w:val="center"/>
        <w:rPr>
          <w:i/>
          <w:iCs/>
        </w:rPr>
      </w:pPr>
      <w:r>
        <w:rPr>
          <w:noProof/>
          <w:lang w:eastAsia="es-GT"/>
        </w:rPr>
        <w:drawing>
          <wp:inline distT="0" distB="0" distL="0" distR="0" wp14:anchorId="5FA3F7FA" wp14:editId="5CE19FA6">
            <wp:extent cx="4968240" cy="2428875"/>
            <wp:effectExtent l="0" t="0" r="381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70A3221" w14:textId="1EBB39DA" w:rsidR="005F4376" w:rsidRPr="004C5FE3" w:rsidRDefault="005F4376" w:rsidP="001A37CA">
      <w:pPr>
        <w:ind w:firstLine="708"/>
        <w:rPr>
          <w:rFonts w:eastAsia="Calibri"/>
          <w:sz w:val="16"/>
        </w:rPr>
      </w:pPr>
      <w:r w:rsidRPr="004C5FE3">
        <w:rPr>
          <w:rFonts w:eastAsia="Calibri"/>
          <w:sz w:val="16"/>
        </w:rPr>
        <w:t>Fuente: Sicoin</w:t>
      </w:r>
    </w:p>
    <w:p w14:paraId="2A3F296A" w14:textId="4DF2B1D6" w:rsidR="00AF25F3" w:rsidRDefault="003835CD" w:rsidP="003835CD">
      <w:pPr>
        <w:jc w:val="both"/>
      </w:pPr>
      <w:r>
        <w:t xml:space="preserve">Por su parte, en lo que respecta a las empresas municipales en su análisis individual, resalta que </w:t>
      </w:r>
      <w:r w:rsidR="00AF25F3">
        <w:t xml:space="preserve">la Empresa de Vivienda de Santa Catarina Pinula tiene la mayor capacidad de hacer frente a sus pasivos corrientes apalancándose en sus activos corrientes, siendo la relación de 78.7 veces, aunque como se ha mencionado anteriormente, esta empresa es de reciente creación. Le sigue la Empresa Eléctrica de Gualán con 73.2 veces mayor el activo corriente respecto a los pasivos corrientes y la Empresa Eléctrica de Joyabaj con 53.7 veces. </w:t>
      </w:r>
    </w:p>
    <w:p w14:paraId="444E9A3B" w14:textId="167F98DC" w:rsidR="00AF25F3" w:rsidRDefault="00AF25F3" w:rsidP="003835CD">
      <w:pPr>
        <w:jc w:val="both"/>
      </w:pPr>
    </w:p>
    <w:p w14:paraId="0B087413" w14:textId="081F0C37" w:rsidR="003835CD" w:rsidRDefault="00AF25F3" w:rsidP="003835CD">
      <w:pPr>
        <w:jc w:val="both"/>
      </w:pPr>
      <w:r>
        <w:t xml:space="preserve">Es importante el caso de la Empresa de Transporte de Guatemala y la Empresa Eléctrica de Guatemala cuya relación es menor a 1, lo cual es indicativo que en este momento los pasivos corrientes de estas empresas superan a sus activos </w:t>
      </w:r>
      <w:r w:rsidR="00595C75">
        <w:t>y,</w:t>
      </w:r>
      <w:r>
        <w:t xml:space="preserve"> por lo tanto, podría ser más difícil hacer frente a sus compromisos de pago en el corto plazo.</w:t>
      </w:r>
    </w:p>
    <w:p w14:paraId="2BCF7D50" w14:textId="77777777" w:rsidR="00AF25F3" w:rsidRDefault="00AF25F3" w:rsidP="003835CD">
      <w:pPr>
        <w:jc w:val="both"/>
      </w:pPr>
    </w:p>
    <w:p w14:paraId="489943CF" w14:textId="023A20C7" w:rsidR="00F84A55" w:rsidRDefault="00F84A55" w:rsidP="003835CD">
      <w:pPr>
        <w:jc w:val="both"/>
      </w:pPr>
      <w:r>
        <w:t xml:space="preserve">Resalta que </w:t>
      </w:r>
      <w:r w:rsidR="009B55FF">
        <w:t>una</w:t>
      </w:r>
      <w:r>
        <w:t xml:space="preserve"> empresa</w:t>
      </w:r>
      <w:r w:rsidR="009B55FF">
        <w:t xml:space="preserve"> </w:t>
      </w:r>
      <w:r>
        <w:t>municipal no reporta pasivos corrientes, siendo la Empresa Municipal Rural de Electricidad Ixcan (EMRE)</w:t>
      </w:r>
      <w:r w:rsidR="009B55FF">
        <w:t>.</w:t>
      </w:r>
    </w:p>
    <w:p w14:paraId="0B082061" w14:textId="51CED18D" w:rsidR="00450B90" w:rsidRDefault="00450B90" w:rsidP="003835CD">
      <w:pPr>
        <w:jc w:val="both"/>
      </w:pPr>
    </w:p>
    <w:p w14:paraId="0649F46B" w14:textId="5E326E22" w:rsidR="00450B90" w:rsidRDefault="00450B90" w:rsidP="003835CD">
      <w:pPr>
        <w:jc w:val="both"/>
      </w:pPr>
    </w:p>
    <w:p w14:paraId="4FB7F035" w14:textId="5E8703A2" w:rsidR="00450B90" w:rsidRDefault="00450B90" w:rsidP="003835CD">
      <w:pPr>
        <w:jc w:val="both"/>
      </w:pPr>
    </w:p>
    <w:p w14:paraId="7CA34AA5" w14:textId="1F739241" w:rsidR="00450B90" w:rsidRDefault="00450B90" w:rsidP="003835CD">
      <w:pPr>
        <w:jc w:val="both"/>
      </w:pPr>
    </w:p>
    <w:p w14:paraId="2FBE9A43" w14:textId="3E30BD3A" w:rsidR="00450B90" w:rsidRDefault="00450B90" w:rsidP="003835CD">
      <w:pPr>
        <w:jc w:val="both"/>
      </w:pPr>
    </w:p>
    <w:p w14:paraId="6ED83F72" w14:textId="77777777" w:rsidR="00450B90" w:rsidRDefault="00450B90" w:rsidP="003835CD">
      <w:pPr>
        <w:jc w:val="both"/>
      </w:pPr>
    </w:p>
    <w:p w14:paraId="17B9A970" w14:textId="48A5DB2B" w:rsidR="00AF25F3" w:rsidRDefault="00AF25F3" w:rsidP="003835CD">
      <w:pPr>
        <w:jc w:val="both"/>
      </w:pPr>
    </w:p>
    <w:p w14:paraId="1C43F6D3" w14:textId="21F08AC6" w:rsidR="003835CD" w:rsidRPr="00595C75" w:rsidRDefault="00595C75" w:rsidP="00595C75">
      <w:pPr>
        <w:pStyle w:val="Descripcin"/>
        <w:keepNext/>
      </w:pPr>
      <w:bookmarkStart w:id="225" w:name="_Toc114493902"/>
      <w:r w:rsidRPr="00595C75">
        <w:rPr>
          <w:color w:val="auto"/>
        </w:rPr>
        <w:t xml:space="preserve">Gráfico </w:t>
      </w:r>
      <w:r w:rsidRPr="00595C75">
        <w:rPr>
          <w:color w:val="auto"/>
        </w:rPr>
        <w:fldChar w:fldCharType="begin"/>
      </w:r>
      <w:r w:rsidRPr="00595C75">
        <w:rPr>
          <w:color w:val="auto"/>
        </w:rPr>
        <w:instrText xml:space="preserve"> SEQ Gráfico \* ARABIC </w:instrText>
      </w:r>
      <w:r w:rsidRPr="00595C75">
        <w:rPr>
          <w:color w:val="auto"/>
        </w:rPr>
        <w:fldChar w:fldCharType="separate"/>
      </w:r>
      <w:r w:rsidR="002E7809">
        <w:rPr>
          <w:noProof/>
          <w:color w:val="auto"/>
        </w:rPr>
        <w:t>60</w:t>
      </w:r>
      <w:r w:rsidRPr="00595C75">
        <w:rPr>
          <w:color w:val="auto"/>
        </w:rPr>
        <w:fldChar w:fldCharType="end"/>
      </w:r>
      <w:r w:rsidRPr="00595C75">
        <w:rPr>
          <w:color w:val="auto"/>
        </w:rPr>
        <w:t xml:space="preserve">.  </w:t>
      </w:r>
      <w:r w:rsidR="003835CD" w:rsidRPr="00595C75">
        <w:rPr>
          <w:bCs/>
          <w:color w:val="auto"/>
        </w:rPr>
        <w:t>Liquidez Financiera para el año 2021 De las Empresas Públicas No Financieras Municipales</w:t>
      </w:r>
      <w:bookmarkEnd w:id="225"/>
    </w:p>
    <w:p w14:paraId="7660CFE5" w14:textId="77777777" w:rsidR="003835CD" w:rsidRPr="008F48D5" w:rsidRDefault="003835CD" w:rsidP="003835CD">
      <w:pPr>
        <w:jc w:val="center"/>
      </w:pPr>
      <w:r w:rsidRPr="008F48D5">
        <w:t>En cantidad de veces mayor el activo corriente respecto al pasivo corriente</w:t>
      </w:r>
    </w:p>
    <w:p w14:paraId="4DB10CC6" w14:textId="27CFA013" w:rsidR="003835CD" w:rsidRDefault="001A37CA" w:rsidP="003835CD">
      <w:pPr>
        <w:jc w:val="both"/>
      </w:pPr>
      <w:r w:rsidRPr="00AF25F3">
        <w:rPr>
          <w:noProof/>
          <w:shd w:val="clear" w:color="auto" w:fill="BF8F00" w:themeFill="accent4" w:themeFillShade="BF"/>
          <w:lang w:eastAsia="es-GT"/>
        </w:rPr>
        <w:drawing>
          <wp:inline distT="0" distB="0" distL="0" distR="0" wp14:anchorId="633CC328" wp14:editId="2D17AF99">
            <wp:extent cx="5486400" cy="2122098"/>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D31FAA0" w14:textId="4DB20C95" w:rsidR="005F4376" w:rsidRPr="004C5FE3" w:rsidRDefault="005F4376" w:rsidP="001A37CA">
      <w:pPr>
        <w:ind w:firstLine="284"/>
        <w:rPr>
          <w:rFonts w:eastAsia="Calibri"/>
          <w:sz w:val="16"/>
        </w:rPr>
      </w:pPr>
      <w:r w:rsidRPr="004C5FE3">
        <w:rPr>
          <w:rFonts w:eastAsia="Calibri"/>
          <w:sz w:val="16"/>
        </w:rPr>
        <w:t>Fuente: Sicoin</w:t>
      </w:r>
    </w:p>
    <w:p w14:paraId="1252C7CF" w14:textId="77777777" w:rsidR="003835CD" w:rsidRDefault="003835CD" w:rsidP="002846D1">
      <w:pPr>
        <w:pStyle w:val="Prrafodelista"/>
        <w:jc w:val="both"/>
      </w:pPr>
    </w:p>
    <w:p w14:paraId="3E8E5328" w14:textId="6510D25B" w:rsidR="00A165F6" w:rsidRDefault="00482832" w:rsidP="000879C2">
      <w:pPr>
        <w:pStyle w:val="Ttulo1"/>
        <w:numPr>
          <w:ilvl w:val="1"/>
          <w:numId w:val="5"/>
        </w:numPr>
        <w:ind w:left="567" w:right="49" w:hanging="283"/>
        <w:jc w:val="both"/>
        <w:rPr>
          <w:color w:val="auto"/>
          <w:sz w:val="24"/>
        </w:rPr>
      </w:pPr>
      <w:bookmarkStart w:id="226" w:name="_Toc114495272"/>
      <w:r w:rsidRPr="00482832">
        <w:rPr>
          <w:color w:val="auto"/>
          <w:sz w:val="24"/>
        </w:rPr>
        <w:t>Obligaciones financieras respecto al PIB</w:t>
      </w:r>
      <w:bookmarkEnd w:id="226"/>
    </w:p>
    <w:p w14:paraId="5162EBE9" w14:textId="77777777" w:rsidR="00595C75" w:rsidRPr="00595C75" w:rsidRDefault="00595C75" w:rsidP="00595C75"/>
    <w:p w14:paraId="5B9FF614" w14:textId="456ED791" w:rsidR="00A80109" w:rsidRPr="00A80109" w:rsidRDefault="00A80109" w:rsidP="004E5778">
      <w:pPr>
        <w:jc w:val="both"/>
      </w:pPr>
      <w:r>
        <w:t>Las</w:t>
      </w:r>
      <w:r w:rsidR="00A25CFF">
        <w:t xml:space="preserve"> obligaciones financieras de las </w:t>
      </w:r>
      <w:r w:rsidR="00E467D3">
        <w:t>E</w:t>
      </w:r>
      <w:r w:rsidR="00A25CFF">
        <w:t xml:space="preserve">mpresas </w:t>
      </w:r>
      <w:r w:rsidR="00E467D3">
        <w:t>P</w:t>
      </w:r>
      <w:r w:rsidR="00A25CFF">
        <w:t xml:space="preserve">úblicas no </w:t>
      </w:r>
      <w:r w:rsidR="00E467D3">
        <w:t>F</w:t>
      </w:r>
      <w:r w:rsidR="00A25CFF">
        <w:t xml:space="preserve">inancieras </w:t>
      </w:r>
      <w:r w:rsidR="00237338">
        <w:t>N</w:t>
      </w:r>
      <w:r w:rsidR="00A25CFF">
        <w:t xml:space="preserve">acionales equivalen l 0.16% del PIB en 2021, continuando con </w:t>
      </w:r>
      <w:r w:rsidR="00BD2F25">
        <w:t xml:space="preserve">la tenencia por disminuir sus obligaciones que se ha venido observado desde </w:t>
      </w:r>
      <w:r w:rsidR="00E467D3">
        <w:t xml:space="preserve">2016, cuando esta ascendía al 0.24% del PIB. En cuanto a las obligaciones financieras de las </w:t>
      </w:r>
      <w:r w:rsidR="00237338">
        <w:t>Empresas Públicas no Financieras Municipales, esta se sitúa en 2021 en 0.21% del PIB</w:t>
      </w:r>
      <w:r w:rsidR="004E5778">
        <w:t xml:space="preserve"> y siendo un aumento respecto al 0.19% que se observó en 2020</w:t>
      </w:r>
      <w:r w:rsidR="00474830">
        <w:t>, cabe mencionar que este aumento se produce por sus otras obligaciones por pagar, las cuales equivalen al 0.19% del PIB en 2021 mientras que en 2020 este era de 0.17%.</w:t>
      </w:r>
    </w:p>
    <w:p w14:paraId="2ACD20FC" w14:textId="48DC7E5B" w:rsidR="00482832" w:rsidRDefault="00482832" w:rsidP="000879C2">
      <w:pPr>
        <w:jc w:val="both"/>
        <w:rPr>
          <w:lang w:val="es-MX"/>
        </w:rPr>
      </w:pPr>
    </w:p>
    <w:p w14:paraId="4DE85315" w14:textId="0BF0686B" w:rsidR="00595C75" w:rsidRPr="00595C75" w:rsidRDefault="00595C75" w:rsidP="00595C75">
      <w:pPr>
        <w:pStyle w:val="Descripcin"/>
        <w:keepNext/>
      </w:pPr>
      <w:bookmarkStart w:id="227" w:name="_Toc114493903"/>
      <w:r w:rsidRPr="00595C75">
        <w:rPr>
          <w:color w:val="auto"/>
        </w:rPr>
        <w:t xml:space="preserve">Gráfico </w:t>
      </w:r>
      <w:r w:rsidRPr="00595C75">
        <w:rPr>
          <w:color w:val="auto"/>
        </w:rPr>
        <w:fldChar w:fldCharType="begin"/>
      </w:r>
      <w:r w:rsidRPr="00595C75">
        <w:rPr>
          <w:color w:val="auto"/>
        </w:rPr>
        <w:instrText xml:space="preserve"> SEQ Gráfico \* ARABIC </w:instrText>
      </w:r>
      <w:r w:rsidRPr="00595C75">
        <w:rPr>
          <w:color w:val="auto"/>
        </w:rPr>
        <w:fldChar w:fldCharType="separate"/>
      </w:r>
      <w:r w:rsidR="002E7809">
        <w:rPr>
          <w:noProof/>
          <w:color w:val="auto"/>
        </w:rPr>
        <w:t>61</w:t>
      </w:r>
      <w:r w:rsidRPr="00595C75">
        <w:rPr>
          <w:color w:val="auto"/>
        </w:rPr>
        <w:fldChar w:fldCharType="end"/>
      </w:r>
      <w:r w:rsidRPr="00595C75">
        <w:rPr>
          <w:color w:val="auto"/>
        </w:rPr>
        <w:t xml:space="preserve">.  </w:t>
      </w:r>
      <w:r w:rsidRPr="00595C75">
        <w:rPr>
          <w:color w:val="auto"/>
          <w:lang w:val="es-MX"/>
        </w:rPr>
        <w:t>Obligaciones financieras respecto al PIB</w:t>
      </w:r>
      <w:bookmarkEnd w:id="227"/>
    </w:p>
    <w:tbl>
      <w:tblPr>
        <w:tblStyle w:val="Tablaconcuadrcula"/>
        <w:tblW w:w="9520" w:type="dxa"/>
        <w:jc w:val="center"/>
        <w:tblBorders>
          <w:top w:val="none" w:sz="0" w:space="0" w:color="auto"/>
          <w:left w:val="none" w:sz="0" w:space="0" w:color="auto"/>
          <w:bottom w:val="none" w:sz="0" w:space="0" w:color="auto"/>
          <w:right w:val="none" w:sz="0" w:space="0" w:color="auto"/>
          <w:insideH w:val="none" w:sz="0" w:space="0" w:color="auto"/>
        </w:tblBorders>
        <w:tblCellMar>
          <w:left w:w="70" w:type="dxa"/>
          <w:right w:w="70" w:type="dxa"/>
        </w:tblCellMar>
        <w:tblLook w:val="04A0" w:firstRow="1" w:lastRow="0" w:firstColumn="1" w:lastColumn="0" w:noHBand="0" w:noVBand="1"/>
      </w:tblPr>
      <w:tblGrid>
        <w:gridCol w:w="4760"/>
        <w:gridCol w:w="4760"/>
      </w:tblGrid>
      <w:tr w:rsidR="000879C2" w14:paraId="74178BF0" w14:textId="77777777" w:rsidTr="00474830">
        <w:trPr>
          <w:trHeight w:val="3840"/>
          <w:jc w:val="center"/>
        </w:trPr>
        <w:tc>
          <w:tcPr>
            <w:tcW w:w="4760" w:type="dxa"/>
          </w:tcPr>
          <w:p w14:paraId="5E2F4192" w14:textId="333140B6" w:rsidR="000879C2" w:rsidRDefault="007E2DE4" w:rsidP="00C43CBD">
            <w:pPr>
              <w:autoSpaceDE w:val="0"/>
              <w:autoSpaceDN w:val="0"/>
              <w:adjustRightInd w:val="0"/>
              <w:jc w:val="both"/>
              <w:rPr>
                <w:rFonts w:eastAsia="Calibri"/>
                <w:sz w:val="24"/>
                <w:lang w:eastAsia="en-US"/>
              </w:rPr>
            </w:pPr>
            <w:r>
              <w:rPr>
                <w:noProof/>
              </w:rPr>
              <w:drawing>
                <wp:inline distT="0" distB="0" distL="0" distR="0" wp14:anchorId="038C461C" wp14:editId="1AEB627E">
                  <wp:extent cx="2926080" cy="2553419"/>
                  <wp:effectExtent l="0" t="0" r="7620" b="0"/>
                  <wp:docPr id="94" name="Gráfico 94">
                    <a:extLst xmlns:a="http://schemas.openxmlformats.org/drawingml/2006/main">
                      <a:ext uri="{FF2B5EF4-FFF2-40B4-BE49-F238E27FC236}">
                        <a16:creationId xmlns:a16="http://schemas.microsoft.com/office/drawing/2014/main" id="{F71CA7A9-FF00-F307-D098-A7777EA08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4760" w:type="dxa"/>
          </w:tcPr>
          <w:p w14:paraId="55F35BDA" w14:textId="446AA810" w:rsidR="000879C2" w:rsidRDefault="007E2DE4" w:rsidP="00752074">
            <w:pPr>
              <w:autoSpaceDE w:val="0"/>
              <w:autoSpaceDN w:val="0"/>
              <w:adjustRightInd w:val="0"/>
              <w:rPr>
                <w:rFonts w:eastAsia="Calibri"/>
                <w:sz w:val="24"/>
                <w:lang w:eastAsia="en-US"/>
              </w:rPr>
            </w:pPr>
            <w:r>
              <w:rPr>
                <w:noProof/>
              </w:rPr>
              <w:drawing>
                <wp:inline distT="0" distB="0" distL="0" distR="0" wp14:anchorId="4ABE440E" wp14:editId="43BDECB0">
                  <wp:extent cx="2926080" cy="2553335"/>
                  <wp:effectExtent l="0" t="0" r="7620" b="0"/>
                  <wp:docPr id="93" name="Gráfico 93">
                    <a:extLst xmlns:a="http://schemas.openxmlformats.org/drawingml/2006/main">
                      <a:ext uri="{FF2B5EF4-FFF2-40B4-BE49-F238E27FC236}">
                        <a16:creationId xmlns:a16="http://schemas.microsoft.com/office/drawing/2014/main" id="{4A65555C-BAF9-4339-9C45-842BB8F33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14:paraId="76FC82CB" w14:textId="77777777" w:rsidR="00474830" w:rsidRPr="00706DBC" w:rsidRDefault="00474830" w:rsidP="00474830">
      <w:pPr>
        <w:ind w:left="567"/>
        <w:jc w:val="both"/>
        <w:rPr>
          <w:rFonts w:eastAsia="Calibri"/>
          <w:sz w:val="16"/>
        </w:rPr>
      </w:pPr>
      <w:r w:rsidRPr="00706DBC">
        <w:rPr>
          <w:rFonts w:eastAsia="Calibri"/>
          <w:sz w:val="16"/>
        </w:rPr>
        <w:t>Fuente: Sicoin.</w:t>
      </w:r>
    </w:p>
    <w:p w14:paraId="005F2C33" w14:textId="77777777" w:rsidR="000879C2" w:rsidRDefault="000879C2" w:rsidP="000879C2">
      <w:pPr>
        <w:jc w:val="both"/>
      </w:pPr>
    </w:p>
    <w:p w14:paraId="57B117B9" w14:textId="19F4A5FB" w:rsidR="00A165F6" w:rsidRDefault="00A165F6" w:rsidP="002846D1">
      <w:pPr>
        <w:pStyle w:val="Prrafodelista"/>
        <w:jc w:val="both"/>
      </w:pPr>
    </w:p>
    <w:p w14:paraId="59905477" w14:textId="77777777" w:rsidR="001A37CA" w:rsidRDefault="001A37CA" w:rsidP="002846D1">
      <w:pPr>
        <w:pStyle w:val="Prrafodelista"/>
        <w:jc w:val="both"/>
      </w:pPr>
    </w:p>
    <w:p w14:paraId="135AE835" w14:textId="74B204A9" w:rsidR="001120A2" w:rsidRPr="00A77EE7" w:rsidRDefault="001120A2" w:rsidP="004C44BD">
      <w:pPr>
        <w:pStyle w:val="Ttulo1"/>
        <w:numPr>
          <w:ilvl w:val="0"/>
          <w:numId w:val="5"/>
        </w:numPr>
        <w:ind w:left="426"/>
        <w:jc w:val="left"/>
        <w:rPr>
          <w:color w:val="auto"/>
          <w:sz w:val="24"/>
          <w:szCs w:val="28"/>
        </w:rPr>
      </w:pPr>
      <w:bookmarkStart w:id="228" w:name="_Toc114495273"/>
      <w:r w:rsidRPr="00A77EE7">
        <w:rPr>
          <w:color w:val="auto"/>
          <w:sz w:val="24"/>
          <w:szCs w:val="28"/>
        </w:rPr>
        <w:t>Riesgos asociados a los sistemas previsionales</w:t>
      </w:r>
      <w:bookmarkEnd w:id="228"/>
    </w:p>
    <w:p w14:paraId="129B53F3" w14:textId="77777777" w:rsidR="00A77EE7" w:rsidRDefault="00A77EE7" w:rsidP="001120A2">
      <w:pPr>
        <w:jc w:val="both"/>
      </w:pPr>
    </w:p>
    <w:p w14:paraId="218AFCD7" w14:textId="5D0B391F" w:rsidR="001120A2" w:rsidRDefault="001120A2" w:rsidP="001120A2">
      <w:pPr>
        <w:jc w:val="both"/>
      </w:pPr>
      <w:r>
        <w:t>En las últimas décadas ha existido un aumento de la esperanza de vida debido al aumento de los ingresos, los avances en medicina y el incremento de cobertura de los sistemas de salud públicos. No obstante, dado que las tasas de fertilidad han disminuido, estos hechos combinados han generado presiones sobre los sistemas pensionarios de cada país, al aumentar la cantidad de beneficiarios y disminuir el número de los contribuyentes. Lo anterior se debe a que estos sistemas fueron diseñados en años en los cuales el bono demográfico era alto.</w:t>
      </w:r>
    </w:p>
    <w:p w14:paraId="0CC0E552" w14:textId="77777777" w:rsidR="00EC2C09" w:rsidRDefault="00EC2C09" w:rsidP="001120A2">
      <w:pPr>
        <w:jc w:val="both"/>
      </w:pPr>
    </w:p>
    <w:p w14:paraId="6C1297CC" w14:textId="65F896DF" w:rsidR="001120A2" w:rsidRDefault="001120A2" w:rsidP="001120A2">
      <w:pPr>
        <w:jc w:val="both"/>
      </w:pPr>
      <w:r>
        <w:t>Guatemala es un país que tiene una población joven en comparación con otros países, la población mayor de 60 años representa el 7.1% del total. Sin embargo, se espera que para el 2042 esta proporción aumente a 11.5%, lo cual se traduce en un aumento en el pago de beneficios a esta población y el riesgo fiscal asociado al pasivo pensionario.</w:t>
      </w:r>
    </w:p>
    <w:p w14:paraId="235A30CD" w14:textId="77777777" w:rsidR="00A77EE7" w:rsidRDefault="00A77EE7" w:rsidP="001120A2">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120A2" w14:paraId="2E0E4ED9" w14:textId="77777777" w:rsidTr="00ED483A">
        <w:tc>
          <w:tcPr>
            <w:tcW w:w="8828" w:type="dxa"/>
            <w:gridSpan w:val="2"/>
          </w:tcPr>
          <w:p w14:paraId="20566931" w14:textId="2BF05931" w:rsidR="001120A2" w:rsidRPr="00A77EE7" w:rsidRDefault="00A77EE7" w:rsidP="00A77EE7">
            <w:pPr>
              <w:pStyle w:val="Descripcin"/>
              <w:keepNext/>
              <w:rPr>
                <w:sz w:val="24"/>
                <w:szCs w:val="24"/>
              </w:rPr>
            </w:pPr>
            <w:bookmarkStart w:id="229" w:name="_Toc114493904"/>
            <w:r w:rsidRPr="00A77EE7">
              <w:rPr>
                <w:color w:val="auto"/>
                <w:sz w:val="24"/>
                <w:szCs w:val="24"/>
              </w:rPr>
              <w:t xml:space="preserve">Gráfico </w:t>
            </w:r>
            <w:r w:rsidRPr="00A77EE7">
              <w:rPr>
                <w:color w:val="auto"/>
              </w:rPr>
              <w:fldChar w:fldCharType="begin"/>
            </w:r>
            <w:r w:rsidRPr="00A77EE7">
              <w:rPr>
                <w:color w:val="auto"/>
                <w:sz w:val="24"/>
                <w:szCs w:val="24"/>
              </w:rPr>
              <w:instrText xml:space="preserve"> SEQ Gráfico \* ARABIC </w:instrText>
            </w:r>
            <w:r w:rsidRPr="00A77EE7">
              <w:rPr>
                <w:color w:val="auto"/>
              </w:rPr>
              <w:fldChar w:fldCharType="separate"/>
            </w:r>
            <w:r w:rsidR="002E7809">
              <w:rPr>
                <w:noProof/>
                <w:color w:val="auto"/>
                <w:sz w:val="24"/>
                <w:szCs w:val="24"/>
              </w:rPr>
              <w:t>62</w:t>
            </w:r>
            <w:r w:rsidRPr="00A77EE7">
              <w:rPr>
                <w:color w:val="auto"/>
              </w:rPr>
              <w:fldChar w:fldCharType="end"/>
            </w:r>
            <w:r w:rsidRPr="00A77EE7">
              <w:rPr>
                <w:color w:val="auto"/>
                <w:sz w:val="24"/>
                <w:szCs w:val="24"/>
              </w:rPr>
              <w:t xml:space="preserve">.  </w:t>
            </w:r>
            <w:r w:rsidR="001120A2" w:rsidRPr="00A77EE7">
              <w:rPr>
                <w:bCs/>
                <w:color w:val="auto"/>
                <w:sz w:val="24"/>
                <w:szCs w:val="24"/>
              </w:rPr>
              <w:t>Perspectivas de la estructura porcentual de la población por grupo etario.</w:t>
            </w:r>
            <w:bookmarkEnd w:id="229"/>
          </w:p>
        </w:tc>
      </w:tr>
      <w:tr w:rsidR="001120A2" w14:paraId="325077CB" w14:textId="77777777" w:rsidTr="00ED483A">
        <w:tc>
          <w:tcPr>
            <w:tcW w:w="4414" w:type="dxa"/>
          </w:tcPr>
          <w:p w14:paraId="75F3B0B2" w14:textId="77777777" w:rsidR="001120A2" w:rsidRPr="00E30929" w:rsidRDefault="001120A2" w:rsidP="00ED483A">
            <w:pPr>
              <w:jc w:val="center"/>
              <w:rPr>
                <w:b/>
                <w:bCs/>
              </w:rPr>
            </w:pPr>
            <w:r w:rsidRPr="00E30929">
              <w:rPr>
                <w:b/>
                <w:bCs/>
              </w:rPr>
              <w:t>2022</w:t>
            </w:r>
          </w:p>
        </w:tc>
        <w:tc>
          <w:tcPr>
            <w:tcW w:w="4414" w:type="dxa"/>
          </w:tcPr>
          <w:p w14:paraId="20CEA303" w14:textId="77777777" w:rsidR="001120A2" w:rsidRPr="00E30929" w:rsidRDefault="001120A2" w:rsidP="00ED483A">
            <w:pPr>
              <w:jc w:val="center"/>
              <w:rPr>
                <w:b/>
                <w:bCs/>
              </w:rPr>
            </w:pPr>
            <w:r w:rsidRPr="00E30929">
              <w:rPr>
                <w:b/>
                <w:bCs/>
              </w:rPr>
              <w:t>2042</w:t>
            </w:r>
          </w:p>
        </w:tc>
      </w:tr>
      <w:tr w:rsidR="001120A2" w14:paraId="07B0FE67" w14:textId="77777777" w:rsidTr="00ED483A">
        <w:tblPrEx>
          <w:tblCellMar>
            <w:left w:w="70" w:type="dxa"/>
            <w:right w:w="70" w:type="dxa"/>
          </w:tblCellMar>
        </w:tblPrEx>
        <w:trPr>
          <w:trHeight w:val="2537"/>
        </w:trPr>
        <w:tc>
          <w:tcPr>
            <w:tcW w:w="4414" w:type="dxa"/>
          </w:tcPr>
          <w:p w14:paraId="54106815" w14:textId="77777777" w:rsidR="001120A2" w:rsidRDefault="001120A2" w:rsidP="00ED483A">
            <w:pPr>
              <w:jc w:val="center"/>
              <w:rPr>
                <w:sz w:val="24"/>
                <w:szCs w:val="24"/>
              </w:rPr>
            </w:pPr>
            <w:r>
              <w:rPr>
                <w:noProof/>
              </w:rPr>
              <w:drawing>
                <wp:inline distT="0" distB="0" distL="0" distR="0" wp14:anchorId="3744B859" wp14:editId="2325B245">
                  <wp:extent cx="2519680" cy="1676400"/>
                  <wp:effectExtent l="0" t="0" r="0" b="0"/>
                  <wp:docPr id="53" name="Gráfico 53">
                    <a:extLst xmlns:a="http://schemas.openxmlformats.org/drawingml/2006/main">
                      <a:ext uri="{FF2B5EF4-FFF2-40B4-BE49-F238E27FC236}">
                        <a16:creationId xmlns:a16="http://schemas.microsoft.com/office/drawing/2014/main" id="{D93A5597-A871-486E-87CF-F3BDF1345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4414" w:type="dxa"/>
          </w:tcPr>
          <w:p w14:paraId="1475D675" w14:textId="77777777" w:rsidR="001120A2" w:rsidRDefault="001120A2" w:rsidP="00ED483A">
            <w:pPr>
              <w:rPr>
                <w:sz w:val="24"/>
                <w:szCs w:val="24"/>
              </w:rPr>
            </w:pPr>
            <w:r>
              <w:rPr>
                <w:noProof/>
              </w:rPr>
              <w:drawing>
                <wp:inline distT="0" distB="0" distL="0" distR="0" wp14:anchorId="4115BF8D" wp14:editId="7FB390D8">
                  <wp:extent cx="2519680" cy="1676400"/>
                  <wp:effectExtent l="0" t="0" r="0" b="0"/>
                  <wp:docPr id="54" name="Gráfico 54">
                    <a:extLst xmlns:a="http://schemas.openxmlformats.org/drawingml/2006/main">
                      <a:ext uri="{FF2B5EF4-FFF2-40B4-BE49-F238E27FC236}">
                        <a16:creationId xmlns:a16="http://schemas.microsoft.com/office/drawing/2014/main" id="{5944B87A-C8EF-484A-88D9-47967A9B2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1120A2" w14:paraId="5BD6897F" w14:textId="77777777" w:rsidTr="00ED483A">
        <w:tc>
          <w:tcPr>
            <w:tcW w:w="8828" w:type="dxa"/>
            <w:gridSpan w:val="2"/>
          </w:tcPr>
          <w:p w14:paraId="2C1C7C3A" w14:textId="77777777" w:rsidR="001120A2" w:rsidRPr="00E30929" w:rsidRDefault="001120A2" w:rsidP="00ED483A">
            <w:r w:rsidRPr="00030099">
              <w:rPr>
                <w:sz w:val="16"/>
              </w:rPr>
              <w:t>Fuente: Naciones Unidas, Perspectivas de la población Mundial 2022</w:t>
            </w:r>
          </w:p>
        </w:tc>
      </w:tr>
    </w:tbl>
    <w:p w14:paraId="5065B177" w14:textId="77777777" w:rsidR="001120A2" w:rsidRDefault="001120A2" w:rsidP="001120A2">
      <w:pPr>
        <w:pStyle w:val="Default"/>
        <w:jc w:val="both"/>
        <w:rPr>
          <w:rFonts w:ascii="Times New Roman" w:hAnsi="Times New Roman" w:cs="Times New Roman"/>
        </w:rPr>
      </w:pPr>
    </w:p>
    <w:p w14:paraId="68560462" w14:textId="075291D0" w:rsidR="001120A2" w:rsidRDefault="001120A2" w:rsidP="001120A2">
      <w:pPr>
        <w:pStyle w:val="Default"/>
        <w:jc w:val="both"/>
        <w:rPr>
          <w:rFonts w:ascii="Times New Roman" w:hAnsi="Times New Roman" w:cs="Times New Roman"/>
        </w:rPr>
      </w:pPr>
      <w:r>
        <w:rPr>
          <w:rFonts w:ascii="Times New Roman" w:hAnsi="Times New Roman" w:cs="Times New Roman"/>
        </w:rPr>
        <w:t>Por lo que en este apartado se realizará un análisis situacional y se presentarán escenarios futuros de dos de los principales sistemas de pensionarios de Guatemala que incluyen al Régimen de Clases Pasivas del Estado de la Oficina Nacional de Servicio C</w:t>
      </w:r>
      <w:r w:rsidR="00EC2C09">
        <w:rPr>
          <w:rFonts w:ascii="Times New Roman" w:hAnsi="Times New Roman" w:cs="Times New Roman"/>
        </w:rPr>
        <w:t>ivil</w:t>
      </w:r>
      <w:r>
        <w:rPr>
          <w:rFonts w:ascii="Times New Roman" w:hAnsi="Times New Roman" w:cs="Times New Roman"/>
        </w:rPr>
        <w:t xml:space="preserve"> -ONSEC- y el programa de Invalidez, Vejez y Sobrevivencia del Estado del IVS del Instituto Guatemalteco de Seguridad Social -IGSS-.</w:t>
      </w:r>
    </w:p>
    <w:p w14:paraId="46F321DB" w14:textId="77777777" w:rsidR="001120A2" w:rsidRPr="001353E7" w:rsidRDefault="001120A2" w:rsidP="001120A2">
      <w:pPr>
        <w:pStyle w:val="Default"/>
        <w:rPr>
          <w:rFonts w:ascii="Times New Roman" w:hAnsi="Times New Roman" w:cs="Times New Roman"/>
        </w:rPr>
      </w:pPr>
    </w:p>
    <w:p w14:paraId="7866AADE" w14:textId="5BCA1EB8" w:rsidR="001120A2" w:rsidRPr="00030099" w:rsidRDefault="001120A2" w:rsidP="00A9708A">
      <w:pPr>
        <w:pStyle w:val="Ttulo1"/>
        <w:numPr>
          <w:ilvl w:val="1"/>
          <w:numId w:val="5"/>
        </w:numPr>
        <w:ind w:left="567" w:right="49" w:hanging="283"/>
        <w:jc w:val="both"/>
        <w:rPr>
          <w:color w:val="auto"/>
          <w:sz w:val="24"/>
        </w:rPr>
      </w:pPr>
      <w:bookmarkStart w:id="230" w:name="_Toc110522951"/>
      <w:bookmarkStart w:id="231" w:name="_Toc114066655"/>
      <w:bookmarkStart w:id="232" w:name="_Toc114473977"/>
      <w:bookmarkStart w:id="233" w:name="_Toc114476024"/>
      <w:bookmarkStart w:id="234" w:name="_Toc114476131"/>
      <w:bookmarkStart w:id="235" w:name="_Toc114476217"/>
      <w:bookmarkStart w:id="236" w:name="_Toc114476284"/>
      <w:bookmarkStart w:id="237" w:name="_Toc114476357"/>
      <w:bookmarkStart w:id="238" w:name="_Toc114495274"/>
      <w:bookmarkEnd w:id="230"/>
      <w:bookmarkEnd w:id="231"/>
      <w:bookmarkEnd w:id="232"/>
      <w:bookmarkEnd w:id="233"/>
      <w:bookmarkEnd w:id="234"/>
      <w:bookmarkEnd w:id="235"/>
      <w:bookmarkEnd w:id="236"/>
      <w:bookmarkEnd w:id="237"/>
      <w:r w:rsidRPr="00030099">
        <w:rPr>
          <w:color w:val="auto"/>
          <w:sz w:val="24"/>
        </w:rPr>
        <w:t>Régimen de Clases Pasivas del Estado</w:t>
      </w:r>
      <w:bookmarkEnd w:id="238"/>
    </w:p>
    <w:p w14:paraId="634048E0" w14:textId="77777777" w:rsidR="00030099" w:rsidRDefault="00030099" w:rsidP="001120A2">
      <w:pPr>
        <w:jc w:val="both"/>
      </w:pPr>
    </w:p>
    <w:p w14:paraId="15B5FE76" w14:textId="50AD649D" w:rsidR="001120A2" w:rsidRDefault="001120A2" w:rsidP="001120A2">
      <w:pPr>
        <w:jc w:val="both"/>
      </w:pPr>
      <w:r>
        <w:t xml:space="preserve">Este régimen se administra en base a la Ley de Clases Pasivas Civiles del Estado (Decreto 63-88 y sus reformas) y a su Reglamento (Acuerdo Gubernativo 1220-88). El Régimen ofrece a sus afiliados pensiones por jubilación, invalidez y sobrevivencia (viudez, orfandad, etc.). El sistema de </w:t>
      </w:r>
      <w:r w:rsidR="00736013">
        <w:t>pensiones</w:t>
      </w:r>
      <w:r>
        <w:t xml:space="preserve"> es de reparto dado que las pensiones son pagadas con los recursos generados de forma corriente por los contribuyentes y por el aporte patronal, y es un sistema de beneficios (prestaciones) definidos debido a que su tasa de reemplazo se fija a partir de derechos adquiridos a través de los años de servicio prestados y con una base pensionaria por el historial salarial, estos beneficios actualmente tienen un tope máximo de Q5,370.0.</w:t>
      </w:r>
    </w:p>
    <w:p w14:paraId="0A9C3568" w14:textId="77777777" w:rsidR="00030099" w:rsidRDefault="00030099" w:rsidP="001120A2">
      <w:pPr>
        <w:jc w:val="both"/>
      </w:pPr>
    </w:p>
    <w:p w14:paraId="01EFB96E" w14:textId="1FFF03B8" w:rsidR="001120A2" w:rsidRDefault="001120A2" w:rsidP="001120A2">
      <w:pPr>
        <w:jc w:val="both"/>
      </w:pPr>
      <w:r>
        <w:t>La cobertura del régimen es de forma obligatoria para algunas entidades de gobierno central presupuestario y de forma opcional descentralizadas y autónomas, siempre que la entidad esté inscrita al régimen y realice un aporte patronal de al menos el 10% de las remuneraciones. Los requisitos para obtener el derecho voluntario son haber realizado 20 años de servicio a cualquier edad o 10 o más años de servicio a los 50 años y el derecho obligatorio es haber cumplido 65 años y haber cumplido 10 años de servicio.</w:t>
      </w:r>
    </w:p>
    <w:p w14:paraId="153E639E" w14:textId="77777777" w:rsidR="00030099" w:rsidRDefault="00030099" w:rsidP="001120A2">
      <w:pPr>
        <w:jc w:val="both"/>
      </w:pPr>
    </w:p>
    <w:p w14:paraId="64A96C27" w14:textId="77777777" w:rsidR="001120A2" w:rsidRPr="00030099" w:rsidRDefault="001120A2" w:rsidP="00A9708A">
      <w:pPr>
        <w:pStyle w:val="Ttulo1"/>
        <w:numPr>
          <w:ilvl w:val="2"/>
          <w:numId w:val="5"/>
        </w:numPr>
        <w:ind w:left="851" w:right="49" w:hanging="284"/>
        <w:jc w:val="both"/>
        <w:rPr>
          <w:color w:val="auto"/>
          <w:sz w:val="24"/>
        </w:rPr>
      </w:pPr>
      <w:bookmarkStart w:id="239" w:name="_Toc114495275"/>
      <w:r w:rsidRPr="00030099">
        <w:rPr>
          <w:color w:val="auto"/>
          <w:sz w:val="24"/>
        </w:rPr>
        <w:t>Afiliados y beneficiarios del Régimen</w:t>
      </w:r>
      <w:bookmarkEnd w:id="239"/>
      <w:r w:rsidRPr="00030099">
        <w:rPr>
          <w:color w:val="auto"/>
          <w:sz w:val="24"/>
        </w:rPr>
        <w:t xml:space="preserve"> </w:t>
      </w:r>
    </w:p>
    <w:p w14:paraId="31E0B35A" w14:textId="77777777" w:rsidR="00030099" w:rsidRDefault="00030099" w:rsidP="001120A2">
      <w:pPr>
        <w:jc w:val="both"/>
      </w:pPr>
    </w:p>
    <w:p w14:paraId="52A7010A" w14:textId="73B1BFBC" w:rsidR="001120A2" w:rsidRDefault="001120A2" w:rsidP="001120A2">
      <w:pPr>
        <w:jc w:val="both"/>
      </w:pPr>
      <w:r>
        <w:t>El Régimen de Clases pasivas no cuenta con una base de datos propia, por lo que se realizó una aproximación con la información proporcionada por el estudio actuarial de ONSEC del presente año, en el cual se utilizó información de la nómina del MINFIN a septiembre de 2021 y de otras instituciones. En el caso de los afiliados por nómina se consideró su código de empleado como identificador único y del personal de renglón 031 se tomó el 30.0% que se ha identificado que es promedio de jornales que contribuye al Régimen.</w:t>
      </w:r>
    </w:p>
    <w:p w14:paraId="0515865D" w14:textId="77777777" w:rsidR="00030099" w:rsidRDefault="00030099" w:rsidP="001120A2">
      <w:pPr>
        <w:jc w:val="both"/>
      </w:pPr>
    </w:p>
    <w:p w14:paraId="6BDFCA8D" w14:textId="415C6EEC" w:rsidR="001120A2" w:rsidRDefault="001120A2" w:rsidP="001120A2">
      <w:pPr>
        <w:jc w:val="both"/>
      </w:pPr>
      <w:r>
        <w:t>De lo anterior se aproxima que en 2021 los afiliados al régimen son 2</w:t>
      </w:r>
      <w:r w:rsidR="00DF2195">
        <w:t>40</w:t>
      </w:r>
      <w:r>
        <w:t>,4</w:t>
      </w:r>
      <w:r w:rsidR="00DF2195">
        <w:t>91</w:t>
      </w:r>
      <w:r>
        <w:t xml:space="preserve"> empleados, de los cuales el 53.</w:t>
      </w:r>
      <w:r w:rsidR="00DF2195">
        <w:t>0</w:t>
      </w:r>
      <w:r>
        <w:t>% pertenecen a MINEDUC, 18.</w:t>
      </w:r>
      <w:r w:rsidR="00DF2195">
        <w:t>7</w:t>
      </w:r>
      <w:r>
        <w:t>% a MINGOB, 11.</w:t>
      </w:r>
      <w:r w:rsidR="00DF2195">
        <w:t>8</w:t>
      </w:r>
      <w:r>
        <w:t>% a MSPAS, 7.8% de otros empleados registrados en nómina que corresponde a otras entidades de gobierno y 8.</w:t>
      </w:r>
      <w:r w:rsidR="00DF2195">
        <w:t>6</w:t>
      </w:r>
      <w:r>
        <w:t xml:space="preserve">% de los empleados que no están registrados en nóminas que incluyen personal de entidades descentralizadas y autónomas, como el Organismo Judicial, Tribunal Supremo Electoral, Comisiones, Secretarías, entre otras Entidades. </w:t>
      </w:r>
    </w:p>
    <w:p w14:paraId="33CFDA48" w14:textId="2E153E2C" w:rsidR="00030099" w:rsidRDefault="00030099" w:rsidP="001120A2">
      <w:pPr>
        <w:jc w:val="both"/>
      </w:pPr>
    </w:p>
    <w:p w14:paraId="036A6EF9" w14:textId="38516149" w:rsidR="001120A2" w:rsidRDefault="001120A2" w:rsidP="001120A2">
      <w:pPr>
        <w:jc w:val="both"/>
      </w:pPr>
      <w:r>
        <w:t>La edad promedio ponderada de los afiliados que están registrados en la nómina es de 40.7 años, esto dado que el 11.5% se encuentra entre la edad mínima para trabajar hasta 29 años, el 69.0% de 30 a 39 años, 19.4% de 50 a 59 años y únicamente el 5.9% de 60 o más. Por otro lado, se observa que en promedio MINEDUC posee un mayor salario promedio y MINGOB el menor.</w:t>
      </w:r>
    </w:p>
    <w:p w14:paraId="63D0814A" w14:textId="178B935A" w:rsidR="008F48D5" w:rsidRDefault="008F48D5" w:rsidP="001120A2">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947"/>
        <w:gridCol w:w="2947"/>
      </w:tblGrid>
      <w:tr w:rsidR="001120A2" w14:paraId="64F14127" w14:textId="77777777" w:rsidTr="00ED483A">
        <w:trPr>
          <w:trHeight w:val="190"/>
        </w:trPr>
        <w:tc>
          <w:tcPr>
            <w:tcW w:w="8838" w:type="dxa"/>
            <w:gridSpan w:val="3"/>
          </w:tcPr>
          <w:p w14:paraId="253001BA" w14:textId="63E5F218" w:rsidR="001120A2" w:rsidRPr="00030099" w:rsidRDefault="00030099" w:rsidP="00030099">
            <w:pPr>
              <w:pStyle w:val="Descripcin"/>
              <w:keepNext/>
              <w:rPr>
                <w:sz w:val="24"/>
                <w:szCs w:val="24"/>
              </w:rPr>
            </w:pPr>
            <w:bookmarkStart w:id="240" w:name="_Toc114493905"/>
            <w:r w:rsidRPr="00030099">
              <w:rPr>
                <w:color w:val="auto"/>
                <w:sz w:val="24"/>
                <w:szCs w:val="24"/>
              </w:rPr>
              <w:t xml:space="preserve">Gráfico </w:t>
            </w:r>
            <w:r w:rsidRPr="00030099">
              <w:rPr>
                <w:color w:val="auto"/>
              </w:rPr>
              <w:fldChar w:fldCharType="begin"/>
            </w:r>
            <w:r w:rsidRPr="00030099">
              <w:rPr>
                <w:color w:val="auto"/>
                <w:sz w:val="24"/>
                <w:szCs w:val="24"/>
              </w:rPr>
              <w:instrText xml:space="preserve"> SEQ Gráfico \* ARABIC </w:instrText>
            </w:r>
            <w:r w:rsidRPr="00030099">
              <w:rPr>
                <w:color w:val="auto"/>
              </w:rPr>
              <w:fldChar w:fldCharType="separate"/>
            </w:r>
            <w:r w:rsidR="002E7809">
              <w:rPr>
                <w:noProof/>
                <w:color w:val="auto"/>
                <w:sz w:val="24"/>
                <w:szCs w:val="24"/>
              </w:rPr>
              <w:t>63</w:t>
            </w:r>
            <w:r w:rsidRPr="00030099">
              <w:rPr>
                <w:color w:val="auto"/>
              </w:rPr>
              <w:fldChar w:fldCharType="end"/>
            </w:r>
            <w:r w:rsidRPr="00030099">
              <w:rPr>
                <w:color w:val="auto"/>
                <w:sz w:val="24"/>
                <w:szCs w:val="24"/>
              </w:rPr>
              <w:t xml:space="preserve">.  </w:t>
            </w:r>
            <w:r w:rsidR="001120A2" w:rsidRPr="00030099">
              <w:rPr>
                <w:bCs/>
                <w:color w:val="auto"/>
                <w:sz w:val="24"/>
                <w:szCs w:val="24"/>
              </w:rPr>
              <w:t>Afiliados al Régimen de Clases Pasivas en 2021</w:t>
            </w:r>
            <w:bookmarkEnd w:id="240"/>
          </w:p>
          <w:p w14:paraId="3DBF0A0C" w14:textId="77777777" w:rsidR="001120A2" w:rsidRPr="0016291F" w:rsidRDefault="001120A2" w:rsidP="00ED483A">
            <w:pPr>
              <w:jc w:val="center"/>
              <w:rPr>
                <w:b/>
                <w:bCs/>
                <w:sz w:val="10"/>
                <w:szCs w:val="10"/>
              </w:rPr>
            </w:pPr>
          </w:p>
        </w:tc>
      </w:tr>
      <w:tr w:rsidR="001120A2" w14:paraId="162DB0A7" w14:textId="77777777" w:rsidTr="00EC35BC">
        <w:tc>
          <w:tcPr>
            <w:tcW w:w="2944" w:type="dxa"/>
          </w:tcPr>
          <w:p w14:paraId="165D6A5C" w14:textId="77777777" w:rsidR="001120A2" w:rsidRPr="0016291F" w:rsidRDefault="001120A2" w:rsidP="00ED483A">
            <w:pPr>
              <w:jc w:val="center"/>
              <w:rPr>
                <w:b/>
                <w:bCs/>
                <w:color w:val="2F5496" w:themeColor="accent1" w:themeShade="BF"/>
              </w:rPr>
            </w:pPr>
            <w:r w:rsidRPr="0016291F">
              <w:rPr>
                <w:b/>
                <w:bCs/>
                <w:color w:val="2F5496" w:themeColor="accent1" w:themeShade="BF"/>
              </w:rPr>
              <w:t>Afiliados por Entidad</w:t>
            </w:r>
          </w:p>
        </w:tc>
        <w:tc>
          <w:tcPr>
            <w:tcW w:w="2947" w:type="dxa"/>
          </w:tcPr>
          <w:p w14:paraId="18C60232" w14:textId="77777777" w:rsidR="001120A2" w:rsidRPr="0016291F" w:rsidRDefault="001120A2" w:rsidP="00ED483A">
            <w:pPr>
              <w:jc w:val="center"/>
              <w:rPr>
                <w:b/>
                <w:bCs/>
                <w:color w:val="2F5496" w:themeColor="accent1" w:themeShade="BF"/>
              </w:rPr>
            </w:pPr>
            <w:r w:rsidRPr="0016291F">
              <w:rPr>
                <w:b/>
                <w:bCs/>
                <w:color w:val="2F5496" w:themeColor="accent1" w:themeShade="BF"/>
              </w:rPr>
              <w:t>Estructura porcentual de los afiliados (porcentaje)</w:t>
            </w:r>
          </w:p>
        </w:tc>
        <w:tc>
          <w:tcPr>
            <w:tcW w:w="2947" w:type="dxa"/>
          </w:tcPr>
          <w:p w14:paraId="7F4F0988" w14:textId="77777777" w:rsidR="001120A2" w:rsidRPr="0016291F" w:rsidRDefault="001120A2" w:rsidP="00ED483A">
            <w:pPr>
              <w:jc w:val="center"/>
              <w:rPr>
                <w:b/>
                <w:bCs/>
                <w:color w:val="2F5496" w:themeColor="accent1" w:themeShade="BF"/>
              </w:rPr>
            </w:pPr>
            <w:r w:rsidRPr="0016291F">
              <w:rPr>
                <w:b/>
                <w:bCs/>
                <w:color w:val="2F5496" w:themeColor="accent1" w:themeShade="BF"/>
              </w:rPr>
              <w:t>Salario promedio de los afiliados (miles)</w:t>
            </w:r>
          </w:p>
        </w:tc>
      </w:tr>
      <w:tr w:rsidR="001120A2" w14:paraId="569F23B4" w14:textId="77777777" w:rsidTr="00EC35BC">
        <w:tblPrEx>
          <w:tblCellMar>
            <w:left w:w="70" w:type="dxa"/>
            <w:right w:w="70" w:type="dxa"/>
          </w:tblCellMar>
        </w:tblPrEx>
        <w:tc>
          <w:tcPr>
            <w:tcW w:w="2944" w:type="dxa"/>
          </w:tcPr>
          <w:p w14:paraId="71DEAF16" w14:textId="33F7B1C0" w:rsidR="001120A2" w:rsidRDefault="00DF2195" w:rsidP="00ED483A">
            <w:pPr>
              <w:jc w:val="both"/>
              <w:rPr>
                <w:sz w:val="24"/>
                <w:szCs w:val="24"/>
              </w:rPr>
            </w:pPr>
            <w:r>
              <w:rPr>
                <w:noProof/>
              </w:rPr>
              <w:drawing>
                <wp:inline distT="0" distB="0" distL="0" distR="0" wp14:anchorId="406AD6DC" wp14:editId="5DC19408">
                  <wp:extent cx="1798686" cy="1440000"/>
                  <wp:effectExtent l="0" t="0" r="0" b="8255"/>
                  <wp:docPr id="9" name="Gráfico 9">
                    <a:extLst xmlns:a="http://schemas.openxmlformats.org/drawingml/2006/main">
                      <a:ext uri="{FF2B5EF4-FFF2-40B4-BE49-F238E27FC236}">
                        <a16:creationId xmlns:a16="http://schemas.microsoft.com/office/drawing/2014/main" id="{7B37FD01-9897-4751-8A6E-9621786CF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2947" w:type="dxa"/>
          </w:tcPr>
          <w:p w14:paraId="06EFD695" w14:textId="77777777" w:rsidR="001120A2" w:rsidRDefault="001120A2" w:rsidP="00ED483A">
            <w:pPr>
              <w:jc w:val="both"/>
              <w:rPr>
                <w:sz w:val="24"/>
                <w:szCs w:val="24"/>
              </w:rPr>
            </w:pPr>
            <w:r>
              <w:rPr>
                <w:noProof/>
              </w:rPr>
              <w:drawing>
                <wp:inline distT="0" distB="0" distL="0" distR="0" wp14:anchorId="05056CA5" wp14:editId="3FB01E68">
                  <wp:extent cx="1800000" cy="1440000"/>
                  <wp:effectExtent l="0" t="0" r="0" b="8255"/>
                  <wp:docPr id="56" name="Gráfico 56">
                    <a:extLst xmlns:a="http://schemas.openxmlformats.org/drawingml/2006/main">
                      <a:ext uri="{FF2B5EF4-FFF2-40B4-BE49-F238E27FC236}">
                        <a16:creationId xmlns:a16="http://schemas.microsoft.com/office/drawing/2014/main" id="{03D35AF6-58E9-4163-B055-847D92D00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2947" w:type="dxa"/>
          </w:tcPr>
          <w:p w14:paraId="3A07C1B6" w14:textId="77777777" w:rsidR="001120A2" w:rsidRDefault="001120A2" w:rsidP="00ED483A">
            <w:pPr>
              <w:jc w:val="both"/>
              <w:rPr>
                <w:sz w:val="24"/>
                <w:szCs w:val="24"/>
              </w:rPr>
            </w:pPr>
            <w:r>
              <w:rPr>
                <w:noProof/>
              </w:rPr>
              <w:drawing>
                <wp:inline distT="0" distB="0" distL="0" distR="0" wp14:anchorId="0BFDFE41" wp14:editId="7A6D2784">
                  <wp:extent cx="1800000" cy="1440000"/>
                  <wp:effectExtent l="0" t="0" r="0" b="8255"/>
                  <wp:docPr id="57" name="Gráfico 57">
                    <a:extLst xmlns:a="http://schemas.openxmlformats.org/drawingml/2006/main">
                      <a:ext uri="{FF2B5EF4-FFF2-40B4-BE49-F238E27FC236}">
                        <a16:creationId xmlns:a16="http://schemas.microsoft.com/office/drawing/2014/main" id="{25AECE6E-96B2-4D80-8AD3-505D32392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1120A2" w14:paraId="5162400D" w14:textId="77777777" w:rsidTr="00ED483A">
        <w:tc>
          <w:tcPr>
            <w:tcW w:w="8838" w:type="dxa"/>
            <w:gridSpan w:val="3"/>
          </w:tcPr>
          <w:p w14:paraId="3229A042" w14:textId="77777777" w:rsidR="001120A2" w:rsidRPr="00FE367F" w:rsidRDefault="001120A2" w:rsidP="00ED483A">
            <w:pPr>
              <w:jc w:val="both"/>
              <w:rPr>
                <w:sz w:val="16"/>
                <w:szCs w:val="16"/>
              </w:rPr>
            </w:pPr>
            <w:r>
              <w:rPr>
                <w:sz w:val="16"/>
                <w:szCs w:val="16"/>
              </w:rPr>
              <w:t xml:space="preserve">Fuente: </w:t>
            </w:r>
            <w:r w:rsidRPr="00FE367F">
              <w:rPr>
                <w:sz w:val="16"/>
                <w:szCs w:val="16"/>
              </w:rPr>
              <w:t>Elaboración propia con información proporcionada por Servicio Civil</w:t>
            </w:r>
          </w:p>
          <w:p w14:paraId="01F5E516" w14:textId="77777777" w:rsidR="001120A2" w:rsidRPr="000415B6" w:rsidRDefault="001120A2" w:rsidP="00ED483A">
            <w:pPr>
              <w:jc w:val="both"/>
            </w:pPr>
            <w:r w:rsidRPr="00FE367F">
              <w:rPr>
                <w:sz w:val="16"/>
                <w:szCs w:val="16"/>
              </w:rPr>
              <w:t>NM. es el personal del régimen registrado en la nómina de MINFIN y N.NM. son las</w:t>
            </w:r>
            <w:r>
              <w:rPr>
                <w:sz w:val="16"/>
                <w:szCs w:val="16"/>
              </w:rPr>
              <w:t xml:space="preserve"> descentralizadas y autónomas</w:t>
            </w:r>
            <w:r w:rsidRPr="00FE367F">
              <w:rPr>
                <w:sz w:val="16"/>
                <w:szCs w:val="16"/>
              </w:rPr>
              <w:t>.</w:t>
            </w:r>
          </w:p>
        </w:tc>
      </w:tr>
    </w:tbl>
    <w:p w14:paraId="4140225E" w14:textId="77777777" w:rsidR="001120A2" w:rsidRDefault="001120A2" w:rsidP="001120A2">
      <w:pPr>
        <w:jc w:val="both"/>
      </w:pPr>
    </w:p>
    <w:p w14:paraId="5473535A" w14:textId="73A10883" w:rsidR="001120A2" w:rsidRDefault="001120A2" w:rsidP="001120A2">
      <w:pPr>
        <w:jc w:val="both"/>
      </w:pPr>
      <w:r>
        <w:t>En lo que respecta a los pensionados se identifican 108,387 pensionados en 2021 según su nómina, de los cuales el 74.4% tienen pensión civil por jubilación, el 20.0% por pensión civil por sobrevivencia, 2.5% por pensión civil por invalidez, 1.2% de pensiones militares y otro tipo de pensiones 1.8%, las cuales incluyen pensiones especiales, del Banco Nacional de la Vivienda y GUATEL.</w:t>
      </w:r>
    </w:p>
    <w:p w14:paraId="03D08035" w14:textId="77777777" w:rsidR="00C9330B" w:rsidRDefault="00C9330B" w:rsidP="001120A2">
      <w:pPr>
        <w:jc w:val="both"/>
      </w:pPr>
    </w:p>
    <w:p w14:paraId="6751906A" w14:textId="77777777" w:rsidR="001120A2" w:rsidRDefault="001120A2" w:rsidP="001120A2">
      <w:pPr>
        <w:jc w:val="both"/>
      </w:pPr>
      <w:r>
        <w:t xml:space="preserve">Por otro lado, la edad promedio ponderada de los beneficiarios sin incluir la pensión por orfandad es de 66.6 años, esto se debe a que el 1.1% del total tiene 40 años o menos, 25.3% tienen de 41 a 59 años y 73.7% se encuentran entre los 60 años o más. En lo que respecta al salario promedio de la Pensión Civil por Jubilación se encuentra en Q3,585.6, que es mayor a la de los otros tipos de pensión. </w:t>
      </w:r>
    </w:p>
    <w:p w14:paraId="0569399F" w14:textId="77777777" w:rsidR="00846C3D" w:rsidRPr="00AC6A12" w:rsidRDefault="00846C3D" w:rsidP="001120A2">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gridCol w:w="2946"/>
      </w:tblGrid>
      <w:tr w:rsidR="001120A2" w14:paraId="27E1AA60" w14:textId="77777777" w:rsidTr="00ED483A">
        <w:tc>
          <w:tcPr>
            <w:tcW w:w="8828" w:type="dxa"/>
            <w:gridSpan w:val="3"/>
          </w:tcPr>
          <w:p w14:paraId="3F1E21DA" w14:textId="2CA5C1E9" w:rsidR="001120A2" w:rsidRPr="00030099" w:rsidRDefault="00030099" w:rsidP="00030099">
            <w:pPr>
              <w:pStyle w:val="Descripcin"/>
              <w:keepNext/>
              <w:rPr>
                <w:color w:val="auto"/>
                <w:sz w:val="24"/>
                <w:szCs w:val="24"/>
              </w:rPr>
            </w:pPr>
            <w:bookmarkStart w:id="241" w:name="_Toc114493906"/>
            <w:r w:rsidRPr="00030099">
              <w:rPr>
                <w:color w:val="auto"/>
                <w:sz w:val="24"/>
                <w:szCs w:val="24"/>
              </w:rPr>
              <w:t xml:space="preserve">Gráfico </w:t>
            </w:r>
            <w:r w:rsidRPr="00030099">
              <w:rPr>
                <w:color w:val="auto"/>
              </w:rPr>
              <w:fldChar w:fldCharType="begin"/>
            </w:r>
            <w:r w:rsidRPr="00030099">
              <w:rPr>
                <w:color w:val="auto"/>
                <w:sz w:val="24"/>
                <w:szCs w:val="24"/>
              </w:rPr>
              <w:instrText xml:space="preserve"> SEQ Gráfico \* ARABIC </w:instrText>
            </w:r>
            <w:r w:rsidRPr="00030099">
              <w:rPr>
                <w:color w:val="auto"/>
              </w:rPr>
              <w:fldChar w:fldCharType="separate"/>
            </w:r>
            <w:r w:rsidR="002E7809">
              <w:rPr>
                <w:noProof/>
                <w:color w:val="auto"/>
                <w:sz w:val="24"/>
                <w:szCs w:val="24"/>
              </w:rPr>
              <w:t>64</w:t>
            </w:r>
            <w:r w:rsidRPr="00030099">
              <w:rPr>
                <w:color w:val="auto"/>
              </w:rPr>
              <w:fldChar w:fldCharType="end"/>
            </w:r>
            <w:r w:rsidRPr="00030099">
              <w:rPr>
                <w:color w:val="auto"/>
                <w:sz w:val="24"/>
                <w:szCs w:val="24"/>
              </w:rPr>
              <w:t xml:space="preserve">.  </w:t>
            </w:r>
            <w:r w:rsidR="001120A2" w:rsidRPr="00030099">
              <w:rPr>
                <w:bCs/>
                <w:color w:val="auto"/>
                <w:sz w:val="24"/>
                <w:szCs w:val="24"/>
              </w:rPr>
              <w:t>Beneficiarios del Régimen de Clases Pasivas en 2021</w:t>
            </w:r>
            <w:bookmarkEnd w:id="241"/>
          </w:p>
          <w:p w14:paraId="02057EE4" w14:textId="77777777" w:rsidR="001120A2" w:rsidRPr="00CE38CB" w:rsidRDefault="001120A2" w:rsidP="00ED483A">
            <w:pPr>
              <w:jc w:val="center"/>
              <w:rPr>
                <w:b/>
                <w:bCs/>
                <w:sz w:val="10"/>
                <w:szCs w:val="10"/>
              </w:rPr>
            </w:pPr>
          </w:p>
        </w:tc>
      </w:tr>
      <w:tr w:rsidR="001120A2" w14:paraId="50BBF5B3" w14:textId="77777777" w:rsidTr="00ED483A">
        <w:tc>
          <w:tcPr>
            <w:tcW w:w="2942" w:type="dxa"/>
          </w:tcPr>
          <w:p w14:paraId="1751EB8A" w14:textId="77777777" w:rsidR="001120A2" w:rsidRPr="00CE38CB" w:rsidRDefault="001120A2" w:rsidP="00ED483A">
            <w:pPr>
              <w:jc w:val="center"/>
              <w:rPr>
                <w:b/>
                <w:bCs/>
                <w:color w:val="2F5496" w:themeColor="accent1" w:themeShade="BF"/>
              </w:rPr>
            </w:pPr>
            <w:r w:rsidRPr="00CE38CB">
              <w:rPr>
                <w:b/>
                <w:bCs/>
                <w:color w:val="2F5496" w:themeColor="accent1" w:themeShade="BF"/>
              </w:rPr>
              <w:t>Beneficiarios por tipo de pensión</w:t>
            </w:r>
          </w:p>
        </w:tc>
        <w:tc>
          <w:tcPr>
            <w:tcW w:w="2943" w:type="dxa"/>
          </w:tcPr>
          <w:p w14:paraId="3CC5BC43" w14:textId="77777777" w:rsidR="001120A2" w:rsidRPr="00CE38CB" w:rsidRDefault="001120A2" w:rsidP="00ED483A">
            <w:pPr>
              <w:jc w:val="center"/>
              <w:rPr>
                <w:b/>
                <w:bCs/>
                <w:color w:val="2F5496" w:themeColor="accent1" w:themeShade="BF"/>
              </w:rPr>
            </w:pPr>
            <w:r w:rsidRPr="00CE38CB">
              <w:rPr>
                <w:b/>
                <w:bCs/>
                <w:color w:val="2F5496" w:themeColor="accent1" w:themeShade="BF"/>
              </w:rPr>
              <w:t xml:space="preserve">Estructura porcentual por edad (porcentaje) </w:t>
            </w:r>
          </w:p>
        </w:tc>
        <w:tc>
          <w:tcPr>
            <w:tcW w:w="2943" w:type="dxa"/>
          </w:tcPr>
          <w:p w14:paraId="08D439D9" w14:textId="77777777" w:rsidR="001120A2" w:rsidRPr="00CE38CB" w:rsidRDefault="001120A2" w:rsidP="00ED483A">
            <w:pPr>
              <w:jc w:val="center"/>
              <w:rPr>
                <w:b/>
                <w:bCs/>
                <w:color w:val="2F5496" w:themeColor="accent1" w:themeShade="BF"/>
              </w:rPr>
            </w:pPr>
            <w:r w:rsidRPr="00CE38CB">
              <w:rPr>
                <w:b/>
                <w:bCs/>
                <w:color w:val="2F5496" w:themeColor="accent1" w:themeShade="BF"/>
              </w:rPr>
              <w:t>Pensión promedio por tipo de pensión (miles)</w:t>
            </w:r>
          </w:p>
        </w:tc>
      </w:tr>
      <w:tr w:rsidR="001120A2" w14:paraId="45FA0E85" w14:textId="77777777" w:rsidTr="00ED483A">
        <w:tblPrEx>
          <w:tblCellMar>
            <w:left w:w="70" w:type="dxa"/>
            <w:right w:w="70" w:type="dxa"/>
          </w:tblCellMar>
        </w:tblPrEx>
        <w:tc>
          <w:tcPr>
            <w:tcW w:w="2942" w:type="dxa"/>
          </w:tcPr>
          <w:p w14:paraId="55CDB2E3" w14:textId="77777777" w:rsidR="001120A2" w:rsidRDefault="001120A2" w:rsidP="00ED483A">
            <w:pPr>
              <w:jc w:val="both"/>
              <w:rPr>
                <w:sz w:val="24"/>
                <w:szCs w:val="24"/>
              </w:rPr>
            </w:pPr>
            <w:r>
              <w:rPr>
                <w:noProof/>
              </w:rPr>
              <w:drawing>
                <wp:inline distT="0" distB="0" distL="0" distR="0" wp14:anchorId="377144B8" wp14:editId="20EB7E39">
                  <wp:extent cx="1800000" cy="1440000"/>
                  <wp:effectExtent l="0" t="0" r="0" b="8255"/>
                  <wp:docPr id="58" name="Gráfico 58">
                    <a:extLst xmlns:a="http://schemas.openxmlformats.org/drawingml/2006/main">
                      <a:ext uri="{FF2B5EF4-FFF2-40B4-BE49-F238E27FC236}">
                        <a16:creationId xmlns:a16="http://schemas.microsoft.com/office/drawing/2014/main" id="{4CE01E4B-1768-4ECC-9DEE-1EAD45EF6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2943" w:type="dxa"/>
          </w:tcPr>
          <w:p w14:paraId="4F5486A8" w14:textId="77777777" w:rsidR="001120A2" w:rsidRDefault="001120A2" w:rsidP="00ED483A">
            <w:pPr>
              <w:jc w:val="both"/>
              <w:rPr>
                <w:sz w:val="24"/>
                <w:szCs w:val="24"/>
              </w:rPr>
            </w:pPr>
            <w:r>
              <w:rPr>
                <w:noProof/>
              </w:rPr>
              <w:drawing>
                <wp:inline distT="0" distB="0" distL="0" distR="0" wp14:anchorId="5A5CFE20" wp14:editId="22A7B35C">
                  <wp:extent cx="1800000" cy="1440000"/>
                  <wp:effectExtent l="0" t="0" r="0" b="8255"/>
                  <wp:docPr id="59" name="Gráfico 59">
                    <a:extLst xmlns:a="http://schemas.openxmlformats.org/drawingml/2006/main">
                      <a:ext uri="{FF2B5EF4-FFF2-40B4-BE49-F238E27FC236}">
                        <a16:creationId xmlns:a16="http://schemas.microsoft.com/office/drawing/2014/main" id="{F4D1A3F0-E5F1-41DC-AD6B-BDA4AA76D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2943" w:type="dxa"/>
          </w:tcPr>
          <w:p w14:paraId="78BEACDA" w14:textId="77777777" w:rsidR="001120A2" w:rsidRDefault="001120A2" w:rsidP="00ED483A">
            <w:pPr>
              <w:jc w:val="both"/>
              <w:rPr>
                <w:sz w:val="24"/>
                <w:szCs w:val="24"/>
              </w:rPr>
            </w:pPr>
            <w:r>
              <w:rPr>
                <w:noProof/>
              </w:rPr>
              <w:drawing>
                <wp:inline distT="0" distB="0" distL="0" distR="0" wp14:anchorId="2F6BD96A" wp14:editId="7A692E7F">
                  <wp:extent cx="1800000" cy="1440000"/>
                  <wp:effectExtent l="0" t="0" r="0" b="8255"/>
                  <wp:docPr id="60" name="Gráfico 60">
                    <a:extLst xmlns:a="http://schemas.openxmlformats.org/drawingml/2006/main">
                      <a:ext uri="{FF2B5EF4-FFF2-40B4-BE49-F238E27FC236}">
                        <a16:creationId xmlns:a16="http://schemas.microsoft.com/office/drawing/2014/main" id="{D78EBB46-7ECC-475F-8AC1-5457C7A6F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1120A2" w14:paraId="0B38172B" w14:textId="77777777" w:rsidTr="00ED483A">
        <w:tc>
          <w:tcPr>
            <w:tcW w:w="8828" w:type="dxa"/>
            <w:gridSpan w:val="3"/>
          </w:tcPr>
          <w:p w14:paraId="250BF0BD" w14:textId="77777777" w:rsidR="001120A2" w:rsidRPr="00FE367F" w:rsidRDefault="001120A2" w:rsidP="00ED483A">
            <w:pPr>
              <w:jc w:val="both"/>
              <w:rPr>
                <w:sz w:val="16"/>
                <w:szCs w:val="16"/>
              </w:rPr>
            </w:pPr>
            <w:r>
              <w:rPr>
                <w:sz w:val="16"/>
                <w:szCs w:val="16"/>
              </w:rPr>
              <w:t xml:space="preserve">Fuente: </w:t>
            </w:r>
            <w:r w:rsidRPr="00FE367F">
              <w:rPr>
                <w:sz w:val="16"/>
                <w:szCs w:val="16"/>
              </w:rPr>
              <w:t>Elaboración propia con información de la nómina del Régimen</w:t>
            </w:r>
          </w:p>
          <w:p w14:paraId="561F5621" w14:textId="77777777" w:rsidR="001120A2" w:rsidRPr="000415B6" w:rsidRDefault="001120A2" w:rsidP="00ED483A">
            <w:pPr>
              <w:jc w:val="both"/>
            </w:pPr>
            <w:r w:rsidRPr="00FE367F">
              <w:rPr>
                <w:sz w:val="16"/>
                <w:szCs w:val="16"/>
              </w:rPr>
              <w:t>PCJ se refiere a la pensión civil por jubilación, PCS a la pensión civil por sobrevivencia, PCI pensión civil por invalidez y PM son las pensiones militares.</w:t>
            </w:r>
          </w:p>
        </w:tc>
      </w:tr>
    </w:tbl>
    <w:p w14:paraId="01DD84AC" w14:textId="77777777" w:rsidR="001120A2" w:rsidRPr="00CE38CB" w:rsidRDefault="001120A2" w:rsidP="001120A2">
      <w:pPr>
        <w:jc w:val="both"/>
        <w:rPr>
          <w:sz w:val="8"/>
          <w:szCs w:val="8"/>
        </w:rPr>
      </w:pPr>
    </w:p>
    <w:p w14:paraId="06A34F36" w14:textId="77777777" w:rsidR="00030099" w:rsidRDefault="00030099" w:rsidP="001120A2">
      <w:pPr>
        <w:jc w:val="both"/>
      </w:pPr>
    </w:p>
    <w:p w14:paraId="2A3768DE" w14:textId="3792812A" w:rsidR="001120A2" w:rsidRDefault="001120A2" w:rsidP="001120A2">
      <w:pPr>
        <w:jc w:val="both"/>
      </w:pPr>
      <w:r>
        <w:t>Las prestaciones pagadas del régimen han aumentado en el tiempo, para 2021 estas se encontraron en Q4,847.51 millones, representando el 5.4% de los gastos del gobierno central presupuestario y 0.7% del PIB, esto se debe en parte a que los beneficiarios han aumentado con una tasa moderada de 1.1% del 2016 al 2021, dado que se han compensado los ingresos de nuevos beneficiarios con las salidas por fallecimientos o ceses de pensión, como lo es el caso de las pensiones por orfandad o trabajadores que reingresan como activos del régimen. Además, de los incrementos a las pensiones a lo largo del tiempo, destacando en los últimos años los realizados en 2016 y 2018.</w:t>
      </w:r>
    </w:p>
    <w:p w14:paraId="0A71FD9B" w14:textId="77777777" w:rsidR="00030099" w:rsidRDefault="00030099" w:rsidP="001120A2">
      <w:pPr>
        <w:jc w:val="both"/>
      </w:pPr>
    </w:p>
    <w:p w14:paraId="78649638" w14:textId="77777777" w:rsidR="00030099" w:rsidRDefault="001120A2" w:rsidP="001120A2">
      <w:pPr>
        <w:jc w:val="both"/>
      </w:pPr>
      <w:r>
        <w:t xml:space="preserve">En lo que respecta a la tasa promedio ponderada de los afiliados de contribución ha aumentado en el tiempo, para el año 2021 esta se aproximó en 12.6%, esto debido a que estos han obtenido incrementos salariales que los llevan a pagar una mayor tasa de contribución, como es el caso de las clases escalafonarias de MINEDUC que son en función del tiempo de servicio, o los incrementos de Salud y Gobernación del </w:t>
      </w:r>
      <w:r w:rsidRPr="0062439F">
        <w:rPr>
          <w:color w:val="000000" w:themeColor="text1"/>
        </w:rPr>
        <w:t>año 2016</w:t>
      </w:r>
      <w:r>
        <w:t>.</w:t>
      </w:r>
    </w:p>
    <w:p w14:paraId="2ABED0D6" w14:textId="5E12200E" w:rsidR="001120A2" w:rsidRDefault="001120A2" w:rsidP="001120A2">
      <w:pPr>
        <w:jc w:val="both"/>
      </w:pP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1120A2" w14:paraId="2A4AD5F4" w14:textId="77777777" w:rsidTr="00ED483A">
        <w:tc>
          <w:tcPr>
            <w:tcW w:w="4414" w:type="dxa"/>
          </w:tcPr>
          <w:p w14:paraId="755E7775" w14:textId="25E58493" w:rsidR="001120A2" w:rsidRPr="00030099" w:rsidRDefault="00030099" w:rsidP="00030099">
            <w:pPr>
              <w:pStyle w:val="Descripcin"/>
              <w:keepNext/>
              <w:rPr>
                <w:sz w:val="24"/>
                <w:szCs w:val="24"/>
              </w:rPr>
            </w:pPr>
            <w:bookmarkStart w:id="242" w:name="_Toc114493907"/>
            <w:r w:rsidRPr="00030099">
              <w:rPr>
                <w:color w:val="auto"/>
                <w:sz w:val="24"/>
                <w:szCs w:val="24"/>
              </w:rPr>
              <w:t xml:space="preserve">Gráfico </w:t>
            </w:r>
            <w:r w:rsidRPr="00030099">
              <w:rPr>
                <w:color w:val="auto"/>
              </w:rPr>
              <w:fldChar w:fldCharType="begin"/>
            </w:r>
            <w:r w:rsidRPr="00030099">
              <w:rPr>
                <w:color w:val="auto"/>
                <w:sz w:val="24"/>
                <w:szCs w:val="24"/>
              </w:rPr>
              <w:instrText xml:space="preserve"> SEQ Gráfico \* ARABIC </w:instrText>
            </w:r>
            <w:r w:rsidRPr="00030099">
              <w:rPr>
                <w:color w:val="auto"/>
              </w:rPr>
              <w:fldChar w:fldCharType="separate"/>
            </w:r>
            <w:r w:rsidR="002E7809">
              <w:rPr>
                <w:noProof/>
                <w:color w:val="auto"/>
                <w:sz w:val="24"/>
                <w:szCs w:val="24"/>
              </w:rPr>
              <w:t>65</w:t>
            </w:r>
            <w:r w:rsidRPr="00030099">
              <w:rPr>
                <w:color w:val="auto"/>
              </w:rPr>
              <w:fldChar w:fldCharType="end"/>
            </w:r>
            <w:r w:rsidRPr="00030099">
              <w:rPr>
                <w:color w:val="auto"/>
                <w:sz w:val="24"/>
                <w:szCs w:val="24"/>
              </w:rPr>
              <w:t xml:space="preserve">.  </w:t>
            </w:r>
            <w:r w:rsidR="001120A2" w:rsidRPr="00030099">
              <w:rPr>
                <w:bCs/>
                <w:color w:val="auto"/>
                <w:sz w:val="24"/>
                <w:szCs w:val="24"/>
              </w:rPr>
              <w:t xml:space="preserve">Financiamiento del régimen </w:t>
            </w:r>
            <w:r w:rsidR="001120A2" w:rsidRPr="00030099">
              <w:rPr>
                <w:b w:val="0"/>
                <w:bCs/>
                <w:color w:val="auto"/>
                <w:sz w:val="24"/>
                <w:szCs w:val="24"/>
              </w:rPr>
              <w:t>(en miles de millones de Q.)</w:t>
            </w:r>
            <w:bookmarkEnd w:id="242"/>
          </w:p>
        </w:tc>
        <w:tc>
          <w:tcPr>
            <w:tcW w:w="4414" w:type="dxa"/>
          </w:tcPr>
          <w:p w14:paraId="4419BBEA" w14:textId="6800AE5C" w:rsidR="001120A2" w:rsidRPr="00030099" w:rsidRDefault="00030099" w:rsidP="00030099">
            <w:pPr>
              <w:pStyle w:val="Descripcin"/>
              <w:keepNext/>
              <w:rPr>
                <w:b w:val="0"/>
                <w:sz w:val="24"/>
                <w:szCs w:val="24"/>
              </w:rPr>
            </w:pPr>
            <w:bookmarkStart w:id="243" w:name="_Toc114493908"/>
            <w:r w:rsidRPr="00030099">
              <w:rPr>
                <w:color w:val="auto"/>
                <w:sz w:val="24"/>
                <w:szCs w:val="24"/>
              </w:rPr>
              <w:t xml:space="preserve">Gráfico </w:t>
            </w:r>
            <w:r w:rsidRPr="00030099">
              <w:rPr>
                <w:color w:val="auto"/>
              </w:rPr>
              <w:fldChar w:fldCharType="begin"/>
            </w:r>
            <w:r w:rsidRPr="00030099">
              <w:rPr>
                <w:color w:val="auto"/>
                <w:sz w:val="24"/>
                <w:szCs w:val="24"/>
              </w:rPr>
              <w:instrText xml:space="preserve"> SEQ Gráfico \* ARABIC </w:instrText>
            </w:r>
            <w:r w:rsidRPr="00030099">
              <w:rPr>
                <w:color w:val="auto"/>
              </w:rPr>
              <w:fldChar w:fldCharType="separate"/>
            </w:r>
            <w:r w:rsidR="002E7809">
              <w:rPr>
                <w:noProof/>
                <w:color w:val="auto"/>
                <w:sz w:val="24"/>
                <w:szCs w:val="24"/>
              </w:rPr>
              <w:t>66</w:t>
            </w:r>
            <w:r w:rsidRPr="00030099">
              <w:rPr>
                <w:color w:val="auto"/>
              </w:rPr>
              <w:fldChar w:fldCharType="end"/>
            </w:r>
            <w:r w:rsidRPr="00030099">
              <w:rPr>
                <w:color w:val="auto"/>
                <w:sz w:val="24"/>
                <w:szCs w:val="24"/>
              </w:rPr>
              <w:t xml:space="preserve">.  </w:t>
            </w:r>
            <w:r w:rsidR="001120A2" w:rsidRPr="00030099">
              <w:rPr>
                <w:bCs/>
                <w:color w:val="auto"/>
                <w:sz w:val="24"/>
                <w:szCs w:val="24"/>
              </w:rPr>
              <w:t>Tasa promedio ponderada en base a la masa salarial</w:t>
            </w:r>
            <w:r w:rsidR="001120A2" w:rsidRPr="00030099">
              <w:rPr>
                <w:b w:val="0"/>
                <w:bCs/>
                <w:color w:val="auto"/>
                <w:sz w:val="24"/>
                <w:szCs w:val="24"/>
              </w:rPr>
              <w:t xml:space="preserve"> (porcentaje)</w:t>
            </w:r>
            <w:bookmarkEnd w:id="243"/>
          </w:p>
        </w:tc>
      </w:tr>
      <w:tr w:rsidR="001120A2" w14:paraId="322FBA4C" w14:textId="77777777" w:rsidTr="00ED483A">
        <w:tblPrEx>
          <w:tblCellMar>
            <w:left w:w="70" w:type="dxa"/>
            <w:right w:w="70" w:type="dxa"/>
          </w:tblCellMar>
        </w:tblPrEx>
        <w:tc>
          <w:tcPr>
            <w:tcW w:w="4414" w:type="dxa"/>
          </w:tcPr>
          <w:p w14:paraId="13FEB23B" w14:textId="77777777" w:rsidR="001120A2" w:rsidRDefault="001120A2" w:rsidP="00ED483A">
            <w:pPr>
              <w:jc w:val="both"/>
              <w:rPr>
                <w:sz w:val="24"/>
                <w:szCs w:val="24"/>
              </w:rPr>
            </w:pPr>
            <w:r>
              <w:rPr>
                <w:noProof/>
              </w:rPr>
              <w:drawing>
                <wp:inline distT="0" distB="0" distL="0" distR="0" wp14:anchorId="7A8892AC" wp14:editId="53F54403">
                  <wp:extent cx="2879725" cy="1466491"/>
                  <wp:effectExtent l="0" t="0" r="0" b="635"/>
                  <wp:docPr id="61" name="Gráfico 61">
                    <a:extLst xmlns:a="http://schemas.openxmlformats.org/drawingml/2006/main">
                      <a:ext uri="{FF2B5EF4-FFF2-40B4-BE49-F238E27FC236}">
                        <a16:creationId xmlns:a16="http://schemas.microsoft.com/office/drawing/2014/main" id="{52A55F90-F117-4428-9B1E-1DCE39CE0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414" w:type="dxa"/>
          </w:tcPr>
          <w:p w14:paraId="2D084AF1" w14:textId="77777777" w:rsidR="001120A2" w:rsidRDefault="001120A2" w:rsidP="00ED483A">
            <w:pPr>
              <w:jc w:val="both"/>
              <w:rPr>
                <w:sz w:val="24"/>
                <w:szCs w:val="24"/>
              </w:rPr>
            </w:pPr>
            <w:r>
              <w:rPr>
                <w:noProof/>
              </w:rPr>
              <w:drawing>
                <wp:inline distT="0" distB="0" distL="0" distR="0" wp14:anchorId="30F63E10" wp14:editId="4DD0E95B">
                  <wp:extent cx="2879725" cy="1466215"/>
                  <wp:effectExtent l="0" t="0" r="0" b="635"/>
                  <wp:docPr id="62" name="Gráfico 62">
                    <a:extLst xmlns:a="http://schemas.openxmlformats.org/drawingml/2006/main">
                      <a:ext uri="{FF2B5EF4-FFF2-40B4-BE49-F238E27FC236}">
                        <a16:creationId xmlns:a16="http://schemas.microsoft.com/office/drawing/2014/main" id="{505DA50D-CA76-4959-9BC3-35A5AFE64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1120A2" w14:paraId="725B67C3" w14:textId="77777777" w:rsidTr="00ED483A">
        <w:tc>
          <w:tcPr>
            <w:tcW w:w="8828" w:type="dxa"/>
            <w:gridSpan w:val="2"/>
          </w:tcPr>
          <w:p w14:paraId="6C0AB8AB" w14:textId="77777777" w:rsidR="001120A2" w:rsidRPr="001C59A8" w:rsidRDefault="001120A2" w:rsidP="00ED483A">
            <w:pPr>
              <w:jc w:val="both"/>
              <w:rPr>
                <w:sz w:val="18"/>
                <w:szCs w:val="18"/>
              </w:rPr>
            </w:pPr>
            <w:r w:rsidRPr="001C59A8">
              <w:rPr>
                <w:sz w:val="18"/>
                <w:szCs w:val="18"/>
              </w:rPr>
              <w:t>Fuente: SICOIN, información obtenida a través de Business Intel</w:t>
            </w:r>
            <w:r>
              <w:rPr>
                <w:sz w:val="18"/>
                <w:szCs w:val="18"/>
              </w:rPr>
              <w:t>l</w:t>
            </w:r>
            <w:r w:rsidRPr="001C59A8">
              <w:rPr>
                <w:sz w:val="18"/>
                <w:szCs w:val="18"/>
              </w:rPr>
              <w:t>igence</w:t>
            </w:r>
          </w:p>
        </w:tc>
      </w:tr>
    </w:tbl>
    <w:p w14:paraId="59A4A305" w14:textId="73EF1DE8" w:rsidR="001120A2" w:rsidRDefault="001120A2" w:rsidP="001120A2">
      <w:pPr>
        <w:jc w:val="both"/>
      </w:pPr>
      <w:r>
        <w:t>La tasa promedio ponderada de las contribuciones del patrono ha disminuido en el tiempo pasando de 24.3% en el 2005, generado por la reforma a la ley de clases pasivas y el alza en el techo de las pensiones que se dio en 2001, a 10.8% en el 2021, esto se debe a que el patrono (el gobierno) financia la diferencia entre el total del pago de nómina de jubilados y las contribuciones recibidas de los afiliados, y esta diferencia se ha reducido dado al incremento de la masa salarial en el tiempo, que ha llevado a mayores contribuciones y a que los beneficios de los pensionados tengan un límite superior que no ha cambiado en cerca de 20 años.</w:t>
      </w:r>
    </w:p>
    <w:p w14:paraId="756D013A" w14:textId="77777777" w:rsidR="00C536D0" w:rsidRPr="00B21CC5" w:rsidRDefault="00C536D0" w:rsidP="001120A2">
      <w:pPr>
        <w:jc w:val="both"/>
      </w:pPr>
    </w:p>
    <w:p w14:paraId="1C0EE410" w14:textId="77777777" w:rsidR="001120A2" w:rsidRPr="00030099" w:rsidRDefault="001120A2" w:rsidP="00A9708A">
      <w:pPr>
        <w:pStyle w:val="Ttulo1"/>
        <w:numPr>
          <w:ilvl w:val="2"/>
          <w:numId w:val="5"/>
        </w:numPr>
        <w:ind w:left="851" w:right="49" w:hanging="284"/>
        <w:jc w:val="both"/>
        <w:rPr>
          <w:color w:val="auto"/>
          <w:sz w:val="24"/>
        </w:rPr>
      </w:pPr>
      <w:bookmarkStart w:id="244" w:name="_Toc114495276"/>
      <w:r w:rsidRPr="00030099">
        <w:rPr>
          <w:color w:val="auto"/>
          <w:sz w:val="24"/>
        </w:rPr>
        <w:t>Proyecciones de ingresos y egresos del régimen</w:t>
      </w:r>
      <w:bookmarkEnd w:id="244"/>
    </w:p>
    <w:p w14:paraId="0B0E5AE4" w14:textId="77777777" w:rsidR="00030099" w:rsidRDefault="00030099" w:rsidP="001120A2">
      <w:pPr>
        <w:jc w:val="both"/>
      </w:pPr>
    </w:p>
    <w:p w14:paraId="02500D36" w14:textId="7817CEE6" w:rsidR="001120A2" w:rsidRDefault="001120A2" w:rsidP="001120A2">
      <w:pPr>
        <w:jc w:val="both"/>
      </w:pPr>
      <w:r>
        <w:t>Las proyecciones que se presentarán a continuación tienen como fin aproximar la tendencia de mediano plazo de los ingresos y egresos del régimen, para lo cual se utilizaron una serie de supuestos demográficos de los afiliados y los beneficiarios, supuestos sobre la evolución de los salarios promedio en el futuro, entre otros.  No obstante, metodologías más complejas como las utilizadas para realizar proyecciones en un estudio actuarial pueden producir resultados más acertados.</w:t>
      </w:r>
    </w:p>
    <w:p w14:paraId="44693CF9" w14:textId="77777777" w:rsidR="00030099" w:rsidRDefault="00030099" w:rsidP="001120A2">
      <w:pPr>
        <w:jc w:val="both"/>
      </w:pPr>
    </w:p>
    <w:p w14:paraId="54178A76" w14:textId="26BB8F11" w:rsidR="001120A2" w:rsidRDefault="001120A2" w:rsidP="001120A2">
      <w:pPr>
        <w:jc w:val="both"/>
      </w:pPr>
      <w:r>
        <w:t>Para la evolución demográfica se consideraron las hipótesis sobre las tasas de mortalidad y de invalidez presentadas en el estudio actuarial de ONSEC de 2022, además, se realizaron supuestos sobre la jubilación y retiro del régimen tomando en consideración información de las nóminas del personal activo del MINFIN y de las Clases Pasivas del Estado. Por lo anterior, se observa que el personal activo del régimen tendrá para el 2031 una edad promedio ponderada alrededor de 48.5 años, por lo que, cerca de esos años la cantidad de activos que se jubilan aumentarán levemente, siendo consistente con edad promedio ponderada de jubilación observada del 2001 al 2021 de 54 años.</w:t>
      </w:r>
    </w:p>
    <w:p w14:paraId="046C4337" w14:textId="77777777" w:rsidR="00535E3B" w:rsidRDefault="00535E3B" w:rsidP="001120A2">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120A2" w14:paraId="7566A999" w14:textId="77777777" w:rsidTr="00ED483A">
        <w:tc>
          <w:tcPr>
            <w:tcW w:w="4414" w:type="dxa"/>
          </w:tcPr>
          <w:p w14:paraId="2627B367" w14:textId="2D5260EC" w:rsidR="001120A2" w:rsidRPr="00535E3B" w:rsidRDefault="00535E3B" w:rsidP="00535E3B">
            <w:pPr>
              <w:pStyle w:val="Descripcin"/>
              <w:keepNext/>
              <w:rPr>
                <w:sz w:val="24"/>
                <w:szCs w:val="24"/>
              </w:rPr>
            </w:pPr>
            <w:bookmarkStart w:id="245" w:name="_Toc114493909"/>
            <w:r w:rsidRPr="00535E3B">
              <w:rPr>
                <w:color w:val="auto"/>
                <w:sz w:val="24"/>
                <w:szCs w:val="24"/>
              </w:rPr>
              <w:t xml:space="preserve">Gráfico </w:t>
            </w:r>
            <w:r w:rsidRPr="00535E3B">
              <w:rPr>
                <w:color w:val="auto"/>
              </w:rPr>
              <w:fldChar w:fldCharType="begin"/>
            </w:r>
            <w:r w:rsidRPr="00535E3B">
              <w:rPr>
                <w:color w:val="auto"/>
                <w:sz w:val="24"/>
                <w:szCs w:val="24"/>
              </w:rPr>
              <w:instrText xml:space="preserve"> SEQ Gráfico \* ARABIC </w:instrText>
            </w:r>
            <w:r w:rsidRPr="00535E3B">
              <w:rPr>
                <w:color w:val="auto"/>
              </w:rPr>
              <w:fldChar w:fldCharType="separate"/>
            </w:r>
            <w:r w:rsidR="002E7809">
              <w:rPr>
                <w:noProof/>
                <w:color w:val="auto"/>
                <w:sz w:val="24"/>
                <w:szCs w:val="24"/>
              </w:rPr>
              <w:t>67</w:t>
            </w:r>
            <w:r w:rsidRPr="00535E3B">
              <w:rPr>
                <w:color w:val="auto"/>
              </w:rPr>
              <w:fldChar w:fldCharType="end"/>
            </w:r>
            <w:r w:rsidRPr="00535E3B">
              <w:rPr>
                <w:color w:val="auto"/>
                <w:sz w:val="24"/>
                <w:szCs w:val="24"/>
              </w:rPr>
              <w:t xml:space="preserve">.  </w:t>
            </w:r>
            <w:r w:rsidR="001120A2" w:rsidRPr="00535E3B">
              <w:rPr>
                <w:bCs/>
                <w:color w:val="auto"/>
                <w:sz w:val="24"/>
                <w:szCs w:val="24"/>
              </w:rPr>
              <w:t>Frecuencia de la edad de los activos actuales</w:t>
            </w:r>
            <w:bookmarkEnd w:id="245"/>
          </w:p>
        </w:tc>
        <w:tc>
          <w:tcPr>
            <w:tcW w:w="4414" w:type="dxa"/>
          </w:tcPr>
          <w:p w14:paraId="5C1A3B6D" w14:textId="0C3B6545" w:rsidR="001120A2" w:rsidRPr="00535E3B" w:rsidRDefault="00535E3B" w:rsidP="00535E3B">
            <w:pPr>
              <w:pStyle w:val="Descripcin"/>
              <w:keepNext/>
              <w:rPr>
                <w:sz w:val="24"/>
                <w:szCs w:val="24"/>
              </w:rPr>
            </w:pPr>
            <w:bookmarkStart w:id="246" w:name="_Toc114493910"/>
            <w:r w:rsidRPr="00535E3B">
              <w:rPr>
                <w:color w:val="auto"/>
                <w:sz w:val="24"/>
                <w:szCs w:val="24"/>
              </w:rPr>
              <w:t xml:space="preserve">Gráfico </w:t>
            </w:r>
            <w:r w:rsidRPr="00535E3B">
              <w:rPr>
                <w:color w:val="auto"/>
              </w:rPr>
              <w:fldChar w:fldCharType="begin"/>
            </w:r>
            <w:r w:rsidRPr="00535E3B">
              <w:rPr>
                <w:color w:val="auto"/>
                <w:sz w:val="24"/>
                <w:szCs w:val="24"/>
              </w:rPr>
              <w:instrText xml:space="preserve"> SEQ Gráfico \* ARABIC </w:instrText>
            </w:r>
            <w:r w:rsidRPr="00535E3B">
              <w:rPr>
                <w:color w:val="auto"/>
              </w:rPr>
              <w:fldChar w:fldCharType="separate"/>
            </w:r>
            <w:r w:rsidR="002E7809">
              <w:rPr>
                <w:noProof/>
                <w:color w:val="auto"/>
                <w:sz w:val="24"/>
                <w:szCs w:val="24"/>
              </w:rPr>
              <w:t>68</w:t>
            </w:r>
            <w:r w:rsidRPr="00535E3B">
              <w:rPr>
                <w:color w:val="auto"/>
              </w:rPr>
              <w:fldChar w:fldCharType="end"/>
            </w:r>
            <w:r w:rsidRPr="00535E3B">
              <w:rPr>
                <w:color w:val="auto"/>
                <w:sz w:val="24"/>
                <w:szCs w:val="24"/>
              </w:rPr>
              <w:t xml:space="preserve">.  </w:t>
            </w:r>
            <w:r w:rsidR="001120A2" w:rsidRPr="00535E3B">
              <w:rPr>
                <w:bCs/>
                <w:color w:val="auto"/>
                <w:sz w:val="24"/>
                <w:szCs w:val="24"/>
              </w:rPr>
              <w:t>Cantidad de activos que ingresan al régimen y pasivos que fallecen.</w:t>
            </w:r>
            <w:bookmarkEnd w:id="246"/>
          </w:p>
        </w:tc>
      </w:tr>
      <w:tr w:rsidR="001120A2" w14:paraId="0EB361F3" w14:textId="77777777" w:rsidTr="00ED483A">
        <w:tc>
          <w:tcPr>
            <w:tcW w:w="4414" w:type="dxa"/>
          </w:tcPr>
          <w:p w14:paraId="7E854D16" w14:textId="77777777" w:rsidR="001120A2" w:rsidRDefault="001120A2" w:rsidP="00ED483A">
            <w:pPr>
              <w:tabs>
                <w:tab w:val="left" w:pos="1304"/>
              </w:tabs>
              <w:jc w:val="both"/>
              <w:rPr>
                <w:sz w:val="24"/>
                <w:szCs w:val="24"/>
              </w:rPr>
            </w:pPr>
            <w:r>
              <w:rPr>
                <w:noProof/>
              </w:rPr>
              <w:drawing>
                <wp:inline distT="0" distB="0" distL="0" distR="0" wp14:anchorId="3314FE9B" wp14:editId="51E5DF9A">
                  <wp:extent cx="2519680" cy="1647825"/>
                  <wp:effectExtent l="0" t="0" r="0" b="0"/>
                  <wp:docPr id="63" name="Gráfico 63">
                    <a:extLst xmlns:a="http://schemas.openxmlformats.org/drawingml/2006/main">
                      <a:ext uri="{FF2B5EF4-FFF2-40B4-BE49-F238E27FC236}">
                        <a16:creationId xmlns:a16="http://schemas.microsoft.com/office/drawing/2014/main" id="{0C7DFE8D-4C40-46E3-B751-C19F88674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4414" w:type="dxa"/>
          </w:tcPr>
          <w:p w14:paraId="5AEB4498" w14:textId="77777777" w:rsidR="001120A2" w:rsidRDefault="001120A2" w:rsidP="00ED483A">
            <w:pPr>
              <w:jc w:val="both"/>
              <w:rPr>
                <w:sz w:val="24"/>
                <w:szCs w:val="24"/>
              </w:rPr>
            </w:pPr>
            <w:r>
              <w:rPr>
                <w:noProof/>
              </w:rPr>
              <w:drawing>
                <wp:inline distT="0" distB="0" distL="0" distR="0" wp14:anchorId="6F94708F" wp14:editId="0FBC5763">
                  <wp:extent cx="2519680" cy="1647825"/>
                  <wp:effectExtent l="0" t="0" r="0" b="0"/>
                  <wp:docPr id="1409" name="Gráfico 1409">
                    <a:extLst xmlns:a="http://schemas.openxmlformats.org/drawingml/2006/main">
                      <a:ext uri="{FF2B5EF4-FFF2-40B4-BE49-F238E27FC236}">
                        <a16:creationId xmlns:a16="http://schemas.microsoft.com/office/drawing/2014/main" id="{455B22CE-F5B2-47D0-8587-72FFCC0AA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1120A2" w14:paraId="40C47FC5" w14:textId="77777777" w:rsidTr="00ED483A">
        <w:tc>
          <w:tcPr>
            <w:tcW w:w="8828" w:type="dxa"/>
            <w:gridSpan w:val="2"/>
          </w:tcPr>
          <w:p w14:paraId="12C15BE1" w14:textId="77777777" w:rsidR="001120A2" w:rsidRPr="00535E3B" w:rsidRDefault="001120A2" w:rsidP="00ED483A">
            <w:pPr>
              <w:jc w:val="both"/>
              <w:rPr>
                <w:sz w:val="16"/>
                <w:szCs w:val="18"/>
              </w:rPr>
            </w:pPr>
            <w:r w:rsidRPr="00535E3B">
              <w:rPr>
                <w:sz w:val="16"/>
                <w:szCs w:val="18"/>
              </w:rPr>
              <w:t>Fuente: Elaboración propia con los resultados de las proyecciones</w:t>
            </w:r>
          </w:p>
          <w:p w14:paraId="1EEE8DD9" w14:textId="77777777" w:rsidR="001120A2" w:rsidRDefault="001120A2" w:rsidP="00ED483A">
            <w:pPr>
              <w:jc w:val="both"/>
              <w:rPr>
                <w:sz w:val="24"/>
                <w:szCs w:val="24"/>
              </w:rPr>
            </w:pPr>
            <w:r w:rsidRPr="00535E3B">
              <w:rPr>
                <w:sz w:val="16"/>
                <w:szCs w:val="18"/>
              </w:rPr>
              <w:t>Nota: En el gráfico de frecuencias las líneas verticales corresponden a la edad promedio ponderada y disminuye el nivel del 2031 debido a las personas que se retiraron por jubilación, invalidez, muerte o retiro del régimen.</w:t>
            </w:r>
          </w:p>
        </w:tc>
      </w:tr>
    </w:tbl>
    <w:p w14:paraId="4D667C69" w14:textId="77777777" w:rsidR="001120A2" w:rsidRDefault="001120A2" w:rsidP="001120A2">
      <w:pPr>
        <w:jc w:val="both"/>
      </w:pPr>
    </w:p>
    <w:p w14:paraId="6FBFABCC" w14:textId="77777777" w:rsidR="001120A2" w:rsidRDefault="001120A2" w:rsidP="001120A2">
      <w:pPr>
        <w:jc w:val="both"/>
      </w:pPr>
      <w:r>
        <w:t xml:space="preserve">Por lo que de la dinámica esperada de personas que entran como beneficiarios por pensión civil por jubilación e invalidez y salen por fallecimiento, se proyecta que para 2026 las prestaciones pagadas se encuentren alrededor de Q5,908.1 millones, y que para 2032 estas se incrementen a 7,814.0 millones. </w:t>
      </w:r>
    </w:p>
    <w:p w14:paraId="272EA147" w14:textId="77777777" w:rsidR="001120A2" w:rsidRDefault="001120A2" w:rsidP="001120A2">
      <w:pPr>
        <w:jc w:val="both"/>
      </w:pPr>
    </w:p>
    <w:p w14:paraId="42EDF77C" w14:textId="29A1BA6B" w:rsidR="001120A2" w:rsidRDefault="001120A2" w:rsidP="001120A2">
      <w:pPr>
        <w:jc w:val="both"/>
      </w:pPr>
      <w:r>
        <w:t xml:space="preserve">En lo que respecta al financiamiento, se prevé que las contribuciones de los trabajadores activos sean alrededor del 55.0% del total para 2032, debido a que se asume una tasa de incremento del personal total activo del régimen del 2.0% y un incremento de su salario promedio del 2.5%. En lo que respecta a la tasa promedio ponderada de los contribuyentes se espera que aumente y se mantenga estable alrededor de 12.9% y que la tasa del patrono disminuya levemente en los próximos años y que para el 2032 aumente a 10.6%. </w:t>
      </w:r>
    </w:p>
    <w:p w14:paraId="3C79632D" w14:textId="77777777" w:rsidR="00535E3B" w:rsidRDefault="00535E3B" w:rsidP="001120A2">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120A2" w14:paraId="31A28840" w14:textId="77777777" w:rsidTr="00ED483A">
        <w:tc>
          <w:tcPr>
            <w:tcW w:w="4414" w:type="dxa"/>
          </w:tcPr>
          <w:p w14:paraId="3E3C2FF5" w14:textId="5DB7545C" w:rsidR="001120A2" w:rsidRPr="00535E3B" w:rsidRDefault="00535E3B" w:rsidP="00535E3B">
            <w:pPr>
              <w:pStyle w:val="Descripcin"/>
              <w:keepNext/>
              <w:rPr>
                <w:color w:val="auto"/>
              </w:rPr>
            </w:pPr>
            <w:bookmarkStart w:id="247" w:name="_Toc114493911"/>
            <w:r w:rsidRPr="00535E3B">
              <w:rPr>
                <w:color w:val="auto"/>
                <w:sz w:val="24"/>
                <w:szCs w:val="24"/>
              </w:rPr>
              <w:t xml:space="preserve">Gráfico </w:t>
            </w:r>
            <w:r w:rsidRPr="00535E3B">
              <w:rPr>
                <w:color w:val="auto"/>
              </w:rPr>
              <w:fldChar w:fldCharType="begin"/>
            </w:r>
            <w:r w:rsidRPr="00535E3B">
              <w:rPr>
                <w:color w:val="auto"/>
                <w:sz w:val="24"/>
                <w:szCs w:val="24"/>
              </w:rPr>
              <w:instrText xml:space="preserve"> SEQ Gráfico \* ARABIC </w:instrText>
            </w:r>
            <w:r w:rsidRPr="00535E3B">
              <w:rPr>
                <w:color w:val="auto"/>
              </w:rPr>
              <w:fldChar w:fldCharType="separate"/>
            </w:r>
            <w:r w:rsidR="002E7809">
              <w:rPr>
                <w:noProof/>
                <w:color w:val="auto"/>
                <w:sz w:val="24"/>
                <w:szCs w:val="24"/>
              </w:rPr>
              <w:t>69</w:t>
            </w:r>
            <w:r w:rsidRPr="00535E3B">
              <w:rPr>
                <w:color w:val="auto"/>
              </w:rPr>
              <w:fldChar w:fldCharType="end"/>
            </w:r>
            <w:r w:rsidRPr="00535E3B">
              <w:rPr>
                <w:color w:val="auto"/>
                <w:sz w:val="24"/>
                <w:szCs w:val="24"/>
              </w:rPr>
              <w:t xml:space="preserve">.  </w:t>
            </w:r>
            <w:r w:rsidR="001120A2" w:rsidRPr="00535E3B">
              <w:rPr>
                <w:bCs/>
                <w:color w:val="auto"/>
                <w:sz w:val="24"/>
                <w:szCs w:val="24"/>
              </w:rPr>
              <w:t>Proyección del financiamiento del régimen</w:t>
            </w:r>
            <w:r w:rsidR="001120A2" w:rsidRPr="00535E3B">
              <w:rPr>
                <w:b w:val="0"/>
                <w:bCs/>
                <w:color w:val="auto"/>
              </w:rPr>
              <w:t xml:space="preserve"> </w:t>
            </w:r>
            <w:r w:rsidRPr="00535E3B">
              <w:rPr>
                <w:b w:val="0"/>
                <w:bCs/>
                <w:color w:val="auto"/>
              </w:rPr>
              <w:t xml:space="preserve">                    </w:t>
            </w:r>
            <w:r w:rsidR="001120A2" w:rsidRPr="00535E3B">
              <w:rPr>
                <w:b w:val="0"/>
                <w:bCs/>
                <w:color w:val="auto"/>
              </w:rPr>
              <w:t>(miles de millones de Q.)</w:t>
            </w:r>
            <w:bookmarkEnd w:id="247"/>
          </w:p>
        </w:tc>
        <w:tc>
          <w:tcPr>
            <w:tcW w:w="4414" w:type="dxa"/>
          </w:tcPr>
          <w:p w14:paraId="260890AA" w14:textId="2EE2453C" w:rsidR="001120A2" w:rsidRPr="00535E3B" w:rsidRDefault="00535E3B" w:rsidP="00535E3B">
            <w:pPr>
              <w:pStyle w:val="Descripcin"/>
              <w:keepNext/>
            </w:pPr>
            <w:bookmarkStart w:id="248" w:name="_Toc114493912"/>
            <w:r w:rsidRPr="00535E3B">
              <w:rPr>
                <w:color w:val="auto"/>
                <w:sz w:val="24"/>
                <w:szCs w:val="24"/>
              </w:rPr>
              <w:t xml:space="preserve">Gráfico </w:t>
            </w:r>
            <w:r w:rsidRPr="00535E3B">
              <w:rPr>
                <w:color w:val="auto"/>
              </w:rPr>
              <w:fldChar w:fldCharType="begin"/>
            </w:r>
            <w:r w:rsidRPr="00535E3B">
              <w:rPr>
                <w:color w:val="auto"/>
                <w:sz w:val="24"/>
                <w:szCs w:val="24"/>
              </w:rPr>
              <w:instrText xml:space="preserve"> SEQ Gráfico \* ARABIC </w:instrText>
            </w:r>
            <w:r w:rsidRPr="00535E3B">
              <w:rPr>
                <w:color w:val="auto"/>
              </w:rPr>
              <w:fldChar w:fldCharType="separate"/>
            </w:r>
            <w:r w:rsidR="002E7809">
              <w:rPr>
                <w:noProof/>
                <w:color w:val="auto"/>
                <w:sz w:val="24"/>
                <w:szCs w:val="24"/>
              </w:rPr>
              <w:t>70</w:t>
            </w:r>
            <w:r w:rsidRPr="00535E3B">
              <w:rPr>
                <w:color w:val="auto"/>
              </w:rPr>
              <w:fldChar w:fldCharType="end"/>
            </w:r>
            <w:r w:rsidRPr="00535E3B">
              <w:rPr>
                <w:color w:val="auto"/>
                <w:sz w:val="24"/>
                <w:szCs w:val="24"/>
              </w:rPr>
              <w:t xml:space="preserve">.  </w:t>
            </w:r>
            <w:r w:rsidR="001120A2" w:rsidRPr="00535E3B">
              <w:rPr>
                <w:bCs/>
                <w:color w:val="auto"/>
                <w:sz w:val="24"/>
                <w:szCs w:val="24"/>
              </w:rPr>
              <w:t>Proyección de las tasas promedio ponderadas de contribución</w:t>
            </w:r>
            <w:r w:rsidR="001120A2" w:rsidRPr="00535E3B">
              <w:rPr>
                <w:b w:val="0"/>
                <w:bCs/>
                <w:color w:val="auto"/>
              </w:rPr>
              <w:t xml:space="preserve"> (porcentaje)</w:t>
            </w:r>
            <w:bookmarkEnd w:id="248"/>
          </w:p>
        </w:tc>
      </w:tr>
      <w:tr w:rsidR="001120A2" w14:paraId="2D769B95" w14:textId="77777777" w:rsidTr="00ED483A">
        <w:tc>
          <w:tcPr>
            <w:tcW w:w="4414" w:type="dxa"/>
          </w:tcPr>
          <w:p w14:paraId="4351C575" w14:textId="77777777" w:rsidR="001120A2" w:rsidRDefault="001120A2" w:rsidP="00ED483A">
            <w:pPr>
              <w:tabs>
                <w:tab w:val="left" w:pos="3111"/>
              </w:tabs>
              <w:jc w:val="both"/>
              <w:rPr>
                <w:sz w:val="24"/>
                <w:szCs w:val="24"/>
              </w:rPr>
            </w:pPr>
            <w:r>
              <w:rPr>
                <w:noProof/>
              </w:rPr>
              <w:drawing>
                <wp:inline distT="0" distB="0" distL="0" distR="0" wp14:anchorId="549A961F" wp14:editId="1CFD784A">
                  <wp:extent cx="2519680" cy="1630393"/>
                  <wp:effectExtent l="0" t="0" r="0" b="8255"/>
                  <wp:docPr id="1410" name="Gráfico 1410">
                    <a:extLst xmlns:a="http://schemas.openxmlformats.org/drawingml/2006/main">
                      <a:ext uri="{FF2B5EF4-FFF2-40B4-BE49-F238E27FC236}">
                        <a16:creationId xmlns:a16="http://schemas.microsoft.com/office/drawing/2014/main" id="{1F394BA9-B349-415E-A310-C041B68D4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4414" w:type="dxa"/>
          </w:tcPr>
          <w:p w14:paraId="3310FAE9" w14:textId="77777777" w:rsidR="001120A2" w:rsidRDefault="001120A2" w:rsidP="00ED483A">
            <w:pPr>
              <w:jc w:val="both"/>
              <w:rPr>
                <w:sz w:val="24"/>
                <w:szCs w:val="24"/>
              </w:rPr>
            </w:pPr>
            <w:r>
              <w:rPr>
                <w:noProof/>
              </w:rPr>
              <w:drawing>
                <wp:inline distT="0" distB="0" distL="0" distR="0" wp14:anchorId="0343AA86" wp14:editId="45AA8960">
                  <wp:extent cx="2519680" cy="1630045"/>
                  <wp:effectExtent l="0" t="0" r="0" b="8255"/>
                  <wp:docPr id="1411" name="Gráfico 1411">
                    <a:extLst xmlns:a="http://schemas.openxmlformats.org/drawingml/2006/main">
                      <a:ext uri="{FF2B5EF4-FFF2-40B4-BE49-F238E27FC236}">
                        <a16:creationId xmlns:a16="http://schemas.microsoft.com/office/drawing/2014/main" id="{FDFD932C-6E57-413E-B604-EBF4EC59E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1120A2" w14:paraId="124260CD" w14:textId="77777777" w:rsidTr="00ED483A">
        <w:tc>
          <w:tcPr>
            <w:tcW w:w="8828" w:type="dxa"/>
            <w:gridSpan w:val="2"/>
          </w:tcPr>
          <w:p w14:paraId="3A3B5BED" w14:textId="77777777" w:rsidR="001120A2" w:rsidRPr="00535E3B" w:rsidRDefault="001120A2" w:rsidP="00ED483A">
            <w:pPr>
              <w:jc w:val="both"/>
              <w:rPr>
                <w:sz w:val="16"/>
                <w:szCs w:val="24"/>
              </w:rPr>
            </w:pPr>
            <w:r w:rsidRPr="00535E3B">
              <w:rPr>
                <w:sz w:val="16"/>
                <w:szCs w:val="18"/>
              </w:rPr>
              <w:t>Fuente: Elaboración propia con los resultados de las proyecciones</w:t>
            </w:r>
          </w:p>
        </w:tc>
      </w:tr>
    </w:tbl>
    <w:p w14:paraId="178859D0" w14:textId="77777777" w:rsidR="001120A2" w:rsidRDefault="001120A2" w:rsidP="001120A2">
      <w:pPr>
        <w:jc w:val="both"/>
      </w:pPr>
    </w:p>
    <w:p w14:paraId="64EA4306" w14:textId="47B84AC6" w:rsidR="001120A2" w:rsidRDefault="001120A2" w:rsidP="001120A2">
      <w:pPr>
        <w:jc w:val="both"/>
      </w:pPr>
      <w:r>
        <w:t xml:space="preserve">De lo anterior, se observa que la situación financiera del régimen permanecerá estable en el mediano plazo, esto debido principalmente al límite superior de los beneficios, a los incrementos del personal activo y al aumento de la masa salarial sujeta a contribuciones. No obstante, es importante indicar que el incremento del personal afiliado y los salarios dependerán de las políticas de administración pública de las instituciones. Además, que aumentos en los pagos de pensiones que sobrepasen el </w:t>
      </w:r>
      <w:r w:rsidR="00535E3B">
        <w:t>límite</w:t>
      </w:r>
      <w:r>
        <w:t xml:space="preserve"> de jubilación actual de Q5,370.0 podría inducir a un aumento de las personas jubiladas que cumplan actualmente con las condiciones necesarias, pero que no lo hacen porque la pensión máxima actual la consideran baja, por lo que, estos incrementos tendrían un efecto en el aumentó en los beneficios pagados promedio y un efecto por el incremento de jubilados que causarán presiones en el gasto de las prestaciones a la seguridad social y a su financiamiento respectivo.</w:t>
      </w:r>
    </w:p>
    <w:p w14:paraId="0A1A1B71" w14:textId="77777777" w:rsidR="001120A2" w:rsidRDefault="001120A2" w:rsidP="001120A2">
      <w:pPr>
        <w:jc w:val="both"/>
      </w:pPr>
    </w:p>
    <w:p w14:paraId="38865448" w14:textId="77777777" w:rsidR="00846C3D" w:rsidRPr="00030099" w:rsidRDefault="00846C3D" w:rsidP="00A9708A">
      <w:pPr>
        <w:pStyle w:val="Ttulo1"/>
        <w:numPr>
          <w:ilvl w:val="1"/>
          <w:numId w:val="5"/>
        </w:numPr>
        <w:ind w:left="567" w:right="49" w:hanging="283"/>
        <w:jc w:val="both"/>
        <w:rPr>
          <w:color w:val="auto"/>
          <w:sz w:val="24"/>
        </w:rPr>
      </w:pPr>
      <w:bookmarkStart w:id="249" w:name="_Toc114495277"/>
      <w:r w:rsidRPr="00030099">
        <w:rPr>
          <w:color w:val="auto"/>
          <w:sz w:val="24"/>
        </w:rPr>
        <w:t>Valuación actuarial del Instituto Guatemalteco de Seguridad Social -IGSS-</w:t>
      </w:r>
      <w:bookmarkEnd w:id="249"/>
    </w:p>
    <w:p w14:paraId="145C103F" w14:textId="77777777" w:rsidR="00846C3D" w:rsidRPr="002E7C6D" w:rsidRDefault="00846C3D" w:rsidP="00846C3D"/>
    <w:p w14:paraId="2AE7FC4E" w14:textId="77777777" w:rsidR="00846C3D" w:rsidRPr="00030099" w:rsidRDefault="00846C3D" w:rsidP="00A9708A">
      <w:pPr>
        <w:pStyle w:val="Ttulo1"/>
        <w:numPr>
          <w:ilvl w:val="2"/>
          <w:numId w:val="5"/>
        </w:numPr>
        <w:ind w:left="851" w:right="49" w:hanging="284"/>
        <w:jc w:val="both"/>
        <w:rPr>
          <w:color w:val="auto"/>
          <w:sz w:val="24"/>
        </w:rPr>
      </w:pPr>
      <w:bookmarkStart w:id="250" w:name="_Toc114495278"/>
      <w:r w:rsidRPr="00030099">
        <w:rPr>
          <w:color w:val="auto"/>
          <w:sz w:val="24"/>
        </w:rPr>
        <w:t xml:space="preserve">Programa sobre Protección relativa a Invalidez, Vejez y Sobrevivencia </w:t>
      </w:r>
      <w:r w:rsidRPr="001C0BBF">
        <w:rPr>
          <w:color w:val="auto"/>
          <w:sz w:val="22"/>
          <w:szCs w:val="22"/>
        </w:rPr>
        <w:t>-IVS-</w:t>
      </w:r>
      <w:bookmarkEnd w:id="250"/>
      <w:r w:rsidRPr="001C0BBF">
        <w:rPr>
          <w:color w:val="auto"/>
          <w:sz w:val="22"/>
          <w:szCs w:val="22"/>
        </w:rPr>
        <w:t xml:space="preserve"> </w:t>
      </w:r>
    </w:p>
    <w:p w14:paraId="20C717C0" w14:textId="77777777" w:rsidR="00846C3D" w:rsidRDefault="00846C3D" w:rsidP="00846C3D">
      <w:pPr>
        <w:ind w:right="72"/>
        <w:rPr>
          <w:b/>
          <w:lang w:val="es-MX"/>
        </w:rPr>
      </w:pPr>
    </w:p>
    <w:p w14:paraId="10E6EB4F" w14:textId="77777777" w:rsidR="00846C3D" w:rsidRPr="00BC572D" w:rsidRDefault="00846C3D" w:rsidP="00BC572D">
      <w:pPr>
        <w:jc w:val="both"/>
      </w:pPr>
      <w:r w:rsidRPr="00BC572D">
        <w:t xml:space="preserve">Este programa IVS es un régimen obligatorio para todos los trabajadores dependientes que trabajan en empresas de tres y más laborantes, con excepción de los trabajadores presupuestados por el Estado quienes no cotizan al régimen de seguridad social por tener su propio régimen de jubilación, según la ley orgánica de del IGSS (Decreto 295). El programa otorga beneficios por Invalidez, Vejez, Viudedad, orfandad y gastos de entierro y se rigen por el acuerdo 1124 de su Junta Directiva y sus cambios en los acuerdos 1291 y 1432. </w:t>
      </w:r>
    </w:p>
    <w:p w14:paraId="05DDDEEA" w14:textId="645AAD1E" w:rsidR="00846C3D" w:rsidRDefault="00846C3D" w:rsidP="00BC572D">
      <w:pPr>
        <w:jc w:val="both"/>
      </w:pPr>
    </w:p>
    <w:p w14:paraId="05B042AD" w14:textId="77777777" w:rsidR="001A37CA" w:rsidRPr="00BC572D" w:rsidRDefault="001A37CA" w:rsidP="00BC572D">
      <w:pPr>
        <w:jc w:val="both"/>
      </w:pPr>
    </w:p>
    <w:p w14:paraId="2BBD66BD" w14:textId="7FF46C98" w:rsidR="00846C3D" w:rsidRPr="00BC572D" w:rsidRDefault="00846C3D" w:rsidP="00BC572D">
      <w:pPr>
        <w:jc w:val="both"/>
      </w:pPr>
      <w:r w:rsidRPr="00BC572D">
        <w:t>Dicho régimen tripartito está integrado por aporte patronal (3.67%), aporte laboral (1.83</w:t>
      </w:r>
      <w:r w:rsidR="00B10848">
        <w:t>%</w:t>
      </w:r>
      <w:r w:rsidRPr="00BC572D">
        <w:t xml:space="preserve">) y del </w:t>
      </w:r>
      <w:r w:rsidR="00B10848">
        <w:t>E</w:t>
      </w:r>
      <w:r w:rsidRPr="00BC572D">
        <w:t>stado con 25% del gasto de prestaciones</w:t>
      </w:r>
      <w:r w:rsidRPr="00D76471">
        <w:rPr>
          <w:vertAlign w:val="superscript"/>
        </w:rPr>
        <w:footnoteReference w:id="4"/>
      </w:r>
      <w:r w:rsidRPr="00BC572D">
        <w:t>, además de los aportes de los rendimientos de la reserva técnica; los aportes cubren los gastos de pensiones, la administración del programa y la formación de reserva.</w:t>
      </w:r>
    </w:p>
    <w:p w14:paraId="1C1B2F30" w14:textId="77777777" w:rsidR="00846C3D" w:rsidRPr="00BC572D" w:rsidRDefault="00846C3D" w:rsidP="00BC572D">
      <w:pPr>
        <w:jc w:val="both"/>
      </w:pPr>
    </w:p>
    <w:p w14:paraId="59EE05B3" w14:textId="7330465C" w:rsidR="00846C3D" w:rsidRPr="00BC572D" w:rsidRDefault="00846C3D" w:rsidP="00BC572D">
      <w:pPr>
        <w:jc w:val="both"/>
      </w:pPr>
      <w:r w:rsidRPr="00BC572D">
        <w:t>Los requisitos necesarios para optar a una pensión por vejez por medio del programa IVS son: haber cumplido la edad mínima de 60 años y tener 240 cuotas aportadas al régimen de seguridad social</w:t>
      </w:r>
      <w:r w:rsidRPr="00D76471">
        <w:rPr>
          <w:vertAlign w:val="superscript"/>
        </w:rPr>
        <w:footnoteReference w:id="5"/>
      </w:r>
      <w:r w:rsidRPr="00BC572D">
        <w:t>. El monto de los beneficios se determina con base a un porcentaje el cual es aplicado a los últimos 60 meses de salarios devengados por el trabajador antes de la ocurrencia</w:t>
      </w:r>
      <w:r w:rsidR="00D76471">
        <w:t xml:space="preserve"> del riesgo (vejez o invalidez)</w:t>
      </w:r>
      <w:r w:rsidRPr="00D76471">
        <w:rPr>
          <w:vertAlign w:val="superscript"/>
        </w:rPr>
        <w:footnoteReference w:id="6"/>
      </w:r>
      <w:r w:rsidRPr="00BC572D">
        <w:t xml:space="preserve">.  Dicho </w:t>
      </w:r>
      <w:r w:rsidR="00030099" w:rsidRPr="00BC572D">
        <w:t>cálculo</w:t>
      </w:r>
      <w:r w:rsidRPr="00BC572D">
        <w:t xml:space="preserve"> es de 50% del salario medio del trabajador, 10% para cada una de las cargas familiares y 0.5% de la remuneración base por cada 6 meses de contribución al seguro, la pensión máxima es de 80% de los ingresos del trabajador.</w:t>
      </w:r>
    </w:p>
    <w:p w14:paraId="1B5D85E3" w14:textId="77777777" w:rsidR="00846C3D" w:rsidRPr="00BC572D" w:rsidRDefault="00846C3D" w:rsidP="00BC572D">
      <w:pPr>
        <w:jc w:val="both"/>
      </w:pPr>
    </w:p>
    <w:p w14:paraId="6DE6117B" w14:textId="24E72B41" w:rsidR="00846C3D" w:rsidRPr="00BC572D" w:rsidRDefault="00846C3D" w:rsidP="00BC572D">
      <w:pPr>
        <w:jc w:val="both"/>
      </w:pPr>
      <w:r w:rsidRPr="00BC572D">
        <w:t>El Estado reconoce y garantiza el derecho a la seguridad social brindado por el IGSS, además, esta es una institución perteneciente al Gobierno General, por lo que, de existir presiones financieras en el régimen en el futuro, se deberán destinar recursos para su sostenibilidad que tendrán su impacto en el gasto, déficit y deuda pública. Por lo que se procederá a realizar un breve análisis de la situación actual y de las proyecciones financieras realizadas por el IGSS en su valuación actuarial de 2020.</w:t>
      </w:r>
    </w:p>
    <w:p w14:paraId="70297341" w14:textId="58916A7F" w:rsidR="008F48D5" w:rsidRPr="00B47ABD" w:rsidRDefault="008F48D5" w:rsidP="00846C3D">
      <w:pPr>
        <w:ind w:right="72"/>
        <w:jc w:val="both"/>
        <w:rPr>
          <w:bCs/>
        </w:rPr>
      </w:pPr>
    </w:p>
    <w:p w14:paraId="7035A6A1" w14:textId="77777777" w:rsidR="00846C3D" w:rsidRDefault="00846C3D" w:rsidP="00A9708A">
      <w:pPr>
        <w:ind w:right="72"/>
        <w:jc w:val="both"/>
        <w:rPr>
          <w:b/>
          <w:lang w:val="es-MX"/>
        </w:rPr>
      </w:pPr>
      <w:r w:rsidRPr="003662A8">
        <w:rPr>
          <w:b/>
          <w:lang w:val="es-MX"/>
        </w:rPr>
        <w:t xml:space="preserve">Situación actual: </w:t>
      </w:r>
    </w:p>
    <w:p w14:paraId="5546676C" w14:textId="77777777" w:rsidR="00846C3D" w:rsidRPr="003662A8" w:rsidRDefault="00846C3D" w:rsidP="00846C3D">
      <w:pPr>
        <w:ind w:left="540" w:right="72"/>
        <w:jc w:val="both"/>
        <w:rPr>
          <w:b/>
          <w:lang w:val="es-MX"/>
        </w:rPr>
      </w:pPr>
    </w:p>
    <w:p w14:paraId="08FA7AAC" w14:textId="73935BDA" w:rsidR="00846C3D" w:rsidRPr="00BC572D" w:rsidRDefault="00846C3D" w:rsidP="00BC572D">
      <w:pPr>
        <w:jc w:val="both"/>
      </w:pPr>
      <w:r w:rsidRPr="00BC572D">
        <w:t xml:space="preserve">En el 2021 se registraron 1,388,248 afiliados cotizantes al Programa IVS, de ellos el 65.7% corresponde a hombres y solo 34.3% a mujeres. </w:t>
      </w:r>
      <w:r w:rsidR="00E62646" w:rsidRPr="00E62646">
        <w:t>De lo cual se observa una concentración de 55.5% en hombres y de 29.3% en mujeres, en las personas entre 20 y 49 años, es decir el 84.8% del total de afiliados. Las personas que se encuentran entre 50 y 59 años representan el 9.5%, mientras que las mayores o igual a 60 años representan solo el 4.0% del total de la población afiliada al programa IGSS, los cuales son trabajadores potenciales para optar a una pensión por riesgo de vejez. La población afiliada al programa menor a 35 años constituye el 51.8% el cual es una población relativamente joven por lo que se espera que cotice al régimen por un largo periodo de tiempo</w:t>
      </w:r>
      <w:r w:rsidR="00E62646">
        <w:t>.</w:t>
      </w:r>
    </w:p>
    <w:p w14:paraId="0C40C332" w14:textId="77777777" w:rsidR="00846C3D" w:rsidRPr="00BC572D" w:rsidRDefault="00846C3D" w:rsidP="00BC572D">
      <w:pPr>
        <w:jc w:val="both"/>
      </w:pPr>
    </w:p>
    <w:p w14:paraId="2B8D1D2C" w14:textId="77777777" w:rsidR="00846C3D" w:rsidRPr="00BC572D" w:rsidRDefault="00846C3D" w:rsidP="00BC572D">
      <w:pPr>
        <w:jc w:val="both"/>
      </w:pPr>
      <w:r w:rsidRPr="00BC572D">
        <w:t>En los años anteriores a la pandemia el crecimiento poblacional en este programa había sido de 1.3% en promedio del 2017 al 2019, sin embargo, en 2021 la población afiliada al programa IVS fue de 1,207,262 por lo que creció 8.6% respecto del año anterior, mostrando un efecto rebote por la recuperación observada en dicho año en el mercado laboral.</w:t>
      </w:r>
    </w:p>
    <w:p w14:paraId="5FA4E9D0" w14:textId="77777777" w:rsidR="00846C3D" w:rsidRDefault="00846C3D" w:rsidP="00846C3D">
      <w:pPr>
        <w:ind w:right="72"/>
        <w:jc w:val="both"/>
        <w:rPr>
          <w:bCs/>
          <w:lang w:val="es-MX"/>
        </w:rPr>
      </w:pPr>
    </w:p>
    <w:tbl>
      <w:tblPr>
        <w:tblStyle w:val="Tablaconcuadrcula"/>
        <w:tblW w:w="968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38"/>
      </w:tblGrid>
      <w:tr w:rsidR="00846C3D" w14:paraId="42310133" w14:textId="77777777" w:rsidTr="00E62646">
        <w:trPr>
          <w:trHeight w:val="697"/>
        </w:trPr>
        <w:tc>
          <w:tcPr>
            <w:tcW w:w="4849" w:type="dxa"/>
          </w:tcPr>
          <w:p w14:paraId="54AABFAE" w14:textId="5C84EEBD" w:rsidR="00846C3D" w:rsidRPr="00535E3B" w:rsidRDefault="00535E3B" w:rsidP="00535E3B">
            <w:pPr>
              <w:pStyle w:val="Descripcin"/>
              <w:keepNext/>
            </w:pPr>
            <w:bookmarkStart w:id="251" w:name="_Toc114493913"/>
            <w:r w:rsidRPr="00535E3B">
              <w:rPr>
                <w:color w:val="auto"/>
                <w:sz w:val="24"/>
              </w:rPr>
              <w:t xml:space="preserve">Gráfico </w:t>
            </w:r>
            <w:r w:rsidRPr="00535E3B">
              <w:rPr>
                <w:color w:val="auto"/>
              </w:rPr>
              <w:fldChar w:fldCharType="begin"/>
            </w:r>
            <w:r w:rsidRPr="00535E3B">
              <w:rPr>
                <w:color w:val="auto"/>
                <w:sz w:val="24"/>
              </w:rPr>
              <w:instrText xml:space="preserve"> SEQ Gráfico \* ARABIC </w:instrText>
            </w:r>
            <w:r w:rsidRPr="00535E3B">
              <w:rPr>
                <w:color w:val="auto"/>
              </w:rPr>
              <w:fldChar w:fldCharType="separate"/>
            </w:r>
            <w:r w:rsidR="002E7809">
              <w:rPr>
                <w:noProof/>
                <w:color w:val="auto"/>
                <w:sz w:val="24"/>
              </w:rPr>
              <w:t>71</w:t>
            </w:r>
            <w:r w:rsidRPr="00535E3B">
              <w:rPr>
                <w:color w:val="auto"/>
              </w:rPr>
              <w:fldChar w:fldCharType="end"/>
            </w:r>
            <w:r w:rsidRPr="00535E3B">
              <w:rPr>
                <w:color w:val="auto"/>
                <w:sz w:val="24"/>
              </w:rPr>
              <w:t xml:space="preserve">.  </w:t>
            </w:r>
            <w:r w:rsidR="00846C3D" w:rsidRPr="00535E3B">
              <w:rPr>
                <w:color w:val="auto"/>
                <w:sz w:val="24"/>
                <w:lang w:val="es-MX"/>
              </w:rPr>
              <w:t>Afiliados al Programa IVS por sexo y grupo de edad, año 2021</w:t>
            </w:r>
            <w:bookmarkEnd w:id="251"/>
          </w:p>
          <w:p w14:paraId="35885E5D" w14:textId="77777777" w:rsidR="00846C3D" w:rsidRPr="00535E3B" w:rsidRDefault="00846C3D" w:rsidP="00ED483A">
            <w:pPr>
              <w:ind w:left="540" w:right="72"/>
              <w:jc w:val="center"/>
              <w:rPr>
                <w:bCs/>
                <w:lang w:val="es-MX" w:eastAsia="en-US"/>
              </w:rPr>
            </w:pPr>
            <w:r w:rsidRPr="00535E3B">
              <w:rPr>
                <w:lang w:val="es-MX"/>
              </w:rPr>
              <w:t xml:space="preserve">(% del total de personas) </w:t>
            </w:r>
          </w:p>
        </w:tc>
        <w:tc>
          <w:tcPr>
            <w:tcW w:w="4838" w:type="dxa"/>
          </w:tcPr>
          <w:p w14:paraId="4B98DBB1" w14:textId="3F0C4C71" w:rsidR="00846C3D" w:rsidRPr="00535E3B" w:rsidRDefault="00535E3B" w:rsidP="00535E3B">
            <w:pPr>
              <w:pStyle w:val="Descripcin"/>
              <w:keepNext/>
            </w:pPr>
            <w:bookmarkStart w:id="252" w:name="_Toc114493914"/>
            <w:r w:rsidRPr="009701B8">
              <w:rPr>
                <w:color w:val="auto"/>
                <w:sz w:val="24"/>
              </w:rPr>
              <w:t xml:space="preserve">Gráfico </w:t>
            </w:r>
            <w:r w:rsidRPr="009701B8">
              <w:rPr>
                <w:color w:val="auto"/>
              </w:rPr>
              <w:fldChar w:fldCharType="begin"/>
            </w:r>
            <w:r w:rsidRPr="009701B8">
              <w:rPr>
                <w:color w:val="auto"/>
                <w:sz w:val="24"/>
              </w:rPr>
              <w:instrText xml:space="preserve"> SEQ Gráfico \* ARABIC </w:instrText>
            </w:r>
            <w:r w:rsidRPr="009701B8">
              <w:rPr>
                <w:color w:val="auto"/>
              </w:rPr>
              <w:fldChar w:fldCharType="separate"/>
            </w:r>
            <w:r w:rsidR="002E7809">
              <w:rPr>
                <w:noProof/>
                <w:color w:val="auto"/>
                <w:sz w:val="24"/>
              </w:rPr>
              <w:t>72</w:t>
            </w:r>
            <w:r w:rsidRPr="009701B8">
              <w:rPr>
                <w:color w:val="auto"/>
              </w:rPr>
              <w:fldChar w:fldCharType="end"/>
            </w:r>
            <w:r w:rsidRPr="009701B8">
              <w:rPr>
                <w:color w:val="auto"/>
                <w:sz w:val="24"/>
              </w:rPr>
              <w:t xml:space="preserve">.  </w:t>
            </w:r>
            <w:r w:rsidR="00846C3D" w:rsidRPr="009701B8">
              <w:rPr>
                <w:color w:val="auto"/>
                <w:sz w:val="24"/>
                <w:lang w:val="es-MX"/>
              </w:rPr>
              <w:t xml:space="preserve">Pensionados al Programa </w:t>
            </w:r>
            <w:r w:rsidR="009701B8">
              <w:rPr>
                <w:color w:val="auto"/>
                <w:sz w:val="24"/>
                <w:lang w:val="es-MX"/>
              </w:rPr>
              <w:t xml:space="preserve">      </w:t>
            </w:r>
            <w:r w:rsidR="00846C3D" w:rsidRPr="009701B8">
              <w:rPr>
                <w:color w:val="auto"/>
                <w:sz w:val="24"/>
                <w:lang w:val="es-MX"/>
              </w:rPr>
              <w:t xml:space="preserve">IVS por riesgo y variación </w:t>
            </w:r>
            <w:r w:rsidR="00B47ABD" w:rsidRPr="009701B8">
              <w:rPr>
                <w:color w:val="auto"/>
                <w:sz w:val="24"/>
                <w:lang w:val="es-MX"/>
              </w:rPr>
              <w:t>interanual,</w:t>
            </w:r>
            <w:r w:rsidR="009701B8">
              <w:rPr>
                <w:color w:val="auto"/>
                <w:sz w:val="24"/>
                <w:lang w:val="es-MX"/>
              </w:rPr>
              <w:t xml:space="preserve"> </w:t>
            </w:r>
            <w:r w:rsidR="00846C3D" w:rsidRPr="009701B8">
              <w:rPr>
                <w:color w:val="auto"/>
                <w:sz w:val="24"/>
                <w:lang w:val="es-MX"/>
              </w:rPr>
              <w:t>años 2011-2021</w:t>
            </w:r>
            <w:bookmarkEnd w:id="252"/>
          </w:p>
        </w:tc>
      </w:tr>
      <w:tr w:rsidR="00846C3D" w14:paraId="41798852" w14:textId="77777777" w:rsidTr="00E62646">
        <w:trPr>
          <w:trHeight w:val="2490"/>
        </w:trPr>
        <w:tc>
          <w:tcPr>
            <w:tcW w:w="4849" w:type="dxa"/>
          </w:tcPr>
          <w:p w14:paraId="6D07CA94" w14:textId="6207E844" w:rsidR="00846C3D" w:rsidRDefault="00E62646" w:rsidP="00ED483A">
            <w:pPr>
              <w:ind w:right="72"/>
              <w:jc w:val="both"/>
              <w:rPr>
                <w:bCs/>
                <w:sz w:val="24"/>
                <w:szCs w:val="24"/>
                <w:lang w:val="es-MX" w:eastAsia="en-US"/>
              </w:rPr>
            </w:pPr>
            <w:r>
              <w:rPr>
                <w:noProof/>
              </w:rPr>
              <w:drawing>
                <wp:inline distT="0" distB="0" distL="0" distR="0" wp14:anchorId="646667AC" wp14:editId="62ED2E55">
                  <wp:extent cx="2891155" cy="1799590"/>
                  <wp:effectExtent l="0" t="0" r="4445" b="0"/>
                  <wp:docPr id="4" name="Gráfico 4">
                    <a:extLst xmlns:a="http://schemas.openxmlformats.org/drawingml/2006/main">
                      <a:ext uri="{FF2B5EF4-FFF2-40B4-BE49-F238E27FC236}">
                        <a16:creationId xmlns:a16="http://schemas.microsoft.com/office/drawing/2014/main" id="{01D673E5-3200-5A21-E636-32BCBC972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838" w:type="dxa"/>
          </w:tcPr>
          <w:p w14:paraId="5EF393CA" w14:textId="77777777" w:rsidR="00846C3D" w:rsidRDefault="00846C3D" w:rsidP="00ED483A">
            <w:pPr>
              <w:ind w:right="72"/>
              <w:jc w:val="both"/>
              <w:rPr>
                <w:bCs/>
                <w:sz w:val="24"/>
                <w:szCs w:val="24"/>
                <w:lang w:val="es-MX" w:eastAsia="en-US"/>
              </w:rPr>
            </w:pPr>
            <w:r>
              <w:rPr>
                <w:noProof/>
              </w:rPr>
              <w:drawing>
                <wp:inline distT="0" distB="0" distL="0" distR="0" wp14:anchorId="095F01E5" wp14:editId="499CE36C">
                  <wp:extent cx="2705100" cy="1799590"/>
                  <wp:effectExtent l="0" t="0" r="0" b="0"/>
                  <wp:docPr id="1440" name="Gráfico 1440">
                    <a:extLst xmlns:a="http://schemas.openxmlformats.org/drawingml/2006/main">
                      <a:ext uri="{FF2B5EF4-FFF2-40B4-BE49-F238E27FC236}">
                        <a16:creationId xmlns:a16="http://schemas.microsoft.com/office/drawing/2014/main" id="{CB2F34E2-1CAF-458A-90C7-4278BAF6C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846C3D" w14:paraId="47919991" w14:textId="77777777" w:rsidTr="00030099">
        <w:trPr>
          <w:trHeight w:val="187"/>
        </w:trPr>
        <w:tc>
          <w:tcPr>
            <w:tcW w:w="9687" w:type="dxa"/>
            <w:gridSpan w:val="2"/>
          </w:tcPr>
          <w:p w14:paraId="6E6F86C1" w14:textId="6BA2DE2B" w:rsidR="00846C3D" w:rsidRPr="00535E3B" w:rsidRDefault="00846C3D" w:rsidP="00ED483A">
            <w:pPr>
              <w:rPr>
                <w:bCs/>
                <w:sz w:val="16"/>
                <w:szCs w:val="24"/>
                <w:lang w:eastAsia="en-US"/>
              </w:rPr>
            </w:pPr>
            <w:r w:rsidRPr="00535E3B">
              <w:rPr>
                <w:sz w:val="16"/>
                <w:szCs w:val="18"/>
              </w:rPr>
              <w:t xml:space="preserve">Fuente: IGSS </w:t>
            </w:r>
          </w:p>
        </w:tc>
      </w:tr>
    </w:tbl>
    <w:p w14:paraId="37BD2877" w14:textId="6621E1E3" w:rsidR="00846C3D" w:rsidRDefault="00E62646" w:rsidP="00E62646">
      <w:pPr>
        <w:rPr>
          <w:sz w:val="16"/>
          <w:szCs w:val="18"/>
        </w:rPr>
      </w:pPr>
      <w:r w:rsidRPr="00E62646">
        <w:rPr>
          <w:rFonts w:eastAsia="Times New Roman"/>
          <w:sz w:val="16"/>
          <w:szCs w:val="18"/>
          <w:lang w:eastAsia="es-GT"/>
        </w:rPr>
        <w:t>Nota: Los cotizantes al IVS tienen un comportamiento muy similar a afiliados totales al IGSS</w:t>
      </w:r>
    </w:p>
    <w:p w14:paraId="3CE3BBAC" w14:textId="77777777" w:rsidR="00E62646" w:rsidRPr="00E62646" w:rsidRDefault="00E62646" w:rsidP="00E62646">
      <w:pPr>
        <w:rPr>
          <w:rFonts w:eastAsia="Times New Roman"/>
          <w:sz w:val="16"/>
          <w:szCs w:val="18"/>
          <w:lang w:eastAsia="es-GT"/>
        </w:rPr>
      </w:pPr>
    </w:p>
    <w:p w14:paraId="6EC6406F" w14:textId="2CFA065F" w:rsidR="00846C3D" w:rsidRPr="00BC572D" w:rsidRDefault="00846C3D" w:rsidP="00BC572D">
      <w:pPr>
        <w:jc w:val="both"/>
      </w:pPr>
      <w:r w:rsidRPr="00BC572D">
        <w:t>La cantidad de pensionados en 2021 para el programa IVS fue de 171,706 afiliados, de los cuales el 4.6% corresponden al riesgo por invalidez, el 52.5% a riesgo por vejez y el 42.9% a riesgo por sobrevivencia. Se ha observado una tendencia negativa en la cantidad de afiliados al programa, disminuyendo desde una tasa de variación interanual de 5.8% para el 2011 a</w:t>
      </w:r>
      <w:r w:rsidR="00D76471">
        <w:t xml:space="preserve">      </w:t>
      </w:r>
      <w:r w:rsidRPr="00BC572D">
        <w:t xml:space="preserve"> -0.2% para el 2021.</w:t>
      </w:r>
    </w:p>
    <w:p w14:paraId="46A2CF0C" w14:textId="77777777" w:rsidR="00846C3D" w:rsidRDefault="00846C3D" w:rsidP="00846C3D">
      <w:pPr>
        <w:ind w:left="540"/>
        <w:jc w:val="both"/>
        <w:rPr>
          <w:b/>
          <w:lang w:val="es-MX"/>
        </w:rPr>
      </w:pPr>
    </w:p>
    <w:p w14:paraId="6EEDC869" w14:textId="77777777" w:rsidR="00846C3D" w:rsidRPr="00030099" w:rsidRDefault="00846C3D" w:rsidP="00A9708A">
      <w:pPr>
        <w:pStyle w:val="Ttulo1"/>
        <w:numPr>
          <w:ilvl w:val="2"/>
          <w:numId w:val="5"/>
        </w:numPr>
        <w:ind w:left="851" w:right="49" w:hanging="284"/>
        <w:jc w:val="both"/>
        <w:rPr>
          <w:color w:val="auto"/>
          <w:sz w:val="24"/>
        </w:rPr>
      </w:pPr>
      <w:bookmarkStart w:id="253" w:name="_Toc114495279"/>
      <w:r w:rsidRPr="00030099">
        <w:rPr>
          <w:color w:val="auto"/>
          <w:sz w:val="24"/>
        </w:rPr>
        <w:t>Ingresos Gastos y Reserva</w:t>
      </w:r>
      <w:bookmarkEnd w:id="253"/>
    </w:p>
    <w:p w14:paraId="332E682B" w14:textId="77777777" w:rsidR="00846C3D" w:rsidRDefault="00846C3D" w:rsidP="00846C3D">
      <w:pPr>
        <w:ind w:left="540"/>
        <w:jc w:val="both"/>
        <w:rPr>
          <w:b/>
          <w:lang w:val="es-MX"/>
        </w:rPr>
      </w:pPr>
      <w:r>
        <w:rPr>
          <w:b/>
          <w:lang w:val="es-MX"/>
        </w:rPr>
        <w:t xml:space="preserve"> </w:t>
      </w:r>
    </w:p>
    <w:p w14:paraId="165F1590" w14:textId="27F0AEC5" w:rsidR="00846C3D" w:rsidRPr="00BC572D" w:rsidRDefault="00846C3D" w:rsidP="00BC572D">
      <w:pPr>
        <w:jc w:val="both"/>
      </w:pPr>
      <w:r w:rsidRPr="00BC572D">
        <w:t>En el 2021 respecto a los ingresos totales se observó una tasa de crecimiento de 2021 de 9.7% al registrar un total de ingresos de Q</w:t>
      </w:r>
      <w:r w:rsidR="00B47ABD">
        <w:t xml:space="preserve"> </w:t>
      </w:r>
      <w:r w:rsidRPr="00BC572D">
        <w:t>5,465.93 millones de quetzales, después de la tendencia a la baja que ven</w:t>
      </w:r>
      <w:r w:rsidR="00B47ABD">
        <w:t>í</w:t>
      </w:r>
      <w:r w:rsidRPr="00BC572D">
        <w:t>a de 7.2% en 2017 a 3.3% en 2019, y que en 2020 tuvo una caída muy fuerte al registrar un decrecimiento en los ingresos de -4.3%, sin embargo esto fue derivado a la caída del empleo y los diferimientos en las cuotas de los ingresos de los trabajadores afiliados al programa IVS por efecto del COVID-19</w:t>
      </w:r>
      <w:r w:rsidRPr="00D76471">
        <w:rPr>
          <w:vertAlign w:val="superscript"/>
        </w:rPr>
        <w:footnoteReference w:id="7"/>
      </w:r>
      <w:r w:rsidRPr="00BC572D">
        <w:t>.</w:t>
      </w:r>
    </w:p>
    <w:p w14:paraId="58CAE3EB" w14:textId="77777777" w:rsidR="00846C3D" w:rsidRPr="00BC572D" w:rsidRDefault="00846C3D" w:rsidP="00BC572D">
      <w:pPr>
        <w:jc w:val="both"/>
      </w:pPr>
    </w:p>
    <w:p w14:paraId="7A968775" w14:textId="77777777" w:rsidR="00846C3D" w:rsidRPr="00BC572D" w:rsidRDefault="00846C3D" w:rsidP="00BC572D">
      <w:pPr>
        <w:jc w:val="both"/>
      </w:pPr>
      <w:r w:rsidRPr="00BC572D">
        <w:t>Respecto a los gastos se observan tasas de crecimiento cada vez mayores pasando del 7.1% en 2017 a 9.7% en 2019, nuevamente en 2020 se observa una caída en dicha tasa al registrar un 6.2% por efecto de la pandemia, pero en 2021 creció 11.6% al registrar gastos en total de Q3,980.50 millones de quetzales al normalizar la mayoría de los servicios. De los beneficios pagados el monto total pagado acumulado en 2021 por vejez asciende a Q2,929,287,102.00, en el caso de sobrevivencia asciende a un total acumulado de Q626,698,607 y para invalidez un total de Q177,557,709.00.</w:t>
      </w:r>
    </w:p>
    <w:p w14:paraId="7BD79294" w14:textId="77777777" w:rsidR="00846C3D" w:rsidRPr="00BC572D" w:rsidRDefault="00846C3D" w:rsidP="00BC572D">
      <w:pPr>
        <w:jc w:val="both"/>
      </w:pPr>
    </w:p>
    <w:p w14:paraId="181F3A5E" w14:textId="2A43D4FF" w:rsidR="00846C3D" w:rsidRPr="00BC572D" w:rsidRDefault="00846C3D" w:rsidP="00BC572D">
      <w:pPr>
        <w:jc w:val="both"/>
      </w:pPr>
      <w:r w:rsidRPr="00BC572D">
        <w:t>Por otro lado, se observa una ralentización del crecimiento del Fondo de Reserva, que acumula los superávits de cada año y sus rendimientos. En 2016 el crecimiento de dicho fondo fue de 10.7% pero en 2020 y 2021 este creció únicamente 5.6%, su saldo a final de periodo del 2021 se registró en Q28,133.3</w:t>
      </w:r>
      <w:r w:rsidR="007F2A16">
        <w:t xml:space="preserve"> millones</w:t>
      </w:r>
      <w:r w:rsidRPr="00BC572D">
        <w:t>.</w:t>
      </w:r>
    </w:p>
    <w:p w14:paraId="010EF2B5" w14:textId="77777777" w:rsidR="00846C3D" w:rsidRPr="006061DF" w:rsidRDefault="00846C3D" w:rsidP="00846C3D">
      <w:pPr>
        <w:ind w:left="540"/>
        <w:jc w:val="both"/>
        <w:rPr>
          <w:bCs/>
          <w:lang w:val="es-MX"/>
        </w:rPr>
      </w:pPr>
    </w:p>
    <w:p w14:paraId="3581B2F7" w14:textId="4F81F840" w:rsidR="00846C3D" w:rsidRPr="00E94376" w:rsidRDefault="00E94376" w:rsidP="00E94376">
      <w:pPr>
        <w:pStyle w:val="Descripcin"/>
        <w:keepNext/>
      </w:pPr>
      <w:bookmarkStart w:id="254" w:name="_Toc114493936"/>
      <w:r w:rsidRPr="00E94376">
        <w:rPr>
          <w:color w:val="auto"/>
        </w:rPr>
        <w:t xml:space="preserve">Tabla </w:t>
      </w:r>
      <w:r w:rsidRPr="00E94376">
        <w:rPr>
          <w:color w:val="auto"/>
        </w:rPr>
        <w:fldChar w:fldCharType="begin"/>
      </w:r>
      <w:r w:rsidRPr="00E94376">
        <w:rPr>
          <w:color w:val="auto"/>
        </w:rPr>
        <w:instrText xml:space="preserve"> SEQ Tabla \* ARABIC </w:instrText>
      </w:r>
      <w:r w:rsidRPr="00E94376">
        <w:rPr>
          <w:color w:val="auto"/>
        </w:rPr>
        <w:fldChar w:fldCharType="separate"/>
      </w:r>
      <w:r w:rsidR="002E7809">
        <w:rPr>
          <w:noProof/>
          <w:color w:val="auto"/>
        </w:rPr>
        <w:t>13</w:t>
      </w:r>
      <w:r w:rsidRPr="00E94376">
        <w:rPr>
          <w:color w:val="auto"/>
        </w:rPr>
        <w:fldChar w:fldCharType="end"/>
      </w:r>
      <w:r w:rsidRPr="00E94376">
        <w:rPr>
          <w:color w:val="auto"/>
        </w:rPr>
        <w:t xml:space="preserve">.  </w:t>
      </w:r>
      <w:r w:rsidR="00846C3D" w:rsidRPr="00E94376">
        <w:rPr>
          <w:color w:val="auto"/>
          <w:lang w:val="es-MX"/>
        </w:rPr>
        <w:t>Ingresos, gastos y Fondo de Reserva del Programa IVS, periodo 2016-2021</w:t>
      </w:r>
      <w:r w:rsidR="00846C3D" w:rsidRPr="00E94376">
        <w:rPr>
          <w:b w:val="0"/>
          <w:color w:val="auto"/>
          <w:sz w:val="22"/>
          <w:szCs w:val="22"/>
          <w:lang w:val="es-MX"/>
        </w:rPr>
        <w:t xml:space="preserve"> (cifras en millones de Quetzales)</w:t>
      </w:r>
      <w:bookmarkEnd w:id="254"/>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1"/>
        <w:gridCol w:w="1082"/>
        <w:gridCol w:w="976"/>
        <w:gridCol w:w="976"/>
        <w:gridCol w:w="976"/>
        <w:gridCol w:w="976"/>
        <w:gridCol w:w="976"/>
      </w:tblGrid>
      <w:tr w:rsidR="00846C3D" w:rsidRPr="000544D0" w14:paraId="35117ACD" w14:textId="77777777" w:rsidTr="00ED483A">
        <w:trPr>
          <w:trHeight w:val="234"/>
          <w:jc w:val="center"/>
        </w:trPr>
        <w:tc>
          <w:tcPr>
            <w:tcW w:w="0" w:type="auto"/>
            <w:shd w:val="clear" w:color="000000" w:fill="0070C0"/>
            <w:noWrap/>
            <w:vAlign w:val="center"/>
            <w:hideMark/>
          </w:tcPr>
          <w:p w14:paraId="73BD0FA3" w14:textId="77777777" w:rsidR="00846C3D" w:rsidRPr="00CE09E6" w:rsidRDefault="00846C3D" w:rsidP="00ED483A">
            <w:pPr>
              <w:widowControl/>
              <w:rPr>
                <w:b/>
                <w:bCs/>
                <w:color w:val="FFFFFF"/>
                <w:sz w:val="16"/>
                <w:szCs w:val="16"/>
                <w:lang w:eastAsia="es-GT"/>
              </w:rPr>
            </w:pPr>
            <w:r>
              <w:rPr>
                <w:b/>
                <w:bCs/>
                <w:color w:val="FFFFFF"/>
                <w:sz w:val="16"/>
                <w:szCs w:val="16"/>
                <w:lang w:eastAsia="es-GT"/>
              </w:rPr>
              <w:t>Concepto</w:t>
            </w:r>
          </w:p>
        </w:tc>
        <w:tc>
          <w:tcPr>
            <w:tcW w:w="0" w:type="auto"/>
            <w:shd w:val="clear" w:color="000000" w:fill="0070C0"/>
            <w:noWrap/>
            <w:vAlign w:val="center"/>
            <w:hideMark/>
          </w:tcPr>
          <w:p w14:paraId="370DE630" w14:textId="77777777" w:rsidR="00846C3D" w:rsidRPr="00CE09E6" w:rsidRDefault="00846C3D" w:rsidP="00ED483A">
            <w:pPr>
              <w:widowControl/>
              <w:jc w:val="center"/>
              <w:rPr>
                <w:b/>
                <w:bCs/>
                <w:color w:val="FFFFFF"/>
                <w:sz w:val="16"/>
                <w:szCs w:val="16"/>
                <w:lang w:eastAsia="es-GT"/>
              </w:rPr>
            </w:pPr>
            <w:r w:rsidRPr="00CE09E6">
              <w:rPr>
                <w:b/>
                <w:bCs/>
                <w:color w:val="FFFFFF"/>
                <w:sz w:val="16"/>
                <w:szCs w:val="16"/>
                <w:lang w:eastAsia="es-GT"/>
              </w:rPr>
              <w:t>2016</w:t>
            </w:r>
          </w:p>
        </w:tc>
        <w:tc>
          <w:tcPr>
            <w:tcW w:w="0" w:type="auto"/>
            <w:shd w:val="clear" w:color="000000" w:fill="0070C0"/>
            <w:noWrap/>
            <w:vAlign w:val="center"/>
            <w:hideMark/>
          </w:tcPr>
          <w:p w14:paraId="2B449096" w14:textId="77777777" w:rsidR="00846C3D" w:rsidRPr="00CE09E6" w:rsidRDefault="00846C3D" w:rsidP="00ED483A">
            <w:pPr>
              <w:widowControl/>
              <w:jc w:val="center"/>
              <w:rPr>
                <w:b/>
                <w:bCs/>
                <w:color w:val="FFFFFF"/>
                <w:sz w:val="16"/>
                <w:szCs w:val="16"/>
                <w:lang w:eastAsia="es-GT"/>
              </w:rPr>
            </w:pPr>
            <w:r w:rsidRPr="00CE09E6">
              <w:rPr>
                <w:b/>
                <w:bCs/>
                <w:color w:val="FFFFFF"/>
                <w:sz w:val="16"/>
                <w:szCs w:val="16"/>
                <w:lang w:eastAsia="es-GT"/>
              </w:rPr>
              <w:t>2017</w:t>
            </w:r>
          </w:p>
        </w:tc>
        <w:tc>
          <w:tcPr>
            <w:tcW w:w="0" w:type="auto"/>
            <w:shd w:val="clear" w:color="000000" w:fill="0070C0"/>
            <w:noWrap/>
            <w:vAlign w:val="center"/>
            <w:hideMark/>
          </w:tcPr>
          <w:p w14:paraId="006B9979" w14:textId="77777777" w:rsidR="00846C3D" w:rsidRPr="00CE09E6" w:rsidRDefault="00846C3D" w:rsidP="00ED483A">
            <w:pPr>
              <w:widowControl/>
              <w:jc w:val="center"/>
              <w:rPr>
                <w:b/>
                <w:bCs/>
                <w:color w:val="FFFFFF"/>
                <w:sz w:val="16"/>
                <w:szCs w:val="16"/>
                <w:lang w:eastAsia="es-GT"/>
              </w:rPr>
            </w:pPr>
            <w:r w:rsidRPr="00CE09E6">
              <w:rPr>
                <w:b/>
                <w:bCs/>
                <w:color w:val="FFFFFF"/>
                <w:sz w:val="16"/>
                <w:szCs w:val="16"/>
                <w:lang w:eastAsia="es-GT"/>
              </w:rPr>
              <w:t>2018</w:t>
            </w:r>
          </w:p>
        </w:tc>
        <w:tc>
          <w:tcPr>
            <w:tcW w:w="0" w:type="auto"/>
            <w:shd w:val="clear" w:color="000000" w:fill="0070C0"/>
            <w:noWrap/>
            <w:vAlign w:val="center"/>
            <w:hideMark/>
          </w:tcPr>
          <w:p w14:paraId="3AEB554E" w14:textId="77777777" w:rsidR="00846C3D" w:rsidRPr="00CE09E6" w:rsidRDefault="00846C3D" w:rsidP="00ED483A">
            <w:pPr>
              <w:widowControl/>
              <w:jc w:val="center"/>
              <w:rPr>
                <w:b/>
                <w:bCs/>
                <w:color w:val="FFFFFF"/>
                <w:sz w:val="16"/>
                <w:szCs w:val="16"/>
                <w:lang w:eastAsia="es-GT"/>
              </w:rPr>
            </w:pPr>
            <w:r w:rsidRPr="00CE09E6">
              <w:rPr>
                <w:b/>
                <w:bCs/>
                <w:color w:val="FFFFFF"/>
                <w:sz w:val="16"/>
                <w:szCs w:val="16"/>
                <w:lang w:eastAsia="es-GT"/>
              </w:rPr>
              <w:t>2019</w:t>
            </w:r>
          </w:p>
        </w:tc>
        <w:tc>
          <w:tcPr>
            <w:tcW w:w="0" w:type="auto"/>
            <w:shd w:val="clear" w:color="000000" w:fill="0070C0"/>
            <w:noWrap/>
            <w:vAlign w:val="center"/>
            <w:hideMark/>
          </w:tcPr>
          <w:p w14:paraId="71345A77" w14:textId="77777777" w:rsidR="00846C3D" w:rsidRPr="00CE09E6" w:rsidRDefault="00846C3D" w:rsidP="00ED483A">
            <w:pPr>
              <w:widowControl/>
              <w:jc w:val="center"/>
              <w:rPr>
                <w:b/>
                <w:bCs/>
                <w:color w:val="FFFFFF"/>
                <w:sz w:val="16"/>
                <w:szCs w:val="16"/>
                <w:lang w:eastAsia="es-GT"/>
              </w:rPr>
            </w:pPr>
            <w:r w:rsidRPr="00CE09E6">
              <w:rPr>
                <w:b/>
                <w:bCs/>
                <w:color w:val="FFFFFF"/>
                <w:sz w:val="16"/>
                <w:szCs w:val="16"/>
                <w:lang w:eastAsia="es-GT"/>
              </w:rPr>
              <w:t>2020</w:t>
            </w:r>
          </w:p>
        </w:tc>
        <w:tc>
          <w:tcPr>
            <w:tcW w:w="0" w:type="auto"/>
            <w:shd w:val="clear" w:color="000000" w:fill="0070C0"/>
            <w:noWrap/>
            <w:vAlign w:val="center"/>
            <w:hideMark/>
          </w:tcPr>
          <w:p w14:paraId="007F7754" w14:textId="77777777" w:rsidR="00846C3D" w:rsidRPr="00CE09E6" w:rsidRDefault="00846C3D" w:rsidP="00ED483A">
            <w:pPr>
              <w:widowControl/>
              <w:jc w:val="center"/>
              <w:rPr>
                <w:b/>
                <w:bCs/>
                <w:color w:val="FFFFFF"/>
                <w:sz w:val="16"/>
                <w:szCs w:val="16"/>
                <w:lang w:eastAsia="es-GT"/>
              </w:rPr>
            </w:pPr>
            <w:r w:rsidRPr="00CE09E6">
              <w:rPr>
                <w:b/>
                <w:bCs/>
                <w:color w:val="FFFFFF"/>
                <w:sz w:val="16"/>
                <w:szCs w:val="16"/>
                <w:lang w:eastAsia="es-GT"/>
              </w:rPr>
              <w:t>2021</w:t>
            </w:r>
          </w:p>
        </w:tc>
      </w:tr>
      <w:tr w:rsidR="00846C3D" w:rsidRPr="000544D0" w14:paraId="09DF48AE" w14:textId="77777777" w:rsidTr="00ED483A">
        <w:trPr>
          <w:trHeight w:val="159"/>
          <w:jc w:val="center"/>
        </w:trPr>
        <w:tc>
          <w:tcPr>
            <w:tcW w:w="0" w:type="auto"/>
            <w:gridSpan w:val="7"/>
            <w:shd w:val="clear" w:color="auto" w:fill="FFFFFF" w:themeFill="background1"/>
            <w:noWrap/>
            <w:vAlign w:val="center"/>
            <w:hideMark/>
          </w:tcPr>
          <w:p w14:paraId="7AA0E788" w14:textId="77777777" w:rsidR="00846C3D" w:rsidRPr="00CE09E6" w:rsidRDefault="00846C3D" w:rsidP="00ED483A">
            <w:pPr>
              <w:widowControl/>
              <w:jc w:val="center"/>
              <w:rPr>
                <w:b/>
                <w:bCs/>
                <w:color w:val="000000"/>
                <w:sz w:val="16"/>
                <w:szCs w:val="16"/>
                <w:lang w:eastAsia="es-GT"/>
              </w:rPr>
            </w:pPr>
            <w:r>
              <w:rPr>
                <w:b/>
                <w:bCs/>
                <w:color w:val="000000"/>
                <w:sz w:val="16"/>
                <w:szCs w:val="16"/>
                <w:lang w:eastAsia="es-GT"/>
              </w:rPr>
              <w:t>Ingresos</w:t>
            </w:r>
          </w:p>
        </w:tc>
      </w:tr>
      <w:tr w:rsidR="00846C3D" w:rsidRPr="000544D0" w14:paraId="322A5F6D" w14:textId="77777777" w:rsidTr="00ED483A">
        <w:trPr>
          <w:trHeight w:val="232"/>
          <w:jc w:val="center"/>
        </w:trPr>
        <w:tc>
          <w:tcPr>
            <w:tcW w:w="0" w:type="auto"/>
            <w:shd w:val="clear" w:color="auto" w:fill="FFFFFF" w:themeFill="background1"/>
            <w:noWrap/>
            <w:vAlign w:val="center"/>
            <w:hideMark/>
          </w:tcPr>
          <w:p w14:paraId="55F3E53F"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Aportes</w:t>
            </w:r>
          </w:p>
        </w:tc>
        <w:tc>
          <w:tcPr>
            <w:tcW w:w="0" w:type="auto"/>
            <w:shd w:val="clear" w:color="auto" w:fill="FFFFFF" w:themeFill="background1"/>
            <w:noWrap/>
            <w:vAlign w:val="center"/>
            <w:hideMark/>
          </w:tcPr>
          <w:p w14:paraId="08AE77E8"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3,010.82</w:t>
            </w:r>
          </w:p>
        </w:tc>
        <w:tc>
          <w:tcPr>
            <w:tcW w:w="0" w:type="auto"/>
            <w:shd w:val="clear" w:color="auto" w:fill="FFFFFF" w:themeFill="background1"/>
            <w:noWrap/>
            <w:vAlign w:val="center"/>
            <w:hideMark/>
          </w:tcPr>
          <w:p w14:paraId="283AC6D7"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3,255.15</w:t>
            </w:r>
          </w:p>
        </w:tc>
        <w:tc>
          <w:tcPr>
            <w:tcW w:w="0" w:type="auto"/>
            <w:shd w:val="clear" w:color="auto" w:fill="FFFFFF" w:themeFill="background1"/>
            <w:noWrap/>
            <w:vAlign w:val="center"/>
            <w:hideMark/>
          </w:tcPr>
          <w:p w14:paraId="71EAEB7D"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3,409.22</w:t>
            </w:r>
          </w:p>
        </w:tc>
        <w:tc>
          <w:tcPr>
            <w:tcW w:w="0" w:type="auto"/>
            <w:shd w:val="clear" w:color="auto" w:fill="FFFFFF" w:themeFill="background1"/>
            <w:noWrap/>
            <w:vAlign w:val="center"/>
            <w:hideMark/>
          </w:tcPr>
          <w:p w14:paraId="5C58FBE4"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3,540.64</w:t>
            </w:r>
          </w:p>
        </w:tc>
        <w:tc>
          <w:tcPr>
            <w:tcW w:w="0" w:type="auto"/>
            <w:shd w:val="clear" w:color="auto" w:fill="FFFFFF" w:themeFill="background1"/>
            <w:noWrap/>
            <w:vAlign w:val="center"/>
            <w:hideMark/>
          </w:tcPr>
          <w:p w14:paraId="5CC43FCE"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3,353.89</w:t>
            </w:r>
          </w:p>
        </w:tc>
        <w:tc>
          <w:tcPr>
            <w:tcW w:w="0" w:type="auto"/>
            <w:shd w:val="clear" w:color="auto" w:fill="FFFFFF" w:themeFill="background1"/>
            <w:noWrap/>
            <w:vAlign w:val="center"/>
            <w:hideMark/>
          </w:tcPr>
          <w:p w14:paraId="6FD0A3D7"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3,760.22</w:t>
            </w:r>
          </w:p>
        </w:tc>
      </w:tr>
      <w:tr w:rsidR="00846C3D" w:rsidRPr="000544D0" w14:paraId="2A3DCCE5" w14:textId="77777777" w:rsidTr="00ED483A">
        <w:trPr>
          <w:trHeight w:val="232"/>
          <w:jc w:val="center"/>
        </w:trPr>
        <w:tc>
          <w:tcPr>
            <w:tcW w:w="0" w:type="auto"/>
            <w:shd w:val="clear" w:color="auto" w:fill="FFFFFF" w:themeFill="background1"/>
            <w:noWrap/>
            <w:vAlign w:val="center"/>
            <w:hideMark/>
          </w:tcPr>
          <w:p w14:paraId="1E9B96DE"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Intereses</w:t>
            </w:r>
          </w:p>
        </w:tc>
        <w:tc>
          <w:tcPr>
            <w:tcW w:w="0" w:type="auto"/>
            <w:shd w:val="clear" w:color="auto" w:fill="FFFFFF" w:themeFill="background1"/>
            <w:noWrap/>
            <w:vAlign w:val="center"/>
            <w:hideMark/>
          </w:tcPr>
          <w:p w14:paraId="51F773F3"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1,478.43</w:t>
            </w:r>
          </w:p>
        </w:tc>
        <w:tc>
          <w:tcPr>
            <w:tcW w:w="0" w:type="auto"/>
            <w:shd w:val="clear" w:color="auto" w:fill="FFFFFF" w:themeFill="background1"/>
            <w:noWrap/>
            <w:vAlign w:val="center"/>
            <w:hideMark/>
          </w:tcPr>
          <w:p w14:paraId="1D281F0D"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1,562.19</w:t>
            </w:r>
          </w:p>
        </w:tc>
        <w:tc>
          <w:tcPr>
            <w:tcW w:w="0" w:type="auto"/>
            <w:shd w:val="clear" w:color="auto" w:fill="FFFFFF" w:themeFill="background1"/>
            <w:noWrap/>
            <w:vAlign w:val="center"/>
            <w:hideMark/>
          </w:tcPr>
          <w:p w14:paraId="273BED2C"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1,619.40</w:t>
            </w:r>
          </w:p>
        </w:tc>
        <w:tc>
          <w:tcPr>
            <w:tcW w:w="0" w:type="auto"/>
            <w:shd w:val="clear" w:color="auto" w:fill="FFFFFF" w:themeFill="background1"/>
            <w:noWrap/>
            <w:vAlign w:val="center"/>
            <w:hideMark/>
          </w:tcPr>
          <w:p w14:paraId="41067458"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1,654.83</w:t>
            </w:r>
          </w:p>
        </w:tc>
        <w:tc>
          <w:tcPr>
            <w:tcW w:w="0" w:type="auto"/>
            <w:shd w:val="clear" w:color="auto" w:fill="FFFFFF" w:themeFill="background1"/>
            <w:noWrap/>
            <w:vAlign w:val="center"/>
            <w:hideMark/>
          </w:tcPr>
          <w:p w14:paraId="2FAA3920"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1,619.80</w:t>
            </w:r>
          </w:p>
        </w:tc>
        <w:tc>
          <w:tcPr>
            <w:tcW w:w="0" w:type="auto"/>
            <w:shd w:val="clear" w:color="auto" w:fill="FFFFFF" w:themeFill="background1"/>
            <w:noWrap/>
            <w:vAlign w:val="center"/>
            <w:hideMark/>
          </w:tcPr>
          <w:p w14:paraId="305E3C58"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1,573.91</w:t>
            </w:r>
          </w:p>
        </w:tc>
      </w:tr>
      <w:tr w:rsidR="00846C3D" w:rsidRPr="000544D0" w14:paraId="44BDE909" w14:textId="77777777" w:rsidTr="00ED483A">
        <w:trPr>
          <w:trHeight w:val="232"/>
          <w:jc w:val="center"/>
        </w:trPr>
        <w:tc>
          <w:tcPr>
            <w:tcW w:w="0" w:type="auto"/>
            <w:shd w:val="clear" w:color="auto" w:fill="FFFFFF" w:themeFill="background1"/>
            <w:noWrap/>
            <w:vAlign w:val="center"/>
            <w:hideMark/>
          </w:tcPr>
          <w:p w14:paraId="1FEA2743"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Otros</w:t>
            </w:r>
          </w:p>
        </w:tc>
        <w:tc>
          <w:tcPr>
            <w:tcW w:w="0" w:type="auto"/>
            <w:shd w:val="clear" w:color="auto" w:fill="FFFFFF" w:themeFill="background1"/>
            <w:noWrap/>
            <w:vAlign w:val="center"/>
            <w:hideMark/>
          </w:tcPr>
          <w:p w14:paraId="74F10669"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7.14</w:t>
            </w:r>
          </w:p>
        </w:tc>
        <w:tc>
          <w:tcPr>
            <w:tcW w:w="0" w:type="auto"/>
            <w:shd w:val="clear" w:color="auto" w:fill="FFFFFF" w:themeFill="background1"/>
            <w:noWrap/>
            <w:vAlign w:val="center"/>
            <w:hideMark/>
          </w:tcPr>
          <w:p w14:paraId="5D8FD883"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4.20</w:t>
            </w:r>
          </w:p>
        </w:tc>
        <w:tc>
          <w:tcPr>
            <w:tcW w:w="0" w:type="auto"/>
            <w:shd w:val="clear" w:color="auto" w:fill="FFFFFF" w:themeFill="background1"/>
            <w:noWrap/>
            <w:vAlign w:val="center"/>
            <w:hideMark/>
          </w:tcPr>
          <w:p w14:paraId="727208DB"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10.35</w:t>
            </w:r>
          </w:p>
        </w:tc>
        <w:tc>
          <w:tcPr>
            <w:tcW w:w="0" w:type="auto"/>
            <w:shd w:val="clear" w:color="auto" w:fill="FFFFFF" w:themeFill="background1"/>
            <w:noWrap/>
            <w:vAlign w:val="center"/>
            <w:hideMark/>
          </w:tcPr>
          <w:p w14:paraId="1BCAAFA6"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9.90</w:t>
            </w:r>
          </w:p>
        </w:tc>
        <w:tc>
          <w:tcPr>
            <w:tcW w:w="0" w:type="auto"/>
            <w:shd w:val="clear" w:color="auto" w:fill="FFFFFF" w:themeFill="background1"/>
            <w:noWrap/>
            <w:vAlign w:val="center"/>
            <w:hideMark/>
          </w:tcPr>
          <w:p w14:paraId="49C130F8"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9.33</w:t>
            </w:r>
          </w:p>
        </w:tc>
        <w:tc>
          <w:tcPr>
            <w:tcW w:w="0" w:type="auto"/>
            <w:shd w:val="clear" w:color="auto" w:fill="FFFFFF" w:themeFill="background1"/>
            <w:noWrap/>
            <w:vAlign w:val="center"/>
            <w:hideMark/>
          </w:tcPr>
          <w:p w14:paraId="138086BE"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131.80</w:t>
            </w:r>
          </w:p>
        </w:tc>
      </w:tr>
      <w:tr w:rsidR="00846C3D" w:rsidRPr="000544D0" w14:paraId="46B353DA" w14:textId="77777777" w:rsidTr="00ED483A">
        <w:trPr>
          <w:trHeight w:val="232"/>
          <w:jc w:val="center"/>
        </w:trPr>
        <w:tc>
          <w:tcPr>
            <w:tcW w:w="0" w:type="auto"/>
            <w:shd w:val="clear" w:color="auto" w:fill="FFFFFF" w:themeFill="background1"/>
            <w:noWrap/>
            <w:vAlign w:val="center"/>
            <w:hideMark/>
          </w:tcPr>
          <w:p w14:paraId="44A1D915"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Total, de Ingresos</w:t>
            </w:r>
          </w:p>
        </w:tc>
        <w:tc>
          <w:tcPr>
            <w:tcW w:w="0" w:type="auto"/>
            <w:shd w:val="clear" w:color="auto" w:fill="FFFFFF" w:themeFill="background1"/>
            <w:noWrap/>
            <w:vAlign w:val="center"/>
            <w:hideMark/>
          </w:tcPr>
          <w:p w14:paraId="1011DA2A"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4,496.39</w:t>
            </w:r>
          </w:p>
        </w:tc>
        <w:tc>
          <w:tcPr>
            <w:tcW w:w="0" w:type="auto"/>
            <w:shd w:val="clear" w:color="auto" w:fill="FFFFFF" w:themeFill="background1"/>
            <w:noWrap/>
            <w:vAlign w:val="center"/>
            <w:hideMark/>
          </w:tcPr>
          <w:p w14:paraId="17EB4771"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4,821.54</w:t>
            </w:r>
          </w:p>
        </w:tc>
        <w:tc>
          <w:tcPr>
            <w:tcW w:w="0" w:type="auto"/>
            <w:shd w:val="clear" w:color="auto" w:fill="FFFFFF" w:themeFill="background1"/>
            <w:noWrap/>
            <w:vAlign w:val="center"/>
            <w:hideMark/>
          </w:tcPr>
          <w:p w14:paraId="382066C9"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5,038.97</w:t>
            </w:r>
          </w:p>
        </w:tc>
        <w:tc>
          <w:tcPr>
            <w:tcW w:w="0" w:type="auto"/>
            <w:shd w:val="clear" w:color="auto" w:fill="FFFFFF" w:themeFill="background1"/>
            <w:noWrap/>
            <w:vAlign w:val="center"/>
            <w:hideMark/>
          </w:tcPr>
          <w:p w14:paraId="4E13F15B"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5,205.37</w:t>
            </w:r>
          </w:p>
        </w:tc>
        <w:tc>
          <w:tcPr>
            <w:tcW w:w="0" w:type="auto"/>
            <w:shd w:val="clear" w:color="auto" w:fill="FFFFFF" w:themeFill="background1"/>
            <w:noWrap/>
            <w:vAlign w:val="center"/>
            <w:hideMark/>
          </w:tcPr>
          <w:p w14:paraId="6E1EFCB5"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4,983.02</w:t>
            </w:r>
          </w:p>
        </w:tc>
        <w:tc>
          <w:tcPr>
            <w:tcW w:w="0" w:type="auto"/>
            <w:shd w:val="clear" w:color="auto" w:fill="FFFFFF" w:themeFill="background1"/>
            <w:noWrap/>
            <w:vAlign w:val="center"/>
            <w:hideMark/>
          </w:tcPr>
          <w:p w14:paraId="35D1A4FD"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5,465.93</w:t>
            </w:r>
          </w:p>
        </w:tc>
      </w:tr>
      <w:tr w:rsidR="00846C3D" w:rsidRPr="000544D0" w14:paraId="4DD1F86E" w14:textId="77777777" w:rsidTr="00ED483A">
        <w:trPr>
          <w:trHeight w:val="232"/>
          <w:jc w:val="center"/>
        </w:trPr>
        <w:tc>
          <w:tcPr>
            <w:tcW w:w="0" w:type="auto"/>
            <w:gridSpan w:val="2"/>
            <w:shd w:val="clear" w:color="auto" w:fill="FFFFFF" w:themeFill="background1"/>
            <w:vAlign w:val="center"/>
            <w:hideMark/>
          </w:tcPr>
          <w:p w14:paraId="68A4B925"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Variación interanual de ingresos</w:t>
            </w:r>
          </w:p>
        </w:tc>
        <w:tc>
          <w:tcPr>
            <w:tcW w:w="0" w:type="auto"/>
            <w:shd w:val="clear" w:color="auto" w:fill="FFFFFF" w:themeFill="background1"/>
            <w:noWrap/>
            <w:vAlign w:val="center"/>
            <w:hideMark/>
          </w:tcPr>
          <w:p w14:paraId="125FB050"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7.2%</w:t>
            </w:r>
          </w:p>
        </w:tc>
        <w:tc>
          <w:tcPr>
            <w:tcW w:w="0" w:type="auto"/>
            <w:shd w:val="clear" w:color="auto" w:fill="FFFFFF" w:themeFill="background1"/>
            <w:noWrap/>
            <w:vAlign w:val="center"/>
            <w:hideMark/>
          </w:tcPr>
          <w:p w14:paraId="7BFBA7CE"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4.5%</w:t>
            </w:r>
          </w:p>
        </w:tc>
        <w:tc>
          <w:tcPr>
            <w:tcW w:w="0" w:type="auto"/>
            <w:shd w:val="clear" w:color="auto" w:fill="FFFFFF" w:themeFill="background1"/>
            <w:noWrap/>
            <w:vAlign w:val="center"/>
            <w:hideMark/>
          </w:tcPr>
          <w:p w14:paraId="00617344"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3.3%</w:t>
            </w:r>
          </w:p>
        </w:tc>
        <w:tc>
          <w:tcPr>
            <w:tcW w:w="0" w:type="auto"/>
            <w:shd w:val="clear" w:color="auto" w:fill="FFFFFF" w:themeFill="background1"/>
            <w:noWrap/>
            <w:vAlign w:val="center"/>
            <w:hideMark/>
          </w:tcPr>
          <w:p w14:paraId="358F9AB2" w14:textId="77777777" w:rsidR="00846C3D" w:rsidRPr="00CE09E6" w:rsidRDefault="00846C3D" w:rsidP="00ED483A">
            <w:pPr>
              <w:widowControl/>
              <w:jc w:val="center"/>
              <w:rPr>
                <w:color w:val="FF0000"/>
                <w:sz w:val="16"/>
                <w:szCs w:val="16"/>
                <w:lang w:eastAsia="es-GT"/>
              </w:rPr>
            </w:pPr>
            <w:r w:rsidRPr="00CE09E6">
              <w:rPr>
                <w:sz w:val="16"/>
                <w:szCs w:val="16"/>
                <w:lang w:eastAsia="es-GT"/>
              </w:rPr>
              <w:t>-4.3%</w:t>
            </w:r>
          </w:p>
        </w:tc>
        <w:tc>
          <w:tcPr>
            <w:tcW w:w="0" w:type="auto"/>
            <w:shd w:val="clear" w:color="auto" w:fill="FFFFFF" w:themeFill="background1"/>
            <w:noWrap/>
            <w:vAlign w:val="center"/>
            <w:hideMark/>
          </w:tcPr>
          <w:p w14:paraId="612E71D6"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9.7%</w:t>
            </w:r>
          </w:p>
        </w:tc>
      </w:tr>
      <w:tr w:rsidR="00846C3D" w:rsidRPr="000544D0" w14:paraId="77D4E714" w14:textId="77777777" w:rsidTr="00ED483A">
        <w:trPr>
          <w:trHeight w:val="347"/>
          <w:jc w:val="center"/>
        </w:trPr>
        <w:tc>
          <w:tcPr>
            <w:tcW w:w="0" w:type="auto"/>
            <w:gridSpan w:val="7"/>
            <w:shd w:val="clear" w:color="auto" w:fill="FFFFFF" w:themeFill="background1"/>
            <w:noWrap/>
            <w:vAlign w:val="center"/>
            <w:hideMark/>
          </w:tcPr>
          <w:p w14:paraId="0B347E10" w14:textId="77777777" w:rsidR="00846C3D" w:rsidRPr="00CE09E6" w:rsidRDefault="00846C3D" w:rsidP="00ED483A">
            <w:pPr>
              <w:widowControl/>
              <w:jc w:val="center"/>
              <w:rPr>
                <w:b/>
                <w:bCs/>
                <w:color w:val="000000"/>
                <w:sz w:val="16"/>
                <w:szCs w:val="16"/>
                <w:lang w:eastAsia="es-GT"/>
              </w:rPr>
            </w:pPr>
            <w:r>
              <w:rPr>
                <w:b/>
                <w:bCs/>
                <w:color w:val="000000"/>
                <w:sz w:val="16"/>
                <w:szCs w:val="16"/>
                <w:lang w:eastAsia="es-GT"/>
              </w:rPr>
              <w:t>Gastos</w:t>
            </w:r>
          </w:p>
        </w:tc>
      </w:tr>
      <w:tr w:rsidR="00846C3D" w:rsidRPr="000544D0" w14:paraId="67342BFB" w14:textId="77777777" w:rsidTr="00ED483A">
        <w:trPr>
          <w:trHeight w:val="232"/>
          <w:jc w:val="center"/>
        </w:trPr>
        <w:tc>
          <w:tcPr>
            <w:tcW w:w="0" w:type="auto"/>
            <w:shd w:val="clear" w:color="auto" w:fill="FFFFFF" w:themeFill="background1"/>
            <w:noWrap/>
            <w:vAlign w:val="center"/>
            <w:hideMark/>
          </w:tcPr>
          <w:p w14:paraId="3DB1DE1B"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Prestaciones</w:t>
            </w:r>
          </w:p>
        </w:tc>
        <w:tc>
          <w:tcPr>
            <w:tcW w:w="0" w:type="auto"/>
            <w:shd w:val="clear" w:color="auto" w:fill="FFFFFF" w:themeFill="background1"/>
            <w:noWrap/>
            <w:vAlign w:val="center"/>
            <w:hideMark/>
          </w:tcPr>
          <w:p w14:paraId="6BA284C0"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2,447.37</w:t>
            </w:r>
          </w:p>
        </w:tc>
        <w:tc>
          <w:tcPr>
            <w:tcW w:w="0" w:type="auto"/>
            <w:shd w:val="clear" w:color="auto" w:fill="FFFFFF" w:themeFill="background1"/>
            <w:noWrap/>
            <w:vAlign w:val="center"/>
            <w:hideMark/>
          </w:tcPr>
          <w:p w14:paraId="54CBBCE0"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2,642.54</w:t>
            </w:r>
          </w:p>
        </w:tc>
        <w:tc>
          <w:tcPr>
            <w:tcW w:w="0" w:type="auto"/>
            <w:shd w:val="clear" w:color="auto" w:fill="FFFFFF" w:themeFill="background1"/>
            <w:noWrap/>
            <w:vAlign w:val="center"/>
            <w:hideMark/>
          </w:tcPr>
          <w:p w14:paraId="2719B26C"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2,872.14</w:t>
            </w:r>
          </w:p>
        </w:tc>
        <w:tc>
          <w:tcPr>
            <w:tcW w:w="0" w:type="auto"/>
            <w:shd w:val="clear" w:color="auto" w:fill="FFFFFF" w:themeFill="background1"/>
            <w:noWrap/>
            <w:vAlign w:val="center"/>
            <w:hideMark/>
          </w:tcPr>
          <w:p w14:paraId="1FDE92EE"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3,162.03</w:t>
            </w:r>
          </w:p>
        </w:tc>
        <w:tc>
          <w:tcPr>
            <w:tcW w:w="0" w:type="auto"/>
            <w:shd w:val="clear" w:color="auto" w:fill="FFFFFF" w:themeFill="background1"/>
            <w:noWrap/>
            <w:vAlign w:val="center"/>
            <w:hideMark/>
          </w:tcPr>
          <w:p w14:paraId="38B7890E"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3,357.89</w:t>
            </w:r>
          </w:p>
        </w:tc>
        <w:tc>
          <w:tcPr>
            <w:tcW w:w="0" w:type="auto"/>
            <w:shd w:val="clear" w:color="auto" w:fill="FFFFFF" w:themeFill="background1"/>
            <w:noWrap/>
            <w:vAlign w:val="center"/>
            <w:hideMark/>
          </w:tcPr>
          <w:p w14:paraId="7411BAB2"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3,780.00</w:t>
            </w:r>
          </w:p>
        </w:tc>
      </w:tr>
      <w:tr w:rsidR="00846C3D" w:rsidRPr="000544D0" w14:paraId="66037FCD" w14:textId="77777777" w:rsidTr="00ED483A">
        <w:trPr>
          <w:trHeight w:val="232"/>
          <w:jc w:val="center"/>
        </w:trPr>
        <w:tc>
          <w:tcPr>
            <w:tcW w:w="0" w:type="auto"/>
            <w:shd w:val="clear" w:color="auto" w:fill="FFFFFF" w:themeFill="background1"/>
            <w:noWrap/>
            <w:vAlign w:val="center"/>
            <w:hideMark/>
          </w:tcPr>
          <w:p w14:paraId="57883CFC"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Administración y otros</w:t>
            </w:r>
          </w:p>
        </w:tc>
        <w:tc>
          <w:tcPr>
            <w:tcW w:w="0" w:type="auto"/>
            <w:shd w:val="clear" w:color="auto" w:fill="FFFFFF" w:themeFill="background1"/>
            <w:noWrap/>
            <w:vAlign w:val="center"/>
            <w:hideMark/>
          </w:tcPr>
          <w:p w14:paraId="2098729B"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185.68</w:t>
            </w:r>
          </w:p>
        </w:tc>
        <w:tc>
          <w:tcPr>
            <w:tcW w:w="0" w:type="auto"/>
            <w:shd w:val="clear" w:color="auto" w:fill="FFFFFF" w:themeFill="background1"/>
            <w:noWrap/>
            <w:vAlign w:val="center"/>
            <w:hideMark/>
          </w:tcPr>
          <w:p w14:paraId="13715CBC"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176.37</w:t>
            </w:r>
          </w:p>
        </w:tc>
        <w:tc>
          <w:tcPr>
            <w:tcW w:w="0" w:type="auto"/>
            <w:shd w:val="clear" w:color="auto" w:fill="FFFFFF" w:themeFill="background1"/>
            <w:noWrap/>
            <w:vAlign w:val="center"/>
            <w:hideMark/>
          </w:tcPr>
          <w:p w14:paraId="7EFF4327"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189.54</w:t>
            </w:r>
          </w:p>
        </w:tc>
        <w:tc>
          <w:tcPr>
            <w:tcW w:w="0" w:type="auto"/>
            <w:shd w:val="clear" w:color="auto" w:fill="FFFFFF" w:themeFill="background1"/>
            <w:noWrap/>
            <w:vAlign w:val="center"/>
            <w:hideMark/>
          </w:tcPr>
          <w:p w14:paraId="21C02B7A"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197.19</w:t>
            </w:r>
          </w:p>
        </w:tc>
        <w:tc>
          <w:tcPr>
            <w:tcW w:w="0" w:type="auto"/>
            <w:shd w:val="clear" w:color="auto" w:fill="FFFFFF" w:themeFill="background1"/>
            <w:noWrap/>
            <w:vAlign w:val="center"/>
            <w:hideMark/>
          </w:tcPr>
          <w:p w14:paraId="6450A7FB"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208.54</w:t>
            </w:r>
          </w:p>
        </w:tc>
        <w:tc>
          <w:tcPr>
            <w:tcW w:w="0" w:type="auto"/>
            <w:shd w:val="clear" w:color="auto" w:fill="FFFFFF" w:themeFill="background1"/>
            <w:noWrap/>
            <w:vAlign w:val="center"/>
            <w:hideMark/>
          </w:tcPr>
          <w:p w14:paraId="05493F06"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200.50</w:t>
            </w:r>
          </w:p>
        </w:tc>
      </w:tr>
      <w:tr w:rsidR="00846C3D" w:rsidRPr="000544D0" w14:paraId="350F9D97" w14:textId="77777777" w:rsidTr="00ED483A">
        <w:trPr>
          <w:trHeight w:val="232"/>
          <w:jc w:val="center"/>
        </w:trPr>
        <w:tc>
          <w:tcPr>
            <w:tcW w:w="0" w:type="auto"/>
            <w:shd w:val="clear" w:color="auto" w:fill="FFFFFF" w:themeFill="background1"/>
            <w:noWrap/>
            <w:vAlign w:val="center"/>
            <w:hideMark/>
          </w:tcPr>
          <w:p w14:paraId="2F4AC546"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Total, de Gastos</w:t>
            </w:r>
          </w:p>
        </w:tc>
        <w:tc>
          <w:tcPr>
            <w:tcW w:w="0" w:type="auto"/>
            <w:shd w:val="clear" w:color="auto" w:fill="FFFFFF" w:themeFill="background1"/>
            <w:noWrap/>
            <w:vAlign w:val="center"/>
            <w:hideMark/>
          </w:tcPr>
          <w:p w14:paraId="627ED430"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2,633.05</w:t>
            </w:r>
          </w:p>
        </w:tc>
        <w:tc>
          <w:tcPr>
            <w:tcW w:w="0" w:type="auto"/>
            <w:shd w:val="clear" w:color="auto" w:fill="FFFFFF" w:themeFill="background1"/>
            <w:noWrap/>
            <w:vAlign w:val="center"/>
            <w:hideMark/>
          </w:tcPr>
          <w:p w14:paraId="369F1366"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2,818.91</w:t>
            </w:r>
          </w:p>
        </w:tc>
        <w:tc>
          <w:tcPr>
            <w:tcW w:w="0" w:type="auto"/>
            <w:shd w:val="clear" w:color="auto" w:fill="FFFFFF" w:themeFill="background1"/>
            <w:noWrap/>
            <w:vAlign w:val="center"/>
            <w:hideMark/>
          </w:tcPr>
          <w:p w14:paraId="0FB8015B"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3,061.68</w:t>
            </w:r>
          </w:p>
        </w:tc>
        <w:tc>
          <w:tcPr>
            <w:tcW w:w="0" w:type="auto"/>
            <w:shd w:val="clear" w:color="auto" w:fill="FFFFFF" w:themeFill="background1"/>
            <w:noWrap/>
            <w:vAlign w:val="center"/>
            <w:hideMark/>
          </w:tcPr>
          <w:p w14:paraId="2118B69C"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3,359.22</w:t>
            </w:r>
          </w:p>
        </w:tc>
        <w:tc>
          <w:tcPr>
            <w:tcW w:w="0" w:type="auto"/>
            <w:shd w:val="clear" w:color="auto" w:fill="FFFFFF" w:themeFill="background1"/>
            <w:noWrap/>
            <w:vAlign w:val="center"/>
            <w:hideMark/>
          </w:tcPr>
          <w:p w14:paraId="4C223B23"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3,566.43</w:t>
            </w:r>
          </w:p>
        </w:tc>
        <w:tc>
          <w:tcPr>
            <w:tcW w:w="0" w:type="auto"/>
            <w:shd w:val="clear" w:color="auto" w:fill="FFFFFF" w:themeFill="background1"/>
            <w:noWrap/>
            <w:vAlign w:val="center"/>
            <w:hideMark/>
          </w:tcPr>
          <w:p w14:paraId="58439DF5"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3,980.50</w:t>
            </w:r>
          </w:p>
        </w:tc>
      </w:tr>
      <w:tr w:rsidR="00846C3D" w:rsidRPr="000544D0" w14:paraId="31C13A5B" w14:textId="77777777" w:rsidTr="00ED483A">
        <w:trPr>
          <w:trHeight w:val="232"/>
          <w:jc w:val="center"/>
        </w:trPr>
        <w:tc>
          <w:tcPr>
            <w:tcW w:w="0" w:type="auto"/>
            <w:gridSpan w:val="2"/>
            <w:shd w:val="clear" w:color="auto" w:fill="FFFFFF" w:themeFill="background1"/>
            <w:vAlign w:val="center"/>
            <w:hideMark/>
          </w:tcPr>
          <w:p w14:paraId="331D7EAD"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Variación interanual de gastos</w:t>
            </w:r>
          </w:p>
        </w:tc>
        <w:tc>
          <w:tcPr>
            <w:tcW w:w="0" w:type="auto"/>
            <w:shd w:val="clear" w:color="auto" w:fill="FFFFFF" w:themeFill="background1"/>
            <w:noWrap/>
            <w:vAlign w:val="center"/>
            <w:hideMark/>
          </w:tcPr>
          <w:p w14:paraId="0D917E01"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7.1%</w:t>
            </w:r>
          </w:p>
        </w:tc>
        <w:tc>
          <w:tcPr>
            <w:tcW w:w="0" w:type="auto"/>
            <w:shd w:val="clear" w:color="auto" w:fill="FFFFFF" w:themeFill="background1"/>
            <w:noWrap/>
            <w:vAlign w:val="center"/>
            <w:hideMark/>
          </w:tcPr>
          <w:p w14:paraId="219BA6F6"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8.6%</w:t>
            </w:r>
          </w:p>
        </w:tc>
        <w:tc>
          <w:tcPr>
            <w:tcW w:w="0" w:type="auto"/>
            <w:shd w:val="clear" w:color="auto" w:fill="FFFFFF" w:themeFill="background1"/>
            <w:noWrap/>
            <w:vAlign w:val="center"/>
            <w:hideMark/>
          </w:tcPr>
          <w:p w14:paraId="6B60E07D"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9.7%</w:t>
            </w:r>
          </w:p>
        </w:tc>
        <w:tc>
          <w:tcPr>
            <w:tcW w:w="0" w:type="auto"/>
            <w:shd w:val="clear" w:color="auto" w:fill="FFFFFF" w:themeFill="background1"/>
            <w:noWrap/>
            <w:vAlign w:val="center"/>
            <w:hideMark/>
          </w:tcPr>
          <w:p w14:paraId="7E91134B"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6.2%</w:t>
            </w:r>
          </w:p>
        </w:tc>
        <w:tc>
          <w:tcPr>
            <w:tcW w:w="0" w:type="auto"/>
            <w:shd w:val="clear" w:color="auto" w:fill="FFFFFF" w:themeFill="background1"/>
            <w:noWrap/>
            <w:vAlign w:val="center"/>
            <w:hideMark/>
          </w:tcPr>
          <w:p w14:paraId="1E9E1611"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11.6%</w:t>
            </w:r>
          </w:p>
        </w:tc>
      </w:tr>
      <w:tr w:rsidR="00846C3D" w:rsidRPr="000544D0" w14:paraId="5F910CCE" w14:textId="77777777" w:rsidTr="00ED483A">
        <w:trPr>
          <w:trHeight w:val="347"/>
          <w:jc w:val="center"/>
        </w:trPr>
        <w:tc>
          <w:tcPr>
            <w:tcW w:w="0" w:type="auto"/>
            <w:gridSpan w:val="7"/>
            <w:shd w:val="clear" w:color="auto" w:fill="FFFFFF" w:themeFill="background1"/>
            <w:noWrap/>
            <w:vAlign w:val="center"/>
            <w:hideMark/>
          </w:tcPr>
          <w:p w14:paraId="5CE88707" w14:textId="77777777" w:rsidR="00846C3D" w:rsidRPr="00CE09E6" w:rsidRDefault="00846C3D" w:rsidP="00ED483A">
            <w:pPr>
              <w:widowControl/>
              <w:jc w:val="center"/>
              <w:rPr>
                <w:b/>
                <w:bCs/>
                <w:color w:val="000000"/>
                <w:sz w:val="16"/>
                <w:szCs w:val="16"/>
                <w:lang w:eastAsia="es-GT"/>
              </w:rPr>
            </w:pPr>
            <w:r>
              <w:rPr>
                <w:b/>
                <w:bCs/>
                <w:color w:val="000000"/>
                <w:sz w:val="16"/>
                <w:szCs w:val="16"/>
                <w:lang w:eastAsia="es-GT"/>
              </w:rPr>
              <w:t>Fondo de reserva</w:t>
            </w:r>
          </w:p>
        </w:tc>
      </w:tr>
      <w:tr w:rsidR="00846C3D" w:rsidRPr="000544D0" w14:paraId="71BFCD0F" w14:textId="77777777" w:rsidTr="00ED483A">
        <w:trPr>
          <w:trHeight w:val="232"/>
          <w:jc w:val="center"/>
        </w:trPr>
        <w:tc>
          <w:tcPr>
            <w:tcW w:w="0" w:type="auto"/>
            <w:shd w:val="clear" w:color="auto" w:fill="FFFFFF" w:themeFill="background1"/>
            <w:noWrap/>
            <w:vAlign w:val="center"/>
            <w:hideMark/>
          </w:tcPr>
          <w:p w14:paraId="5AA51EF0"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Reserva inicial</w:t>
            </w:r>
          </w:p>
        </w:tc>
        <w:tc>
          <w:tcPr>
            <w:tcW w:w="0" w:type="auto"/>
            <w:shd w:val="clear" w:color="auto" w:fill="FFFFFF" w:themeFill="background1"/>
            <w:noWrap/>
            <w:vAlign w:val="center"/>
            <w:hideMark/>
          </w:tcPr>
          <w:p w14:paraId="0BA0D0CE"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17,513.61</w:t>
            </w:r>
          </w:p>
        </w:tc>
        <w:tc>
          <w:tcPr>
            <w:tcW w:w="0" w:type="auto"/>
            <w:shd w:val="clear" w:color="auto" w:fill="FFFFFF" w:themeFill="background1"/>
            <w:noWrap/>
            <w:vAlign w:val="center"/>
            <w:hideMark/>
          </w:tcPr>
          <w:p w14:paraId="33772CBA"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19,381.86</w:t>
            </w:r>
          </w:p>
        </w:tc>
        <w:tc>
          <w:tcPr>
            <w:tcW w:w="0" w:type="auto"/>
            <w:shd w:val="clear" w:color="auto" w:fill="FFFFFF" w:themeFill="background1"/>
            <w:noWrap/>
            <w:vAlign w:val="center"/>
            <w:hideMark/>
          </w:tcPr>
          <w:p w14:paraId="7DFBB6C1"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21,390.27</w:t>
            </w:r>
          </w:p>
        </w:tc>
        <w:tc>
          <w:tcPr>
            <w:tcW w:w="0" w:type="auto"/>
            <w:shd w:val="clear" w:color="auto" w:fill="FFFFFF" w:themeFill="background1"/>
            <w:noWrap/>
            <w:vAlign w:val="center"/>
            <w:hideMark/>
          </w:tcPr>
          <w:p w14:paraId="3C9F0C7D"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23,370.60</w:t>
            </w:r>
          </w:p>
        </w:tc>
        <w:tc>
          <w:tcPr>
            <w:tcW w:w="0" w:type="auto"/>
            <w:shd w:val="clear" w:color="auto" w:fill="FFFFFF" w:themeFill="background1"/>
            <w:noWrap/>
            <w:vAlign w:val="center"/>
            <w:hideMark/>
          </w:tcPr>
          <w:p w14:paraId="3CAEF359"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25,220.90</w:t>
            </w:r>
          </w:p>
        </w:tc>
        <w:tc>
          <w:tcPr>
            <w:tcW w:w="0" w:type="auto"/>
            <w:shd w:val="clear" w:color="auto" w:fill="FFFFFF" w:themeFill="background1"/>
            <w:noWrap/>
            <w:vAlign w:val="center"/>
            <w:hideMark/>
          </w:tcPr>
          <w:p w14:paraId="1EBA724E"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26,644.38</w:t>
            </w:r>
          </w:p>
        </w:tc>
      </w:tr>
      <w:tr w:rsidR="00846C3D" w:rsidRPr="000544D0" w14:paraId="1701BA69" w14:textId="77777777" w:rsidTr="00ED483A">
        <w:trPr>
          <w:trHeight w:val="232"/>
          <w:jc w:val="center"/>
        </w:trPr>
        <w:tc>
          <w:tcPr>
            <w:tcW w:w="0" w:type="auto"/>
            <w:shd w:val="clear" w:color="auto" w:fill="FFFFFF" w:themeFill="background1"/>
            <w:noWrap/>
            <w:vAlign w:val="center"/>
            <w:hideMark/>
          </w:tcPr>
          <w:p w14:paraId="662AB787"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Fondo de Reserva</w:t>
            </w:r>
          </w:p>
        </w:tc>
        <w:tc>
          <w:tcPr>
            <w:tcW w:w="0" w:type="auto"/>
            <w:shd w:val="clear" w:color="auto" w:fill="FFFFFF" w:themeFill="background1"/>
            <w:noWrap/>
            <w:vAlign w:val="center"/>
            <w:hideMark/>
          </w:tcPr>
          <w:p w14:paraId="0FCF9248"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1,863.34</w:t>
            </w:r>
          </w:p>
        </w:tc>
        <w:tc>
          <w:tcPr>
            <w:tcW w:w="0" w:type="auto"/>
            <w:shd w:val="clear" w:color="auto" w:fill="FFFFFF" w:themeFill="background1"/>
            <w:noWrap/>
            <w:vAlign w:val="center"/>
            <w:hideMark/>
          </w:tcPr>
          <w:p w14:paraId="292B9EA3"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2,002.62</w:t>
            </w:r>
          </w:p>
        </w:tc>
        <w:tc>
          <w:tcPr>
            <w:tcW w:w="0" w:type="auto"/>
            <w:shd w:val="clear" w:color="auto" w:fill="FFFFFF" w:themeFill="background1"/>
            <w:noWrap/>
            <w:vAlign w:val="center"/>
            <w:hideMark/>
          </w:tcPr>
          <w:p w14:paraId="09719BD3"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1,977.30</w:t>
            </w:r>
          </w:p>
        </w:tc>
        <w:tc>
          <w:tcPr>
            <w:tcW w:w="0" w:type="auto"/>
            <w:shd w:val="clear" w:color="auto" w:fill="FFFFFF" w:themeFill="background1"/>
            <w:noWrap/>
            <w:vAlign w:val="center"/>
            <w:hideMark/>
          </w:tcPr>
          <w:p w14:paraId="6673A180"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1,846.15</w:t>
            </w:r>
          </w:p>
        </w:tc>
        <w:tc>
          <w:tcPr>
            <w:tcW w:w="0" w:type="auto"/>
            <w:shd w:val="clear" w:color="auto" w:fill="FFFFFF" w:themeFill="background1"/>
            <w:noWrap/>
            <w:vAlign w:val="center"/>
            <w:hideMark/>
          </w:tcPr>
          <w:p w14:paraId="7D07A003"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1,416.60</w:t>
            </w:r>
          </w:p>
        </w:tc>
        <w:tc>
          <w:tcPr>
            <w:tcW w:w="0" w:type="auto"/>
            <w:shd w:val="clear" w:color="auto" w:fill="FFFFFF" w:themeFill="background1"/>
            <w:noWrap/>
            <w:vAlign w:val="center"/>
            <w:hideMark/>
          </w:tcPr>
          <w:p w14:paraId="28927E3D"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1,485.68</w:t>
            </w:r>
          </w:p>
        </w:tc>
      </w:tr>
      <w:tr w:rsidR="00846C3D" w:rsidRPr="000544D0" w14:paraId="5917022C" w14:textId="77777777" w:rsidTr="00ED483A">
        <w:trPr>
          <w:trHeight w:val="232"/>
          <w:jc w:val="center"/>
        </w:trPr>
        <w:tc>
          <w:tcPr>
            <w:tcW w:w="0" w:type="auto"/>
            <w:shd w:val="clear" w:color="auto" w:fill="FFFFFF" w:themeFill="background1"/>
            <w:noWrap/>
            <w:vAlign w:val="center"/>
            <w:hideMark/>
          </w:tcPr>
          <w:p w14:paraId="3859163A"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Ajuste años anteriores</w:t>
            </w:r>
          </w:p>
        </w:tc>
        <w:tc>
          <w:tcPr>
            <w:tcW w:w="0" w:type="auto"/>
            <w:shd w:val="clear" w:color="auto" w:fill="FFFFFF" w:themeFill="background1"/>
            <w:noWrap/>
            <w:vAlign w:val="center"/>
            <w:hideMark/>
          </w:tcPr>
          <w:p w14:paraId="4CB67EDE"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4.91</w:t>
            </w:r>
          </w:p>
        </w:tc>
        <w:tc>
          <w:tcPr>
            <w:tcW w:w="0" w:type="auto"/>
            <w:shd w:val="clear" w:color="auto" w:fill="FFFFFF" w:themeFill="background1"/>
            <w:noWrap/>
            <w:vAlign w:val="center"/>
            <w:hideMark/>
          </w:tcPr>
          <w:p w14:paraId="102DF5A6"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5.79</w:t>
            </w:r>
          </w:p>
        </w:tc>
        <w:tc>
          <w:tcPr>
            <w:tcW w:w="0" w:type="auto"/>
            <w:shd w:val="clear" w:color="auto" w:fill="FFFFFF" w:themeFill="background1"/>
            <w:noWrap/>
            <w:vAlign w:val="center"/>
            <w:hideMark/>
          </w:tcPr>
          <w:p w14:paraId="4E35A377"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3.03</w:t>
            </w:r>
          </w:p>
        </w:tc>
        <w:tc>
          <w:tcPr>
            <w:tcW w:w="0" w:type="auto"/>
            <w:shd w:val="clear" w:color="auto" w:fill="FFFFFF" w:themeFill="background1"/>
            <w:noWrap/>
            <w:vAlign w:val="center"/>
            <w:hideMark/>
          </w:tcPr>
          <w:p w14:paraId="7ACCF4FA"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4.15</w:t>
            </w:r>
          </w:p>
        </w:tc>
        <w:tc>
          <w:tcPr>
            <w:tcW w:w="0" w:type="auto"/>
            <w:shd w:val="clear" w:color="auto" w:fill="FFFFFF" w:themeFill="background1"/>
            <w:noWrap/>
            <w:vAlign w:val="center"/>
            <w:hideMark/>
          </w:tcPr>
          <w:p w14:paraId="23DF187A"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6.88</w:t>
            </w:r>
          </w:p>
        </w:tc>
        <w:tc>
          <w:tcPr>
            <w:tcW w:w="0" w:type="auto"/>
            <w:shd w:val="clear" w:color="auto" w:fill="FFFFFF" w:themeFill="background1"/>
            <w:noWrap/>
            <w:vAlign w:val="center"/>
            <w:hideMark/>
          </w:tcPr>
          <w:p w14:paraId="40BACB53"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Q           3.25</w:t>
            </w:r>
          </w:p>
        </w:tc>
      </w:tr>
      <w:tr w:rsidR="00846C3D" w:rsidRPr="000544D0" w14:paraId="1E660C91" w14:textId="77777777" w:rsidTr="00ED483A">
        <w:trPr>
          <w:trHeight w:val="232"/>
          <w:jc w:val="center"/>
        </w:trPr>
        <w:tc>
          <w:tcPr>
            <w:tcW w:w="0" w:type="auto"/>
            <w:shd w:val="clear" w:color="auto" w:fill="FFFFFF" w:themeFill="background1"/>
            <w:noWrap/>
            <w:vAlign w:val="center"/>
            <w:hideMark/>
          </w:tcPr>
          <w:p w14:paraId="62BB35B6" w14:textId="77777777" w:rsidR="00846C3D" w:rsidRPr="00CE09E6" w:rsidRDefault="00846C3D" w:rsidP="00ED483A">
            <w:pPr>
              <w:widowControl/>
              <w:rPr>
                <w:b/>
                <w:bCs/>
                <w:color w:val="000000"/>
                <w:sz w:val="16"/>
                <w:szCs w:val="16"/>
                <w:lang w:eastAsia="es-GT"/>
              </w:rPr>
            </w:pPr>
            <w:r w:rsidRPr="00CE09E6">
              <w:rPr>
                <w:b/>
                <w:bCs/>
                <w:color w:val="000000"/>
                <w:sz w:val="16"/>
                <w:szCs w:val="16"/>
                <w:lang w:eastAsia="es-GT"/>
              </w:rPr>
              <w:t>Reserva Acumulada</w:t>
            </w:r>
          </w:p>
        </w:tc>
        <w:tc>
          <w:tcPr>
            <w:tcW w:w="0" w:type="auto"/>
            <w:shd w:val="clear" w:color="auto" w:fill="FFFFFF" w:themeFill="background1"/>
            <w:noWrap/>
            <w:vAlign w:val="center"/>
            <w:hideMark/>
          </w:tcPr>
          <w:p w14:paraId="43087E41"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19,381.86</w:t>
            </w:r>
          </w:p>
        </w:tc>
        <w:tc>
          <w:tcPr>
            <w:tcW w:w="0" w:type="auto"/>
            <w:shd w:val="clear" w:color="auto" w:fill="FFFFFF" w:themeFill="background1"/>
            <w:noWrap/>
            <w:vAlign w:val="center"/>
            <w:hideMark/>
          </w:tcPr>
          <w:p w14:paraId="37E0561C"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21,390.27</w:t>
            </w:r>
          </w:p>
        </w:tc>
        <w:tc>
          <w:tcPr>
            <w:tcW w:w="0" w:type="auto"/>
            <w:shd w:val="clear" w:color="auto" w:fill="FFFFFF" w:themeFill="background1"/>
            <w:noWrap/>
            <w:vAlign w:val="center"/>
            <w:hideMark/>
          </w:tcPr>
          <w:p w14:paraId="3454497D"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23,370.60</w:t>
            </w:r>
          </w:p>
        </w:tc>
        <w:tc>
          <w:tcPr>
            <w:tcW w:w="0" w:type="auto"/>
            <w:shd w:val="clear" w:color="auto" w:fill="FFFFFF" w:themeFill="background1"/>
            <w:noWrap/>
            <w:vAlign w:val="center"/>
            <w:hideMark/>
          </w:tcPr>
          <w:p w14:paraId="209407AB"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25,220.90</w:t>
            </w:r>
          </w:p>
        </w:tc>
        <w:tc>
          <w:tcPr>
            <w:tcW w:w="0" w:type="auto"/>
            <w:shd w:val="clear" w:color="auto" w:fill="FFFFFF" w:themeFill="background1"/>
            <w:noWrap/>
            <w:vAlign w:val="center"/>
            <w:hideMark/>
          </w:tcPr>
          <w:p w14:paraId="69F6FAFE"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26,644.38</w:t>
            </w:r>
          </w:p>
        </w:tc>
        <w:tc>
          <w:tcPr>
            <w:tcW w:w="0" w:type="auto"/>
            <w:shd w:val="clear" w:color="auto" w:fill="FFFFFF" w:themeFill="background1"/>
            <w:noWrap/>
            <w:vAlign w:val="center"/>
            <w:hideMark/>
          </w:tcPr>
          <w:p w14:paraId="4307D43D" w14:textId="77777777" w:rsidR="00846C3D" w:rsidRPr="00CE09E6" w:rsidRDefault="00846C3D" w:rsidP="00ED483A">
            <w:pPr>
              <w:widowControl/>
              <w:jc w:val="center"/>
              <w:rPr>
                <w:b/>
                <w:bCs/>
                <w:color w:val="000000"/>
                <w:sz w:val="16"/>
                <w:szCs w:val="16"/>
                <w:lang w:eastAsia="es-GT"/>
              </w:rPr>
            </w:pPr>
            <w:r w:rsidRPr="00CE09E6">
              <w:rPr>
                <w:b/>
                <w:bCs/>
                <w:color w:val="000000"/>
                <w:sz w:val="16"/>
                <w:szCs w:val="16"/>
                <w:lang w:eastAsia="es-GT"/>
              </w:rPr>
              <w:t>Q 28,133.31</w:t>
            </w:r>
          </w:p>
        </w:tc>
      </w:tr>
      <w:tr w:rsidR="00846C3D" w:rsidRPr="000544D0" w14:paraId="2A8E9591" w14:textId="77777777" w:rsidTr="00ED483A">
        <w:trPr>
          <w:trHeight w:val="426"/>
          <w:jc w:val="center"/>
        </w:trPr>
        <w:tc>
          <w:tcPr>
            <w:tcW w:w="0" w:type="auto"/>
            <w:gridSpan w:val="2"/>
            <w:shd w:val="clear" w:color="auto" w:fill="FFFFFF" w:themeFill="background1"/>
            <w:vAlign w:val="center"/>
            <w:hideMark/>
          </w:tcPr>
          <w:p w14:paraId="4BFCD970" w14:textId="77777777" w:rsidR="00846C3D" w:rsidRPr="00CE09E6" w:rsidRDefault="00846C3D" w:rsidP="00ED483A">
            <w:pPr>
              <w:widowControl/>
              <w:rPr>
                <w:color w:val="000000"/>
                <w:sz w:val="16"/>
                <w:szCs w:val="16"/>
                <w:lang w:eastAsia="es-GT"/>
              </w:rPr>
            </w:pPr>
            <w:r w:rsidRPr="00CE09E6">
              <w:rPr>
                <w:b/>
                <w:bCs/>
                <w:color w:val="000000"/>
                <w:sz w:val="16"/>
                <w:szCs w:val="16"/>
                <w:lang w:eastAsia="es-GT"/>
              </w:rPr>
              <w:t>Variación interanual de la reserva acumulada</w:t>
            </w:r>
          </w:p>
        </w:tc>
        <w:tc>
          <w:tcPr>
            <w:tcW w:w="0" w:type="auto"/>
            <w:shd w:val="clear" w:color="auto" w:fill="FFFFFF" w:themeFill="background1"/>
            <w:noWrap/>
            <w:vAlign w:val="center"/>
            <w:hideMark/>
          </w:tcPr>
          <w:p w14:paraId="3E2E7175"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10.4%</w:t>
            </w:r>
          </w:p>
        </w:tc>
        <w:tc>
          <w:tcPr>
            <w:tcW w:w="0" w:type="auto"/>
            <w:shd w:val="clear" w:color="auto" w:fill="FFFFFF" w:themeFill="background1"/>
            <w:noWrap/>
            <w:vAlign w:val="center"/>
            <w:hideMark/>
          </w:tcPr>
          <w:p w14:paraId="16C37231"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9.3%</w:t>
            </w:r>
          </w:p>
        </w:tc>
        <w:tc>
          <w:tcPr>
            <w:tcW w:w="0" w:type="auto"/>
            <w:shd w:val="clear" w:color="auto" w:fill="FFFFFF" w:themeFill="background1"/>
            <w:noWrap/>
            <w:vAlign w:val="center"/>
            <w:hideMark/>
          </w:tcPr>
          <w:p w14:paraId="63008FB9"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7.9%</w:t>
            </w:r>
          </w:p>
        </w:tc>
        <w:tc>
          <w:tcPr>
            <w:tcW w:w="0" w:type="auto"/>
            <w:shd w:val="clear" w:color="auto" w:fill="FFFFFF" w:themeFill="background1"/>
            <w:noWrap/>
            <w:vAlign w:val="center"/>
            <w:hideMark/>
          </w:tcPr>
          <w:p w14:paraId="2796A8D1"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5.6%</w:t>
            </w:r>
          </w:p>
        </w:tc>
        <w:tc>
          <w:tcPr>
            <w:tcW w:w="0" w:type="auto"/>
            <w:shd w:val="clear" w:color="auto" w:fill="FFFFFF" w:themeFill="background1"/>
            <w:noWrap/>
            <w:vAlign w:val="center"/>
            <w:hideMark/>
          </w:tcPr>
          <w:p w14:paraId="59D71006" w14:textId="77777777" w:rsidR="00846C3D" w:rsidRPr="00CE09E6" w:rsidRDefault="00846C3D" w:rsidP="00ED483A">
            <w:pPr>
              <w:widowControl/>
              <w:jc w:val="center"/>
              <w:rPr>
                <w:color w:val="000000"/>
                <w:sz w:val="16"/>
                <w:szCs w:val="16"/>
                <w:lang w:eastAsia="es-GT"/>
              </w:rPr>
            </w:pPr>
            <w:r w:rsidRPr="00CE09E6">
              <w:rPr>
                <w:color w:val="000000"/>
                <w:sz w:val="16"/>
                <w:szCs w:val="16"/>
                <w:lang w:eastAsia="es-GT"/>
              </w:rPr>
              <w:t>5.6%</w:t>
            </w:r>
          </w:p>
        </w:tc>
      </w:tr>
    </w:tbl>
    <w:p w14:paraId="3B0C97EB" w14:textId="2FBC841F" w:rsidR="00846C3D" w:rsidRPr="00E94376" w:rsidRDefault="00E94376" w:rsidP="00E94376">
      <w:pPr>
        <w:rPr>
          <w:sz w:val="16"/>
          <w:szCs w:val="18"/>
        </w:rPr>
      </w:pPr>
      <w:r>
        <w:rPr>
          <w:sz w:val="16"/>
          <w:szCs w:val="18"/>
        </w:rPr>
        <w:t xml:space="preserve">              </w:t>
      </w:r>
      <w:r w:rsidR="00846C3D" w:rsidRPr="00E94376">
        <w:rPr>
          <w:sz w:val="16"/>
          <w:szCs w:val="18"/>
        </w:rPr>
        <w:t xml:space="preserve">Fuente: Elaborado por DAPF con información IGSS en memorias de labores 2021. </w:t>
      </w:r>
    </w:p>
    <w:p w14:paraId="6D2CEDB5" w14:textId="77777777" w:rsidR="00846C3D" w:rsidRPr="00CE09E6" w:rsidRDefault="00846C3D" w:rsidP="00846C3D">
      <w:pPr>
        <w:pStyle w:val="Sinespaciado"/>
        <w:ind w:left="567" w:right="49"/>
        <w:jc w:val="both"/>
        <w:rPr>
          <w:bCs/>
          <w:lang w:val="es-ES_tradnl"/>
        </w:rPr>
      </w:pPr>
    </w:p>
    <w:p w14:paraId="6FA822B3" w14:textId="4692125A" w:rsidR="00846C3D" w:rsidRDefault="00846C3D" w:rsidP="00BC572D">
      <w:pPr>
        <w:jc w:val="both"/>
      </w:pPr>
      <w:r w:rsidRPr="00BC572D">
        <w:t>Asimismo, según las proyecciones de ingresos y gastos esperados del programa según la evaluación actuarial del IVS del 2020 para los próximos años, se puede observar que el punto de equilibrio entre ingresos y gastos se encontrará alrededor del año 2024. Posteriormente los gastos serán mayores que el nivel de los ingresos a partir del 2025 y la reserva acumulada empezará a decrecer por el uso de estos fondos.</w:t>
      </w:r>
    </w:p>
    <w:p w14:paraId="6CD6E600" w14:textId="77777777" w:rsidR="007F2A16" w:rsidRPr="00BC572D" w:rsidRDefault="007F2A16" w:rsidP="00BC572D">
      <w:pPr>
        <w:jc w:val="both"/>
      </w:pPr>
    </w:p>
    <w:p w14:paraId="0B160C88" w14:textId="73EC3F6C" w:rsidR="00846C3D" w:rsidRPr="00E94376" w:rsidRDefault="00E94376" w:rsidP="00E94376">
      <w:pPr>
        <w:pStyle w:val="Descripcin"/>
        <w:keepNext/>
        <w:rPr>
          <w:color w:val="auto"/>
        </w:rPr>
      </w:pPr>
      <w:bookmarkStart w:id="255" w:name="_Toc114493915"/>
      <w:r w:rsidRPr="00E94376">
        <w:rPr>
          <w:color w:val="auto"/>
        </w:rPr>
        <w:t xml:space="preserve">Gráfico </w:t>
      </w:r>
      <w:r w:rsidRPr="00E94376">
        <w:rPr>
          <w:color w:val="auto"/>
        </w:rPr>
        <w:fldChar w:fldCharType="begin"/>
      </w:r>
      <w:r w:rsidRPr="00E94376">
        <w:rPr>
          <w:color w:val="auto"/>
        </w:rPr>
        <w:instrText xml:space="preserve"> SEQ Gráfico \* ARABIC </w:instrText>
      </w:r>
      <w:r w:rsidRPr="00E94376">
        <w:rPr>
          <w:color w:val="auto"/>
        </w:rPr>
        <w:fldChar w:fldCharType="separate"/>
      </w:r>
      <w:r w:rsidR="002E7809">
        <w:rPr>
          <w:noProof/>
          <w:color w:val="auto"/>
        </w:rPr>
        <w:t>73</w:t>
      </w:r>
      <w:r w:rsidRPr="00E94376">
        <w:rPr>
          <w:color w:val="auto"/>
        </w:rPr>
        <w:fldChar w:fldCharType="end"/>
      </w:r>
      <w:r w:rsidRPr="00E94376">
        <w:rPr>
          <w:color w:val="auto"/>
        </w:rPr>
        <w:t xml:space="preserve">.  </w:t>
      </w:r>
      <w:r w:rsidR="00846C3D" w:rsidRPr="00E94376">
        <w:rPr>
          <w:color w:val="auto"/>
          <w:lang w:val="es-MX"/>
        </w:rPr>
        <w:t>Proyección de ingresos, gastos y reservas del Programa -IVS-</w:t>
      </w:r>
      <w:bookmarkEnd w:id="255"/>
    </w:p>
    <w:p w14:paraId="67EB67D0" w14:textId="77777777" w:rsidR="00846C3D" w:rsidRPr="00E26566" w:rsidRDefault="00846C3D" w:rsidP="00846C3D">
      <w:pPr>
        <w:ind w:left="540" w:right="72"/>
        <w:jc w:val="center"/>
        <w:rPr>
          <w:b/>
          <w:lang w:val="es-MX"/>
        </w:rPr>
      </w:pPr>
      <w:r w:rsidRPr="00E26566">
        <w:rPr>
          <w:b/>
          <w:lang w:val="es-MX"/>
        </w:rPr>
        <w:t xml:space="preserve">2021-2033 </w:t>
      </w:r>
      <w:r w:rsidRPr="00E94376">
        <w:rPr>
          <w:lang w:val="es-MX"/>
        </w:rPr>
        <w:t>(cifras en millones de quetzales)</w:t>
      </w:r>
    </w:p>
    <w:p w14:paraId="612B177A" w14:textId="42CA5478" w:rsidR="00846C3D" w:rsidRPr="00E94376" w:rsidRDefault="00E94376" w:rsidP="00E94376">
      <w:pPr>
        <w:ind w:left="540" w:right="72"/>
        <w:jc w:val="both"/>
        <w:rPr>
          <w:b/>
          <w:lang w:val="es-MX"/>
        </w:rPr>
      </w:pPr>
      <w:r w:rsidRPr="00E70BB3">
        <w:rPr>
          <w:noProof/>
          <w:lang w:eastAsia="es-GT"/>
        </w:rPr>
        <w:drawing>
          <wp:inline distT="0" distB="0" distL="0" distR="0" wp14:anchorId="1DF96824" wp14:editId="7767C0BD">
            <wp:extent cx="5039995" cy="2028825"/>
            <wp:effectExtent l="0" t="0" r="8255" b="0"/>
            <wp:docPr id="82" name="Gráfico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846C3D" w:rsidRPr="00E94376">
        <w:rPr>
          <w:sz w:val="16"/>
          <w:szCs w:val="18"/>
        </w:rPr>
        <w:t>Fuente: IGSS, valuación actuarial de programa IVS 2020.</w:t>
      </w:r>
    </w:p>
    <w:p w14:paraId="30432A9C" w14:textId="77777777" w:rsidR="00E94376" w:rsidRDefault="00E94376" w:rsidP="00BC572D">
      <w:pPr>
        <w:jc w:val="both"/>
      </w:pPr>
    </w:p>
    <w:p w14:paraId="42D7B9DA" w14:textId="177840C4" w:rsidR="007F2A16" w:rsidRPr="007F2A16" w:rsidRDefault="007F2A16" w:rsidP="007F2A16">
      <w:pPr>
        <w:jc w:val="both"/>
      </w:pPr>
      <w:r w:rsidRPr="007F2A16">
        <w:t>El comportamiento de la tasa de crecimiento de las solicitudes de pensión por vejez y sobrevivencia es decreciente, para el 2011 la tasa por vejez era de 7.7% y para el caso de sobrevivencia era de 4.8%, sin embargo, para el 2021 el de vejez fue de 2.8% (</w:t>
      </w:r>
      <w:r w:rsidR="00F749EC">
        <w:t>4</w:t>
      </w:r>
      <w:r w:rsidRPr="007F2A16">
        <w:t>.</w:t>
      </w:r>
      <w:r w:rsidR="00F749EC">
        <w:t>9</w:t>
      </w:r>
      <w:r w:rsidRPr="007F2A16">
        <w:t xml:space="preserve"> puntos porcentuales menos respecto al 2011) y el de sobrevivencia fue de -3.8% (</w:t>
      </w:r>
      <w:r w:rsidR="00F749EC">
        <w:t>8.6</w:t>
      </w:r>
      <w:r w:rsidRPr="007F2A16">
        <w:t xml:space="preserve"> puntos porcentuales menos respecto al 2011). Pero dichas solicitudes de pensión por vejez y sobrevivencia se incrementarán en gran medida de acuerdo con el cambio en la estructura demográfica de la sociedad guatemalteca ya que actualmente se goza aun del bono demográfico, con el tiempo esto podría afectar de manera representativa ya que según las estimaciones del IGSS para el año 2040 se tendría una previsión de las solicitudes de pensión para vejez de 156,664 es decir un aumento de 66,590 en comparación a los 90,074 registrados al 2021; para el caso de sobrevivencia se tendría una previsión de pensión de 90,542 es decir un aumento de 16,865 en comparación a los 73,677 registrados en 2021;  actualmente hay 1 pensionado por cada 7 trabajadores activos que cotizan al programa IVS. </w:t>
      </w:r>
    </w:p>
    <w:p w14:paraId="139B2F89" w14:textId="77777777" w:rsidR="007F2A16" w:rsidRDefault="007F2A16" w:rsidP="00BC572D">
      <w:pPr>
        <w:jc w:val="both"/>
      </w:pPr>
    </w:p>
    <w:p w14:paraId="40058544" w14:textId="4C57DB62" w:rsidR="00460373" w:rsidRPr="00595C75" w:rsidRDefault="00595C75" w:rsidP="00595C75">
      <w:pPr>
        <w:pStyle w:val="Descripcin"/>
        <w:keepNext/>
      </w:pPr>
      <w:bookmarkStart w:id="256" w:name="_Toc114493916"/>
      <w:r w:rsidRPr="00595C75">
        <w:rPr>
          <w:color w:val="auto"/>
        </w:rPr>
        <w:t xml:space="preserve">Gráfico </w:t>
      </w:r>
      <w:r w:rsidRPr="00595C75">
        <w:rPr>
          <w:color w:val="auto"/>
        </w:rPr>
        <w:fldChar w:fldCharType="begin"/>
      </w:r>
      <w:r w:rsidRPr="00595C75">
        <w:rPr>
          <w:color w:val="auto"/>
        </w:rPr>
        <w:instrText xml:space="preserve"> SEQ Gráfico \* ARABIC </w:instrText>
      </w:r>
      <w:r w:rsidRPr="00595C75">
        <w:rPr>
          <w:color w:val="auto"/>
        </w:rPr>
        <w:fldChar w:fldCharType="separate"/>
      </w:r>
      <w:r w:rsidR="002E7809">
        <w:rPr>
          <w:noProof/>
          <w:color w:val="auto"/>
        </w:rPr>
        <w:t>74</w:t>
      </w:r>
      <w:r w:rsidRPr="00595C75">
        <w:rPr>
          <w:color w:val="auto"/>
        </w:rPr>
        <w:fldChar w:fldCharType="end"/>
      </w:r>
      <w:r w:rsidRPr="00595C75">
        <w:rPr>
          <w:color w:val="auto"/>
        </w:rPr>
        <w:t xml:space="preserve">.  </w:t>
      </w:r>
      <w:r w:rsidR="007F2A16" w:rsidRPr="00595C75">
        <w:rPr>
          <w:color w:val="auto"/>
          <w:lang w:val="es-MX"/>
        </w:rPr>
        <w:t>Tasa de crecimiento de los dos principales riesgos</w:t>
      </w:r>
      <w:r w:rsidR="00460373" w:rsidRPr="00595C75">
        <w:rPr>
          <w:color w:val="auto"/>
          <w:lang w:val="es-MX"/>
        </w:rPr>
        <w:t xml:space="preserve"> (v</w:t>
      </w:r>
      <w:r w:rsidR="007F2A16" w:rsidRPr="00595C75">
        <w:rPr>
          <w:color w:val="auto"/>
          <w:lang w:val="es-MX"/>
        </w:rPr>
        <w:t xml:space="preserve">ejez y </w:t>
      </w:r>
      <w:r w:rsidR="00460373" w:rsidRPr="00595C75">
        <w:rPr>
          <w:color w:val="auto"/>
          <w:lang w:val="es-MX"/>
        </w:rPr>
        <w:t>s</w:t>
      </w:r>
      <w:r w:rsidR="007F2A16" w:rsidRPr="00595C75">
        <w:rPr>
          <w:color w:val="auto"/>
          <w:lang w:val="es-MX"/>
        </w:rPr>
        <w:t>obrevivencia</w:t>
      </w:r>
      <w:r w:rsidR="00460373" w:rsidRPr="00595C75">
        <w:rPr>
          <w:color w:val="auto"/>
          <w:lang w:val="es-MX"/>
        </w:rPr>
        <w:t>)</w:t>
      </w:r>
      <w:r w:rsidR="007F2A16" w:rsidRPr="00595C75">
        <w:rPr>
          <w:color w:val="auto"/>
          <w:lang w:val="es-MX"/>
        </w:rPr>
        <w:t xml:space="preserve"> del -IVS-</w:t>
      </w:r>
      <w:r w:rsidR="00460373" w:rsidRPr="00595C75">
        <w:rPr>
          <w:color w:val="auto"/>
          <w:lang w:val="es-MX"/>
        </w:rPr>
        <w:t xml:space="preserve"> </w:t>
      </w:r>
      <w:r w:rsidR="007F2A16" w:rsidRPr="00595C75">
        <w:rPr>
          <w:color w:val="auto"/>
          <w:lang w:val="es-MX"/>
        </w:rPr>
        <w:t>2010-2022</w:t>
      </w:r>
      <w:bookmarkEnd w:id="256"/>
    </w:p>
    <w:p w14:paraId="71066C59" w14:textId="2ED66609" w:rsidR="007F2A16" w:rsidRPr="007F2A16" w:rsidRDefault="007F2A16" w:rsidP="00460373">
      <w:pPr>
        <w:ind w:left="540" w:right="72"/>
        <w:jc w:val="center"/>
        <w:rPr>
          <w:b/>
          <w:lang w:val="es-MX"/>
        </w:rPr>
      </w:pPr>
      <w:r w:rsidRPr="007F2A16">
        <w:rPr>
          <w:lang w:val="es-MX"/>
        </w:rPr>
        <w:t>(Porcentajes)</w:t>
      </w:r>
    </w:p>
    <w:p w14:paraId="1E777AEF" w14:textId="77777777" w:rsidR="007F2A16" w:rsidRPr="007F2A16" w:rsidRDefault="007F2A16" w:rsidP="007F2A16">
      <w:pPr>
        <w:jc w:val="center"/>
        <w:rPr>
          <w:lang w:val="es-MX"/>
        </w:rPr>
      </w:pPr>
    </w:p>
    <w:p w14:paraId="68B3EC2D" w14:textId="77777777" w:rsidR="007F2A16" w:rsidRPr="007F2A16" w:rsidRDefault="007F2A16" w:rsidP="007F2A16">
      <w:pPr>
        <w:jc w:val="center"/>
      </w:pPr>
      <w:r w:rsidRPr="007F2A16">
        <w:rPr>
          <w:noProof/>
          <w:lang w:eastAsia="es-GT"/>
        </w:rPr>
        <w:drawing>
          <wp:inline distT="0" distB="0" distL="0" distR="0" wp14:anchorId="7D027067" wp14:editId="0B0F0A6B">
            <wp:extent cx="3893127" cy="2252345"/>
            <wp:effectExtent l="0" t="0" r="0" b="0"/>
            <wp:docPr id="230" name="Gráfico 230">
              <a:extLst xmlns:a="http://schemas.openxmlformats.org/drawingml/2006/main">
                <a:ext uri="{FF2B5EF4-FFF2-40B4-BE49-F238E27FC236}">
                  <a16:creationId xmlns:a16="http://schemas.microsoft.com/office/drawing/2014/main" id="{8C869443-0280-1E8C-722C-A41016850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97873E1" w14:textId="612BEDD3" w:rsidR="007F2A16" w:rsidRPr="00260481" w:rsidRDefault="007F2A16" w:rsidP="007F2A16">
      <w:pPr>
        <w:jc w:val="center"/>
        <w:rPr>
          <w:sz w:val="16"/>
          <w:szCs w:val="18"/>
        </w:rPr>
      </w:pPr>
      <w:r w:rsidRPr="007F2A16">
        <w:rPr>
          <w:sz w:val="16"/>
          <w:szCs w:val="18"/>
        </w:rPr>
        <w:t>Fuente: Elaborado por DAPF-MINFIN con Estadísticas publicadas por -IGSS a mayo 2022</w:t>
      </w:r>
    </w:p>
    <w:p w14:paraId="6FDC915F" w14:textId="4B552389" w:rsidR="007F2A16" w:rsidRDefault="007F2A16" w:rsidP="00BC572D">
      <w:pPr>
        <w:jc w:val="both"/>
      </w:pPr>
    </w:p>
    <w:p w14:paraId="1C412114" w14:textId="099EBBBC" w:rsidR="007F2A16" w:rsidRDefault="007F2A16" w:rsidP="00BC572D">
      <w:pPr>
        <w:jc w:val="both"/>
      </w:pPr>
    </w:p>
    <w:p w14:paraId="4D30998F" w14:textId="71E4F755" w:rsidR="00846C3D" w:rsidRPr="00BC572D" w:rsidRDefault="00846C3D" w:rsidP="00BC572D">
      <w:pPr>
        <w:jc w:val="both"/>
      </w:pPr>
      <w:r w:rsidRPr="00BC572D">
        <w:t xml:space="preserve">La información presentada en el análisis del IGSS indica que aún se puede mantener la prima de 5.5% para el IVS incluso hasta el 2024, sin embargo, posterior a dicho año es necesario analizar posibles ajustes a dicha prima de financiamiento, así mismo dado a que la situación financiera vislumbra un desequilibro en el corto plazo no es factible el aumento o revalorización de las pensiones por lo que cualquier intento de aumento </w:t>
      </w:r>
      <w:r w:rsidR="00460373">
        <w:t xml:space="preserve">de </w:t>
      </w:r>
      <w:r w:rsidRPr="00BC572D">
        <w:t>es</w:t>
      </w:r>
      <w:r w:rsidR="00460373">
        <w:t>t</w:t>
      </w:r>
      <w:r w:rsidRPr="00BC572D">
        <w:t>as deben de ser prorrogadas hasta tener mejor información y de esta forma no poner en riesgo el equilibrio financiero del programa.</w:t>
      </w:r>
    </w:p>
    <w:p w14:paraId="5C7FCE8D" w14:textId="77777777" w:rsidR="00846C3D" w:rsidRPr="00BC572D" w:rsidRDefault="00846C3D" w:rsidP="00BC572D">
      <w:pPr>
        <w:jc w:val="both"/>
      </w:pPr>
    </w:p>
    <w:p w14:paraId="2E23DBA1" w14:textId="77777777" w:rsidR="00846C3D" w:rsidRDefault="00846C3D" w:rsidP="00A9708A">
      <w:pPr>
        <w:pStyle w:val="Ttulo1"/>
        <w:numPr>
          <w:ilvl w:val="2"/>
          <w:numId w:val="5"/>
        </w:numPr>
        <w:ind w:left="851" w:right="49" w:hanging="284"/>
        <w:jc w:val="both"/>
        <w:rPr>
          <w:color w:val="1F3864" w:themeColor="accent1" w:themeShade="80"/>
          <w:sz w:val="24"/>
        </w:rPr>
      </w:pPr>
      <w:bookmarkStart w:id="257" w:name="_Toc114495280"/>
      <w:r w:rsidRPr="00030099">
        <w:rPr>
          <w:color w:val="auto"/>
          <w:sz w:val="24"/>
        </w:rPr>
        <w:t>Programa de Enfermedad, Maternidad y Accidentes -EMA- 2020</w:t>
      </w:r>
      <w:bookmarkEnd w:id="257"/>
    </w:p>
    <w:p w14:paraId="30AD7240" w14:textId="77777777" w:rsidR="00846C3D" w:rsidRPr="00366688" w:rsidRDefault="00846C3D" w:rsidP="00846C3D"/>
    <w:p w14:paraId="0904D506" w14:textId="77777777" w:rsidR="00846C3D" w:rsidRPr="00BC572D" w:rsidRDefault="00846C3D" w:rsidP="00BC572D">
      <w:pPr>
        <w:jc w:val="both"/>
      </w:pPr>
      <w:r w:rsidRPr="00BC572D">
        <w:t>Las prestaciones que otorgan los programas EMA son Prestaciones en servicio que incluyen asistencia médica con la finalidad de conservar, mejorar o restaurar y restablecer la capacidad de trabajo, dicha asistencia médica se brinda en las distintas unidades médicas y hospitales en el territorio nacional, dentro de los rubros también se incluyen hospedaje, alimentación, servicio social y transportes: por otro lado están las prestaciones en dinero los cuales incluyen subsidios por incapacidad temporal o permanente, gastos de entierro y pensiones a sobrevivientes, en el financiamiento del sistema participan el trabajador, el patrono y el estado por medio de un sistema de reparto de corto plazo.</w:t>
      </w:r>
    </w:p>
    <w:p w14:paraId="05460BCB" w14:textId="10A03910" w:rsidR="00846C3D" w:rsidRPr="00BC572D" w:rsidRDefault="00846C3D" w:rsidP="00BC572D">
      <w:pPr>
        <w:jc w:val="both"/>
      </w:pPr>
      <w:r w:rsidRPr="00BC572D">
        <w:t xml:space="preserve">El IGSS protegió en materia de salud en el 2021 a 3,055,604 personas, cifras que incluye a los afiliados y a su respectivo núcleo familiar, a los pensionados del régimen de seguridad social, a los jubilados del Estado y a la población no afiliada (atendida únicamente por el servicio de emergencia). </w:t>
      </w:r>
    </w:p>
    <w:p w14:paraId="6B3F1A9F" w14:textId="77777777" w:rsidR="00846C3D" w:rsidRPr="00BC572D" w:rsidRDefault="00846C3D" w:rsidP="00BC572D">
      <w:pPr>
        <w:jc w:val="both"/>
      </w:pPr>
    </w:p>
    <w:p w14:paraId="6EED4896" w14:textId="77777777" w:rsidR="00846C3D" w:rsidRPr="00BC572D" w:rsidRDefault="00846C3D" w:rsidP="00BC572D">
      <w:pPr>
        <w:jc w:val="both"/>
      </w:pPr>
      <w:r w:rsidRPr="00BC572D">
        <w:t>En el gráfico se observa que con aporte la prima de financiamiento tiene vigencia hasta el año 2023 y considerando los rendimientos de las reservas de los diferentes programas de salud, es decir los programas EMA, la prima se extiende al año 2026. De considerarse solo los aportes se espera que el gasto supere a los ingresos a partir del 2024.</w:t>
      </w:r>
    </w:p>
    <w:p w14:paraId="20068207" w14:textId="04569C24" w:rsidR="00846C3D" w:rsidRDefault="00846C3D" w:rsidP="00846C3D">
      <w:pPr>
        <w:pStyle w:val="Sinespaciado"/>
        <w:ind w:left="567" w:right="49"/>
        <w:jc w:val="both"/>
        <w:rPr>
          <w:bCs/>
          <w:lang w:val="es-MX"/>
        </w:rPr>
      </w:pPr>
    </w:p>
    <w:p w14:paraId="34B710CC" w14:textId="0A7CFD36" w:rsidR="00846C3D" w:rsidRPr="00E94376" w:rsidRDefault="00E94376" w:rsidP="00E94376">
      <w:pPr>
        <w:pStyle w:val="Descripcin"/>
        <w:keepNext/>
      </w:pPr>
      <w:bookmarkStart w:id="258" w:name="_Toc114493917"/>
      <w:r w:rsidRPr="00E94376">
        <w:rPr>
          <w:color w:val="auto"/>
        </w:rPr>
        <w:t xml:space="preserve">Gráfico </w:t>
      </w:r>
      <w:r w:rsidRPr="00E94376">
        <w:rPr>
          <w:color w:val="auto"/>
        </w:rPr>
        <w:fldChar w:fldCharType="begin"/>
      </w:r>
      <w:r w:rsidRPr="00E94376">
        <w:rPr>
          <w:color w:val="auto"/>
        </w:rPr>
        <w:instrText xml:space="preserve"> SEQ Gráfico \* ARABIC </w:instrText>
      </w:r>
      <w:r w:rsidRPr="00E94376">
        <w:rPr>
          <w:color w:val="auto"/>
        </w:rPr>
        <w:fldChar w:fldCharType="separate"/>
      </w:r>
      <w:r w:rsidR="002E7809">
        <w:rPr>
          <w:noProof/>
          <w:color w:val="auto"/>
        </w:rPr>
        <w:t>75</w:t>
      </w:r>
      <w:r w:rsidRPr="00E94376">
        <w:rPr>
          <w:color w:val="auto"/>
        </w:rPr>
        <w:fldChar w:fldCharType="end"/>
      </w:r>
      <w:r w:rsidRPr="00E94376">
        <w:rPr>
          <w:color w:val="auto"/>
        </w:rPr>
        <w:t xml:space="preserve">.  </w:t>
      </w:r>
      <w:r w:rsidR="00846C3D" w:rsidRPr="00E94376">
        <w:rPr>
          <w:color w:val="auto"/>
          <w:lang w:val="es-MX"/>
        </w:rPr>
        <w:t>Sostenibilidad financiera de aportes de los Programas EMA Periodo 2021-2028</w:t>
      </w:r>
      <w:bookmarkEnd w:id="258"/>
    </w:p>
    <w:p w14:paraId="6E0C3C2C" w14:textId="77777777" w:rsidR="00846C3D" w:rsidRDefault="00846C3D" w:rsidP="00846C3D">
      <w:pPr>
        <w:pStyle w:val="Sinespaciado"/>
        <w:ind w:left="567" w:right="49"/>
        <w:jc w:val="center"/>
        <w:rPr>
          <w:noProof/>
        </w:rPr>
      </w:pPr>
      <w:r w:rsidRPr="00E70BB3">
        <w:rPr>
          <w:noProof/>
          <w:lang w:val="es-GT" w:eastAsia="es-GT"/>
        </w:rPr>
        <w:drawing>
          <wp:inline distT="0" distB="0" distL="0" distR="0" wp14:anchorId="0903F4AE" wp14:editId="4049F6B6">
            <wp:extent cx="5039995" cy="2076450"/>
            <wp:effectExtent l="0" t="0" r="8255" b="0"/>
            <wp:docPr id="1441" name="Gráfico 14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9D2436B" w14:textId="4AC86845" w:rsidR="00846C3D" w:rsidRPr="001A37CA" w:rsidRDefault="00846C3D" w:rsidP="001A37CA">
      <w:pPr>
        <w:pStyle w:val="Sinespaciado"/>
        <w:ind w:left="567" w:right="49"/>
        <w:rPr>
          <w:sz w:val="16"/>
          <w:szCs w:val="18"/>
        </w:rPr>
      </w:pPr>
      <w:r w:rsidRPr="00E94376">
        <w:rPr>
          <w:sz w:val="22"/>
          <w:lang w:val="es-MX"/>
        </w:rPr>
        <w:tab/>
      </w:r>
      <w:r w:rsidRPr="00E94376">
        <w:rPr>
          <w:sz w:val="16"/>
          <w:szCs w:val="18"/>
        </w:rPr>
        <w:t xml:space="preserve">                  Fuente: IGSS, valuación </w:t>
      </w:r>
      <w:r w:rsidR="001A37CA">
        <w:rPr>
          <w:sz w:val="16"/>
          <w:szCs w:val="18"/>
        </w:rPr>
        <w:t>actuarial de programa EMA 2020.</w:t>
      </w:r>
    </w:p>
    <w:p w14:paraId="4CEBF676" w14:textId="77777777" w:rsidR="001120A2" w:rsidRPr="00846C3D" w:rsidRDefault="001120A2" w:rsidP="002846D1">
      <w:pPr>
        <w:pStyle w:val="Prrafodelista"/>
        <w:jc w:val="both"/>
        <w:rPr>
          <w:lang w:val="es-ES"/>
        </w:rPr>
      </w:pPr>
    </w:p>
    <w:p w14:paraId="6AB60C8B" w14:textId="77777777" w:rsidR="00DE6510" w:rsidRPr="00030099" w:rsidRDefault="00DE6510" w:rsidP="004C44BD">
      <w:pPr>
        <w:pStyle w:val="Ttulo1"/>
        <w:numPr>
          <w:ilvl w:val="0"/>
          <w:numId w:val="5"/>
        </w:numPr>
        <w:ind w:left="284" w:hanging="284"/>
        <w:jc w:val="left"/>
        <w:rPr>
          <w:color w:val="auto"/>
          <w:sz w:val="24"/>
          <w:szCs w:val="28"/>
        </w:rPr>
      </w:pPr>
      <w:bookmarkStart w:id="259" w:name="_Toc81305681"/>
      <w:bookmarkStart w:id="260" w:name="_Toc114495281"/>
      <w:r w:rsidRPr="00030099">
        <w:rPr>
          <w:color w:val="auto"/>
          <w:sz w:val="24"/>
          <w:szCs w:val="28"/>
        </w:rPr>
        <w:t>Pasivos contingentes por Demandas Judiciales contra el Estado</w:t>
      </w:r>
      <w:bookmarkEnd w:id="259"/>
      <w:bookmarkEnd w:id="260"/>
    </w:p>
    <w:p w14:paraId="650C1CEA" w14:textId="77777777" w:rsidR="00DE6510" w:rsidRPr="00706DBC" w:rsidRDefault="00DE6510" w:rsidP="00DE6510">
      <w:pPr>
        <w:ind w:left="567"/>
        <w:jc w:val="both"/>
        <w:rPr>
          <w:rFonts w:eastAsia="OptimaLTStd"/>
          <w:color w:val="FF0000"/>
        </w:rPr>
      </w:pPr>
    </w:p>
    <w:p w14:paraId="464781A9" w14:textId="77777777" w:rsidR="00E94376" w:rsidRPr="00E94376" w:rsidRDefault="00E94376" w:rsidP="00E94376">
      <w:pPr>
        <w:pStyle w:val="Prrafodelista"/>
        <w:keepNext/>
        <w:widowControl/>
        <w:numPr>
          <w:ilvl w:val="0"/>
          <w:numId w:val="23"/>
        </w:numPr>
        <w:ind w:right="49"/>
        <w:contextualSpacing w:val="0"/>
        <w:outlineLvl w:val="0"/>
        <w:rPr>
          <w:b/>
          <w:vanish/>
          <w:color w:val="1F3864" w:themeColor="accent1" w:themeShade="80"/>
        </w:rPr>
      </w:pPr>
      <w:bookmarkStart w:id="261" w:name="_Toc110522960"/>
      <w:bookmarkStart w:id="262" w:name="_Toc114066664"/>
      <w:bookmarkStart w:id="263" w:name="_Toc114473986"/>
      <w:bookmarkStart w:id="264" w:name="_Toc114476033"/>
      <w:bookmarkStart w:id="265" w:name="_Toc114476140"/>
      <w:bookmarkStart w:id="266" w:name="_Toc114476226"/>
      <w:bookmarkStart w:id="267" w:name="_Toc114476293"/>
      <w:bookmarkStart w:id="268" w:name="_Toc114476366"/>
      <w:bookmarkStart w:id="269" w:name="_Toc114476431"/>
      <w:bookmarkStart w:id="270" w:name="_Toc114492517"/>
      <w:bookmarkStart w:id="271" w:name="_Toc114492717"/>
      <w:bookmarkStart w:id="272" w:name="_Toc114493827"/>
      <w:bookmarkStart w:id="273" w:name="_Toc114495282"/>
      <w:bookmarkStart w:id="274" w:name="_Toc81305682"/>
      <w:bookmarkEnd w:id="261"/>
      <w:bookmarkEnd w:id="262"/>
      <w:bookmarkEnd w:id="263"/>
      <w:bookmarkEnd w:id="264"/>
      <w:bookmarkEnd w:id="265"/>
      <w:bookmarkEnd w:id="266"/>
      <w:bookmarkEnd w:id="267"/>
      <w:bookmarkEnd w:id="268"/>
      <w:bookmarkEnd w:id="269"/>
      <w:bookmarkEnd w:id="270"/>
      <w:bookmarkEnd w:id="271"/>
      <w:bookmarkEnd w:id="272"/>
      <w:bookmarkEnd w:id="273"/>
    </w:p>
    <w:p w14:paraId="5A59AD96" w14:textId="77777777" w:rsidR="00E94376" w:rsidRPr="00E94376" w:rsidRDefault="00E94376" w:rsidP="00E94376">
      <w:pPr>
        <w:pStyle w:val="Prrafodelista"/>
        <w:keepNext/>
        <w:widowControl/>
        <w:numPr>
          <w:ilvl w:val="0"/>
          <w:numId w:val="23"/>
        </w:numPr>
        <w:ind w:right="49"/>
        <w:contextualSpacing w:val="0"/>
        <w:outlineLvl w:val="0"/>
        <w:rPr>
          <w:b/>
          <w:vanish/>
          <w:color w:val="1F3864" w:themeColor="accent1" w:themeShade="80"/>
        </w:rPr>
      </w:pPr>
      <w:bookmarkStart w:id="275" w:name="_Toc110522961"/>
      <w:bookmarkStart w:id="276" w:name="_Toc114066665"/>
      <w:bookmarkStart w:id="277" w:name="_Toc114473987"/>
      <w:bookmarkStart w:id="278" w:name="_Toc114476034"/>
      <w:bookmarkStart w:id="279" w:name="_Toc114476141"/>
      <w:bookmarkStart w:id="280" w:name="_Toc114476227"/>
      <w:bookmarkStart w:id="281" w:name="_Toc114476294"/>
      <w:bookmarkStart w:id="282" w:name="_Toc114476367"/>
      <w:bookmarkStart w:id="283" w:name="_Toc114476432"/>
      <w:bookmarkStart w:id="284" w:name="_Toc114492518"/>
      <w:bookmarkStart w:id="285" w:name="_Toc114492718"/>
      <w:bookmarkStart w:id="286" w:name="_Toc114493828"/>
      <w:bookmarkStart w:id="287" w:name="_Toc114495283"/>
      <w:bookmarkEnd w:id="275"/>
      <w:bookmarkEnd w:id="276"/>
      <w:bookmarkEnd w:id="277"/>
      <w:bookmarkEnd w:id="278"/>
      <w:bookmarkEnd w:id="279"/>
      <w:bookmarkEnd w:id="280"/>
      <w:bookmarkEnd w:id="281"/>
      <w:bookmarkEnd w:id="282"/>
      <w:bookmarkEnd w:id="283"/>
      <w:bookmarkEnd w:id="284"/>
      <w:bookmarkEnd w:id="285"/>
      <w:bookmarkEnd w:id="286"/>
      <w:bookmarkEnd w:id="287"/>
    </w:p>
    <w:p w14:paraId="71EFB4DA" w14:textId="77777777" w:rsidR="00E94376" w:rsidRPr="00E94376" w:rsidRDefault="00E94376" w:rsidP="00E94376">
      <w:pPr>
        <w:pStyle w:val="Prrafodelista"/>
        <w:keepNext/>
        <w:widowControl/>
        <w:numPr>
          <w:ilvl w:val="0"/>
          <w:numId w:val="23"/>
        </w:numPr>
        <w:ind w:right="49"/>
        <w:contextualSpacing w:val="0"/>
        <w:outlineLvl w:val="0"/>
        <w:rPr>
          <w:b/>
          <w:vanish/>
          <w:color w:val="1F3864" w:themeColor="accent1" w:themeShade="80"/>
        </w:rPr>
      </w:pPr>
      <w:bookmarkStart w:id="288" w:name="_Toc110522962"/>
      <w:bookmarkStart w:id="289" w:name="_Toc114066666"/>
      <w:bookmarkStart w:id="290" w:name="_Toc114473988"/>
      <w:bookmarkStart w:id="291" w:name="_Toc114476035"/>
      <w:bookmarkStart w:id="292" w:name="_Toc114476142"/>
      <w:bookmarkStart w:id="293" w:name="_Toc114476228"/>
      <w:bookmarkStart w:id="294" w:name="_Toc114476295"/>
      <w:bookmarkStart w:id="295" w:name="_Toc114476368"/>
      <w:bookmarkStart w:id="296" w:name="_Toc114476433"/>
      <w:bookmarkStart w:id="297" w:name="_Toc114492519"/>
      <w:bookmarkStart w:id="298" w:name="_Toc114492719"/>
      <w:bookmarkStart w:id="299" w:name="_Toc114493829"/>
      <w:bookmarkStart w:id="300" w:name="_Toc114495284"/>
      <w:bookmarkEnd w:id="288"/>
      <w:bookmarkEnd w:id="289"/>
      <w:bookmarkEnd w:id="290"/>
      <w:bookmarkEnd w:id="291"/>
      <w:bookmarkEnd w:id="292"/>
      <w:bookmarkEnd w:id="293"/>
      <w:bookmarkEnd w:id="294"/>
      <w:bookmarkEnd w:id="295"/>
      <w:bookmarkEnd w:id="296"/>
      <w:bookmarkEnd w:id="297"/>
      <w:bookmarkEnd w:id="298"/>
      <w:bookmarkEnd w:id="299"/>
      <w:bookmarkEnd w:id="300"/>
    </w:p>
    <w:p w14:paraId="7A7B55D1" w14:textId="77777777" w:rsidR="00E94376" w:rsidRPr="00E94376" w:rsidRDefault="00E94376" w:rsidP="00E94376">
      <w:pPr>
        <w:pStyle w:val="Prrafodelista"/>
        <w:keepNext/>
        <w:widowControl/>
        <w:numPr>
          <w:ilvl w:val="0"/>
          <w:numId w:val="23"/>
        </w:numPr>
        <w:ind w:right="49"/>
        <w:contextualSpacing w:val="0"/>
        <w:outlineLvl w:val="0"/>
        <w:rPr>
          <w:b/>
          <w:vanish/>
          <w:color w:val="1F3864" w:themeColor="accent1" w:themeShade="80"/>
        </w:rPr>
      </w:pPr>
      <w:bookmarkStart w:id="301" w:name="_Toc110522963"/>
      <w:bookmarkStart w:id="302" w:name="_Toc114066667"/>
      <w:bookmarkStart w:id="303" w:name="_Toc114473989"/>
      <w:bookmarkStart w:id="304" w:name="_Toc114476036"/>
      <w:bookmarkStart w:id="305" w:name="_Toc114476143"/>
      <w:bookmarkStart w:id="306" w:name="_Toc114476229"/>
      <w:bookmarkStart w:id="307" w:name="_Toc114476296"/>
      <w:bookmarkStart w:id="308" w:name="_Toc114476369"/>
      <w:bookmarkStart w:id="309" w:name="_Toc114476434"/>
      <w:bookmarkStart w:id="310" w:name="_Toc114492520"/>
      <w:bookmarkStart w:id="311" w:name="_Toc114492720"/>
      <w:bookmarkStart w:id="312" w:name="_Toc114493830"/>
      <w:bookmarkStart w:id="313" w:name="_Toc114495285"/>
      <w:bookmarkEnd w:id="301"/>
      <w:bookmarkEnd w:id="302"/>
      <w:bookmarkEnd w:id="303"/>
      <w:bookmarkEnd w:id="304"/>
      <w:bookmarkEnd w:id="305"/>
      <w:bookmarkEnd w:id="306"/>
      <w:bookmarkEnd w:id="307"/>
      <w:bookmarkEnd w:id="308"/>
      <w:bookmarkEnd w:id="309"/>
      <w:bookmarkEnd w:id="310"/>
      <w:bookmarkEnd w:id="311"/>
      <w:bookmarkEnd w:id="312"/>
      <w:bookmarkEnd w:id="313"/>
    </w:p>
    <w:p w14:paraId="30F435EA" w14:textId="77777777" w:rsidR="00E94376" w:rsidRPr="00E94376" w:rsidRDefault="00E94376" w:rsidP="00E94376">
      <w:pPr>
        <w:pStyle w:val="Prrafodelista"/>
        <w:keepNext/>
        <w:widowControl/>
        <w:numPr>
          <w:ilvl w:val="0"/>
          <w:numId w:val="23"/>
        </w:numPr>
        <w:ind w:right="49"/>
        <w:contextualSpacing w:val="0"/>
        <w:outlineLvl w:val="0"/>
        <w:rPr>
          <w:b/>
          <w:vanish/>
          <w:color w:val="1F3864" w:themeColor="accent1" w:themeShade="80"/>
        </w:rPr>
      </w:pPr>
      <w:bookmarkStart w:id="314" w:name="_Toc110522964"/>
      <w:bookmarkStart w:id="315" w:name="_Toc114066668"/>
      <w:bookmarkStart w:id="316" w:name="_Toc114473990"/>
      <w:bookmarkStart w:id="317" w:name="_Toc114476037"/>
      <w:bookmarkStart w:id="318" w:name="_Toc114476144"/>
      <w:bookmarkStart w:id="319" w:name="_Toc114476230"/>
      <w:bookmarkStart w:id="320" w:name="_Toc114476297"/>
      <w:bookmarkStart w:id="321" w:name="_Toc114476370"/>
      <w:bookmarkStart w:id="322" w:name="_Toc114476435"/>
      <w:bookmarkStart w:id="323" w:name="_Toc114492521"/>
      <w:bookmarkStart w:id="324" w:name="_Toc114492721"/>
      <w:bookmarkStart w:id="325" w:name="_Toc114493831"/>
      <w:bookmarkStart w:id="326" w:name="_Toc114495286"/>
      <w:bookmarkEnd w:id="314"/>
      <w:bookmarkEnd w:id="315"/>
      <w:bookmarkEnd w:id="316"/>
      <w:bookmarkEnd w:id="317"/>
      <w:bookmarkEnd w:id="318"/>
      <w:bookmarkEnd w:id="319"/>
      <w:bookmarkEnd w:id="320"/>
      <w:bookmarkEnd w:id="321"/>
      <w:bookmarkEnd w:id="322"/>
      <w:bookmarkEnd w:id="323"/>
      <w:bookmarkEnd w:id="324"/>
      <w:bookmarkEnd w:id="325"/>
      <w:bookmarkEnd w:id="326"/>
    </w:p>
    <w:p w14:paraId="5A5BC19A" w14:textId="77777777" w:rsidR="00E94376" w:rsidRPr="00E94376" w:rsidRDefault="00E94376" w:rsidP="00E94376">
      <w:pPr>
        <w:pStyle w:val="Prrafodelista"/>
        <w:keepNext/>
        <w:widowControl/>
        <w:numPr>
          <w:ilvl w:val="0"/>
          <w:numId w:val="23"/>
        </w:numPr>
        <w:ind w:right="49"/>
        <w:contextualSpacing w:val="0"/>
        <w:outlineLvl w:val="0"/>
        <w:rPr>
          <w:b/>
          <w:vanish/>
          <w:color w:val="1F3864" w:themeColor="accent1" w:themeShade="80"/>
        </w:rPr>
      </w:pPr>
      <w:bookmarkStart w:id="327" w:name="_Toc110522965"/>
      <w:bookmarkStart w:id="328" w:name="_Toc114066669"/>
      <w:bookmarkStart w:id="329" w:name="_Toc114473991"/>
      <w:bookmarkStart w:id="330" w:name="_Toc114476038"/>
      <w:bookmarkStart w:id="331" w:name="_Toc114476145"/>
      <w:bookmarkStart w:id="332" w:name="_Toc114476231"/>
      <w:bookmarkStart w:id="333" w:name="_Toc114476298"/>
      <w:bookmarkStart w:id="334" w:name="_Toc114476371"/>
      <w:bookmarkStart w:id="335" w:name="_Toc114476436"/>
      <w:bookmarkStart w:id="336" w:name="_Toc114492522"/>
      <w:bookmarkStart w:id="337" w:name="_Toc114492722"/>
      <w:bookmarkStart w:id="338" w:name="_Toc114493832"/>
      <w:bookmarkStart w:id="339" w:name="_Toc114495287"/>
      <w:bookmarkEnd w:id="327"/>
      <w:bookmarkEnd w:id="328"/>
      <w:bookmarkEnd w:id="329"/>
      <w:bookmarkEnd w:id="330"/>
      <w:bookmarkEnd w:id="331"/>
      <w:bookmarkEnd w:id="332"/>
      <w:bookmarkEnd w:id="333"/>
      <w:bookmarkEnd w:id="334"/>
      <w:bookmarkEnd w:id="335"/>
      <w:bookmarkEnd w:id="336"/>
      <w:bookmarkEnd w:id="337"/>
      <w:bookmarkEnd w:id="338"/>
      <w:bookmarkEnd w:id="339"/>
    </w:p>
    <w:p w14:paraId="7E7CC9B1" w14:textId="77777777" w:rsidR="00E94376" w:rsidRPr="00E94376" w:rsidRDefault="00E94376" w:rsidP="00E94376">
      <w:pPr>
        <w:pStyle w:val="Prrafodelista"/>
        <w:keepNext/>
        <w:widowControl/>
        <w:numPr>
          <w:ilvl w:val="0"/>
          <w:numId w:val="23"/>
        </w:numPr>
        <w:ind w:right="49"/>
        <w:contextualSpacing w:val="0"/>
        <w:outlineLvl w:val="0"/>
        <w:rPr>
          <w:b/>
          <w:vanish/>
          <w:color w:val="1F3864" w:themeColor="accent1" w:themeShade="80"/>
        </w:rPr>
      </w:pPr>
      <w:bookmarkStart w:id="340" w:name="_Toc110522966"/>
      <w:bookmarkStart w:id="341" w:name="_Toc114066670"/>
      <w:bookmarkStart w:id="342" w:name="_Toc114473992"/>
      <w:bookmarkStart w:id="343" w:name="_Toc114476039"/>
      <w:bookmarkStart w:id="344" w:name="_Toc114476146"/>
      <w:bookmarkStart w:id="345" w:name="_Toc114476232"/>
      <w:bookmarkStart w:id="346" w:name="_Toc114476299"/>
      <w:bookmarkStart w:id="347" w:name="_Toc114476372"/>
      <w:bookmarkStart w:id="348" w:name="_Toc114476437"/>
      <w:bookmarkStart w:id="349" w:name="_Toc114492523"/>
      <w:bookmarkStart w:id="350" w:name="_Toc114492723"/>
      <w:bookmarkStart w:id="351" w:name="_Toc114493833"/>
      <w:bookmarkStart w:id="352" w:name="_Toc114495288"/>
      <w:bookmarkEnd w:id="340"/>
      <w:bookmarkEnd w:id="341"/>
      <w:bookmarkEnd w:id="342"/>
      <w:bookmarkEnd w:id="343"/>
      <w:bookmarkEnd w:id="344"/>
      <w:bookmarkEnd w:id="345"/>
      <w:bookmarkEnd w:id="346"/>
      <w:bookmarkEnd w:id="347"/>
      <w:bookmarkEnd w:id="348"/>
      <w:bookmarkEnd w:id="349"/>
      <w:bookmarkEnd w:id="350"/>
      <w:bookmarkEnd w:id="351"/>
      <w:bookmarkEnd w:id="352"/>
    </w:p>
    <w:p w14:paraId="1CBE36D8" w14:textId="0D1F228A" w:rsidR="00DE6510" w:rsidRPr="00E94376" w:rsidRDefault="00DE6510" w:rsidP="00A9708A">
      <w:pPr>
        <w:pStyle w:val="Ttulo1"/>
        <w:widowControl/>
        <w:numPr>
          <w:ilvl w:val="1"/>
          <w:numId w:val="23"/>
        </w:numPr>
        <w:ind w:left="567" w:right="49" w:hanging="283"/>
        <w:jc w:val="left"/>
        <w:rPr>
          <w:color w:val="auto"/>
          <w:sz w:val="24"/>
        </w:rPr>
      </w:pPr>
      <w:bookmarkStart w:id="353" w:name="_Toc114495289"/>
      <w:r w:rsidRPr="00E94376">
        <w:rPr>
          <w:color w:val="auto"/>
          <w:sz w:val="24"/>
        </w:rPr>
        <w:t>Aspectos generales</w:t>
      </w:r>
      <w:bookmarkEnd w:id="274"/>
      <w:bookmarkEnd w:id="353"/>
    </w:p>
    <w:p w14:paraId="484ABD48" w14:textId="77777777" w:rsidR="00DE6510" w:rsidRDefault="00DE6510" w:rsidP="00DE6510">
      <w:pPr>
        <w:ind w:left="567"/>
        <w:jc w:val="both"/>
      </w:pPr>
    </w:p>
    <w:p w14:paraId="764C5190" w14:textId="77777777" w:rsidR="00DE6510" w:rsidRDefault="00DE6510" w:rsidP="00BC572D">
      <w:pPr>
        <w:jc w:val="both"/>
      </w:pPr>
      <w:r>
        <w:t>Las</w:t>
      </w:r>
      <w:r w:rsidRPr="00B43A63">
        <w:t xml:space="preserve"> demandas judiciales en contra del Estado </w:t>
      </w:r>
      <w:r>
        <w:t>son consideradas como</w:t>
      </w:r>
      <w:r w:rsidRPr="00B43A63">
        <w:t xml:space="preserve"> una contingencia que podría surgir en el futuro por los actos que el gobierno ha realizado para el cumplimiento de la función pública que ante la ocurrencia de un determinado evento generó una demanda contra el Estado.</w:t>
      </w:r>
      <w:r>
        <w:t xml:space="preserve">  </w:t>
      </w:r>
      <w:r w:rsidRPr="00B43A63">
        <w:t>Se puede observar que existe una tendencia al alza de casos judiciales en los que el Estado es parte procesa</w:t>
      </w:r>
      <w:r>
        <w:t>l</w:t>
      </w:r>
      <w:r w:rsidRPr="00B43A63">
        <w:t>, lo cual comenzó a hacerse notable en el contexto de las profundas reformas normativas e institucionales en América Latina y en Guatemala en las dos últimas décadas.  Además, de las modificaciones legales que se introdujeron para extender el ámbito de los derechos públicos al conjunto de la ciudadanía, así como también la notable mejora del acceso de la población a los servicios de los tribunales, que aplica muy bien en el caso de las demandas laborales o de proveedores y contratistas del Estado, así como las relacionadas con Derechos Humanos. Asimismo, otros factores han contribuido al continuo aumento de casos en los que el Estado es parte, derivado de inversiones directas de compañías extranjeras relacionadas a privatizaciones, concesiones para explotación minera, entre otras.</w:t>
      </w:r>
      <w:r>
        <w:t xml:space="preserve">  </w:t>
      </w:r>
      <w:r w:rsidRPr="00B43A63">
        <w:t xml:space="preserve">Las demandas interpuestas contra el Estado vienen acompañadas de pretensiones económicas en la forma de indemnizaciones o reparaciones por el daño supuestamente infligido por la administración pública. </w:t>
      </w:r>
    </w:p>
    <w:p w14:paraId="68E1FC6B" w14:textId="77777777" w:rsidR="00DE6510" w:rsidRPr="00B43A63" w:rsidRDefault="00DE6510" w:rsidP="00DE6510">
      <w:pPr>
        <w:ind w:left="567"/>
        <w:jc w:val="both"/>
      </w:pPr>
    </w:p>
    <w:p w14:paraId="409D7F7F" w14:textId="77777777" w:rsidR="00DE6510" w:rsidRPr="00E94376" w:rsidRDefault="00DE6510" w:rsidP="00A9708A">
      <w:pPr>
        <w:pStyle w:val="Ttulo1"/>
        <w:widowControl/>
        <w:numPr>
          <w:ilvl w:val="1"/>
          <w:numId w:val="23"/>
        </w:numPr>
        <w:ind w:left="567" w:right="49" w:hanging="283"/>
        <w:jc w:val="left"/>
        <w:rPr>
          <w:color w:val="auto"/>
          <w:sz w:val="24"/>
        </w:rPr>
      </w:pPr>
      <w:bookmarkStart w:id="354" w:name="_Toc81305683"/>
      <w:bookmarkStart w:id="355" w:name="_Toc114495290"/>
      <w:r w:rsidRPr="00E94376">
        <w:rPr>
          <w:color w:val="auto"/>
          <w:sz w:val="24"/>
        </w:rPr>
        <w:t>Evolución del gasto en sentencias judiciales</w:t>
      </w:r>
      <w:bookmarkEnd w:id="354"/>
      <w:bookmarkEnd w:id="355"/>
    </w:p>
    <w:p w14:paraId="7530F0D1" w14:textId="77777777" w:rsidR="00DE6510" w:rsidRPr="009F1BCF" w:rsidRDefault="00DE6510" w:rsidP="00DE6510">
      <w:pPr>
        <w:ind w:left="567"/>
        <w:jc w:val="both"/>
        <w:rPr>
          <w:rFonts w:eastAsia="OptimaLTStd"/>
          <w:color w:val="FF0000"/>
        </w:rPr>
      </w:pPr>
    </w:p>
    <w:p w14:paraId="71937F47" w14:textId="77777777" w:rsidR="00DE6510" w:rsidRDefault="00DE6510" w:rsidP="00BC572D">
      <w:pPr>
        <w:jc w:val="both"/>
      </w:pPr>
      <w:r w:rsidRPr="00B43A63">
        <w:t>Se analizó el comportamiento del gasto en sentencias judiciales que ha realizado el gobierno en el período 2010-202</w:t>
      </w:r>
      <w:r>
        <w:t>2</w:t>
      </w:r>
      <w:r w:rsidRPr="00B43A63">
        <w:t xml:space="preserve">, en el cual se observa que, en los primeros 5 años el gasto se mantuvo más o menos constante con un promedio de Q62.5 millones anuales.  Sin embargo, recientemente ha experimentado un comportamiento creciente, principalmente a partir de 2016 en donde este tipo de gasto ha </w:t>
      </w:r>
      <w:r>
        <w:t>aumentado</w:t>
      </w:r>
      <w:r w:rsidRPr="00B43A63">
        <w:t xml:space="preserve"> de manera importante.  La causa principal es derivada de las sentencias de los tribunales de justicia asociados en su mayoría a demandas de índole laboral en los diferentes ministerios y secretarías de Estado</w:t>
      </w:r>
      <w:r>
        <w:t>.</w:t>
      </w:r>
    </w:p>
    <w:p w14:paraId="4286C2A6" w14:textId="77777777" w:rsidR="00DE6510" w:rsidRPr="00B43A63" w:rsidRDefault="00DE6510" w:rsidP="00BC572D">
      <w:pPr>
        <w:jc w:val="both"/>
      </w:pPr>
    </w:p>
    <w:p w14:paraId="46E63DE2" w14:textId="77777777" w:rsidR="00DE6510" w:rsidRDefault="00DE6510" w:rsidP="00BC572D">
      <w:pPr>
        <w:jc w:val="both"/>
      </w:pPr>
      <w:r w:rsidRPr="00B43A63">
        <w:t xml:space="preserve">Sin embargo, es importante indicar que en 2019 hubo eventos extraordinarios como lo acontecido en el Ministerio de Salud Pública y Asistencia Social, debido a la resolución del tribunal de justicia como resultado de un conflicto colectivo de carácter económico </w:t>
      </w:r>
      <w:r>
        <w:t xml:space="preserve">generado en el </w:t>
      </w:r>
      <w:r w:rsidRPr="00B43A63">
        <w:t>Hospital General San Juan de Dios</w:t>
      </w:r>
      <w:r>
        <w:t xml:space="preserve">, cuya </w:t>
      </w:r>
      <w:r w:rsidRPr="00B43A63">
        <w:t>resolución tuvo un impacto de al menos Q100.0 millones sobre lo pagado</w:t>
      </w:r>
      <w:r>
        <w:t xml:space="preserve">, </w:t>
      </w:r>
      <w:r w:rsidRPr="00B43A63">
        <w:t>en promedio, en años anteriores.</w:t>
      </w:r>
    </w:p>
    <w:p w14:paraId="09E0F04E" w14:textId="77777777" w:rsidR="00DE6510" w:rsidRPr="00B43A63" w:rsidRDefault="00DE6510" w:rsidP="00BC572D">
      <w:pPr>
        <w:jc w:val="both"/>
      </w:pPr>
    </w:p>
    <w:p w14:paraId="156F94B7" w14:textId="77777777" w:rsidR="00DE6510" w:rsidRDefault="00DE6510" w:rsidP="00BC572D">
      <w:pPr>
        <w:jc w:val="both"/>
      </w:pPr>
      <w:r w:rsidRPr="00B43A63">
        <w:t>Asimismo, en la Comisión Presidencial Coordinadora de la Política del Ejecutivo en Materia de Derechos Humanos tuvo que atender gastos adicionales derivado de sentencias internacionales en materia de derechos humanos que fue cerca de Q40.0 millones adicionales a lo realizado en 2018, es importante indicar que en 2020 esta obligación disminuyó nuevamente.</w:t>
      </w:r>
    </w:p>
    <w:p w14:paraId="74A8E2AE" w14:textId="77777777" w:rsidR="00DE6510" w:rsidRPr="00B43A63" w:rsidRDefault="00DE6510" w:rsidP="00BC572D">
      <w:pPr>
        <w:jc w:val="both"/>
      </w:pPr>
    </w:p>
    <w:p w14:paraId="0E0D21E1" w14:textId="77777777" w:rsidR="00DE6510" w:rsidRPr="00BC572D" w:rsidRDefault="00DE6510" w:rsidP="00BC572D">
      <w:pPr>
        <w:jc w:val="both"/>
      </w:pPr>
      <w:r w:rsidRPr="00B43A63">
        <w:t>El año en donde se reporta el mayor aumento en términos de pago por sentencias judiciales</w:t>
      </w:r>
      <w:r>
        <w:t>, por parte del gobierno,</w:t>
      </w:r>
      <w:r w:rsidRPr="00B43A63">
        <w:t xml:space="preserve"> fue en 2020, en donde apareció un nuevo tipo de sentencia procedente de arbitrajes internacionales, en la cual el Ministerio de Economía tuvo que realizar un pago por Q292.5 millones, derivado del laudo dictado a favor de Teco Guatemala Holdings LLC</w:t>
      </w:r>
      <w:r>
        <w:t>.   Posteriormente en 2021 se normalizó el pago por sentencia judiciales reduciendo el nivel a Q189 millones, y para junio de 2022, el pago de demandas judiciales asciende a Q61.0 millones, por debajo de la asignación prevista para dicho año, la cual es de Q269.7 millones.</w:t>
      </w:r>
    </w:p>
    <w:p w14:paraId="28D9612C" w14:textId="77777777" w:rsidR="00DE6510" w:rsidRDefault="00DE6510" w:rsidP="00DE6510">
      <w:pPr>
        <w:jc w:val="both"/>
      </w:pPr>
    </w:p>
    <w:p w14:paraId="3671A3CF" w14:textId="38D63977" w:rsidR="00DE6510" w:rsidRPr="00E94376" w:rsidRDefault="00E94376" w:rsidP="00E94376">
      <w:pPr>
        <w:pStyle w:val="Descripcin"/>
        <w:keepNext/>
        <w:rPr>
          <w:color w:val="auto"/>
        </w:rPr>
      </w:pPr>
      <w:bookmarkStart w:id="356" w:name="_Toc114493918"/>
      <w:r w:rsidRPr="00E94376">
        <w:rPr>
          <w:color w:val="auto"/>
        </w:rPr>
        <w:t xml:space="preserve">Gráfico </w:t>
      </w:r>
      <w:r w:rsidRPr="00E94376">
        <w:rPr>
          <w:color w:val="auto"/>
        </w:rPr>
        <w:fldChar w:fldCharType="begin"/>
      </w:r>
      <w:r w:rsidRPr="00E94376">
        <w:rPr>
          <w:color w:val="auto"/>
        </w:rPr>
        <w:instrText xml:space="preserve"> SEQ Gráfico \* ARABIC </w:instrText>
      </w:r>
      <w:r w:rsidRPr="00E94376">
        <w:rPr>
          <w:color w:val="auto"/>
        </w:rPr>
        <w:fldChar w:fldCharType="separate"/>
      </w:r>
      <w:r w:rsidR="002E7809">
        <w:rPr>
          <w:noProof/>
          <w:color w:val="auto"/>
        </w:rPr>
        <w:t>76</w:t>
      </w:r>
      <w:r w:rsidRPr="00E94376">
        <w:rPr>
          <w:color w:val="auto"/>
        </w:rPr>
        <w:fldChar w:fldCharType="end"/>
      </w:r>
      <w:r w:rsidRPr="00E94376">
        <w:rPr>
          <w:color w:val="auto"/>
        </w:rPr>
        <w:t xml:space="preserve">.  </w:t>
      </w:r>
      <w:r w:rsidR="00DE6510" w:rsidRPr="00E94376">
        <w:rPr>
          <w:color w:val="auto"/>
        </w:rPr>
        <w:t>Gasto en Sentencias Judiciales</w:t>
      </w:r>
      <w:bookmarkEnd w:id="356"/>
    </w:p>
    <w:p w14:paraId="40A61956" w14:textId="77777777" w:rsidR="00DE6510" w:rsidRPr="009F7577" w:rsidRDefault="00DE6510" w:rsidP="00DE6510">
      <w:pPr>
        <w:ind w:left="567"/>
        <w:jc w:val="center"/>
        <w:rPr>
          <w:sz w:val="22"/>
        </w:rPr>
      </w:pPr>
      <w:r w:rsidRPr="009F7577">
        <w:rPr>
          <w:sz w:val="22"/>
        </w:rPr>
        <w:t>2010 – 202</w:t>
      </w:r>
      <w:r>
        <w:rPr>
          <w:sz w:val="22"/>
        </w:rPr>
        <w:t>2</w:t>
      </w:r>
      <w:r w:rsidRPr="009F7577">
        <w:rPr>
          <w:sz w:val="22"/>
        </w:rPr>
        <w:t>*</w:t>
      </w:r>
    </w:p>
    <w:p w14:paraId="3F26C99D" w14:textId="77777777" w:rsidR="00DE6510" w:rsidRDefault="00DE6510" w:rsidP="00DE6510">
      <w:pPr>
        <w:ind w:left="567"/>
        <w:jc w:val="center"/>
        <w:rPr>
          <w:sz w:val="22"/>
        </w:rPr>
      </w:pPr>
      <w:r w:rsidRPr="009F7577">
        <w:rPr>
          <w:sz w:val="22"/>
        </w:rPr>
        <w:t>Millones de quetzales</w:t>
      </w:r>
    </w:p>
    <w:p w14:paraId="4E116FEA" w14:textId="77EC5A7A" w:rsidR="00DE6510" w:rsidRDefault="00764A62" w:rsidP="00E94376">
      <w:pPr>
        <w:ind w:left="142"/>
        <w:jc w:val="center"/>
        <w:rPr>
          <w:sz w:val="22"/>
        </w:rPr>
      </w:pPr>
      <w:r>
        <w:rPr>
          <w:noProof/>
          <w:sz w:val="22"/>
          <w:lang w:eastAsia="es-GT"/>
        </w:rPr>
        <w:drawing>
          <wp:inline distT="0" distB="0" distL="0" distR="0" wp14:anchorId="7EF3CF61" wp14:editId="564F1ADF">
            <wp:extent cx="5377180" cy="17907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77180" cy="1790700"/>
                    </a:xfrm>
                    <a:prstGeom prst="rect">
                      <a:avLst/>
                    </a:prstGeom>
                    <a:noFill/>
                  </pic:spPr>
                </pic:pic>
              </a:graphicData>
            </a:graphic>
          </wp:inline>
        </w:drawing>
      </w:r>
    </w:p>
    <w:p w14:paraId="0DFF42B8" w14:textId="77777777" w:rsidR="00DE6510" w:rsidRPr="009F1BCF" w:rsidRDefault="00DE6510" w:rsidP="00DE6510">
      <w:pPr>
        <w:pStyle w:val="Sinespaciado"/>
        <w:ind w:left="567"/>
        <w:rPr>
          <w:sz w:val="16"/>
        </w:rPr>
      </w:pPr>
      <w:r w:rsidRPr="009F1BCF">
        <w:rPr>
          <w:sz w:val="16"/>
        </w:rPr>
        <w:t>Fuente: Sicoin.</w:t>
      </w:r>
    </w:p>
    <w:p w14:paraId="14AF571A" w14:textId="77777777" w:rsidR="00DE6510" w:rsidRDefault="00DE6510" w:rsidP="00DE6510">
      <w:pPr>
        <w:ind w:left="708"/>
        <w:jc w:val="both"/>
      </w:pPr>
      <w:r>
        <w:tab/>
      </w:r>
    </w:p>
    <w:p w14:paraId="25AD3426" w14:textId="77777777" w:rsidR="00DE6510" w:rsidRPr="00BC572D" w:rsidRDefault="00DE6510" w:rsidP="00BC572D">
      <w:pPr>
        <w:jc w:val="both"/>
      </w:pPr>
      <w:r w:rsidRPr="00B43A63">
        <w:t xml:space="preserve">Merece especial atención, el hecho de que, aunque este gasto ha mostrado un comportamiento creciente en los últimos años, su participación en términos de los ingresos tributarios es </w:t>
      </w:r>
      <w:r>
        <w:t xml:space="preserve">constante y </w:t>
      </w:r>
      <w:r w:rsidRPr="00B43A63">
        <w:t>relativamente baja</w:t>
      </w:r>
      <w:r>
        <w:t xml:space="preserve"> (0.2% de los ingresos tributarios), a excepción de</w:t>
      </w:r>
      <w:r w:rsidRPr="00B43A63">
        <w:t xml:space="preserve"> 202</w:t>
      </w:r>
      <w:r>
        <w:t xml:space="preserve">1 en donde la </w:t>
      </w:r>
      <w:r w:rsidRPr="00B43A63">
        <w:t>sentencia por arbitraje internacional de inversión</w:t>
      </w:r>
      <w:r>
        <w:t xml:space="preserve"> de la Empresa TECO, eleva </w:t>
      </w:r>
      <w:r w:rsidRPr="00B43A63">
        <w:t xml:space="preserve">este indicador </w:t>
      </w:r>
      <w:r>
        <w:t xml:space="preserve">y lo sitúa </w:t>
      </w:r>
      <w:r w:rsidRPr="00B43A63">
        <w:t>en 0.7%</w:t>
      </w:r>
      <w:r>
        <w:t>. No obstante, en 2021 y al 30 de junio de 2022, retorna al nivel previo obtenido en 2020 (0.2%) y se tiene asignado en el presupuesto de 2022 un indicador equivalente a 0.7% por cualquier contingencia adicional.   Asimismo,</w:t>
      </w:r>
      <w:r w:rsidRPr="00B43A63">
        <w:t xml:space="preserve"> </w:t>
      </w:r>
      <w:r>
        <w:t>d</w:t>
      </w:r>
      <w:r w:rsidRPr="00B43A63">
        <w:t>e no darse eventos extraordinarios se puede afirmar que para el período 202</w:t>
      </w:r>
      <w:r>
        <w:t>3</w:t>
      </w:r>
      <w:r w:rsidRPr="00B43A63">
        <w:t>-202</w:t>
      </w:r>
      <w:r>
        <w:t>7</w:t>
      </w:r>
      <w:r w:rsidRPr="00B43A63">
        <w:t>, este indicador podría ubicarse entre 0.2% y 0.</w:t>
      </w:r>
      <w:r>
        <w:t>7</w:t>
      </w:r>
      <w:r w:rsidRPr="00B43A63">
        <w:t>% en cada año.</w:t>
      </w:r>
    </w:p>
    <w:p w14:paraId="00B65606" w14:textId="77777777" w:rsidR="00DE6510" w:rsidRDefault="00DE6510" w:rsidP="00DE6510">
      <w:pPr>
        <w:ind w:left="567"/>
        <w:jc w:val="both"/>
        <w:rPr>
          <w:rFonts w:eastAsia="OptimaLTStd"/>
          <w:color w:val="FF0000"/>
        </w:rPr>
      </w:pPr>
    </w:p>
    <w:p w14:paraId="6E0ECAD7" w14:textId="77777777" w:rsidR="00DE6510" w:rsidRPr="00E94376" w:rsidRDefault="00DE6510" w:rsidP="00A9708A">
      <w:pPr>
        <w:pStyle w:val="Ttulo1"/>
        <w:widowControl/>
        <w:numPr>
          <w:ilvl w:val="1"/>
          <w:numId w:val="23"/>
        </w:numPr>
        <w:ind w:left="567" w:right="49" w:hanging="283"/>
        <w:jc w:val="left"/>
        <w:rPr>
          <w:color w:val="auto"/>
          <w:sz w:val="24"/>
        </w:rPr>
      </w:pPr>
      <w:bookmarkStart w:id="357" w:name="_Toc81305684"/>
      <w:bookmarkStart w:id="358" w:name="_Toc114495291"/>
      <w:r w:rsidRPr="00E94376">
        <w:rPr>
          <w:color w:val="auto"/>
          <w:sz w:val="24"/>
        </w:rPr>
        <w:t>Arbitraje internacional</w:t>
      </w:r>
      <w:bookmarkEnd w:id="357"/>
      <w:bookmarkEnd w:id="358"/>
    </w:p>
    <w:p w14:paraId="48888FD2" w14:textId="77777777" w:rsidR="00DE6510" w:rsidRDefault="00DE6510" w:rsidP="00DE6510">
      <w:pPr>
        <w:ind w:left="567"/>
        <w:jc w:val="both"/>
        <w:rPr>
          <w:rFonts w:eastAsia="OptimaLTStd"/>
          <w:color w:val="FF0000"/>
        </w:rPr>
      </w:pPr>
    </w:p>
    <w:p w14:paraId="3A023817" w14:textId="77777777" w:rsidR="00DE6510" w:rsidRPr="00BC572D" w:rsidRDefault="00DE6510" w:rsidP="00BC572D">
      <w:pPr>
        <w:jc w:val="both"/>
      </w:pPr>
      <w:r w:rsidRPr="00BC572D">
        <w:t>Dada la importancia que tuvo en 2020, este tipo de sentencias, en este apartado se trata de definir y evaluar en la medida de lo posible este tipo de demandas judiciales para la mejor compresión de los analistas económicos.</w:t>
      </w:r>
    </w:p>
    <w:p w14:paraId="022EAB2B" w14:textId="77777777" w:rsidR="00DE6510" w:rsidRPr="00BC572D" w:rsidRDefault="00DE6510" w:rsidP="00BC572D">
      <w:pPr>
        <w:jc w:val="both"/>
      </w:pPr>
    </w:p>
    <w:p w14:paraId="536937CF" w14:textId="77777777" w:rsidR="00DE6510" w:rsidRPr="00BC572D" w:rsidRDefault="00DE6510" w:rsidP="00BC572D">
      <w:pPr>
        <w:jc w:val="both"/>
      </w:pPr>
      <w:r w:rsidRPr="00BC572D">
        <w:t>El arbitraje es un método alternativo de resolución de conflictos mayormente usado para dilucidar disputas comerciales internacionales, en los mismos las partes deciden no someter su controversia a la jurisdicción de un país, sino a la tutela de un tribunal arbitral.</w:t>
      </w:r>
    </w:p>
    <w:p w14:paraId="068ED9F8" w14:textId="77777777" w:rsidR="00DE6510" w:rsidRPr="00BC572D" w:rsidRDefault="00DE6510" w:rsidP="00BC572D">
      <w:pPr>
        <w:jc w:val="both"/>
      </w:pPr>
    </w:p>
    <w:p w14:paraId="314CBA70" w14:textId="77777777" w:rsidR="00DE6510" w:rsidRPr="00BC572D" w:rsidRDefault="00DE6510" w:rsidP="00BC572D">
      <w:pPr>
        <w:jc w:val="both"/>
      </w:pPr>
      <w:r w:rsidRPr="00BC572D">
        <w:t xml:space="preserve">Para que exista un arbitraje internacional, debe de existir un instrumento que permita a los Estados o inversionistas someterse a la jurisdicción de un tribunal arbitral, regularmente esto se materializa por medio de cláusulas de arbitraje contenidas en Acuerdos de Inversión, Tratados de Libre Comercio o Acuerdos Comerciales entre Estados, en las mismas se establece regularmente que de existir algún tipo de controversia entre las partes siempre que las mismas no pueda solucionarla mediante consultas o negociaciones, podrán someterse a arbitraje. </w:t>
      </w:r>
    </w:p>
    <w:p w14:paraId="67992F21" w14:textId="77777777" w:rsidR="00DE6510" w:rsidRPr="00BC572D" w:rsidRDefault="00DE6510" w:rsidP="00BC572D">
      <w:pPr>
        <w:jc w:val="both"/>
      </w:pPr>
    </w:p>
    <w:p w14:paraId="7AB1FA06" w14:textId="77777777" w:rsidR="00DE6510" w:rsidRPr="00BC572D" w:rsidRDefault="00DE6510" w:rsidP="00BC572D">
      <w:pPr>
        <w:jc w:val="both"/>
      </w:pPr>
      <w:r w:rsidRPr="00BC572D">
        <w:t>Las instituciones administradoras de procesos de arbitraje pueden ser: a) Centro internacional de Solución de Controversias de Inversión (CIADI), b) Corte Permanente de Arbitraje (CPA), c) Cámara Internacional de Comercio (ICC).  Asimismo, los arbitrajes se rigen por las reglas de CNUDMI (Comisión de las Naciones Unidas para el Derecho Mercantil) o bien por las Reglas del Convenio CIADI (Centro Internacional de Arreglo de Diferencias Relativas a Inversiones).</w:t>
      </w:r>
    </w:p>
    <w:p w14:paraId="18D1ADBF" w14:textId="77777777" w:rsidR="00DE6510" w:rsidRPr="00BC572D" w:rsidRDefault="00DE6510" w:rsidP="00BC572D">
      <w:pPr>
        <w:jc w:val="both"/>
      </w:pPr>
    </w:p>
    <w:p w14:paraId="3F032BB7" w14:textId="77777777" w:rsidR="00DE6510" w:rsidRPr="00BC572D" w:rsidRDefault="00DE6510" w:rsidP="00BC572D">
      <w:pPr>
        <w:jc w:val="both"/>
      </w:pPr>
      <w:r w:rsidRPr="00BC572D">
        <w:t>Para el caso de las demandas presentadas ante el CIADI, los laudos emitidos por este son obligatoriedad para las partes de conformidad con el artículo 53 del Convenio CIADI</w:t>
      </w:r>
      <w:r w:rsidRPr="00D76471">
        <w:rPr>
          <w:vertAlign w:val="superscript"/>
        </w:rPr>
        <w:footnoteReference w:id="8"/>
      </w:r>
      <w:r w:rsidRPr="00BC572D">
        <w:t xml:space="preserve">, los laudos no tienen un plazo para hacerse efectivos, pero dado que la mayoría computan monto de deuda más intereses hasta la fecha en que se cumpla con la obligación, dependerá de cada Estado y de su normativa legal el tiempo para poder hacer efectivo el mismo.  </w:t>
      </w:r>
    </w:p>
    <w:p w14:paraId="77B0CF36" w14:textId="77777777" w:rsidR="00DE6510" w:rsidRPr="00BC572D" w:rsidRDefault="00DE6510" w:rsidP="00BC572D">
      <w:pPr>
        <w:jc w:val="both"/>
      </w:pPr>
    </w:p>
    <w:p w14:paraId="550A529C" w14:textId="77777777" w:rsidR="00DE6510" w:rsidRPr="00BC572D" w:rsidRDefault="00DE6510" w:rsidP="00BC572D">
      <w:pPr>
        <w:jc w:val="both"/>
      </w:pPr>
      <w:r w:rsidRPr="00BC572D">
        <w:t>Guatemala de conformidad con la información recabada al 30 de junio de 2022, ha sido objeto de 11 arbitrajes de inversión estado-inversionista, de los cuales 6 procesos están finalizados con laudo arbitral, 3 de ellos fueron a favor del Estado de Guatemala y 3 de ellos tienen laudo arbitral en contra, dos de los cuales, se pagaron en 2013 y 2020, el otro caso las autoridades lo impugnaron mediante un proceso de anulación, que estaría pendiente que el tribunal de arbitraje emita su sentencia.  Asimismo, adicionalmente hay 5 casos activos en los tribunales internacionales, siendo estos los siguientes:</w:t>
      </w:r>
    </w:p>
    <w:p w14:paraId="10EF138F" w14:textId="56728E8A" w:rsidR="00E94376" w:rsidRDefault="00E94376" w:rsidP="00595C75">
      <w:pPr>
        <w:pStyle w:val="Sinespaciado"/>
        <w:jc w:val="both"/>
        <w:rPr>
          <w:lang w:val="es-MX"/>
        </w:rPr>
      </w:pPr>
    </w:p>
    <w:p w14:paraId="6D723A41" w14:textId="0C7DE25D" w:rsidR="00DE6510" w:rsidRPr="00E94376" w:rsidRDefault="00E94376" w:rsidP="00E94376">
      <w:pPr>
        <w:pStyle w:val="Descripcin"/>
        <w:keepNext/>
        <w:rPr>
          <w:color w:val="auto"/>
        </w:rPr>
      </w:pPr>
      <w:bookmarkStart w:id="359" w:name="_Toc114493937"/>
      <w:r w:rsidRPr="00E94376">
        <w:rPr>
          <w:color w:val="auto"/>
        </w:rPr>
        <w:t xml:space="preserve">Tabla </w:t>
      </w:r>
      <w:r w:rsidRPr="00E94376">
        <w:rPr>
          <w:color w:val="auto"/>
        </w:rPr>
        <w:fldChar w:fldCharType="begin"/>
      </w:r>
      <w:r w:rsidRPr="00E94376">
        <w:rPr>
          <w:color w:val="auto"/>
        </w:rPr>
        <w:instrText xml:space="preserve"> SEQ Tabla \* ARABIC </w:instrText>
      </w:r>
      <w:r w:rsidRPr="00E94376">
        <w:rPr>
          <w:color w:val="auto"/>
        </w:rPr>
        <w:fldChar w:fldCharType="separate"/>
      </w:r>
      <w:r w:rsidR="002E7809">
        <w:rPr>
          <w:noProof/>
          <w:color w:val="auto"/>
        </w:rPr>
        <w:t>14</w:t>
      </w:r>
      <w:r w:rsidRPr="00E94376">
        <w:rPr>
          <w:color w:val="auto"/>
        </w:rPr>
        <w:fldChar w:fldCharType="end"/>
      </w:r>
      <w:r w:rsidRPr="00E94376">
        <w:rPr>
          <w:color w:val="auto"/>
        </w:rPr>
        <w:t xml:space="preserve">.  </w:t>
      </w:r>
      <w:r w:rsidR="00DE6510" w:rsidRPr="00E94376">
        <w:rPr>
          <w:bCs/>
          <w:color w:val="auto"/>
          <w:lang w:val="es-MX"/>
        </w:rPr>
        <w:t>Arbitrajes internacional activos</w:t>
      </w:r>
      <w:bookmarkEnd w:id="359"/>
    </w:p>
    <w:p w14:paraId="5231C0AE" w14:textId="77777777" w:rsidR="00DE6510" w:rsidRPr="00117BFD" w:rsidRDefault="00DE6510" w:rsidP="00DE6510">
      <w:pPr>
        <w:pStyle w:val="Sinespaciado"/>
        <w:ind w:left="567"/>
        <w:jc w:val="center"/>
        <w:rPr>
          <w:lang w:val="es-MX"/>
        </w:rPr>
      </w:pPr>
      <w:r w:rsidRPr="00117BFD">
        <w:rPr>
          <w:lang w:val="es-MX"/>
        </w:rPr>
        <w:t>(millones de US Dólares)</w:t>
      </w:r>
    </w:p>
    <w:tbl>
      <w:tblPr>
        <w:tblW w:w="7394" w:type="dxa"/>
        <w:jc w:val="center"/>
        <w:tblCellMar>
          <w:left w:w="70" w:type="dxa"/>
          <w:right w:w="70" w:type="dxa"/>
        </w:tblCellMar>
        <w:tblLook w:val="04A0" w:firstRow="1" w:lastRow="0" w:firstColumn="1" w:lastColumn="0" w:noHBand="0" w:noVBand="1"/>
      </w:tblPr>
      <w:tblGrid>
        <w:gridCol w:w="5324"/>
        <w:gridCol w:w="1045"/>
        <w:gridCol w:w="1025"/>
      </w:tblGrid>
      <w:tr w:rsidR="00DE6510" w:rsidRPr="00882AE9" w14:paraId="089E6EFF" w14:textId="77777777" w:rsidTr="00ED483A">
        <w:trPr>
          <w:trHeight w:val="186"/>
          <w:jc w:val="center"/>
        </w:trPr>
        <w:tc>
          <w:tcPr>
            <w:tcW w:w="5324" w:type="dxa"/>
            <w:tcBorders>
              <w:top w:val="single" w:sz="8" w:space="0" w:color="auto"/>
              <w:left w:val="single" w:sz="8" w:space="0" w:color="auto"/>
              <w:bottom w:val="single" w:sz="8" w:space="0" w:color="auto"/>
              <w:right w:val="single" w:sz="4" w:space="0" w:color="auto"/>
            </w:tcBorders>
            <w:shd w:val="clear" w:color="auto" w:fill="8EAADB" w:themeFill="accent1" w:themeFillTint="99"/>
            <w:noWrap/>
            <w:vAlign w:val="bottom"/>
            <w:hideMark/>
          </w:tcPr>
          <w:p w14:paraId="59B9B0CC" w14:textId="77777777" w:rsidR="00DE6510" w:rsidRPr="00882AE9" w:rsidRDefault="00DE6510" w:rsidP="00ED483A">
            <w:pPr>
              <w:widowControl/>
              <w:jc w:val="center"/>
              <w:rPr>
                <w:rFonts w:ascii="Calibri" w:hAnsi="Calibri" w:cs="Calibri"/>
                <w:b/>
                <w:bCs/>
                <w:color w:val="000000"/>
                <w:lang w:eastAsia="es-GT"/>
              </w:rPr>
            </w:pPr>
            <w:r w:rsidRPr="00882AE9">
              <w:rPr>
                <w:rFonts w:ascii="Calibri" w:hAnsi="Calibri" w:cs="Calibri"/>
                <w:b/>
                <w:bCs/>
                <w:color w:val="000000"/>
                <w:lang w:eastAsia="es-GT"/>
              </w:rPr>
              <w:t>Descripción</w:t>
            </w:r>
          </w:p>
        </w:tc>
        <w:tc>
          <w:tcPr>
            <w:tcW w:w="1045" w:type="dxa"/>
            <w:tcBorders>
              <w:top w:val="single" w:sz="8" w:space="0" w:color="auto"/>
              <w:left w:val="nil"/>
              <w:bottom w:val="single" w:sz="8" w:space="0" w:color="auto"/>
              <w:right w:val="single" w:sz="4" w:space="0" w:color="auto"/>
            </w:tcBorders>
            <w:shd w:val="clear" w:color="auto" w:fill="8EAADB" w:themeFill="accent1" w:themeFillTint="99"/>
            <w:noWrap/>
            <w:vAlign w:val="bottom"/>
            <w:hideMark/>
          </w:tcPr>
          <w:p w14:paraId="43C056EE" w14:textId="77777777" w:rsidR="00DE6510" w:rsidRPr="00882AE9" w:rsidRDefault="00DE6510" w:rsidP="00ED483A">
            <w:pPr>
              <w:widowControl/>
              <w:jc w:val="center"/>
              <w:rPr>
                <w:rFonts w:ascii="Calibri" w:hAnsi="Calibri" w:cs="Calibri"/>
                <w:b/>
                <w:bCs/>
                <w:color w:val="000000"/>
                <w:lang w:eastAsia="es-GT"/>
              </w:rPr>
            </w:pPr>
            <w:r w:rsidRPr="00882AE9">
              <w:rPr>
                <w:rFonts w:ascii="Calibri" w:hAnsi="Calibri" w:cs="Calibri"/>
                <w:b/>
                <w:bCs/>
                <w:color w:val="000000"/>
                <w:lang w:eastAsia="es-GT"/>
              </w:rPr>
              <w:t>No. Casos</w:t>
            </w:r>
          </w:p>
        </w:tc>
        <w:tc>
          <w:tcPr>
            <w:tcW w:w="1025" w:type="dxa"/>
            <w:tcBorders>
              <w:top w:val="single" w:sz="8" w:space="0" w:color="auto"/>
              <w:left w:val="nil"/>
              <w:bottom w:val="single" w:sz="8" w:space="0" w:color="auto"/>
              <w:right w:val="single" w:sz="8" w:space="0" w:color="auto"/>
            </w:tcBorders>
            <w:shd w:val="clear" w:color="auto" w:fill="8EAADB" w:themeFill="accent1" w:themeFillTint="99"/>
            <w:noWrap/>
            <w:vAlign w:val="bottom"/>
            <w:hideMark/>
          </w:tcPr>
          <w:p w14:paraId="44D3B39D" w14:textId="77777777" w:rsidR="00DE6510" w:rsidRPr="00882AE9" w:rsidRDefault="00DE6510" w:rsidP="00ED483A">
            <w:pPr>
              <w:widowControl/>
              <w:jc w:val="center"/>
              <w:rPr>
                <w:rFonts w:ascii="Calibri" w:hAnsi="Calibri" w:cs="Calibri"/>
                <w:b/>
                <w:bCs/>
                <w:color w:val="000000"/>
                <w:lang w:eastAsia="es-GT"/>
              </w:rPr>
            </w:pPr>
            <w:r w:rsidRPr="00882AE9">
              <w:rPr>
                <w:rFonts w:ascii="Calibri" w:hAnsi="Calibri" w:cs="Calibri"/>
                <w:b/>
                <w:bCs/>
                <w:color w:val="000000"/>
                <w:lang w:eastAsia="es-GT"/>
              </w:rPr>
              <w:t>Monto</w:t>
            </w:r>
          </w:p>
        </w:tc>
      </w:tr>
      <w:tr w:rsidR="00DE6510" w:rsidRPr="00882AE9" w14:paraId="472228A1" w14:textId="77777777" w:rsidTr="00ED483A">
        <w:trPr>
          <w:trHeight w:val="178"/>
          <w:jc w:val="center"/>
        </w:trPr>
        <w:tc>
          <w:tcPr>
            <w:tcW w:w="5324" w:type="dxa"/>
            <w:tcBorders>
              <w:top w:val="nil"/>
              <w:left w:val="single" w:sz="8" w:space="0" w:color="auto"/>
              <w:bottom w:val="single" w:sz="4" w:space="0" w:color="auto"/>
              <w:right w:val="single" w:sz="4" w:space="0" w:color="auto"/>
            </w:tcBorders>
            <w:shd w:val="clear" w:color="000000" w:fill="FFFFFF"/>
            <w:noWrap/>
            <w:vAlign w:val="bottom"/>
            <w:hideMark/>
          </w:tcPr>
          <w:p w14:paraId="4114E1C3" w14:textId="77777777" w:rsidR="00DE6510" w:rsidRPr="00882AE9" w:rsidRDefault="00DE6510" w:rsidP="00ED483A">
            <w:pPr>
              <w:widowControl/>
              <w:jc w:val="center"/>
              <w:rPr>
                <w:rFonts w:ascii="Calibri" w:hAnsi="Calibri" w:cs="Calibri"/>
                <w:b/>
                <w:bCs/>
                <w:color w:val="000000"/>
                <w:lang w:eastAsia="es-GT"/>
              </w:rPr>
            </w:pPr>
            <w:r w:rsidRPr="00882AE9">
              <w:rPr>
                <w:rFonts w:ascii="Calibri" w:hAnsi="Calibri" w:cs="Calibri"/>
                <w:b/>
                <w:bCs/>
                <w:color w:val="000000"/>
                <w:lang w:eastAsia="es-GT"/>
              </w:rPr>
              <w:t>Total</w:t>
            </w:r>
          </w:p>
        </w:tc>
        <w:tc>
          <w:tcPr>
            <w:tcW w:w="1045" w:type="dxa"/>
            <w:tcBorders>
              <w:top w:val="nil"/>
              <w:left w:val="nil"/>
              <w:bottom w:val="single" w:sz="4" w:space="0" w:color="auto"/>
              <w:right w:val="single" w:sz="4" w:space="0" w:color="auto"/>
            </w:tcBorders>
            <w:shd w:val="clear" w:color="000000" w:fill="FFFFFF"/>
            <w:noWrap/>
            <w:vAlign w:val="bottom"/>
            <w:hideMark/>
          </w:tcPr>
          <w:p w14:paraId="5925C75C" w14:textId="77777777" w:rsidR="00DE6510" w:rsidRPr="00882AE9" w:rsidRDefault="00DE6510" w:rsidP="00ED483A">
            <w:pPr>
              <w:widowControl/>
              <w:jc w:val="center"/>
              <w:rPr>
                <w:rFonts w:ascii="Calibri" w:hAnsi="Calibri" w:cs="Calibri"/>
                <w:b/>
                <w:bCs/>
                <w:color w:val="000000"/>
                <w:lang w:eastAsia="es-GT"/>
              </w:rPr>
            </w:pPr>
            <w:r w:rsidRPr="00882AE9">
              <w:rPr>
                <w:rFonts w:ascii="Calibri" w:hAnsi="Calibri" w:cs="Calibri"/>
                <w:b/>
                <w:bCs/>
                <w:color w:val="000000"/>
                <w:lang w:eastAsia="es-GT"/>
              </w:rPr>
              <w:t>5</w:t>
            </w:r>
          </w:p>
        </w:tc>
        <w:tc>
          <w:tcPr>
            <w:tcW w:w="1025" w:type="dxa"/>
            <w:tcBorders>
              <w:top w:val="nil"/>
              <w:left w:val="nil"/>
              <w:bottom w:val="single" w:sz="4" w:space="0" w:color="auto"/>
              <w:right w:val="single" w:sz="8" w:space="0" w:color="auto"/>
            </w:tcBorders>
            <w:shd w:val="clear" w:color="000000" w:fill="FFFFFF"/>
            <w:noWrap/>
            <w:vAlign w:val="bottom"/>
            <w:hideMark/>
          </w:tcPr>
          <w:p w14:paraId="195E063E" w14:textId="0B43D09A" w:rsidR="00DE6510" w:rsidRPr="00882AE9" w:rsidRDefault="00A809C5" w:rsidP="00ED483A">
            <w:pPr>
              <w:widowControl/>
              <w:jc w:val="center"/>
              <w:rPr>
                <w:rFonts w:ascii="Calibri" w:hAnsi="Calibri" w:cs="Calibri"/>
                <w:b/>
                <w:bCs/>
                <w:color w:val="000000"/>
                <w:lang w:eastAsia="es-GT"/>
              </w:rPr>
            </w:pPr>
            <w:r>
              <w:rPr>
                <w:rFonts w:ascii="Calibri" w:hAnsi="Calibri" w:cs="Calibri"/>
                <w:b/>
                <w:bCs/>
                <w:color w:val="000000"/>
                <w:lang w:eastAsia="es-GT"/>
              </w:rPr>
              <w:t>987.9</w:t>
            </w:r>
          </w:p>
        </w:tc>
      </w:tr>
      <w:tr w:rsidR="00DE6510" w:rsidRPr="00882AE9" w14:paraId="48A85F18" w14:textId="77777777" w:rsidTr="00ED483A">
        <w:trPr>
          <w:trHeight w:val="484"/>
          <w:jc w:val="center"/>
        </w:trPr>
        <w:tc>
          <w:tcPr>
            <w:tcW w:w="5324" w:type="dxa"/>
            <w:tcBorders>
              <w:top w:val="nil"/>
              <w:left w:val="single" w:sz="8" w:space="0" w:color="auto"/>
              <w:bottom w:val="single" w:sz="4" w:space="0" w:color="auto"/>
              <w:right w:val="single" w:sz="4" w:space="0" w:color="auto"/>
            </w:tcBorders>
            <w:shd w:val="clear" w:color="000000" w:fill="FFFFFF"/>
            <w:vAlign w:val="center"/>
            <w:hideMark/>
          </w:tcPr>
          <w:p w14:paraId="047D737F" w14:textId="77777777" w:rsidR="00DE6510" w:rsidRPr="00882AE9" w:rsidRDefault="00DE6510" w:rsidP="00ED483A">
            <w:pPr>
              <w:widowControl/>
              <w:rPr>
                <w:color w:val="000000"/>
                <w:lang w:eastAsia="es-GT"/>
              </w:rPr>
            </w:pPr>
            <w:r w:rsidRPr="00882AE9">
              <w:rPr>
                <w:color w:val="000000"/>
                <w:lang w:eastAsia="es-GT"/>
              </w:rPr>
              <w:t>TECO Guatemala Holdings, LLC v. República de Guatemala -NS, Anulación-. Instrumento DR-CAFTA</w:t>
            </w:r>
          </w:p>
        </w:tc>
        <w:tc>
          <w:tcPr>
            <w:tcW w:w="1045" w:type="dxa"/>
            <w:tcBorders>
              <w:top w:val="nil"/>
              <w:left w:val="nil"/>
              <w:bottom w:val="single" w:sz="4" w:space="0" w:color="auto"/>
              <w:right w:val="single" w:sz="4" w:space="0" w:color="auto"/>
            </w:tcBorders>
            <w:shd w:val="clear" w:color="000000" w:fill="FFFFFF"/>
            <w:noWrap/>
            <w:vAlign w:val="center"/>
            <w:hideMark/>
          </w:tcPr>
          <w:p w14:paraId="5BC47BCB" w14:textId="77777777" w:rsidR="00DE6510" w:rsidRPr="00882AE9" w:rsidRDefault="00DE6510" w:rsidP="00ED483A">
            <w:pPr>
              <w:widowControl/>
              <w:jc w:val="center"/>
              <w:rPr>
                <w:color w:val="000000"/>
                <w:lang w:eastAsia="es-GT"/>
              </w:rPr>
            </w:pPr>
            <w:r w:rsidRPr="00882AE9">
              <w:rPr>
                <w:color w:val="000000"/>
                <w:lang w:eastAsia="es-GT"/>
              </w:rPr>
              <w:t>1</w:t>
            </w:r>
          </w:p>
        </w:tc>
        <w:tc>
          <w:tcPr>
            <w:tcW w:w="1025" w:type="dxa"/>
            <w:tcBorders>
              <w:top w:val="nil"/>
              <w:left w:val="nil"/>
              <w:bottom w:val="single" w:sz="4" w:space="0" w:color="auto"/>
              <w:right w:val="single" w:sz="8" w:space="0" w:color="auto"/>
            </w:tcBorders>
            <w:shd w:val="clear" w:color="000000" w:fill="FFFFFF"/>
            <w:noWrap/>
            <w:vAlign w:val="center"/>
            <w:hideMark/>
          </w:tcPr>
          <w:p w14:paraId="1BCDFE7A" w14:textId="550FFE7F" w:rsidR="00DE6510" w:rsidRPr="00882AE9" w:rsidRDefault="00DE6510" w:rsidP="00ED483A">
            <w:pPr>
              <w:widowControl/>
              <w:jc w:val="right"/>
              <w:rPr>
                <w:color w:val="000000"/>
                <w:lang w:eastAsia="es-GT"/>
              </w:rPr>
            </w:pPr>
            <w:r w:rsidRPr="00882AE9">
              <w:rPr>
                <w:color w:val="000000"/>
                <w:lang w:eastAsia="es-GT"/>
              </w:rPr>
              <w:t>6</w:t>
            </w:r>
            <w:r w:rsidR="00FF51EC">
              <w:rPr>
                <w:color w:val="000000"/>
                <w:lang w:eastAsia="es-GT"/>
              </w:rPr>
              <w:t>2</w:t>
            </w:r>
            <w:r w:rsidRPr="00882AE9">
              <w:rPr>
                <w:color w:val="000000"/>
                <w:lang w:eastAsia="es-GT"/>
              </w:rPr>
              <w:t>.9</w:t>
            </w:r>
          </w:p>
        </w:tc>
      </w:tr>
      <w:tr w:rsidR="00DE6510" w:rsidRPr="00882AE9" w14:paraId="03540B87" w14:textId="77777777" w:rsidTr="00ED483A">
        <w:trPr>
          <w:trHeight w:val="432"/>
          <w:jc w:val="center"/>
        </w:trPr>
        <w:tc>
          <w:tcPr>
            <w:tcW w:w="5324" w:type="dxa"/>
            <w:tcBorders>
              <w:top w:val="nil"/>
              <w:left w:val="single" w:sz="8" w:space="0" w:color="auto"/>
              <w:bottom w:val="single" w:sz="4" w:space="0" w:color="auto"/>
              <w:right w:val="single" w:sz="4" w:space="0" w:color="auto"/>
            </w:tcBorders>
            <w:shd w:val="clear" w:color="000000" w:fill="FFFFFF"/>
            <w:vAlign w:val="center"/>
            <w:hideMark/>
          </w:tcPr>
          <w:p w14:paraId="7E54EE36" w14:textId="77777777" w:rsidR="00DE6510" w:rsidRPr="00882AE9" w:rsidRDefault="00DE6510" w:rsidP="00ED483A">
            <w:pPr>
              <w:widowControl/>
              <w:rPr>
                <w:color w:val="000000"/>
                <w:lang w:eastAsia="es-GT"/>
              </w:rPr>
            </w:pPr>
            <w:r w:rsidRPr="00882AE9">
              <w:rPr>
                <w:color w:val="000000"/>
                <w:lang w:eastAsia="es-GT"/>
              </w:rPr>
              <w:t>Daniel W. Kappes y Kappes, Cassiday &amp; Associates v. República de Guatemala. Instrumento DR-CAFTA</w:t>
            </w:r>
          </w:p>
        </w:tc>
        <w:tc>
          <w:tcPr>
            <w:tcW w:w="1045" w:type="dxa"/>
            <w:tcBorders>
              <w:top w:val="nil"/>
              <w:left w:val="nil"/>
              <w:bottom w:val="single" w:sz="4" w:space="0" w:color="auto"/>
              <w:right w:val="single" w:sz="4" w:space="0" w:color="auto"/>
            </w:tcBorders>
            <w:shd w:val="clear" w:color="000000" w:fill="FFFFFF"/>
            <w:noWrap/>
            <w:vAlign w:val="center"/>
            <w:hideMark/>
          </w:tcPr>
          <w:p w14:paraId="1B438D4C" w14:textId="77777777" w:rsidR="00DE6510" w:rsidRPr="00882AE9" w:rsidRDefault="00DE6510" w:rsidP="00ED483A">
            <w:pPr>
              <w:widowControl/>
              <w:jc w:val="center"/>
              <w:rPr>
                <w:color w:val="000000"/>
                <w:lang w:eastAsia="es-GT"/>
              </w:rPr>
            </w:pPr>
            <w:r w:rsidRPr="00882AE9">
              <w:rPr>
                <w:color w:val="000000"/>
                <w:lang w:eastAsia="es-GT"/>
              </w:rPr>
              <w:t>1</w:t>
            </w:r>
          </w:p>
        </w:tc>
        <w:tc>
          <w:tcPr>
            <w:tcW w:w="1025" w:type="dxa"/>
            <w:tcBorders>
              <w:top w:val="nil"/>
              <w:left w:val="nil"/>
              <w:bottom w:val="single" w:sz="4" w:space="0" w:color="auto"/>
              <w:right w:val="single" w:sz="8" w:space="0" w:color="auto"/>
            </w:tcBorders>
            <w:shd w:val="clear" w:color="000000" w:fill="FFFFFF"/>
            <w:noWrap/>
            <w:vAlign w:val="center"/>
            <w:hideMark/>
          </w:tcPr>
          <w:p w14:paraId="099063DF" w14:textId="77777777" w:rsidR="00DE6510" w:rsidRPr="00882AE9" w:rsidRDefault="00DE6510" w:rsidP="00ED483A">
            <w:pPr>
              <w:widowControl/>
              <w:jc w:val="right"/>
              <w:rPr>
                <w:color w:val="000000"/>
                <w:lang w:eastAsia="es-GT"/>
              </w:rPr>
            </w:pPr>
            <w:r w:rsidRPr="00882AE9">
              <w:rPr>
                <w:color w:val="000000"/>
                <w:lang w:eastAsia="es-GT"/>
              </w:rPr>
              <w:t>449.0</w:t>
            </w:r>
          </w:p>
        </w:tc>
      </w:tr>
      <w:tr w:rsidR="00DE6510" w:rsidRPr="00882AE9" w14:paraId="64A1B8F8" w14:textId="77777777" w:rsidTr="00ED483A">
        <w:trPr>
          <w:trHeight w:val="581"/>
          <w:jc w:val="center"/>
        </w:trPr>
        <w:tc>
          <w:tcPr>
            <w:tcW w:w="5324" w:type="dxa"/>
            <w:tcBorders>
              <w:top w:val="nil"/>
              <w:left w:val="single" w:sz="8" w:space="0" w:color="auto"/>
              <w:bottom w:val="single" w:sz="4" w:space="0" w:color="auto"/>
              <w:right w:val="single" w:sz="4" w:space="0" w:color="auto"/>
            </w:tcBorders>
            <w:shd w:val="clear" w:color="000000" w:fill="FFFFFF"/>
            <w:vAlign w:val="center"/>
            <w:hideMark/>
          </w:tcPr>
          <w:p w14:paraId="4A4ADF48" w14:textId="77777777" w:rsidR="00DE6510" w:rsidRPr="00882AE9" w:rsidRDefault="00DE6510" w:rsidP="00ED483A">
            <w:pPr>
              <w:widowControl/>
              <w:rPr>
                <w:color w:val="000000"/>
                <w:lang w:eastAsia="es-GT"/>
              </w:rPr>
            </w:pPr>
            <w:r w:rsidRPr="00882AE9">
              <w:rPr>
                <w:color w:val="000000"/>
                <w:lang w:eastAsia="es-GT"/>
              </w:rPr>
              <w:t>Grupo Energía Bogotá S.A. y Transportadora de Energía de Centroamérica, S.A. (GEB-TRECSA) v. República de Guatemala. Instrumento TLC Colombia-El Salvador- Guatemala y Honduras</w:t>
            </w:r>
          </w:p>
        </w:tc>
        <w:tc>
          <w:tcPr>
            <w:tcW w:w="1045" w:type="dxa"/>
            <w:tcBorders>
              <w:top w:val="nil"/>
              <w:left w:val="nil"/>
              <w:bottom w:val="single" w:sz="4" w:space="0" w:color="auto"/>
              <w:right w:val="single" w:sz="4" w:space="0" w:color="auto"/>
            </w:tcBorders>
            <w:shd w:val="clear" w:color="000000" w:fill="FFFFFF"/>
            <w:vAlign w:val="center"/>
            <w:hideMark/>
          </w:tcPr>
          <w:p w14:paraId="3564B190" w14:textId="77777777" w:rsidR="00DE6510" w:rsidRPr="00882AE9" w:rsidRDefault="00DE6510" w:rsidP="00ED483A">
            <w:pPr>
              <w:widowControl/>
              <w:jc w:val="center"/>
              <w:rPr>
                <w:color w:val="000000"/>
                <w:lang w:eastAsia="es-GT"/>
              </w:rPr>
            </w:pPr>
            <w:r w:rsidRPr="00882AE9">
              <w:rPr>
                <w:color w:val="000000"/>
                <w:lang w:eastAsia="es-GT"/>
              </w:rPr>
              <w:t>2</w:t>
            </w:r>
          </w:p>
        </w:tc>
        <w:tc>
          <w:tcPr>
            <w:tcW w:w="1025" w:type="dxa"/>
            <w:tcBorders>
              <w:top w:val="nil"/>
              <w:left w:val="nil"/>
              <w:bottom w:val="single" w:sz="4" w:space="0" w:color="auto"/>
              <w:right w:val="single" w:sz="8" w:space="0" w:color="auto"/>
            </w:tcBorders>
            <w:shd w:val="clear" w:color="000000" w:fill="FFFFFF"/>
            <w:vAlign w:val="center"/>
            <w:hideMark/>
          </w:tcPr>
          <w:p w14:paraId="72FCBB13" w14:textId="77777777" w:rsidR="00DE6510" w:rsidRPr="00882AE9" w:rsidRDefault="00DE6510" w:rsidP="00ED483A">
            <w:pPr>
              <w:widowControl/>
              <w:jc w:val="right"/>
              <w:rPr>
                <w:color w:val="000000"/>
                <w:lang w:eastAsia="es-GT"/>
              </w:rPr>
            </w:pPr>
            <w:r>
              <w:rPr>
                <w:color w:val="000000"/>
                <w:lang w:eastAsia="es-GT"/>
              </w:rPr>
              <w:t>375.0</w:t>
            </w:r>
          </w:p>
        </w:tc>
      </w:tr>
      <w:tr w:rsidR="00DE6510" w:rsidRPr="00882AE9" w14:paraId="412DE968" w14:textId="77777777" w:rsidTr="00ED483A">
        <w:trPr>
          <w:trHeight w:val="395"/>
          <w:jc w:val="center"/>
        </w:trPr>
        <w:tc>
          <w:tcPr>
            <w:tcW w:w="5324" w:type="dxa"/>
            <w:tcBorders>
              <w:top w:val="nil"/>
              <w:left w:val="single" w:sz="8" w:space="0" w:color="auto"/>
              <w:bottom w:val="single" w:sz="8" w:space="0" w:color="auto"/>
              <w:right w:val="single" w:sz="4" w:space="0" w:color="auto"/>
            </w:tcBorders>
            <w:shd w:val="clear" w:color="000000" w:fill="FFFFFF"/>
            <w:vAlign w:val="center"/>
            <w:hideMark/>
          </w:tcPr>
          <w:p w14:paraId="2B41DFAE" w14:textId="77777777" w:rsidR="00DE6510" w:rsidRPr="00882AE9" w:rsidRDefault="00DE6510" w:rsidP="00ED483A">
            <w:pPr>
              <w:widowControl/>
              <w:rPr>
                <w:color w:val="000000"/>
                <w:lang w:eastAsia="es-GT"/>
              </w:rPr>
            </w:pPr>
            <w:r w:rsidRPr="00882AE9">
              <w:rPr>
                <w:color w:val="000000"/>
                <w:lang w:eastAsia="es-GT"/>
              </w:rPr>
              <w:t>Energía y Renovación Holding, S.A.</w:t>
            </w:r>
          </w:p>
        </w:tc>
        <w:tc>
          <w:tcPr>
            <w:tcW w:w="1045" w:type="dxa"/>
            <w:tcBorders>
              <w:top w:val="nil"/>
              <w:left w:val="nil"/>
              <w:bottom w:val="single" w:sz="8" w:space="0" w:color="auto"/>
              <w:right w:val="single" w:sz="4" w:space="0" w:color="auto"/>
            </w:tcBorders>
            <w:shd w:val="clear" w:color="000000" w:fill="FFFFFF"/>
            <w:vAlign w:val="center"/>
            <w:hideMark/>
          </w:tcPr>
          <w:p w14:paraId="192EEB08" w14:textId="77777777" w:rsidR="00DE6510" w:rsidRPr="00882AE9" w:rsidRDefault="00DE6510" w:rsidP="00ED483A">
            <w:pPr>
              <w:widowControl/>
              <w:jc w:val="center"/>
              <w:rPr>
                <w:color w:val="000000"/>
                <w:lang w:eastAsia="es-GT"/>
              </w:rPr>
            </w:pPr>
            <w:r w:rsidRPr="00882AE9">
              <w:rPr>
                <w:color w:val="000000"/>
                <w:lang w:eastAsia="es-GT"/>
              </w:rPr>
              <w:t>1</w:t>
            </w:r>
          </w:p>
        </w:tc>
        <w:tc>
          <w:tcPr>
            <w:tcW w:w="1025" w:type="dxa"/>
            <w:tcBorders>
              <w:top w:val="nil"/>
              <w:left w:val="nil"/>
              <w:bottom w:val="single" w:sz="8" w:space="0" w:color="auto"/>
              <w:right w:val="single" w:sz="8" w:space="0" w:color="auto"/>
            </w:tcBorders>
            <w:shd w:val="clear" w:color="000000" w:fill="FFFFFF"/>
            <w:vAlign w:val="center"/>
            <w:hideMark/>
          </w:tcPr>
          <w:p w14:paraId="37FB5D0F" w14:textId="77777777" w:rsidR="00DE6510" w:rsidRPr="00882AE9" w:rsidRDefault="00DE6510" w:rsidP="00ED483A">
            <w:pPr>
              <w:widowControl/>
              <w:jc w:val="right"/>
              <w:rPr>
                <w:color w:val="000000"/>
                <w:lang w:eastAsia="es-GT"/>
              </w:rPr>
            </w:pPr>
            <w:r w:rsidRPr="00882AE9">
              <w:rPr>
                <w:color w:val="000000"/>
                <w:lang w:eastAsia="es-GT"/>
              </w:rPr>
              <w:t>101.0</w:t>
            </w:r>
          </w:p>
        </w:tc>
      </w:tr>
    </w:tbl>
    <w:p w14:paraId="19601645" w14:textId="439145B2" w:rsidR="00DE6510" w:rsidRDefault="00847C90" w:rsidP="00DE6510">
      <w:pPr>
        <w:pStyle w:val="Sinespaciado"/>
        <w:ind w:left="567"/>
        <w:jc w:val="both"/>
        <w:rPr>
          <w:bCs/>
          <w:sz w:val="16"/>
        </w:rPr>
      </w:pPr>
      <w:r w:rsidRPr="001A445E">
        <w:rPr>
          <w:bCs/>
          <w:sz w:val="16"/>
        </w:rPr>
        <w:t>Fuente: Procuraduría General de la Nación.</w:t>
      </w:r>
    </w:p>
    <w:p w14:paraId="372B9422" w14:textId="77777777" w:rsidR="00847C90" w:rsidRPr="00B43A63" w:rsidRDefault="00847C90" w:rsidP="00DE6510">
      <w:pPr>
        <w:pStyle w:val="Sinespaciado"/>
        <w:ind w:left="567"/>
        <w:jc w:val="both"/>
        <w:rPr>
          <w:lang w:val="es-MX"/>
        </w:rPr>
      </w:pPr>
    </w:p>
    <w:p w14:paraId="16432697" w14:textId="5D032A7B" w:rsidR="00DE6510" w:rsidRDefault="00DE6510" w:rsidP="00BC572D">
      <w:pPr>
        <w:jc w:val="both"/>
      </w:pPr>
      <w:r w:rsidRPr="00BC572D">
        <w:t xml:space="preserve">Por último, la PGN en sus registros tiene que hay 4 amenazas de arbitrajes de inversión, que en 2 se tiene estimado que el monto demandado es de US$587 millones y 2 casos el monto reclamado no está disponible. </w:t>
      </w:r>
    </w:p>
    <w:p w14:paraId="5D819F47" w14:textId="77777777" w:rsidR="00E94376" w:rsidRPr="00BC572D" w:rsidRDefault="00E94376" w:rsidP="00BC572D">
      <w:pPr>
        <w:jc w:val="both"/>
      </w:pPr>
    </w:p>
    <w:p w14:paraId="292C3A4F" w14:textId="77777777" w:rsidR="00DE6510" w:rsidRPr="00B43A63" w:rsidRDefault="00DE6510" w:rsidP="00BC572D">
      <w:pPr>
        <w:jc w:val="both"/>
      </w:pPr>
      <w:r w:rsidRPr="00B43A63">
        <w:t xml:space="preserve">Derivado de lo anterior, las erogaciones que el Estado de Guatemala ha realizado por intermedio del Ministerio de Economía en concepto de arbitrajes internacionales Inversionista-Estado, incluyen los montos que se han pagado al CIADI y a la CPA por la administración de los arbitrajes, pago de abogados internacionales que han litigado los casos respectivos, pago de peritos, testigos, entre otros. Estos datos son referenciales, obtenidos del SICOIN.  Dichos gastos muestran un comportamiento que es bastante fluctuante que depende de las resoluciones de los tribunales de arbitraje y de los resultados que se obtienen por parte de los abogados y peritos respectivos.  </w:t>
      </w:r>
    </w:p>
    <w:p w14:paraId="20C5BF2B" w14:textId="77777777" w:rsidR="00DE6510" w:rsidRDefault="00DE6510" w:rsidP="00DE6510">
      <w:pPr>
        <w:pStyle w:val="Sinespaciado"/>
        <w:ind w:left="567"/>
        <w:jc w:val="both"/>
        <w:rPr>
          <w:b/>
          <w:u w:val="single"/>
        </w:rPr>
      </w:pPr>
    </w:p>
    <w:p w14:paraId="5D439F9F" w14:textId="2B88CB3C" w:rsidR="00DE6510" w:rsidRPr="00E94376" w:rsidRDefault="00E94376" w:rsidP="00E94376">
      <w:pPr>
        <w:pStyle w:val="Descripcin"/>
        <w:keepNext/>
      </w:pPr>
      <w:bookmarkStart w:id="360" w:name="_Toc114493919"/>
      <w:r w:rsidRPr="00E94376">
        <w:rPr>
          <w:color w:val="auto"/>
        </w:rPr>
        <w:t xml:space="preserve">Gráfico </w:t>
      </w:r>
      <w:r w:rsidRPr="00E94376">
        <w:rPr>
          <w:color w:val="auto"/>
        </w:rPr>
        <w:fldChar w:fldCharType="begin"/>
      </w:r>
      <w:r w:rsidRPr="00E94376">
        <w:rPr>
          <w:color w:val="auto"/>
        </w:rPr>
        <w:instrText xml:space="preserve"> SEQ Gráfico \* ARABIC </w:instrText>
      </w:r>
      <w:r w:rsidRPr="00E94376">
        <w:rPr>
          <w:color w:val="auto"/>
        </w:rPr>
        <w:fldChar w:fldCharType="separate"/>
      </w:r>
      <w:r w:rsidR="002E7809">
        <w:rPr>
          <w:noProof/>
          <w:color w:val="auto"/>
        </w:rPr>
        <w:t>77</w:t>
      </w:r>
      <w:r w:rsidRPr="00E94376">
        <w:rPr>
          <w:color w:val="auto"/>
        </w:rPr>
        <w:fldChar w:fldCharType="end"/>
      </w:r>
      <w:r w:rsidRPr="00E94376">
        <w:rPr>
          <w:color w:val="auto"/>
        </w:rPr>
        <w:t xml:space="preserve">.  </w:t>
      </w:r>
      <w:r w:rsidR="00DE6510" w:rsidRPr="00E94376">
        <w:rPr>
          <w:color w:val="auto"/>
        </w:rPr>
        <w:t>Gastos del Ministerio de Economía en temas de controversias</w:t>
      </w:r>
      <w:bookmarkEnd w:id="360"/>
    </w:p>
    <w:p w14:paraId="064F9026" w14:textId="77777777" w:rsidR="00DE6510" w:rsidRPr="009F7577" w:rsidRDefault="00DE6510" w:rsidP="00DE6510">
      <w:pPr>
        <w:pStyle w:val="Sinespaciado"/>
        <w:ind w:left="567"/>
        <w:jc w:val="center"/>
      </w:pPr>
      <w:r w:rsidRPr="009F7577">
        <w:t>2009-202</w:t>
      </w:r>
      <w:r>
        <w:t>2</w:t>
      </w:r>
      <w:r w:rsidRPr="009F7577">
        <w:t>*</w:t>
      </w:r>
    </w:p>
    <w:p w14:paraId="3559BF2C" w14:textId="77777777" w:rsidR="00DE6510" w:rsidRPr="009F7577" w:rsidRDefault="00DE6510" w:rsidP="00DE6510">
      <w:pPr>
        <w:pStyle w:val="Sinespaciado"/>
        <w:ind w:left="567"/>
        <w:jc w:val="center"/>
      </w:pPr>
      <w:r w:rsidRPr="009F7577">
        <w:t>Millones de quetzales</w:t>
      </w:r>
    </w:p>
    <w:p w14:paraId="4F07CBC2" w14:textId="77777777" w:rsidR="00DE6510" w:rsidRPr="00B43A63" w:rsidRDefault="00DE6510" w:rsidP="00DE6510">
      <w:pPr>
        <w:pStyle w:val="Sinespaciado"/>
        <w:ind w:left="567"/>
        <w:jc w:val="center"/>
        <w:rPr>
          <w:bCs/>
        </w:rPr>
      </w:pPr>
      <w:r w:rsidRPr="00B43A63">
        <w:rPr>
          <w:bCs/>
          <w:noProof/>
          <w:lang w:val="es-GT" w:eastAsia="es-GT"/>
        </w:rPr>
        <w:drawing>
          <wp:inline distT="0" distB="0" distL="0" distR="0" wp14:anchorId="1DDA6760" wp14:editId="120433E1">
            <wp:extent cx="5234940" cy="1628775"/>
            <wp:effectExtent l="0" t="0" r="3810" b="9525"/>
            <wp:docPr id="1427" name="Gráfico 1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920A3F8" w14:textId="77777777" w:rsidR="00DE6510" w:rsidRPr="009F1BCF" w:rsidRDefault="00DE6510" w:rsidP="00DE6510">
      <w:pPr>
        <w:pStyle w:val="Sinespaciado"/>
        <w:ind w:left="567"/>
        <w:rPr>
          <w:sz w:val="16"/>
        </w:rPr>
      </w:pPr>
      <w:r>
        <w:rPr>
          <w:sz w:val="16"/>
        </w:rPr>
        <w:t xml:space="preserve">                </w:t>
      </w:r>
      <w:r w:rsidRPr="009F1BCF">
        <w:rPr>
          <w:sz w:val="16"/>
        </w:rPr>
        <w:t>Fuente: Sicoin.</w:t>
      </w:r>
    </w:p>
    <w:p w14:paraId="743F60C5" w14:textId="77777777" w:rsidR="00DE6510" w:rsidRDefault="00DE6510" w:rsidP="00DE6510">
      <w:pPr>
        <w:ind w:left="567"/>
        <w:jc w:val="both"/>
        <w:rPr>
          <w:bCs/>
        </w:rPr>
      </w:pPr>
    </w:p>
    <w:p w14:paraId="3E705330" w14:textId="77777777" w:rsidR="00DE6510" w:rsidRDefault="00DE6510" w:rsidP="00BC572D">
      <w:pPr>
        <w:jc w:val="both"/>
      </w:pPr>
      <w:r w:rsidRPr="00BC572D">
        <w:t xml:space="preserve">Es importante indicar que la adecuada conducción de estos casos de arbitraje internacional y la ejecución de las sentencias mediante embargos de bienes del Estado en el exterior tiene un efecto sobre la percepción de riesgo en los diferentes agentes económicos, en el caso de los inversionistas internacionales y locales puede afectar la negociación de Bonos del Tesoro en el mercado doméstico y en el mercado internacional de capitales ya que puede incidir en una disminución en la demanda de dichos títulos en el mercado o en el encarecimiento de estos.   </w:t>
      </w:r>
    </w:p>
    <w:p w14:paraId="76342862" w14:textId="77777777" w:rsidR="00DE6510" w:rsidRDefault="00DE6510" w:rsidP="00DE6510">
      <w:pPr>
        <w:ind w:left="567"/>
        <w:jc w:val="both"/>
        <w:rPr>
          <w:rFonts w:eastAsia="OptimaLTStd"/>
          <w:color w:val="FF0000"/>
        </w:rPr>
      </w:pPr>
    </w:p>
    <w:p w14:paraId="49FE3089" w14:textId="77777777" w:rsidR="00DE6510" w:rsidRPr="00E94376" w:rsidRDefault="00DE6510" w:rsidP="00A9708A">
      <w:pPr>
        <w:pStyle w:val="Ttulo1"/>
        <w:widowControl/>
        <w:numPr>
          <w:ilvl w:val="1"/>
          <w:numId w:val="23"/>
        </w:numPr>
        <w:ind w:left="567" w:right="49" w:hanging="283"/>
        <w:jc w:val="left"/>
        <w:rPr>
          <w:color w:val="auto"/>
          <w:sz w:val="24"/>
        </w:rPr>
      </w:pPr>
      <w:bookmarkStart w:id="361" w:name="_Toc81305685"/>
      <w:bookmarkStart w:id="362" w:name="_Toc114495292"/>
      <w:r w:rsidRPr="00E94376">
        <w:rPr>
          <w:color w:val="auto"/>
          <w:sz w:val="24"/>
        </w:rPr>
        <w:t>Cuantificación del pasivo contingente por demandas judiciales</w:t>
      </w:r>
      <w:bookmarkEnd w:id="361"/>
      <w:bookmarkEnd w:id="362"/>
    </w:p>
    <w:p w14:paraId="3798D834" w14:textId="77777777" w:rsidR="00DE6510" w:rsidRPr="009F1BCF" w:rsidRDefault="00DE6510" w:rsidP="00DE6510">
      <w:pPr>
        <w:ind w:left="567"/>
        <w:jc w:val="both"/>
        <w:rPr>
          <w:rFonts w:eastAsia="OptimaLTStd"/>
          <w:color w:val="FF0000"/>
        </w:rPr>
      </w:pPr>
    </w:p>
    <w:p w14:paraId="7DAB13F6" w14:textId="77777777" w:rsidR="00DE6510" w:rsidRPr="00E9196B" w:rsidRDefault="00DE6510" w:rsidP="00BC572D">
      <w:pPr>
        <w:jc w:val="both"/>
      </w:pPr>
      <w:r w:rsidRPr="00E9196B">
        <w:t>Con base en la información proporcionada por la Procuraduría General de la Nación, se detalla los diferentes procesos derivados de demandas judiciales contra el Estado de Guatemala, los cuales se dividen en 2 grupos</w:t>
      </w:r>
      <w:r>
        <w:t>,</w:t>
      </w:r>
      <w:r w:rsidRPr="00E9196B">
        <w:t xml:space="preserve"> los procesos que se llevan en cortes nacionales y los que se resue</w:t>
      </w:r>
      <w:r>
        <w:t xml:space="preserve">lven en cortes internacionales.  </w:t>
      </w:r>
      <w:r w:rsidRPr="00E9196B">
        <w:t xml:space="preserve">Los procesos que se llevan en cortes nacionales se dividen en 3 tipos de procesos: Penales, Laborales y en Materia Civil, en los 3 procesos se reportan en conjunto </w:t>
      </w:r>
      <w:r>
        <w:t>7,116</w:t>
      </w:r>
      <w:r w:rsidRPr="00E9196B">
        <w:t xml:space="preserve"> casos, representando una demanda potencial de Q</w:t>
      </w:r>
      <w:r>
        <w:t xml:space="preserve">5,095.1 </w:t>
      </w:r>
      <w:r w:rsidRPr="00E9196B">
        <w:t xml:space="preserve">millones, destacando en este caso los procesos civiles asociados principalmente a juicios económico coactivo </w:t>
      </w:r>
      <w:r>
        <w:t xml:space="preserve">que suman </w:t>
      </w:r>
      <w:r w:rsidRPr="00E9196B">
        <w:t>Q</w:t>
      </w:r>
      <w:r>
        <w:t>4,005.1</w:t>
      </w:r>
      <w:r w:rsidRPr="00E9196B">
        <w:t xml:space="preserve"> millones</w:t>
      </w:r>
      <w:r>
        <w:t>, de los cuales es importante destacar que el IGSS tiene demandas contra el Estado de Guatemala en este tipo de juicio por Q2,706.9 millones.</w:t>
      </w:r>
      <w:r w:rsidRPr="00E9196B">
        <w:t xml:space="preserve"> </w:t>
      </w:r>
      <w:r>
        <w:t xml:space="preserve">En </w:t>
      </w:r>
      <w:r w:rsidRPr="00E9196B">
        <w:t>arbitrajes nacionales</w:t>
      </w:r>
      <w:r>
        <w:t>,</w:t>
      </w:r>
      <w:r w:rsidRPr="00E9196B">
        <w:t xml:space="preserve"> </w:t>
      </w:r>
      <w:r w:rsidRPr="00BC572D">
        <w:t>los cuales son motivados por algún tipo de incumplimiento en contratos de entes o empresas mercantiles con el Estado de Guatemala</w:t>
      </w:r>
      <w:r w:rsidRPr="00E9196B">
        <w:t xml:space="preserve"> (Q</w:t>
      </w:r>
      <w:r>
        <w:t>267.9</w:t>
      </w:r>
      <w:r w:rsidRPr="00E9196B">
        <w:t xml:space="preserve"> millones), Ejecutivo y sentencia </w:t>
      </w:r>
      <w:r w:rsidRPr="00BC572D">
        <w:t xml:space="preserve">que es derivado de sentencias propiamente dichas o algún tipo de título ejecutivo que particulares, entes o empresas mercantiles ejecutaron en contra del Estado (Q4.9 millones) y </w:t>
      </w:r>
      <w:r w:rsidRPr="00E9196B">
        <w:t xml:space="preserve">juicios ordinarios o sumarios que </w:t>
      </w:r>
      <w:r w:rsidRPr="00BC572D">
        <w:t>se derivan de contratos firmados por el Estado en los que ha sido demandado por entidades o entes mercantiles</w:t>
      </w:r>
      <w:r w:rsidRPr="00E9196B">
        <w:t xml:space="preserve"> (Q</w:t>
      </w:r>
      <w:r>
        <w:t>817.3</w:t>
      </w:r>
      <w:r w:rsidRPr="00E9196B">
        <w:t xml:space="preserve"> millones). </w:t>
      </w:r>
    </w:p>
    <w:p w14:paraId="2729B2BD" w14:textId="77777777" w:rsidR="00DE6510" w:rsidRPr="00E9196B" w:rsidRDefault="00DE6510" w:rsidP="00BC572D">
      <w:pPr>
        <w:jc w:val="both"/>
      </w:pPr>
    </w:p>
    <w:p w14:paraId="05BAC592" w14:textId="218D1C67" w:rsidR="00DE6510" w:rsidRDefault="00DE6510" w:rsidP="00BC572D">
      <w:pPr>
        <w:jc w:val="both"/>
      </w:pPr>
      <w:r w:rsidRPr="00E9196B">
        <w:t>Asimismo, es importante indicar que los procesos laborales son los que más casos tienen pendientes de resolución, algunos inclusive se remontan al año 201</w:t>
      </w:r>
      <w:r>
        <w:t>7</w:t>
      </w:r>
      <w:r w:rsidRPr="00E9196B">
        <w:t xml:space="preserve">. A la fecha se han acumulado </w:t>
      </w:r>
      <w:r>
        <w:t>6,889</w:t>
      </w:r>
      <w:r w:rsidRPr="00E9196B">
        <w:t xml:space="preserve"> casos, en lo que respecta a los montos económicos no es posible estimarlo, dado que este es determinado mediante la emisión de autos judiciales, los cuales deben causar firmeza y ser debidamente notificados y tramitados en la fase ejecutiva de cada proceso, por lo que hasta en ese momento se conoce el pago que debe r</w:t>
      </w:r>
      <w:r>
        <w:t xml:space="preserve">ealizar el Estado de Guatemala.  </w:t>
      </w:r>
      <w:r w:rsidRPr="00E9196B">
        <w:t>Los procesos que se resuelven en cortes internacionales muestran un total de 1</w:t>
      </w:r>
      <w:r>
        <w:t>80</w:t>
      </w:r>
      <w:r w:rsidRPr="00E9196B">
        <w:t xml:space="preserve"> casos activos por el equivalente a Q</w:t>
      </w:r>
      <w:r>
        <w:t>7,6</w:t>
      </w:r>
      <w:r w:rsidR="000F2D0C">
        <w:t>62</w:t>
      </w:r>
      <w:r w:rsidRPr="00E9196B">
        <w:t xml:space="preserve"> millones, </w:t>
      </w:r>
      <w:r>
        <w:t>dicho monto corresponde en su totalidad</w:t>
      </w:r>
      <w:r w:rsidRPr="00E9196B">
        <w:t xml:space="preserve"> a arbitrajes de inversión, por un estimado de demanda de US$</w:t>
      </w:r>
      <w:r>
        <w:t>98</w:t>
      </w:r>
      <w:r w:rsidR="000F2D0C">
        <w:t>7</w:t>
      </w:r>
      <w:r>
        <w:t>.</w:t>
      </w:r>
      <w:r w:rsidR="000F2D0C">
        <w:t>9</w:t>
      </w:r>
      <w:r w:rsidRPr="00E9196B">
        <w:t xml:space="preserve"> </w:t>
      </w:r>
      <w:r w:rsidRPr="00486DDE">
        <w:t>millones.</w:t>
      </w:r>
      <w:r w:rsidRPr="00E9196B">
        <w:t xml:space="preserve">  Los 17</w:t>
      </w:r>
      <w:r>
        <w:t>5</w:t>
      </w:r>
      <w:r w:rsidRPr="00E9196B">
        <w:t xml:space="preserve"> casos restantes de los procesos ligados a cortes internacionales corresponden a procesos ante el Sistema Interamericano de Protección de Derechos Humanos, los cuales derivado de cláusulas de confidencialidad se desconoce el monto a imponer por parte de la Corte Interamericana de Derechos Humanos ya que dicho monto se sujeta al tipo de violación que se le impute al Estado.</w:t>
      </w:r>
    </w:p>
    <w:p w14:paraId="693A1B66" w14:textId="77777777" w:rsidR="00DE6510" w:rsidRPr="00E9196B" w:rsidRDefault="00DE6510" w:rsidP="00BC572D">
      <w:pPr>
        <w:jc w:val="both"/>
      </w:pPr>
    </w:p>
    <w:p w14:paraId="43000D89" w14:textId="2517F87D" w:rsidR="00E94376" w:rsidRDefault="00DE6510" w:rsidP="00DE6510">
      <w:pPr>
        <w:jc w:val="both"/>
      </w:pPr>
      <w:r w:rsidRPr="00E9196B">
        <w:t xml:space="preserve">Por lo anterior, el total de demandas en contra del Estado de Guatemala son de </w:t>
      </w:r>
      <w:r>
        <w:t>7,296</w:t>
      </w:r>
      <w:r w:rsidRPr="00E9196B">
        <w:t xml:space="preserve"> casos y lo que actualmente se tiene cuantificado del costo potencial de dichas demandas es de Q1</w:t>
      </w:r>
      <w:r>
        <w:t>2,7</w:t>
      </w:r>
      <w:r w:rsidR="000F2D0C">
        <w:t>5</w:t>
      </w:r>
      <w:r>
        <w:t>7.</w:t>
      </w:r>
      <w:r w:rsidR="000F2D0C">
        <w:t>5</w:t>
      </w:r>
      <w:r w:rsidRPr="00E9196B">
        <w:t xml:space="preserve"> millones, equivalente a </w:t>
      </w:r>
      <w:r>
        <w:t>1.8</w:t>
      </w:r>
      <w:r w:rsidRPr="00E9196B">
        <w:t>% del PIB estimado para 202</w:t>
      </w:r>
      <w:r>
        <w:t>2</w:t>
      </w:r>
      <w:r w:rsidRPr="00E9196B">
        <w:t>.</w:t>
      </w:r>
      <w:r>
        <w:t xml:space="preserve">  Dicha información es preliminar y está sujeta a cambios conforme evolucionen los casos en los juzgados o tribunales respectivos.</w:t>
      </w:r>
    </w:p>
    <w:p w14:paraId="302CCBF5" w14:textId="5FA22778" w:rsidR="00DE6510" w:rsidRPr="00E94376" w:rsidRDefault="00E94376" w:rsidP="00E94376">
      <w:pPr>
        <w:pStyle w:val="Descripcin"/>
        <w:keepNext/>
        <w:rPr>
          <w:color w:val="auto"/>
        </w:rPr>
      </w:pPr>
      <w:bookmarkStart w:id="363" w:name="_Toc114493938"/>
      <w:r w:rsidRPr="00E94376">
        <w:rPr>
          <w:color w:val="auto"/>
        </w:rPr>
        <w:t xml:space="preserve">Tabla </w:t>
      </w:r>
      <w:r w:rsidRPr="00E94376">
        <w:rPr>
          <w:color w:val="auto"/>
        </w:rPr>
        <w:fldChar w:fldCharType="begin"/>
      </w:r>
      <w:r w:rsidRPr="00E94376">
        <w:rPr>
          <w:color w:val="auto"/>
        </w:rPr>
        <w:instrText xml:space="preserve"> SEQ Tabla \* ARABIC </w:instrText>
      </w:r>
      <w:r w:rsidRPr="00E94376">
        <w:rPr>
          <w:color w:val="auto"/>
        </w:rPr>
        <w:fldChar w:fldCharType="separate"/>
      </w:r>
      <w:r w:rsidR="002E7809">
        <w:rPr>
          <w:noProof/>
          <w:color w:val="auto"/>
        </w:rPr>
        <w:t>15</w:t>
      </w:r>
      <w:r w:rsidRPr="00E94376">
        <w:rPr>
          <w:color w:val="auto"/>
        </w:rPr>
        <w:fldChar w:fldCharType="end"/>
      </w:r>
      <w:r w:rsidRPr="00E94376">
        <w:rPr>
          <w:color w:val="auto"/>
        </w:rPr>
        <w:t xml:space="preserve">.  </w:t>
      </w:r>
      <w:r w:rsidR="00DE6510" w:rsidRPr="00E94376">
        <w:rPr>
          <w:bCs/>
          <w:color w:val="auto"/>
        </w:rPr>
        <w:t>Demandas Judiciales en Contra del Estado de Guatemala</w:t>
      </w:r>
      <w:bookmarkEnd w:id="363"/>
    </w:p>
    <w:p w14:paraId="41993864" w14:textId="77777777" w:rsidR="00DE6510" w:rsidRPr="00E9196B" w:rsidRDefault="00DE6510" w:rsidP="00DE6510">
      <w:pPr>
        <w:pStyle w:val="Sinespaciado"/>
        <w:ind w:left="567"/>
        <w:jc w:val="center"/>
      </w:pPr>
      <w:r w:rsidRPr="00E9196B">
        <w:t>Al 30 de junio de 202</w:t>
      </w:r>
      <w:r>
        <w:t>2</w:t>
      </w:r>
    </w:p>
    <w:p w14:paraId="2E152B9F" w14:textId="77777777" w:rsidR="00DE6510" w:rsidRPr="00AE0A67" w:rsidRDefault="00DE6510" w:rsidP="00DE6510">
      <w:pPr>
        <w:pStyle w:val="Sinespaciado"/>
        <w:ind w:left="567"/>
        <w:jc w:val="center"/>
        <w:rPr>
          <w:highlight w:val="yellow"/>
        </w:rPr>
      </w:pPr>
      <w:r w:rsidRPr="00E9196B">
        <w:t>Número de Casos y Millones de quetzales</w:t>
      </w:r>
    </w:p>
    <w:tbl>
      <w:tblPr>
        <w:tblW w:w="8025" w:type="dxa"/>
        <w:jc w:val="center"/>
        <w:tblCellMar>
          <w:left w:w="70" w:type="dxa"/>
          <w:right w:w="70" w:type="dxa"/>
        </w:tblCellMar>
        <w:tblLook w:val="04A0" w:firstRow="1" w:lastRow="0" w:firstColumn="1" w:lastColumn="0" w:noHBand="0" w:noVBand="1"/>
      </w:tblPr>
      <w:tblGrid>
        <w:gridCol w:w="5593"/>
        <w:gridCol w:w="1077"/>
        <w:gridCol w:w="1355"/>
      </w:tblGrid>
      <w:tr w:rsidR="00DE6510" w:rsidRPr="001769F5" w14:paraId="46B89221" w14:textId="77777777" w:rsidTr="00C3002C">
        <w:trPr>
          <w:trHeight w:val="531"/>
          <w:jc w:val="center"/>
        </w:trPr>
        <w:tc>
          <w:tcPr>
            <w:tcW w:w="5593" w:type="dxa"/>
            <w:tcBorders>
              <w:top w:val="single" w:sz="8" w:space="0" w:color="auto"/>
              <w:left w:val="single" w:sz="8" w:space="0" w:color="auto"/>
              <w:bottom w:val="single" w:sz="8" w:space="0" w:color="auto"/>
              <w:right w:val="nil"/>
            </w:tcBorders>
            <w:shd w:val="clear" w:color="000000" w:fill="8EAADB"/>
            <w:vAlign w:val="center"/>
            <w:hideMark/>
          </w:tcPr>
          <w:p w14:paraId="7D373DB0" w14:textId="77777777" w:rsidR="00DE6510" w:rsidRPr="001769F5" w:rsidRDefault="00DE6510" w:rsidP="00ED483A">
            <w:pPr>
              <w:widowControl/>
              <w:jc w:val="center"/>
              <w:rPr>
                <w:b/>
                <w:bCs/>
                <w:color w:val="000000"/>
                <w:lang w:eastAsia="es-GT"/>
              </w:rPr>
            </w:pPr>
            <w:r w:rsidRPr="001769F5">
              <w:rPr>
                <w:b/>
                <w:bCs/>
                <w:color w:val="000000"/>
                <w:lang w:eastAsia="es-GT"/>
              </w:rPr>
              <w:t>Tipo de Proceso</w:t>
            </w:r>
          </w:p>
        </w:tc>
        <w:tc>
          <w:tcPr>
            <w:tcW w:w="1077"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4B467B5A" w14:textId="77777777" w:rsidR="00DE6510" w:rsidRPr="001769F5" w:rsidRDefault="00DE6510" w:rsidP="00ED483A">
            <w:pPr>
              <w:widowControl/>
              <w:jc w:val="center"/>
              <w:rPr>
                <w:b/>
                <w:bCs/>
                <w:color w:val="000000"/>
                <w:lang w:eastAsia="es-GT"/>
              </w:rPr>
            </w:pPr>
            <w:r w:rsidRPr="001769F5">
              <w:rPr>
                <w:b/>
                <w:bCs/>
                <w:color w:val="000000"/>
                <w:lang w:eastAsia="es-GT"/>
              </w:rPr>
              <w:t>Casos</w:t>
            </w:r>
          </w:p>
        </w:tc>
        <w:tc>
          <w:tcPr>
            <w:tcW w:w="1355" w:type="dxa"/>
            <w:tcBorders>
              <w:top w:val="single" w:sz="8" w:space="0" w:color="auto"/>
              <w:left w:val="nil"/>
              <w:bottom w:val="single" w:sz="8" w:space="0" w:color="auto"/>
              <w:right w:val="single" w:sz="8" w:space="0" w:color="auto"/>
            </w:tcBorders>
            <w:shd w:val="clear" w:color="000000" w:fill="8EAADB"/>
            <w:vAlign w:val="center"/>
            <w:hideMark/>
          </w:tcPr>
          <w:p w14:paraId="69F7139E" w14:textId="77777777" w:rsidR="00DE6510" w:rsidRPr="001769F5" w:rsidRDefault="00DE6510" w:rsidP="00ED483A">
            <w:pPr>
              <w:widowControl/>
              <w:jc w:val="center"/>
              <w:rPr>
                <w:b/>
                <w:bCs/>
                <w:color w:val="000000"/>
                <w:lang w:eastAsia="es-GT"/>
              </w:rPr>
            </w:pPr>
            <w:r w:rsidRPr="001769F5">
              <w:rPr>
                <w:b/>
                <w:bCs/>
                <w:color w:val="000000"/>
                <w:lang w:eastAsia="es-GT"/>
              </w:rPr>
              <w:t>Monto demandado</w:t>
            </w:r>
          </w:p>
        </w:tc>
      </w:tr>
      <w:tr w:rsidR="00DE6510" w:rsidRPr="001769F5" w14:paraId="1653D340"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31CACDE3" w14:textId="77777777" w:rsidR="00DE6510" w:rsidRPr="00F41B77" w:rsidRDefault="00DE6510" w:rsidP="00ED483A">
            <w:pPr>
              <w:widowControl/>
              <w:jc w:val="center"/>
              <w:rPr>
                <w:b/>
                <w:bCs/>
                <w:color w:val="000000"/>
                <w:sz w:val="22"/>
                <w:szCs w:val="22"/>
                <w:lang w:eastAsia="es-GT"/>
              </w:rPr>
            </w:pPr>
            <w:r w:rsidRPr="00F41B77">
              <w:rPr>
                <w:b/>
                <w:bCs/>
                <w:color w:val="000000"/>
                <w:sz w:val="22"/>
                <w:szCs w:val="22"/>
                <w:lang w:eastAsia="es-GT"/>
              </w:rPr>
              <w:t>Total</w:t>
            </w:r>
          </w:p>
        </w:tc>
        <w:tc>
          <w:tcPr>
            <w:tcW w:w="1077" w:type="dxa"/>
            <w:tcBorders>
              <w:top w:val="nil"/>
              <w:left w:val="single" w:sz="8" w:space="0" w:color="auto"/>
              <w:bottom w:val="nil"/>
              <w:right w:val="nil"/>
            </w:tcBorders>
            <w:shd w:val="clear" w:color="auto" w:fill="auto"/>
            <w:noWrap/>
            <w:vAlign w:val="center"/>
            <w:hideMark/>
          </w:tcPr>
          <w:p w14:paraId="4C494565" w14:textId="77777777" w:rsidR="00DE6510" w:rsidRPr="00F41B77" w:rsidRDefault="00DE6510" w:rsidP="00ED483A">
            <w:pPr>
              <w:widowControl/>
              <w:jc w:val="center"/>
              <w:rPr>
                <w:b/>
                <w:bCs/>
                <w:color w:val="000000"/>
                <w:sz w:val="22"/>
                <w:szCs w:val="22"/>
                <w:lang w:eastAsia="es-GT"/>
              </w:rPr>
            </w:pPr>
            <w:r w:rsidRPr="00F41B77">
              <w:rPr>
                <w:b/>
                <w:bCs/>
                <w:color w:val="000000"/>
                <w:sz w:val="22"/>
                <w:szCs w:val="22"/>
                <w:lang w:eastAsia="es-GT"/>
              </w:rPr>
              <w:t>7,296</w:t>
            </w:r>
          </w:p>
        </w:tc>
        <w:tc>
          <w:tcPr>
            <w:tcW w:w="1355" w:type="dxa"/>
            <w:tcBorders>
              <w:top w:val="nil"/>
              <w:left w:val="single" w:sz="8" w:space="0" w:color="auto"/>
              <w:bottom w:val="nil"/>
              <w:right w:val="single" w:sz="8" w:space="0" w:color="auto"/>
            </w:tcBorders>
            <w:shd w:val="clear" w:color="auto" w:fill="auto"/>
            <w:noWrap/>
            <w:vAlign w:val="center"/>
            <w:hideMark/>
          </w:tcPr>
          <w:p w14:paraId="31F81BEB" w14:textId="771E53DC" w:rsidR="00DE6510" w:rsidRPr="00F41B77" w:rsidRDefault="00DE6510" w:rsidP="00ED483A">
            <w:pPr>
              <w:widowControl/>
              <w:jc w:val="right"/>
              <w:rPr>
                <w:b/>
                <w:bCs/>
                <w:color w:val="000000"/>
                <w:sz w:val="22"/>
                <w:szCs w:val="22"/>
                <w:lang w:eastAsia="es-GT"/>
              </w:rPr>
            </w:pPr>
            <w:r w:rsidRPr="00F41B77">
              <w:rPr>
                <w:b/>
                <w:bCs/>
                <w:color w:val="000000"/>
                <w:sz w:val="22"/>
                <w:szCs w:val="22"/>
                <w:lang w:eastAsia="es-GT"/>
              </w:rPr>
              <w:t>12,7</w:t>
            </w:r>
            <w:r w:rsidR="001F79C2">
              <w:rPr>
                <w:b/>
                <w:bCs/>
                <w:color w:val="000000"/>
                <w:sz w:val="22"/>
                <w:szCs w:val="22"/>
                <w:lang w:eastAsia="es-GT"/>
              </w:rPr>
              <w:t>5</w:t>
            </w:r>
            <w:r w:rsidRPr="00F41B77">
              <w:rPr>
                <w:b/>
                <w:bCs/>
                <w:color w:val="000000"/>
                <w:sz w:val="22"/>
                <w:szCs w:val="22"/>
                <w:lang w:eastAsia="es-GT"/>
              </w:rPr>
              <w:t>7.</w:t>
            </w:r>
            <w:r w:rsidR="001F79C2">
              <w:rPr>
                <w:b/>
                <w:bCs/>
                <w:color w:val="000000"/>
                <w:sz w:val="22"/>
                <w:szCs w:val="22"/>
                <w:lang w:eastAsia="es-GT"/>
              </w:rPr>
              <w:t>5</w:t>
            </w:r>
          </w:p>
        </w:tc>
      </w:tr>
      <w:tr w:rsidR="00DE6510" w:rsidRPr="001769F5" w14:paraId="511289F2"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28DBFFAA" w14:textId="77777777" w:rsidR="00DE6510" w:rsidRPr="00F41B77" w:rsidRDefault="00DE6510" w:rsidP="00ED483A">
            <w:pPr>
              <w:widowControl/>
              <w:rPr>
                <w:b/>
                <w:bCs/>
                <w:color w:val="000000"/>
                <w:sz w:val="22"/>
                <w:szCs w:val="22"/>
                <w:lang w:eastAsia="es-GT"/>
              </w:rPr>
            </w:pPr>
            <w:r w:rsidRPr="00F41B77">
              <w:rPr>
                <w:b/>
                <w:bCs/>
                <w:color w:val="000000"/>
                <w:sz w:val="22"/>
                <w:szCs w:val="22"/>
                <w:lang w:eastAsia="es-GT"/>
              </w:rPr>
              <w:t>Procesos en cortes nacionales</w:t>
            </w:r>
          </w:p>
        </w:tc>
        <w:tc>
          <w:tcPr>
            <w:tcW w:w="1077" w:type="dxa"/>
            <w:tcBorders>
              <w:top w:val="nil"/>
              <w:left w:val="single" w:sz="8" w:space="0" w:color="auto"/>
              <w:bottom w:val="nil"/>
              <w:right w:val="nil"/>
            </w:tcBorders>
            <w:shd w:val="clear" w:color="auto" w:fill="auto"/>
            <w:noWrap/>
            <w:vAlign w:val="center"/>
            <w:hideMark/>
          </w:tcPr>
          <w:p w14:paraId="1AEBE631" w14:textId="77777777" w:rsidR="00DE6510" w:rsidRPr="00F41B77" w:rsidRDefault="00DE6510" w:rsidP="00ED483A">
            <w:pPr>
              <w:widowControl/>
              <w:jc w:val="center"/>
              <w:rPr>
                <w:b/>
                <w:bCs/>
                <w:color w:val="000000"/>
                <w:sz w:val="22"/>
                <w:szCs w:val="22"/>
                <w:lang w:eastAsia="es-GT"/>
              </w:rPr>
            </w:pPr>
            <w:r w:rsidRPr="00F41B77">
              <w:rPr>
                <w:b/>
                <w:bCs/>
                <w:color w:val="000000"/>
                <w:sz w:val="22"/>
                <w:szCs w:val="22"/>
                <w:lang w:eastAsia="es-GT"/>
              </w:rPr>
              <w:t>7,116</w:t>
            </w:r>
          </w:p>
        </w:tc>
        <w:tc>
          <w:tcPr>
            <w:tcW w:w="1355" w:type="dxa"/>
            <w:tcBorders>
              <w:top w:val="nil"/>
              <w:left w:val="single" w:sz="8" w:space="0" w:color="auto"/>
              <w:bottom w:val="nil"/>
              <w:right w:val="single" w:sz="8" w:space="0" w:color="auto"/>
            </w:tcBorders>
            <w:shd w:val="clear" w:color="auto" w:fill="auto"/>
            <w:noWrap/>
            <w:vAlign w:val="center"/>
            <w:hideMark/>
          </w:tcPr>
          <w:p w14:paraId="66EA9993" w14:textId="77777777" w:rsidR="00DE6510" w:rsidRPr="00F41B77" w:rsidRDefault="00DE6510" w:rsidP="00ED483A">
            <w:pPr>
              <w:widowControl/>
              <w:jc w:val="right"/>
              <w:rPr>
                <w:b/>
                <w:bCs/>
                <w:color w:val="000000"/>
                <w:sz w:val="22"/>
                <w:szCs w:val="22"/>
                <w:lang w:eastAsia="es-GT"/>
              </w:rPr>
            </w:pPr>
            <w:r w:rsidRPr="00F41B77">
              <w:rPr>
                <w:b/>
                <w:bCs/>
                <w:color w:val="000000"/>
                <w:sz w:val="22"/>
                <w:szCs w:val="22"/>
                <w:lang w:eastAsia="es-GT"/>
              </w:rPr>
              <w:t>5,095.1</w:t>
            </w:r>
          </w:p>
        </w:tc>
      </w:tr>
      <w:tr w:rsidR="00DE6510" w:rsidRPr="001769F5" w14:paraId="43F70B5C"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4F42F82F" w14:textId="77777777" w:rsidR="00DE6510" w:rsidRPr="00F41B77" w:rsidRDefault="00DE6510" w:rsidP="00ED483A">
            <w:pPr>
              <w:widowControl/>
              <w:ind w:firstLineChars="200" w:firstLine="440"/>
              <w:rPr>
                <w:color w:val="000000"/>
                <w:sz w:val="22"/>
                <w:szCs w:val="22"/>
                <w:lang w:eastAsia="es-GT"/>
              </w:rPr>
            </w:pPr>
            <w:r w:rsidRPr="00F41B77">
              <w:rPr>
                <w:color w:val="000000"/>
                <w:sz w:val="22"/>
                <w:szCs w:val="22"/>
                <w:lang w:eastAsia="es-GT"/>
              </w:rPr>
              <w:t>Procesos Laborales</w:t>
            </w:r>
          </w:p>
        </w:tc>
        <w:tc>
          <w:tcPr>
            <w:tcW w:w="1077" w:type="dxa"/>
            <w:tcBorders>
              <w:top w:val="nil"/>
              <w:left w:val="single" w:sz="8" w:space="0" w:color="auto"/>
              <w:bottom w:val="nil"/>
              <w:right w:val="nil"/>
            </w:tcBorders>
            <w:shd w:val="clear" w:color="auto" w:fill="auto"/>
            <w:noWrap/>
            <w:vAlign w:val="center"/>
            <w:hideMark/>
          </w:tcPr>
          <w:p w14:paraId="5737F2CC"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6,889</w:t>
            </w:r>
          </w:p>
        </w:tc>
        <w:tc>
          <w:tcPr>
            <w:tcW w:w="1355" w:type="dxa"/>
            <w:tcBorders>
              <w:top w:val="nil"/>
              <w:left w:val="single" w:sz="8" w:space="0" w:color="auto"/>
              <w:bottom w:val="nil"/>
              <w:right w:val="single" w:sz="8" w:space="0" w:color="auto"/>
            </w:tcBorders>
            <w:shd w:val="clear" w:color="auto" w:fill="auto"/>
            <w:noWrap/>
            <w:vAlign w:val="center"/>
            <w:hideMark/>
          </w:tcPr>
          <w:p w14:paraId="186A6024"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nd</w:t>
            </w:r>
          </w:p>
        </w:tc>
      </w:tr>
      <w:tr w:rsidR="00DE6510" w:rsidRPr="001769F5" w14:paraId="2369863F"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777BB0CB" w14:textId="77777777" w:rsidR="00DE6510" w:rsidRPr="00F41B77" w:rsidRDefault="00DE6510" w:rsidP="00ED483A">
            <w:pPr>
              <w:widowControl/>
              <w:ind w:firstLineChars="400" w:firstLine="880"/>
              <w:rPr>
                <w:color w:val="000000"/>
                <w:sz w:val="22"/>
                <w:szCs w:val="22"/>
                <w:lang w:eastAsia="es-GT"/>
              </w:rPr>
            </w:pPr>
            <w:r w:rsidRPr="00F41B77">
              <w:rPr>
                <w:color w:val="000000"/>
                <w:sz w:val="22"/>
                <w:szCs w:val="22"/>
                <w:lang w:eastAsia="es-GT"/>
              </w:rPr>
              <w:t>Procesos ordinarios</w:t>
            </w:r>
          </w:p>
        </w:tc>
        <w:tc>
          <w:tcPr>
            <w:tcW w:w="1077" w:type="dxa"/>
            <w:tcBorders>
              <w:top w:val="nil"/>
              <w:left w:val="single" w:sz="8" w:space="0" w:color="auto"/>
              <w:bottom w:val="nil"/>
              <w:right w:val="nil"/>
            </w:tcBorders>
            <w:shd w:val="clear" w:color="auto" w:fill="auto"/>
            <w:noWrap/>
            <w:vAlign w:val="center"/>
            <w:hideMark/>
          </w:tcPr>
          <w:p w14:paraId="5F3A5CEC"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6,808</w:t>
            </w:r>
          </w:p>
        </w:tc>
        <w:tc>
          <w:tcPr>
            <w:tcW w:w="1355" w:type="dxa"/>
            <w:tcBorders>
              <w:top w:val="nil"/>
              <w:left w:val="single" w:sz="8" w:space="0" w:color="auto"/>
              <w:bottom w:val="nil"/>
              <w:right w:val="single" w:sz="8" w:space="0" w:color="auto"/>
            </w:tcBorders>
            <w:shd w:val="clear" w:color="auto" w:fill="auto"/>
            <w:noWrap/>
            <w:vAlign w:val="center"/>
            <w:hideMark/>
          </w:tcPr>
          <w:p w14:paraId="5D0BA944"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nd</w:t>
            </w:r>
          </w:p>
        </w:tc>
      </w:tr>
      <w:tr w:rsidR="00DE6510" w:rsidRPr="001769F5" w14:paraId="0C883510"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224FF1FC" w14:textId="77777777" w:rsidR="00DE6510" w:rsidRPr="00F41B77" w:rsidRDefault="00DE6510" w:rsidP="00ED483A">
            <w:pPr>
              <w:widowControl/>
              <w:ind w:firstLineChars="400" w:firstLine="880"/>
              <w:rPr>
                <w:color w:val="000000"/>
                <w:sz w:val="22"/>
                <w:szCs w:val="22"/>
                <w:lang w:eastAsia="es-GT"/>
              </w:rPr>
            </w:pPr>
            <w:r w:rsidRPr="00F41B77">
              <w:rPr>
                <w:color w:val="000000"/>
                <w:sz w:val="22"/>
                <w:szCs w:val="22"/>
                <w:lang w:eastAsia="es-GT"/>
              </w:rPr>
              <w:t>Procesos colectivos</w:t>
            </w:r>
          </w:p>
        </w:tc>
        <w:tc>
          <w:tcPr>
            <w:tcW w:w="1077" w:type="dxa"/>
            <w:tcBorders>
              <w:top w:val="nil"/>
              <w:left w:val="single" w:sz="8" w:space="0" w:color="auto"/>
              <w:bottom w:val="nil"/>
              <w:right w:val="nil"/>
            </w:tcBorders>
            <w:shd w:val="clear" w:color="auto" w:fill="auto"/>
            <w:noWrap/>
            <w:vAlign w:val="center"/>
            <w:hideMark/>
          </w:tcPr>
          <w:p w14:paraId="700314E1"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101</w:t>
            </w:r>
          </w:p>
        </w:tc>
        <w:tc>
          <w:tcPr>
            <w:tcW w:w="1355" w:type="dxa"/>
            <w:tcBorders>
              <w:top w:val="nil"/>
              <w:left w:val="single" w:sz="8" w:space="0" w:color="auto"/>
              <w:bottom w:val="nil"/>
              <w:right w:val="single" w:sz="8" w:space="0" w:color="auto"/>
            </w:tcBorders>
            <w:shd w:val="clear" w:color="auto" w:fill="auto"/>
            <w:noWrap/>
            <w:vAlign w:val="center"/>
            <w:hideMark/>
          </w:tcPr>
          <w:p w14:paraId="4144EEC1"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nd</w:t>
            </w:r>
          </w:p>
        </w:tc>
      </w:tr>
      <w:tr w:rsidR="00DE6510" w:rsidRPr="001769F5" w14:paraId="225F06F5"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60685D35" w14:textId="77777777" w:rsidR="00DE6510" w:rsidRPr="00F41B77" w:rsidRDefault="00DE6510" w:rsidP="00ED483A">
            <w:pPr>
              <w:widowControl/>
              <w:ind w:firstLineChars="200" w:firstLine="440"/>
              <w:rPr>
                <w:color w:val="000000"/>
                <w:sz w:val="22"/>
                <w:szCs w:val="22"/>
                <w:lang w:eastAsia="es-GT"/>
              </w:rPr>
            </w:pPr>
            <w:r w:rsidRPr="00F41B77">
              <w:rPr>
                <w:color w:val="000000"/>
                <w:sz w:val="22"/>
                <w:szCs w:val="22"/>
                <w:lang w:eastAsia="es-GT"/>
              </w:rPr>
              <w:t>Procesos en Materia Civil</w:t>
            </w:r>
          </w:p>
        </w:tc>
        <w:tc>
          <w:tcPr>
            <w:tcW w:w="1077" w:type="dxa"/>
            <w:tcBorders>
              <w:top w:val="nil"/>
              <w:left w:val="single" w:sz="8" w:space="0" w:color="auto"/>
              <w:bottom w:val="nil"/>
              <w:right w:val="nil"/>
            </w:tcBorders>
            <w:shd w:val="clear" w:color="auto" w:fill="auto"/>
            <w:noWrap/>
            <w:vAlign w:val="center"/>
            <w:hideMark/>
          </w:tcPr>
          <w:p w14:paraId="1ECCB583"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227</w:t>
            </w:r>
          </w:p>
        </w:tc>
        <w:tc>
          <w:tcPr>
            <w:tcW w:w="1355" w:type="dxa"/>
            <w:tcBorders>
              <w:top w:val="nil"/>
              <w:left w:val="single" w:sz="8" w:space="0" w:color="auto"/>
              <w:bottom w:val="nil"/>
              <w:right w:val="single" w:sz="8" w:space="0" w:color="auto"/>
            </w:tcBorders>
            <w:shd w:val="clear" w:color="auto" w:fill="auto"/>
            <w:noWrap/>
            <w:vAlign w:val="center"/>
            <w:hideMark/>
          </w:tcPr>
          <w:p w14:paraId="2E5C34B6"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5,095.1</w:t>
            </w:r>
          </w:p>
        </w:tc>
      </w:tr>
      <w:tr w:rsidR="00DE6510" w:rsidRPr="001769F5" w14:paraId="64BFC37A"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329A9A81" w14:textId="77777777" w:rsidR="00DE6510" w:rsidRPr="00F41B77" w:rsidRDefault="00DE6510" w:rsidP="00ED483A">
            <w:pPr>
              <w:widowControl/>
              <w:ind w:firstLineChars="400" w:firstLine="880"/>
              <w:rPr>
                <w:color w:val="000000"/>
                <w:sz w:val="22"/>
                <w:szCs w:val="22"/>
                <w:lang w:eastAsia="es-GT"/>
              </w:rPr>
            </w:pPr>
            <w:r w:rsidRPr="00F41B77">
              <w:rPr>
                <w:color w:val="000000"/>
                <w:sz w:val="22"/>
                <w:szCs w:val="22"/>
                <w:lang w:eastAsia="es-GT"/>
              </w:rPr>
              <w:t>Arbitraje Nacional</w:t>
            </w:r>
          </w:p>
        </w:tc>
        <w:tc>
          <w:tcPr>
            <w:tcW w:w="1077" w:type="dxa"/>
            <w:tcBorders>
              <w:top w:val="nil"/>
              <w:left w:val="single" w:sz="8" w:space="0" w:color="auto"/>
              <w:bottom w:val="nil"/>
              <w:right w:val="nil"/>
            </w:tcBorders>
            <w:shd w:val="clear" w:color="auto" w:fill="auto"/>
            <w:noWrap/>
            <w:vAlign w:val="center"/>
            <w:hideMark/>
          </w:tcPr>
          <w:p w14:paraId="702614DC"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25</w:t>
            </w:r>
          </w:p>
        </w:tc>
        <w:tc>
          <w:tcPr>
            <w:tcW w:w="1355" w:type="dxa"/>
            <w:tcBorders>
              <w:top w:val="nil"/>
              <w:left w:val="single" w:sz="8" w:space="0" w:color="auto"/>
              <w:bottom w:val="nil"/>
              <w:right w:val="single" w:sz="8" w:space="0" w:color="auto"/>
            </w:tcBorders>
            <w:shd w:val="clear" w:color="auto" w:fill="auto"/>
            <w:noWrap/>
            <w:vAlign w:val="center"/>
            <w:hideMark/>
          </w:tcPr>
          <w:p w14:paraId="7FFB3F7E"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267.9</w:t>
            </w:r>
          </w:p>
        </w:tc>
      </w:tr>
      <w:tr w:rsidR="00DE6510" w:rsidRPr="001769F5" w14:paraId="142031A0"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2BBAFF28" w14:textId="77777777" w:rsidR="00DE6510" w:rsidRPr="00F41B77" w:rsidRDefault="00DE6510" w:rsidP="00ED483A">
            <w:pPr>
              <w:widowControl/>
              <w:ind w:firstLineChars="400" w:firstLine="880"/>
              <w:rPr>
                <w:color w:val="000000"/>
                <w:sz w:val="22"/>
                <w:szCs w:val="22"/>
                <w:lang w:eastAsia="es-GT"/>
              </w:rPr>
            </w:pPr>
            <w:r w:rsidRPr="00F41B77">
              <w:rPr>
                <w:color w:val="000000"/>
                <w:sz w:val="22"/>
                <w:szCs w:val="22"/>
                <w:lang w:eastAsia="es-GT"/>
              </w:rPr>
              <w:t>Sentencias</w:t>
            </w:r>
          </w:p>
        </w:tc>
        <w:tc>
          <w:tcPr>
            <w:tcW w:w="1077" w:type="dxa"/>
            <w:tcBorders>
              <w:top w:val="nil"/>
              <w:left w:val="single" w:sz="8" w:space="0" w:color="auto"/>
              <w:bottom w:val="nil"/>
              <w:right w:val="nil"/>
            </w:tcBorders>
            <w:shd w:val="clear" w:color="auto" w:fill="auto"/>
            <w:noWrap/>
            <w:vAlign w:val="center"/>
            <w:hideMark/>
          </w:tcPr>
          <w:p w14:paraId="3FDB6138"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3</w:t>
            </w:r>
          </w:p>
        </w:tc>
        <w:tc>
          <w:tcPr>
            <w:tcW w:w="1355" w:type="dxa"/>
            <w:tcBorders>
              <w:top w:val="nil"/>
              <w:left w:val="single" w:sz="8" w:space="0" w:color="auto"/>
              <w:bottom w:val="nil"/>
              <w:right w:val="single" w:sz="8" w:space="0" w:color="auto"/>
            </w:tcBorders>
            <w:shd w:val="clear" w:color="auto" w:fill="auto"/>
            <w:noWrap/>
            <w:vAlign w:val="center"/>
            <w:hideMark/>
          </w:tcPr>
          <w:p w14:paraId="5E2D8A51"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4.9</w:t>
            </w:r>
          </w:p>
        </w:tc>
      </w:tr>
      <w:tr w:rsidR="00DE6510" w:rsidRPr="001769F5" w14:paraId="3D904E9E"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321C85B1" w14:textId="77777777" w:rsidR="00DE6510" w:rsidRPr="00F41B77" w:rsidRDefault="00DE6510" w:rsidP="00ED483A">
            <w:pPr>
              <w:widowControl/>
              <w:ind w:firstLineChars="400" w:firstLine="880"/>
              <w:rPr>
                <w:color w:val="000000"/>
                <w:sz w:val="22"/>
                <w:szCs w:val="22"/>
                <w:lang w:eastAsia="es-GT"/>
              </w:rPr>
            </w:pPr>
            <w:r w:rsidRPr="00F41B77">
              <w:rPr>
                <w:color w:val="000000"/>
                <w:sz w:val="22"/>
                <w:szCs w:val="22"/>
                <w:lang w:eastAsia="es-GT"/>
              </w:rPr>
              <w:t>Juicios ordinarios y sumarios</w:t>
            </w:r>
          </w:p>
        </w:tc>
        <w:tc>
          <w:tcPr>
            <w:tcW w:w="1077" w:type="dxa"/>
            <w:tcBorders>
              <w:top w:val="nil"/>
              <w:left w:val="single" w:sz="8" w:space="0" w:color="auto"/>
              <w:bottom w:val="nil"/>
              <w:right w:val="nil"/>
            </w:tcBorders>
            <w:shd w:val="clear" w:color="auto" w:fill="auto"/>
            <w:noWrap/>
            <w:vAlign w:val="center"/>
            <w:hideMark/>
          </w:tcPr>
          <w:p w14:paraId="0B41A47B"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119</w:t>
            </w:r>
          </w:p>
        </w:tc>
        <w:tc>
          <w:tcPr>
            <w:tcW w:w="1355" w:type="dxa"/>
            <w:tcBorders>
              <w:top w:val="nil"/>
              <w:left w:val="single" w:sz="8" w:space="0" w:color="auto"/>
              <w:bottom w:val="nil"/>
              <w:right w:val="single" w:sz="8" w:space="0" w:color="auto"/>
            </w:tcBorders>
            <w:shd w:val="clear" w:color="auto" w:fill="auto"/>
            <w:noWrap/>
            <w:vAlign w:val="center"/>
            <w:hideMark/>
          </w:tcPr>
          <w:p w14:paraId="704FB99A"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817.3</w:t>
            </w:r>
          </w:p>
        </w:tc>
      </w:tr>
      <w:tr w:rsidR="00DE6510" w:rsidRPr="001769F5" w14:paraId="1C2BBABC"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6424DF09" w14:textId="77777777" w:rsidR="00DE6510" w:rsidRPr="00F41B77" w:rsidRDefault="00DE6510" w:rsidP="00ED483A">
            <w:pPr>
              <w:widowControl/>
              <w:ind w:firstLineChars="400" w:firstLine="880"/>
              <w:rPr>
                <w:color w:val="000000"/>
                <w:sz w:val="22"/>
                <w:szCs w:val="22"/>
                <w:lang w:eastAsia="es-GT"/>
              </w:rPr>
            </w:pPr>
            <w:r w:rsidRPr="00F41B77">
              <w:rPr>
                <w:color w:val="000000"/>
                <w:sz w:val="22"/>
                <w:szCs w:val="22"/>
                <w:lang w:eastAsia="es-GT"/>
              </w:rPr>
              <w:t>Juicios económicos Coactivos</w:t>
            </w:r>
          </w:p>
        </w:tc>
        <w:tc>
          <w:tcPr>
            <w:tcW w:w="1077" w:type="dxa"/>
            <w:tcBorders>
              <w:top w:val="nil"/>
              <w:left w:val="single" w:sz="8" w:space="0" w:color="auto"/>
              <w:bottom w:val="nil"/>
              <w:right w:val="nil"/>
            </w:tcBorders>
            <w:shd w:val="clear" w:color="auto" w:fill="auto"/>
            <w:noWrap/>
            <w:vAlign w:val="center"/>
            <w:hideMark/>
          </w:tcPr>
          <w:p w14:paraId="758D3BBA"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80</w:t>
            </w:r>
          </w:p>
        </w:tc>
        <w:tc>
          <w:tcPr>
            <w:tcW w:w="1355" w:type="dxa"/>
            <w:tcBorders>
              <w:top w:val="nil"/>
              <w:left w:val="single" w:sz="8" w:space="0" w:color="auto"/>
              <w:bottom w:val="nil"/>
              <w:right w:val="single" w:sz="8" w:space="0" w:color="auto"/>
            </w:tcBorders>
            <w:shd w:val="clear" w:color="auto" w:fill="auto"/>
            <w:noWrap/>
            <w:vAlign w:val="center"/>
            <w:hideMark/>
          </w:tcPr>
          <w:p w14:paraId="46393825"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4,005.1</w:t>
            </w:r>
          </w:p>
        </w:tc>
      </w:tr>
      <w:tr w:rsidR="00DE6510" w:rsidRPr="001769F5" w14:paraId="64D533EE"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54A78939" w14:textId="77777777" w:rsidR="00DE6510" w:rsidRPr="00F41B77" w:rsidRDefault="00DE6510" w:rsidP="00ED483A">
            <w:pPr>
              <w:widowControl/>
              <w:rPr>
                <w:b/>
                <w:bCs/>
                <w:color w:val="000000"/>
                <w:sz w:val="22"/>
                <w:szCs w:val="22"/>
                <w:lang w:eastAsia="es-GT"/>
              </w:rPr>
            </w:pPr>
            <w:r w:rsidRPr="00F41B77">
              <w:rPr>
                <w:b/>
                <w:bCs/>
                <w:color w:val="000000"/>
                <w:sz w:val="22"/>
                <w:szCs w:val="22"/>
                <w:lang w:eastAsia="es-GT"/>
              </w:rPr>
              <w:t>Procesos en cortes internacionales</w:t>
            </w:r>
          </w:p>
        </w:tc>
        <w:tc>
          <w:tcPr>
            <w:tcW w:w="1077" w:type="dxa"/>
            <w:tcBorders>
              <w:top w:val="nil"/>
              <w:left w:val="single" w:sz="8" w:space="0" w:color="auto"/>
              <w:bottom w:val="nil"/>
              <w:right w:val="nil"/>
            </w:tcBorders>
            <w:shd w:val="clear" w:color="auto" w:fill="auto"/>
            <w:noWrap/>
            <w:vAlign w:val="center"/>
            <w:hideMark/>
          </w:tcPr>
          <w:p w14:paraId="3A484220" w14:textId="77777777" w:rsidR="00DE6510" w:rsidRPr="00F41B77" w:rsidRDefault="00DE6510" w:rsidP="00ED483A">
            <w:pPr>
              <w:widowControl/>
              <w:jc w:val="center"/>
              <w:rPr>
                <w:b/>
                <w:bCs/>
                <w:color w:val="000000"/>
                <w:sz w:val="22"/>
                <w:szCs w:val="22"/>
                <w:lang w:eastAsia="es-GT"/>
              </w:rPr>
            </w:pPr>
            <w:r w:rsidRPr="00F41B77">
              <w:rPr>
                <w:b/>
                <w:bCs/>
                <w:color w:val="000000"/>
                <w:sz w:val="22"/>
                <w:szCs w:val="22"/>
                <w:lang w:eastAsia="es-GT"/>
              </w:rPr>
              <w:t>180</w:t>
            </w:r>
          </w:p>
        </w:tc>
        <w:tc>
          <w:tcPr>
            <w:tcW w:w="1355" w:type="dxa"/>
            <w:tcBorders>
              <w:top w:val="nil"/>
              <w:left w:val="single" w:sz="8" w:space="0" w:color="auto"/>
              <w:bottom w:val="nil"/>
              <w:right w:val="single" w:sz="8" w:space="0" w:color="auto"/>
            </w:tcBorders>
            <w:shd w:val="clear" w:color="auto" w:fill="auto"/>
            <w:noWrap/>
            <w:vAlign w:val="center"/>
            <w:hideMark/>
          </w:tcPr>
          <w:p w14:paraId="011D871E" w14:textId="035155F5" w:rsidR="00DE6510" w:rsidRPr="00F41B77" w:rsidRDefault="00DE6510" w:rsidP="00ED483A">
            <w:pPr>
              <w:widowControl/>
              <w:jc w:val="right"/>
              <w:rPr>
                <w:b/>
                <w:bCs/>
                <w:color w:val="000000"/>
                <w:sz w:val="22"/>
                <w:szCs w:val="22"/>
                <w:lang w:eastAsia="es-GT"/>
              </w:rPr>
            </w:pPr>
            <w:r w:rsidRPr="00F41B77">
              <w:rPr>
                <w:b/>
                <w:bCs/>
                <w:color w:val="000000"/>
                <w:sz w:val="22"/>
                <w:szCs w:val="22"/>
                <w:lang w:eastAsia="es-GT"/>
              </w:rPr>
              <w:t>7,6</w:t>
            </w:r>
            <w:r w:rsidR="001F79C2">
              <w:rPr>
                <w:b/>
                <w:bCs/>
                <w:color w:val="000000"/>
                <w:sz w:val="22"/>
                <w:szCs w:val="22"/>
                <w:lang w:eastAsia="es-GT"/>
              </w:rPr>
              <w:t>6</w:t>
            </w:r>
            <w:r w:rsidRPr="00F41B77">
              <w:rPr>
                <w:b/>
                <w:bCs/>
                <w:color w:val="000000"/>
                <w:sz w:val="22"/>
                <w:szCs w:val="22"/>
                <w:lang w:eastAsia="es-GT"/>
              </w:rPr>
              <w:t>2.</w:t>
            </w:r>
            <w:r w:rsidR="001F79C2">
              <w:rPr>
                <w:b/>
                <w:bCs/>
                <w:color w:val="000000"/>
                <w:sz w:val="22"/>
                <w:szCs w:val="22"/>
                <w:lang w:eastAsia="es-GT"/>
              </w:rPr>
              <w:t>3</w:t>
            </w:r>
          </w:p>
        </w:tc>
      </w:tr>
      <w:tr w:rsidR="00DE6510" w:rsidRPr="001769F5" w14:paraId="3F0852DA" w14:textId="77777777" w:rsidTr="00C3002C">
        <w:trPr>
          <w:trHeight w:val="283"/>
          <w:jc w:val="center"/>
        </w:trPr>
        <w:tc>
          <w:tcPr>
            <w:tcW w:w="5593" w:type="dxa"/>
            <w:tcBorders>
              <w:top w:val="nil"/>
              <w:left w:val="single" w:sz="8" w:space="0" w:color="auto"/>
              <w:bottom w:val="nil"/>
              <w:right w:val="nil"/>
            </w:tcBorders>
            <w:shd w:val="clear" w:color="auto" w:fill="auto"/>
            <w:noWrap/>
            <w:vAlign w:val="center"/>
            <w:hideMark/>
          </w:tcPr>
          <w:p w14:paraId="62362DD7" w14:textId="77777777" w:rsidR="00DE6510" w:rsidRPr="00F41B77" w:rsidRDefault="00DE6510" w:rsidP="00ED483A">
            <w:pPr>
              <w:widowControl/>
              <w:ind w:firstLineChars="200" w:firstLine="440"/>
              <w:rPr>
                <w:color w:val="000000"/>
                <w:sz w:val="22"/>
                <w:szCs w:val="22"/>
                <w:lang w:eastAsia="es-GT"/>
              </w:rPr>
            </w:pPr>
            <w:r w:rsidRPr="00F41B77">
              <w:rPr>
                <w:color w:val="000000"/>
                <w:sz w:val="22"/>
                <w:szCs w:val="22"/>
                <w:lang w:eastAsia="es-GT"/>
              </w:rPr>
              <w:t xml:space="preserve">Arbitraje de Inversión </w:t>
            </w:r>
          </w:p>
        </w:tc>
        <w:tc>
          <w:tcPr>
            <w:tcW w:w="1077" w:type="dxa"/>
            <w:tcBorders>
              <w:top w:val="nil"/>
              <w:left w:val="single" w:sz="8" w:space="0" w:color="auto"/>
              <w:bottom w:val="nil"/>
              <w:right w:val="nil"/>
            </w:tcBorders>
            <w:shd w:val="clear" w:color="auto" w:fill="auto"/>
            <w:noWrap/>
            <w:vAlign w:val="center"/>
            <w:hideMark/>
          </w:tcPr>
          <w:p w14:paraId="53898A7D"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5</w:t>
            </w:r>
          </w:p>
        </w:tc>
        <w:tc>
          <w:tcPr>
            <w:tcW w:w="1355" w:type="dxa"/>
            <w:tcBorders>
              <w:top w:val="nil"/>
              <w:left w:val="single" w:sz="8" w:space="0" w:color="auto"/>
              <w:bottom w:val="nil"/>
              <w:right w:val="single" w:sz="8" w:space="0" w:color="auto"/>
            </w:tcBorders>
            <w:shd w:val="clear" w:color="auto" w:fill="auto"/>
            <w:noWrap/>
            <w:vAlign w:val="center"/>
            <w:hideMark/>
          </w:tcPr>
          <w:p w14:paraId="5E92C123" w14:textId="4E2F18A4" w:rsidR="00DE6510" w:rsidRPr="00F41B77" w:rsidRDefault="00DE6510" w:rsidP="00ED483A">
            <w:pPr>
              <w:widowControl/>
              <w:jc w:val="right"/>
              <w:rPr>
                <w:color w:val="000000"/>
                <w:sz w:val="22"/>
                <w:szCs w:val="22"/>
                <w:lang w:eastAsia="es-GT"/>
              </w:rPr>
            </w:pPr>
            <w:r w:rsidRPr="00F41B77">
              <w:rPr>
                <w:color w:val="000000"/>
                <w:sz w:val="22"/>
                <w:szCs w:val="22"/>
                <w:lang w:eastAsia="es-GT"/>
              </w:rPr>
              <w:t>7,6</w:t>
            </w:r>
            <w:r w:rsidR="001F79C2">
              <w:rPr>
                <w:color w:val="000000"/>
                <w:sz w:val="22"/>
                <w:szCs w:val="22"/>
                <w:lang w:eastAsia="es-GT"/>
              </w:rPr>
              <w:t>6</w:t>
            </w:r>
            <w:r w:rsidRPr="00F41B77">
              <w:rPr>
                <w:color w:val="000000"/>
                <w:sz w:val="22"/>
                <w:szCs w:val="22"/>
                <w:lang w:eastAsia="es-GT"/>
              </w:rPr>
              <w:t>2.</w:t>
            </w:r>
            <w:r w:rsidR="001F79C2">
              <w:rPr>
                <w:color w:val="000000"/>
                <w:sz w:val="22"/>
                <w:szCs w:val="22"/>
                <w:lang w:eastAsia="es-GT"/>
              </w:rPr>
              <w:t>3</w:t>
            </w:r>
          </w:p>
        </w:tc>
      </w:tr>
      <w:tr w:rsidR="00DE6510" w:rsidRPr="001769F5" w14:paraId="4BFD1AE8" w14:textId="77777777" w:rsidTr="00C3002C">
        <w:trPr>
          <w:trHeight w:val="470"/>
          <w:jc w:val="center"/>
        </w:trPr>
        <w:tc>
          <w:tcPr>
            <w:tcW w:w="5593" w:type="dxa"/>
            <w:tcBorders>
              <w:top w:val="nil"/>
              <w:left w:val="single" w:sz="8" w:space="0" w:color="auto"/>
              <w:bottom w:val="single" w:sz="8" w:space="0" w:color="auto"/>
              <w:right w:val="nil"/>
            </w:tcBorders>
            <w:shd w:val="clear" w:color="auto" w:fill="auto"/>
            <w:vAlign w:val="center"/>
            <w:hideMark/>
          </w:tcPr>
          <w:p w14:paraId="3D5F47B1" w14:textId="77777777" w:rsidR="00DE6510" w:rsidRPr="00F41B77" w:rsidRDefault="00DE6510" w:rsidP="00ED483A">
            <w:pPr>
              <w:widowControl/>
              <w:ind w:firstLineChars="200" w:firstLine="440"/>
              <w:rPr>
                <w:color w:val="000000"/>
                <w:sz w:val="22"/>
                <w:szCs w:val="22"/>
                <w:lang w:eastAsia="es-GT"/>
              </w:rPr>
            </w:pPr>
            <w:r w:rsidRPr="00F41B77">
              <w:rPr>
                <w:color w:val="000000"/>
                <w:sz w:val="22"/>
                <w:szCs w:val="22"/>
                <w:lang w:eastAsia="es-GT"/>
              </w:rPr>
              <w:t>Procesos ante el Sistema Interamericano de Protección de Derechos Humanos</w:t>
            </w:r>
          </w:p>
        </w:tc>
        <w:tc>
          <w:tcPr>
            <w:tcW w:w="1077" w:type="dxa"/>
            <w:tcBorders>
              <w:top w:val="nil"/>
              <w:left w:val="single" w:sz="8" w:space="0" w:color="auto"/>
              <w:bottom w:val="single" w:sz="8" w:space="0" w:color="auto"/>
              <w:right w:val="nil"/>
            </w:tcBorders>
            <w:shd w:val="clear" w:color="auto" w:fill="auto"/>
            <w:noWrap/>
            <w:vAlign w:val="center"/>
            <w:hideMark/>
          </w:tcPr>
          <w:p w14:paraId="0B4E2A9E" w14:textId="77777777" w:rsidR="00DE6510" w:rsidRPr="00F41B77" w:rsidRDefault="00DE6510" w:rsidP="00ED483A">
            <w:pPr>
              <w:widowControl/>
              <w:jc w:val="center"/>
              <w:rPr>
                <w:color w:val="000000"/>
                <w:sz w:val="22"/>
                <w:szCs w:val="22"/>
                <w:lang w:eastAsia="es-GT"/>
              </w:rPr>
            </w:pPr>
            <w:r w:rsidRPr="00F41B77">
              <w:rPr>
                <w:color w:val="000000"/>
                <w:sz w:val="22"/>
                <w:szCs w:val="22"/>
                <w:lang w:eastAsia="es-GT"/>
              </w:rPr>
              <w:t>175</w:t>
            </w:r>
          </w:p>
        </w:tc>
        <w:tc>
          <w:tcPr>
            <w:tcW w:w="1355" w:type="dxa"/>
            <w:tcBorders>
              <w:top w:val="nil"/>
              <w:left w:val="single" w:sz="8" w:space="0" w:color="auto"/>
              <w:bottom w:val="single" w:sz="8" w:space="0" w:color="auto"/>
              <w:right w:val="single" w:sz="8" w:space="0" w:color="auto"/>
            </w:tcBorders>
            <w:shd w:val="clear" w:color="auto" w:fill="auto"/>
            <w:noWrap/>
            <w:vAlign w:val="center"/>
            <w:hideMark/>
          </w:tcPr>
          <w:p w14:paraId="50C5B6A8" w14:textId="77777777" w:rsidR="00DE6510" w:rsidRPr="00F41B77" w:rsidRDefault="00DE6510" w:rsidP="00ED483A">
            <w:pPr>
              <w:widowControl/>
              <w:jc w:val="right"/>
              <w:rPr>
                <w:color w:val="000000"/>
                <w:sz w:val="22"/>
                <w:szCs w:val="22"/>
                <w:lang w:eastAsia="es-GT"/>
              </w:rPr>
            </w:pPr>
            <w:r w:rsidRPr="00F41B77">
              <w:rPr>
                <w:color w:val="000000"/>
                <w:sz w:val="22"/>
                <w:szCs w:val="22"/>
                <w:lang w:eastAsia="es-GT"/>
              </w:rPr>
              <w:t>nd</w:t>
            </w:r>
          </w:p>
        </w:tc>
      </w:tr>
    </w:tbl>
    <w:p w14:paraId="47FE01E2" w14:textId="703C9E72" w:rsidR="00DE6510" w:rsidRDefault="00DE6510" w:rsidP="00DE6510">
      <w:pPr>
        <w:rPr>
          <w:bCs/>
          <w:sz w:val="16"/>
        </w:rPr>
      </w:pPr>
      <w:r>
        <w:rPr>
          <w:bCs/>
          <w:sz w:val="16"/>
        </w:rPr>
        <w:t xml:space="preserve">     </w:t>
      </w:r>
      <w:r w:rsidR="00F41B77">
        <w:rPr>
          <w:bCs/>
          <w:sz w:val="16"/>
        </w:rPr>
        <w:tab/>
      </w:r>
      <w:r w:rsidRPr="001A445E">
        <w:rPr>
          <w:bCs/>
          <w:sz w:val="16"/>
        </w:rPr>
        <w:t>Fuente: Procuraduría General de la Nación.</w:t>
      </w:r>
    </w:p>
    <w:p w14:paraId="769B1F81" w14:textId="4EE0CB23" w:rsidR="00DE6510" w:rsidRDefault="00DE6510" w:rsidP="00DE6510">
      <w:pPr>
        <w:rPr>
          <w:bCs/>
          <w:sz w:val="16"/>
        </w:rPr>
      </w:pPr>
      <w:r>
        <w:rPr>
          <w:bCs/>
          <w:sz w:val="16"/>
        </w:rPr>
        <w:t xml:space="preserve"> </w:t>
      </w:r>
      <w:r w:rsidR="00F41B77">
        <w:rPr>
          <w:bCs/>
          <w:sz w:val="16"/>
        </w:rPr>
        <w:tab/>
      </w:r>
      <w:r>
        <w:rPr>
          <w:bCs/>
          <w:sz w:val="16"/>
        </w:rPr>
        <w:t>n.d.: no disponible</w:t>
      </w:r>
    </w:p>
    <w:p w14:paraId="381480FD" w14:textId="77777777" w:rsidR="00DE6510" w:rsidRDefault="00DE6510" w:rsidP="00DE6510">
      <w:pPr>
        <w:ind w:left="1416"/>
        <w:rPr>
          <w:bCs/>
          <w:sz w:val="16"/>
        </w:rPr>
      </w:pPr>
    </w:p>
    <w:p w14:paraId="6B23C522" w14:textId="77777777" w:rsidR="00265DBD" w:rsidRPr="00030099" w:rsidRDefault="00265DBD" w:rsidP="004C44BD">
      <w:pPr>
        <w:pStyle w:val="Ttulo1"/>
        <w:numPr>
          <w:ilvl w:val="0"/>
          <w:numId w:val="5"/>
        </w:numPr>
        <w:ind w:left="284" w:hanging="284"/>
        <w:jc w:val="left"/>
        <w:rPr>
          <w:color w:val="auto"/>
          <w:sz w:val="24"/>
          <w:szCs w:val="28"/>
        </w:rPr>
      </w:pPr>
      <w:bookmarkStart w:id="364" w:name="_Toc114495293"/>
      <w:r w:rsidRPr="00030099">
        <w:rPr>
          <w:color w:val="auto"/>
          <w:sz w:val="24"/>
          <w:szCs w:val="28"/>
        </w:rPr>
        <w:t>Riesgos de desastres provocados por fenómenos naturales</w:t>
      </w:r>
      <w:bookmarkEnd w:id="364"/>
    </w:p>
    <w:p w14:paraId="564EA31C" w14:textId="77777777" w:rsidR="00265DBD" w:rsidRPr="00316458" w:rsidRDefault="00265DBD" w:rsidP="00265DBD">
      <w:pPr>
        <w:rPr>
          <w:sz w:val="18"/>
          <w:szCs w:val="22"/>
          <w:highlight w:val="yellow"/>
        </w:rPr>
      </w:pPr>
    </w:p>
    <w:p w14:paraId="21D44975" w14:textId="77777777" w:rsidR="00265DBD" w:rsidRPr="00BC572D" w:rsidRDefault="00265DBD" w:rsidP="00265DBD">
      <w:pPr>
        <w:jc w:val="both"/>
      </w:pPr>
      <w:r w:rsidRPr="00BC572D">
        <w:t>Un desastre natural se define, según la Coordinadora Nacional para la Reducción de Desastres -CONRED-, como una interrupción y alteración intensa que trastorna gravemente el funcionamiento normal de una comunidad, provocado por un evento físico potencialmente destructor, de origen natural o antrópico, determinado por condiciones de vulnerabilidad latentes en la sociedad, que puede causar daños y pérdidas de vidas humanas, económicas y ambientales afectando los medios de vida y el desarrollo de un territorio, comunidad y ecosistemas.</w:t>
      </w:r>
    </w:p>
    <w:p w14:paraId="6812D0A3" w14:textId="77777777" w:rsidR="00265DBD" w:rsidRPr="00316458" w:rsidRDefault="00265DBD" w:rsidP="00265DBD">
      <w:pPr>
        <w:jc w:val="both"/>
        <w:rPr>
          <w:rFonts w:eastAsia="Times New Roman"/>
          <w:lang w:val="es-ES"/>
        </w:rPr>
      </w:pPr>
    </w:p>
    <w:p w14:paraId="34DAF3D4" w14:textId="64E140E0" w:rsidR="00265DBD" w:rsidRDefault="00265DBD" w:rsidP="00265DBD">
      <w:pPr>
        <w:jc w:val="both"/>
        <w:rPr>
          <w:rFonts w:eastAsia="Times New Roman"/>
          <w:lang w:val="es-ES"/>
        </w:rPr>
      </w:pPr>
      <w:r w:rsidRPr="00316458">
        <w:rPr>
          <w:rFonts w:eastAsia="Times New Roman"/>
          <w:lang w:val="es-ES"/>
        </w:rPr>
        <w:t>Los desastres pueden causar dos tipos de impactos siendo estos las pérdidas directas e indirectas, en donde las pérdidas directas se vinculan al daño físico expresado en víctimas, daños a la infraestructura de servicios públicos, daños en la industria, comercio y medio ambiente</w:t>
      </w:r>
      <w:r>
        <w:rPr>
          <w:rFonts w:eastAsia="Times New Roman"/>
          <w:lang w:val="es-ES"/>
        </w:rPr>
        <w:t xml:space="preserve">. </w:t>
      </w:r>
      <w:r w:rsidRPr="00316458">
        <w:rPr>
          <w:rFonts w:eastAsia="Times New Roman"/>
          <w:lang w:val="es-ES"/>
        </w:rPr>
        <w:t xml:space="preserve"> </w:t>
      </w:r>
      <w:r>
        <w:rPr>
          <w:rFonts w:eastAsia="Times New Roman"/>
          <w:lang w:val="es-ES"/>
        </w:rPr>
        <w:t>P</w:t>
      </w:r>
      <w:r w:rsidRPr="00316458">
        <w:rPr>
          <w:rFonts w:eastAsia="Times New Roman"/>
          <w:lang w:val="es-ES"/>
        </w:rPr>
        <w:t>or el otro lado</w:t>
      </w:r>
      <w:r>
        <w:rPr>
          <w:rFonts w:eastAsia="Times New Roman"/>
          <w:lang w:val="es-ES"/>
        </w:rPr>
        <w:t>,</w:t>
      </w:r>
      <w:r w:rsidRPr="00316458">
        <w:rPr>
          <w:rFonts w:eastAsia="Times New Roman"/>
          <w:lang w:val="es-ES"/>
        </w:rPr>
        <w:t xml:space="preserve"> los efectos indirectos pueden ser sociales como la interrupción del transporte, educación, medios de información y los efectos económicos que se ven reflejados por alteraciones en el comercio y los gastos de rehabilitación y recuperación. Para el caso de Guatemala los impactos causados por desastres provocados por fenómenos naturales a lo largo de la historia han sido tanto directos como indirectos. </w:t>
      </w:r>
    </w:p>
    <w:p w14:paraId="3082C43E" w14:textId="5E632F66" w:rsidR="00462A0A" w:rsidRDefault="00462A0A" w:rsidP="00265DBD">
      <w:pPr>
        <w:jc w:val="both"/>
        <w:rPr>
          <w:rFonts w:eastAsia="Times New Roman"/>
          <w:lang w:val="es-ES"/>
        </w:rPr>
      </w:pPr>
    </w:p>
    <w:p w14:paraId="5E2730E2" w14:textId="7F944938" w:rsidR="00462A0A" w:rsidRPr="00462A0A" w:rsidRDefault="00462A0A" w:rsidP="00462A0A">
      <w:pPr>
        <w:jc w:val="both"/>
        <w:rPr>
          <w:rFonts w:eastAsia="Times New Roman"/>
          <w:lang w:val="es-ES"/>
        </w:rPr>
      </w:pPr>
      <w:r w:rsidRPr="00462A0A">
        <w:rPr>
          <w:rFonts w:eastAsia="Times New Roman"/>
          <w:lang w:val="es-ES"/>
        </w:rPr>
        <w:t>El riesgo climático se define, según el Ministerio de Ambiente y Recursos Naturales (Tercera Comunicación Nacional sobre Cambio Climático), como el potencial de que se produzcan impactos negativos derivados de un evento de peligro relacionado con el clima. Por esto el riesgo climático se produce de la interacción entre la amenaza climática, la vulnerabilidad del sistema y la exposición. Según datos de la Tercera Comunicación Nacional de Cambio Climático 2021 los cambios observadores en las condiciones climáticas del país se ven reflejadas entre otros con el aumento de 0.8 °C en la temperatura media del país, siendo los meses con mayores cambios febrero, julio, agosto y septiembre, y, por otro lado, la lluvia más intensa pero distribuidas en menos días al año siendo esto de 122 mm de lluvia anual media. Guatemala es el cuarto país en Latinoamérica y el Caribe expuesto a las amenazas climáticas en donde a aproximadamente 13,092 poblados se encuentran expuestos a diversas amenazas, lo que representa el 74% del territorio nacional y el 75% de la población, de ello el 44% del territorio está expuesto a inundaciones, el 49% a deslizamientos y aproximadamente 3.5 millones de personas expuestas a sequias a nivel nacional.</w:t>
      </w:r>
    </w:p>
    <w:p w14:paraId="208B240C" w14:textId="77777777" w:rsidR="00462A0A" w:rsidRPr="00462A0A" w:rsidRDefault="00462A0A" w:rsidP="00462A0A">
      <w:pPr>
        <w:jc w:val="both"/>
        <w:rPr>
          <w:rFonts w:eastAsia="Times New Roman"/>
          <w:highlight w:val="yellow"/>
          <w:lang w:val="es-ES"/>
        </w:rPr>
      </w:pPr>
    </w:p>
    <w:p w14:paraId="70582434" w14:textId="2B028AEF" w:rsidR="00462A0A" w:rsidRDefault="00462A0A" w:rsidP="00265DBD">
      <w:pPr>
        <w:jc w:val="both"/>
        <w:rPr>
          <w:rFonts w:eastAsia="Times New Roman"/>
          <w:lang w:val="es-ES"/>
        </w:rPr>
      </w:pPr>
      <w:r w:rsidRPr="00462A0A">
        <w:rPr>
          <w:rFonts w:eastAsia="Times New Roman"/>
          <w:lang w:val="es-ES"/>
        </w:rPr>
        <w:t xml:space="preserve">A nivel país, todos los departamentos de Guatemala presentan como mínimo un 40% de sus poblaciones expuestas a alguna amenaza, </w:t>
      </w:r>
      <w:r>
        <w:rPr>
          <w:rFonts w:eastAsia="Times New Roman"/>
          <w:lang w:val="es-ES"/>
        </w:rPr>
        <w:t>mientras</w:t>
      </w:r>
      <w:r w:rsidRPr="00462A0A">
        <w:rPr>
          <w:rFonts w:eastAsia="Times New Roman"/>
          <w:lang w:val="es-ES"/>
        </w:rPr>
        <w:t xml:space="preserve"> de los </w:t>
      </w:r>
      <w:r>
        <w:rPr>
          <w:rFonts w:eastAsia="Times New Roman"/>
          <w:lang w:val="es-ES"/>
        </w:rPr>
        <w:t>2</w:t>
      </w:r>
      <w:r w:rsidRPr="00462A0A">
        <w:rPr>
          <w:rFonts w:eastAsia="Times New Roman"/>
          <w:lang w:val="es-ES"/>
        </w:rPr>
        <w:t>2 departamentos 17 presentan el 70% de su población expuesta. Específicamente los departamentos de Retalhuleu, San Marcos, Escuintla, Quetzaltenango y el Progreso son los que tiene mayor porcentaje de exposición, siendo esta de un 90%</w:t>
      </w:r>
      <w:r w:rsidR="000E4B9F">
        <w:rPr>
          <w:rFonts w:eastAsia="Times New Roman"/>
          <w:lang w:val="es-ES"/>
        </w:rPr>
        <w:t xml:space="preserve"> o mayor</w:t>
      </w:r>
      <w:r w:rsidRPr="00462A0A">
        <w:rPr>
          <w:rFonts w:eastAsia="Times New Roman"/>
          <w:lang w:val="es-ES"/>
        </w:rPr>
        <w:t>.</w:t>
      </w:r>
    </w:p>
    <w:p w14:paraId="44DEF839" w14:textId="7454DDE5" w:rsidR="009E47A0" w:rsidRDefault="009E47A0" w:rsidP="00265DBD">
      <w:pPr>
        <w:jc w:val="both"/>
        <w:rPr>
          <w:rFonts w:eastAsia="Times New Roman"/>
          <w:lang w:val="es-ES"/>
        </w:rPr>
      </w:pPr>
    </w:p>
    <w:p w14:paraId="05BF213D" w14:textId="5E8670DF" w:rsidR="009E47A0" w:rsidRPr="00595C75" w:rsidRDefault="00595C75" w:rsidP="00595C75">
      <w:pPr>
        <w:pStyle w:val="Descripcin"/>
        <w:keepNext/>
      </w:pPr>
      <w:bookmarkStart w:id="365" w:name="_Toc114493939"/>
      <w:r w:rsidRPr="00595C75">
        <w:rPr>
          <w:color w:val="auto"/>
        </w:rPr>
        <w:t xml:space="preserve">Tabla </w:t>
      </w:r>
      <w:r w:rsidRPr="00595C75">
        <w:rPr>
          <w:color w:val="auto"/>
        </w:rPr>
        <w:fldChar w:fldCharType="begin"/>
      </w:r>
      <w:r w:rsidRPr="00595C75">
        <w:rPr>
          <w:color w:val="auto"/>
        </w:rPr>
        <w:instrText xml:space="preserve"> SEQ Tabla \* ARABIC </w:instrText>
      </w:r>
      <w:r w:rsidRPr="00595C75">
        <w:rPr>
          <w:color w:val="auto"/>
        </w:rPr>
        <w:fldChar w:fldCharType="separate"/>
      </w:r>
      <w:r w:rsidR="002E7809">
        <w:rPr>
          <w:noProof/>
          <w:color w:val="auto"/>
        </w:rPr>
        <w:t>16</w:t>
      </w:r>
      <w:r w:rsidRPr="00595C75">
        <w:rPr>
          <w:color w:val="auto"/>
        </w:rPr>
        <w:fldChar w:fldCharType="end"/>
      </w:r>
      <w:r w:rsidRPr="00595C75">
        <w:rPr>
          <w:color w:val="auto"/>
        </w:rPr>
        <w:t xml:space="preserve">.  </w:t>
      </w:r>
      <w:r w:rsidR="009E47A0" w:rsidRPr="00595C75">
        <w:rPr>
          <w:rFonts w:eastAsia="Times New Roman"/>
          <w:bCs/>
          <w:color w:val="auto"/>
        </w:rPr>
        <w:t>Exposición ante amenazas climáticas por departamento en Guatemala</w:t>
      </w:r>
      <w:bookmarkEnd w:id="365"/>
    </w:p>
    <w:p w14:paraId="0876CEDA" w14:textId="77777777" w:rsidR="009E47A0" w:rsidRPr="009E47A0" w:rsidRDefault="009E47A0" w:rsidP="009E47A0">
      <w:pPr>
        <w:jc w:val="center"/>
        <w:rPr>
          <w:rFonts w:eastAsia="Times New Roman"/>
          <w:b/>
          <w:bCs/>
          <w:highlight w:val="yellow"/>
        </w:rPr>
      </w:pPr>
    </w:p>
    <w:tbl>
      <w:tblPr>
        <w:tblW w:w="6600" w:type="dxa"/>
        <w:jc w:val="center"/>
        <w:tblCellMar>
          <w:left w:w="70" w:type="dxa"/>
          <w:right w:w="70" w:type="dxa"/>
        </w:tblCellMar>
        <w:tblLook w:val="04A0" w:firstRow="1" w:lastRow="0" w:firstColumn="1" w:lastColumn="0" w:noHBand="0" w:noVBand="1"/>
      </w:tblPr>
      <w:tblGrid>
        <w:gridCol w:w="160"/>
        <w:gridCol w:w="380"/>
        <w:gridCol w:w="220"/>
        <w:gridCol w:w="2040"/>
        <w:gridCol w:w="1200"/>
        <w:gridCol w:w="2440"/>
        <w:gridCol w:w="160"/>
      </w:tblGrid>
      <w:tr w:rsidR="009E47A0" w:rsidRPr="009E47A0" w14:paraId="7588302A" w14:textId="77777777" w:rsidTr="000E4B9F">
        <w:trPr>
          <w:trHeight w:val="855"/>
          <w:jc w:val="center"/>
        </w:trPr>
        <w:tc>
          <w:tcPr>
            <w:tcW w:w="160" w:type="dxa"/>
            <w:tcBorders>
              <w:top w:val="nil"/>
              <w:left w:val="nil"/>
              <w:bottom w:val="nil"/>
              <w:right w:val="nil"/>
            </w:tcBorders>
            <w:shd w:val="clear" w:color="auto" w:fill="auto"/>
            <w:noWrap/>
            <w:vAlign w:val="bottom"/>
            <w:hideMark/>
          </w:tcPr>
          <w:p w14:paraId="53522CCE" w14:textId="77777777" w:rsidR="009E47A0" w:rsidRPr="009E47A0" w:rsidRDefault="009E47A0" w:rsidP="009E47A0">
            <w:pPr>
              <w:widowControl/>
              <w:rPr>
                <w:rFonts w:eastAsia="Times New Roman"/>
                <w:lang w:eastAsia="es-GT"/>
              </w:rPr>
            </w:pPr>
          </w:p>
        </w:tc>
        <w:tc>
          <w:tcPr>
            <w:tcW w:w="380" w:type="dxa"/>
            <w:tcBorders>
              <w:top w:val="nil"/>
              <w:left w:val="nil"/>
              <w:bottom w:val="nil"/>
              <w:right w:val="nil"/>
            </w:tcBorders>
            <w:shd w:val="clear" w:color="auto" w:fill="auto"/>
            <w:noWrap/>
            <w:vAlign w:val="bottom"/>
            <w:hideMark/>
          </w:tcPr>
          <w:p w14:paraId="128DAE62"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bottom"/>
            <w:hideMark/>
          </w:tcPr>
          <w:p w14:paraId="6067AD62"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DBDBDB" w:themeFill="accent3" w:themeFillTint="66"/>
            <w:noWrap/>
            <w:vAlign w:val="center"/>
            <w:hideMark/>
          </w:tcPr>
          <w:p w14:paraId="047362E5" w14:textId="77777777" w:rsidR="009E47A0" w:rsidRPr="009E47A0" w:rsidRDefault="009E47A0" w:rsidP="009E47A0">
            <w:pPr>
              <w:widowControl/>
              <w:jc w:val="center"/>
              <w:rPr>
                <w:rFonts w:eastAsia="Times New Roman"/>
                <w:b/>
                <w:bCs/>
                <w:color w:val="000000"/>
                <w:sz w:val="22"/>
                <w:szCs w:val="22"/>
                <w:lang w:eastAsia="es-GT"/>
              </w:rPr>
            </w:pPr>
            <w:r w:rsidRPr="009E47A0">
              <w:rPr>
                <w:rFonts w:eastAsia="Times New Roman"/>
                <w:b/>
                <w:bCs/>
                <w:color w:val="000000"/>
                <w:sz w:val="22"/>
                <w:szCs w:val="22"/>
                <w:lang w:eastAsia="es-GT"/>
              </w:rPr>
              <w:t>Departamento</w:t>
            </w:r>
          </w:p>
        </w:tc>
        <w:tc>
          <w:tcPr>
            <w:tcW w:w="1200" w:type="dxa"/>
            <w:tcBorders>
              <w:top w:val="nil"/>
              <w:left w:val="nil"/>
              <w:bottom w:val="nil"/>
              <w:right w:val="nil"/>
            </w:tcBorders>
            <w:shd w:val="clear" w:color="auto" w:fill="DBDBDB" w:themeFill="accent3" w:themeFillTint="66"/>
            <w:noWrap/>
            <w:vAlign w:val="center"/>
            <w:hideMark/>
          </w:tcPr>
          <w:p w14:paraId="59A599F2" w14:textId="77777777" w:rsidR="009E47A0" w:rsidRPr="009E47A0" w:rsidRDefault="009E47A0" w:rsidP="009E47A0">
            <w:pPr>
              <w:widowControl/>
              <w:jc w:val="center"/>
              <w:rPr>
                <w:rFonts w:eastAsia="Times New Roman"/>
                <w:b/>
                <w:bCs/>
                <w:color w:val="000000"/>
                <w:sz w:val="22"/>
                <w:szCs w:val="22"/>
                <w:lang w:eastAsia="es-GT"/>
              </w:rPr>
            </w:pPr>
            <w:r w:rsidRPr="009E47A0">
              <w:rPr>
                <w:rFonts w:eastAsia="Times New Roman"/>
                <w:b/>
                <w:bCs/>
                <w:color w:val="000000"/>
                <w:sz w:val="22"/>
                <w:szCs w:val="22"/>
                <w:lang w:eastAsia="es-GT"/>
              </w:rPr>
              <w:t>Poblados</w:t>
            </w:r>
          </w:p>
        </w:tc>
        <w:tc>
          <w:tcPr>
            <w:tcW w:w="2440" w:type="dxa"/>
            <w:tcBorders>
              <w:top w:val="nil"/>
              <w:left w:val="nil"/>
              <w:bottom w:val="nil"/>
              <w:right w:val="nil"/>
            </w:tcBorders>
            <w:shd w:val="clear" w:color="auto" w:fill="DBDBDB" w:themeFill="accent3" w:themeFillTint="66"/>
            <w:vAlign w:val="center"/>
            <w:hideMark/>
          </w:tcPr>
          <w:p w14:paraId="410FBFF1" w14:textId="77777777" w:rsidR="009E47A0" w:rsidRPr="009E47A0" w:rsidRDefault="009E47A0" w:rsidP="009E47A0">
            <w:pPr>
              <w:widowControl/>
              <w:jc w:val="center"/>
              <w:rPr>
                <w:rFonts w:eastAsia="Times New Roman"/>
                <w:b/>
                <w:bCs/>
                <w:color w:val="000000"/>
                <w:sz w:val="22"/>
                <w:szCs w:val="22"/>
                <w:lang w:eastAsia="es-GT"/>
              </w:rPr>
            </w:pPr>
            <w:r w:rsidRPr="009E47A0">
              <w:rPr>
                <w:rFonts w:eastAsia="Times New Roman"/>
                <w:b/>
                <w:bCs/>
                <w:color w:val="000000"/>
                <w:sz w:val="22"/>
                <w:szCs w:val="22"/>
                <w:lang w:eastAsia="es-GT"/>
              </w:rPr>
              <w:t>Poblados expuestos a una o más amenazas climáticas</w:t>
            </w:r>
          </w:p>
        </w:tc>
        <w:tc>
          <w:tcPr>
            <w:tcW w:w="160" w:type="dxa"/>
            <w:tcBorders>
              <w:top w:val="nil"/>
              <w:left w:val="nil"/>
              <w:bottom w:val="nil"/>
              <w:right w:val="nil"/>
            </w:tcBorders>
            <w:shd w:val="clear" w:color="auto" w:fill="auto"/>
            <w:noWrap/>
            <w:vAlign w:val="bottom"/>
            <w:hideMark/>
          </w:tcPr>
          <w:p w14:paraId="14435107" w14:textId="77777777" w:rsidR="009E47A0" w:rsidRPr="009E47A0" w:rsidRDefault="009E47A0" w:rsidP="009E47A0">
            <w:pPr>
              <w:widowControl/>
              <w:jc w:val="center"/>
              <w:rPr>
                <w:rFonts w:eastAsia="Times New Roman"/>
                <w:b/>
                <w:bCs/>
                <w:color w:val="000000"/>
                <w:sz w:val="22"/>
                <w:szCs w:val="22"/>
                <w:lang w:eastAsia="es-GT"/>
              </w:rPr>
            </w:pPr>
          </w:p>
        </w:tc>
      </w:tr>
      <w:tr w:rsidR="009E47A0" w:rsidRPr="009E47A0" w14:paraId="0CEA8EB1" w14:textId="77777777" w:rsidTr="001A37CA">
        <w:trPr>
          <w:trHeight w:val="116"/>
          <w:jc w:val="center"/>
        </w:trPr>
        <w:tc>
          <w:tcPr>
            <w:tcW w:w="160" w:type="dxa"/>
            <w:tcBorders>
              <w:top w:val="nil"/>
              <w:left w:val="nil"/>
              <w:bottom w:val="nil"/>
              <w:right w:val="nil"/>
            </w:tcBorders>
            <w:shd w:val="clear" w:color="auto" w:fill="auto"/>
            <w:noWrap/>
            <w:vAlign w:val="bottom"/>
            <w:hideMark/>
          </w:tcPr>
          <w:p w14:paraId="04ACA50F"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6E44F634" w14:textId="50EA435B"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66A62D36"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E2EFDA"/>
            <w:noWrap/>
            <w:vAlign w:val="center"/>
            <w:hideMark/>
          </w:tcPr>
          <w:p w14:paraId="1021686E"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Chimaltenango</w:t>
            </w:r>
          </w:p>
        </w:tc>
        <w:tc>
          <w:tcPr>
            <w:tcW w:w="1200" w:type="dxa"/>
            <w:tcBorders>
              <w:top w:val="nil"/>
              <w:left w:val="nil"/>
              <w:bottom w:val="nil"/>
              <w:right w:val="nil"/>
            </w:tcBorders>
            <w:shd w:val="clear" w:color="000000" w:fill="E2EFDA"/>
            <w:noWrap/>
            <w:vAlign w:val="center"/>
            <w:hideMark/>
          </w:tcPr>
          <w:p w14:paraId="6CB00871"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637</w:t>
            </w:r>
          </w:p>
        </w:tc>
        <w:tc>
          <w:tcPr>
            <w:tcW w:w="2440" w:type="dxa"/>
            <w:tcBorders>
              <w:top w:val="nil"/>
              <w:left w:val="nil"/>
              <w:bottom w:val="nil"/>
              <w:right w:val="nil"/>
            </w:tcBorders>
            <w:shd w:val="clear" w:color="000000" w:fill="E2EFDA"/>
            <w:noWrap/>
            <w:vAlign w:val="center"/>
            <w:hideMark/>
          </w:tcPr>
          <w:p w14:paraId="3840D801"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277</w:t>
            </w:r>
          </w:p>
        </w:tc>
        <w:tc>
          <w:tcPr>
            <w:tcW w:w="160" w:type="dxa"/>
            <w:tcBorders>
              <w:top w:val="nil"/>
              <w:left w:val="nil"/>
              <w:bottom w:val="nil"/>
              <w:right w:val="nil"/>
            </w:tcBorders>
            <w:shd w:val="clear" w:color="auto" w:fill="auto"/>
            <w:noWrap/>
            <w:vAlign w:val="bottom"/>
            <w:hideMark/>
          </w:tcPr>
          <w:p w14:paraId="2AAB6912"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6D094DD9" w14:textId="77777777" w:rsidTr="001A37CA">
        <w:trPr>
          <w:trHeight w:val="135"/>
          <w:jc w:val="center"/>
        </w:trPr>
        <w:tc>
          <w:tcPr>
            <w:tcW w:w="160" w:type="dxa"/>
            <w:tcBorders>
              <w:top w:val="nil"/>
              <w:left w:val="nil"/>
              <w:bottom w:val="nil"/>
              <w:right w:val="nil"/>
            </w:tcBorders>
            <w:shd w:val="clear" w:color="auto" w:fill="auto"/>
            <w:noWrap/>
            <w:vAlign w:val="bottom"/>
            <w:hideMark/>
          </w:tcPr>
          <w:p w14:paraId="1D70C3CA"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0A13EBA9"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39446C9D"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1107A20C"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6CE0661F"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77BAA334"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4E13EA1E" w14:textId="77777777" w:rsidR="009E47A0" w:rsidRPr="009E47A0" w:rsidRDefault="009E47A0" w:rsidP="009E47A0">
            <w:pPr>
              <w:widowControl/>
              <w:jc w:val="center"/>
              <w:rPr>
                <w:rFonts w:eastAsia="Times New Roman"/>
                <w:sz w:val="20"/>
                <w:szCs w:val="20"/>
                <w:lang w:eastAsia="es-GT"/>
              </w:rPr>
            </w:pPr>
          </w:p>
        </w:tc>
      </w:tr>
      <w:tr w:rsidR="009E47A0" w:rsidRPr="009E47A0" w14:paraId="6BF0685E" w14:textId="77777777" w:rsidTr="001A37CA">
        <w:trPr>
          <w:trHeight w:val="64"/>
          <w:jc w:val="center"/>
        </w:trPr>
        <w:tc>
          <w:tcPr>
            <w:tcW w:w="160" w:type="dxa"/>
            <w:tcBorders>
              <w:top w:val="nil"/>
              <w:left w:val="nil"/>
              <w:bottom w:val="nil"/>
              <w:right w:val="nil"/>
            </w:tcBorders>
            <w:shd w:val="clear" w:color="auto" w:fill="auto"/>
            <w:noWrap/>
            <w:vAlign w:val="bottom"/>
            <w:hideMark/>
          </w:tcPr>
          <w:p w14:paraId="18FC6C94"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6DE2F3A" w14:textId="4626E2CF"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34C68628"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E2EFDA"/>
            <w:noWrap/>
            <w:vAlign w:val="center"/>
            <w:hideMark/>
          </w:tcPr>
          <w:p w14:paraId="3F158E50"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Sacatepéquez</w:t>
            </w:r>
          </w:p>
        </w:tc>
        <w:tc>
          <w:tcPr>
            <w:tcW w:w="1200" w:type="dxa"/>
            <w:tcBorders>
              <w:top w:val="nil"/>
              <w:left w:val="nil"/>
              <w:bottom w:val="nil"/>
              <w:right w:val="nil"/>
            </w:tcBorders>
            <w:shd w:val="clear" w:color="000000" w:fill="E2EFDA"/>
            <w:noWrap/>
            <w:vAlign w:val="center"/>
            <w:hideMark/>
          </w:tcPr>
          <w:p w14:paraId="39016E7A"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224</w:t>
            </w:r>
          </w:p>
        </w:tc>
        <w:tc>
          <w:tcPr>
            <w:tcW w:w="2440" w:type="dxa"/>
            <w:tcBorders>
              <w:top w:val="nil"/>
              <w:left w:val="nil"/>
              <w:bottom w:val="nil"/>
              <w:right w:val="nil"/>
            </w:tcBorders>
            <w:shd w:val="clear" w:color="000000" w:fill="E2EFDA"/>
            <w:noWrap/>
            <w:vAlign w:val="center"/>
            <w:hideMark/>
          </w:tcPr>
          <w:p w14:paraId="06F808E1"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102</w:t>
            </w:r>
          </w:p>
        </w:tc>
        <w:tc>
          <w:tcPr>
            <w:tcW w:w="160" w:type="dxa"/>
            <w:tcBorders>
              <w:top w:val="nil"/>
              <w:left w:val="nil"/>
              <w:bottom w:val="nil"/>
              <w:right w:val="nil"/>
            </w:tcBorders>
            <w:shd w:val="clear" w:color="auto" w:fill="auto"/>
            <w:noWrap/>
            <w:vAlign w:val="bottom"/>
            <w:hideMark/>
          </w:tcPr>
          <w:p w14:paraId="747948F2"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5E0655EF" w14:textId="77777777" w:rsidTr="001A37CA">
        <w:trPr>
          <w:trHeight w:val="64"/>
          <w:jc w:val="center"/>
        </w:trPr>
        <w:tc>
          <w:tcPr>
            <w:tcW w:w="160" w:type="dxa"/>
            <w:tcBorders>
              <w:top w:val="nil"/>
              <w:left w:val="nil"/>
              <w:bottom w:val="nil"/>
              <w:right w:val="nil"/>
            </w:tcBorders>
            <w:shd w:val="clear" w:color="auto" w:fill="auto"/>
            <w:noWrap/>
            <w:vAlign w:val="bottom"/>
            <w:hideMark/>
          </w:tcPr>
          <w:p w14:paraId="00E0D31E"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4C0FC7D7"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147267D0"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04055A4D"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5C65F73D"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4ECAD300"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560D79CB" w14:textId="77777777" w:rsidR="009E47A0" w:rsidRPr="009E47A0" w:rsidRDefault="009E47A0" w:rsidP="009E47A0">
            <w:pPr>
              <w:widowControl/>
              <w:jc w:val="center"/>
              <w:rPr>
                <w:rFonts w:eastAsia="Times New Roman"/>
                <w:sz w:val="20"/>
                <w:szCs w:val="20"/>
                <w:lang w:eastAsia="es-GT"/>
              </w:rPr>
            </w:pPr>
          </w:p>
        </w:tc>
      </w:tr>
      <w:tr w:rsidR="009E47A0" w:rsidRPr="009E47A0" w14:paraId="15FDD0F8" w14:textId="77777777" w:rsidTr="001A37CA">
        <w:trPr>
          <w:trHeight w:val="102"/>
          <w:jc w:val="center"/>
        </w:trPr>
        <w:tc>
          <w:tcPr>
            <w:tcW w:w="160" w:type="dxa"/>
            <w:tcBorders>
              <w:top w:val="nil"/>
              <w:left w:val="nil"/>
              <w:bottom w:val="nil"/>
              <w:right w:val="nil"/>
            </w:tcBorders>
            <w:shd w:val="clear" w:color="auto" w:fill="auto"/>
            <w:noWrap/>
            <w:vAlign w:val="bottom"/>
            <w:hideMark/>
          </w:tcPr>
          <w:p w14:paraId="341B8EF6"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04844BE" w14:textId="5CD7F67D"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0F81EA8B"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E2EFDA"/>
            <w:noWrap/>
            <w:vAlign w:val="center"/>
            <w:hideMark/>
          </w:tcPr>
          <w:p w14:paraId="060F8ED9"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Guatemala</w:t>
            </w:r>
          </w:p>
        </w:tc>
        <w:tc>
          <w:tcPr>
            <w:tcW w:w="1200" w:type="dxa"/>
            <w:tcBorders>
              <w:top w:val="nil"/>
              <w:left w:val="nil"/>
              <w:bottom w:val="nil"/>
              <w:right w:val="nil"/>
            </w:tcBorders>
            <w:shd w:val="clear" w:color="000000" w:fill="E2EFDA"/>
            <w:noWrap/>
            <w:vAlign w:val="center"/>
            <w:hideMark/>
          </w:tcPr>
          <w:p w14:paraId="1DE7BEBA"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1,503</w:t>
            </w:r>
          </w:p>
        </w:tc>
        <w:tc>
          <w:tcPr>
            <w:tcW w:w="2440" w:type="dxa"/>
            <w:tcBorders>
              <w:top w:val="nil"/>
              <w:left w:val="nil"/>
              <w:bottom w:val="nil"/>
              <w:right w:val="nil"/>
            </w:tcBorders>
            <w:shd w:val="clear" w:color="000000" w:fill="E2EFDA"/>
            <w:noWrap/>
            <w:vAlign w:val="center"/>
            <w:hideMark/>
          </w:tcPr>
          <w:p w14:paraId="5E8C9945"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750</w:t>
            </w:r>
          </w:p>
        </w:tc>
        <w:tc>
          <w:tcPr>
            <w:tcW w:w="160" w:type="dxa"/>
            <w:tcBorders>
              <w:top w:val="nil"/>
              <w:left w:val="nil"/>
              <w:bottom w:val="nil"/>
              <w:right w:val="nil"/>
            </w:tcBorders>
            <w:shd w:val="clear" w:color="auto" w:fill="auto"/>
            <w:noWrap/>
            <w:vAlign w:val="bottom"/>
            <w:hideMark/>
          </w:tcPr>
          <w:p w14:paraId="52E0D2A4"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024E7FDB"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45468971"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3E139B9A"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11453DD6"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2861FAE2"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51E27629"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77DBD65D"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47BB94F6" w14:textId="77777777" w:rsidR="009E47A0" w:rsidRPr="009E47A0" w:rsidRDefault="009E47A0" w:rsidP="009E47A0">
            <w:pPr>
              <w:widowControl/>
              <w:jc w:val="center"/>
              <w:rPr>
                <w:rFonts w:eastAsia="Times New Roman"/>
                <w:sz w:val="20"/>
                <w:szCs w:val="20"/>
                <w:lang w:eastAsia="es-GT"/>
              </w:rPr>
            </w:pPr>
          </w:p>
        </w:tc>
      </w:tr>
      <w:tr w:rsidR="009E47A0" w:rsidRPr="009E47A0" w14:paraId="12E9DC81" w14:textId="77777777" w:rsidTr="001A37CA">
        <w:trPr>
          <w:trHeight w:val="64"/>
          <w:jc w:val="center"/>
        </w:trPr>
        <w:tc>
          <w:tcPr>
            <w:tcW w:w="160" w:type="dxa"/>
            <w:tcBorders>
              <w:top w:val="nil"/>
              <w:left w:val="nil"/>
              <w:bottom w:val="nil"/>
              <w:right w:val="nil"/>
            </w:tcBorders>
            <w:shd w:val="clear" w:color="auto" w:fill="auto"/>
            <w:noWrap/>
            <w:vAlign w:val="bottom"/>
            <w:hideMark/>
          </w:tcPr>
          <w:p w14:paraId="188BA9E9"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1020FB6" w14:textId="64180AB3"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07218F37"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E2EFDA"/>
            <w:noWrap/>
            <w:vAlign w:val="center"/>
            <w:hideMark/>
          </w:tcPr>
          <w:p w14:paraId="2D7FD925"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Jutiapa</w:t>
            </w:r>
          </w:p>
        </w:tc>
        <w:tc>
          <w:tcPr>
            <w:tcW w:w="1200" w:type="dxa"/>
            <w:tcBorders>
              <w:top w:val="nil"/>
              <w:left w:val="nil"/>
              <w:bottom w:val="nil"/>
              <w:right w:val="nil"/>
            </w:tcBorders>
            <w:shd w:val="clear" w:color="000000" w:fill="E2EFDA"/>
            <w:noWrap/>
            <w:vAlign w:val="center"/>
            <w:hideMark/>
          </w:tcPr>
          <w:p w14:paraId="1CBA21B5"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846</w:t>
            </w:r>
          </w:p>
        </w:tc>
        <w:tc>
          <w:tcPr>
            <w:tcW w:w="2440" w:type="dxa"/>
            <w:tcBorders>
              <w:top w:val="nil"/>
              <w:left w:val="nil"/>
              <w:bottom w:val="nil"/>
              <w:right w:val="nil"/>
            </w:tcBorders>
            <w:shd w:val="clear" w:color="000000" w:fill="E2EFDA"/>
            <w:noWrap/>
            <w:vAlign w:val="center"/>
            <w:hideMark/>
          </w:tcPr>
          <w:p w14:paraId="2BABD840"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493</w:t>
            </w:r>
          </w:p>
        </w:tc>
        <w:tc>
          <w:tcPr>
            <w:tcW w:w="160" w:type="dxa"/>
            <w:tcBorders>
              <w:top w:val="nil"/>
              <w:left w:val="nil"/>
              <w:bottom w:val="nil"/>
              <w:right w:val="nil"/>
            </w:tcBorders>
            <w:shd w:val="clear" w:color="auto" w:fill="auto"/>
            <w:noWrap/>
            <w:vAlign w:val="bottom"/>
            <w:hideMark/>
          </w:tcPr>
          <w:p w14:paraId="7A93CB44"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0F41E7B2"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30BCEA73"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5A7B1059"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3E2F069E"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2D1D9E89"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6457BE04"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15218DE6"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434D805A" w14:textId="77777777" w:rsidR="009E47A0" w:rsidRPr="009E47A0" w:rsidRDefault="009E47A0" w:rsidP="009E47A0">
            <w:pPr>
              <w:widowControl/>
              <w:jc w:val="center"/>
              <w:rPr>
                <w:rFonts w:eastAsia="Times New Roman"/>
                <w:sz w:val="20"/>
                <w:szCs w:val="20"/>
                <w:lang w:eastAsia="es-GT"/>
              </w:rPr>
            </w:pPr>
          </w:p>
        </w:tc>
      </w:tr>
      <w:tr w:rsidR="009E47A0" w:rsidRPr="009E47A0" w14:paraId="0A43C7FF" w14:textId="77777777" w:rsidTr="001A37CA">
        <w:trPr>
          <w:trHeight w:val="88"/>
          <w:jc w:val="center"/>
        </w:trPr>
        <w:tc>
          <w:tcPr>
            <w:tcW w:w="160" w:type="dxa"/>
            <w:tcBorders>
              <w:top w:val="nil"/>
              <w:left w:val="nil"/>
              <w:bottom w:val="nil"/>
              <w:right w:val="nil"/>
            </w:tcBorders>
            <w:shd w:val="clear" w:color="auto" w:fill="auto"/>
            <w:noWrap/>
            <w:vAlign w:val="bottom"/>
            <w:hideMark/>
          </w:tcPr>
          <w:p w14:paraId="6E6259D3"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E1CDC67" w14:textId="095F6772"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444032DC"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E2EFDA"/>
            <w:noWrap/>
            <w:vAlign w:val="center"/>
            <w:hideMark/>
          </w:tcPr>
          <w:p w14:paraId="6DEBFAC9"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Chiquimula</w:t>
            </w:r>
          </w:p>
        </w:tc>
        <w:tc>
          <w:tcPr>
            <w:tcW w:w="1200" w:type="dxa"/>
            <w:tcBorders>
              <w:top w:val="nil"/>
              <w:left w:val="nil"/>
              <w:bottom w:val="nil"/>
              <w:right w:val="nil"/>
            </w:tcBorders>
            <w:shd w:val="clear" w:color="000000" w:fill="E2EFDA"/>
            <w:noWrap/>
            <w:vAlign w:val="center"/>
            <w:hideMark/>
          </w:tcPr>
          <w:p w14:paraId="1100DB32"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739</w:t>
            </w:r>
          </w:p>
        </w:tc>
        <w:tc>
          <w:tcPr>
            <w:tcW w:w="2440" w:type="dxa"/>
            <w:tcBorders>
              <w:top w:val="nil"/>
              <w:left w:val="nil"/>
              <w:bottom w:val="nil"/>
              <w:right w:val="nil"/>
            </w:tcBorders>
            <w:shd w:val="clear" w:color="000000" w:fill="E2EFDA"/>
            <w:noWrap/>
            <w:vAlign w:val="center"/>
            <w:hideMark/>
          </w:tcPr>
          <w:p w14:paraId="68E5CF79"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492</w:t>
            </w:r>
          </w:p>
        </w:tc>
        <w:tc>
          <w:tcPr>
            <w:tcW w:w="160" w:type="dxa"/>
            <w:tcBorders>
              <w:top w:val="nil"/>
              <w:left w:val="nil"/>
              <w:bottom w:val="nil"/>
              <w:right w:val="nil"/>
            </w:tcBorders>
            <w:shd w:val="clear" w:color="auto" w:fill="auto"/>
            <w:noWrap/>
            <w:vAlign w:val="bottom"/>
            <w:hideMark/>
          </w:tcPr>
          <w:p w14:paraId="53554BA5"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67D4B143"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655C26F3"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1B4F23A7"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46177C4F"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0E08B6D9"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7F5B55A1"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6DF10788"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52BAEAF6" w14:textId="77777777" w:rsidR="009E47A0" w:rsidRPr="009E47A0" w:rsidRDefault="009E47A0" w:rsidP="009E47A0">
            <w:pPr>
              <w:widowControl/>
              <w:jc w:val="center"/>
              <w:rPr>
                <w:rFonts w:eastAsia="Times New Roman"/>
                <w:sz w:val="20"/>
                <w:szCs w:val="20"/>
                <w:lang w:eastAsia="es-GT"/>
              </w:rPr>
            </w:pPr>
          </w:p>
        </w:tc>
      </w:tr>
      <w:tr w:rsidR="009E47A0" w:rsidRPr="009E47A0" w14:paraId="58DC52B5" w14:textId="77777777" w:rsidTr="001A37CA">
        <w:trPr>
          <w:trHeight w:val="153"/>
          <w:jc w:val="center"/>
        </w:trPr>
        <w:tc>
          <w:tcPr>
            <w:tcW w:w="160" w:type="dxa"/>
            <w:tcBorders>
              <w:top w:val="nil"/>
              <w:left w:val="nil"/>
              <w:bottom w:val="nil"/>
              <w:right w:val="nil"/>
            </w:tcBorders>
            <w:shd w:val="clear" w:color="auto" w:fill="auto"/>
            <w:noWrap/>
            <w:vAlign w:val="bottom"/>
            <w:hideMark/>
          </w:tcPr>
          <w:p w14:paraId="65A145A2"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6F94013" w14:textId="2C1041E7"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531C0C24"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E2EFDA"/>
            <w:noWrap/>
            <w:vAlign w:val="center"/>
            <w:hideMark/>
          </w:tcPr>
          <w:p w14:paraId="760AA900"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Izabal</w:t>
            </w:r>
          </w:p>
        </w:tc>
        <w:tc>
          <w:tcPr>
            <w:tcW w:w="1200" w:type="dxa"/>
            <w:tcBorders>
              <w:top w:val="nil"/>
              <w:left w:val="nil"/>
              <w:bottom w:val="nil"/>
              <w:right w:val="nil"/>
            </w:tcBorders>
            <w:shd w:val="clear" w:color="000000" w:fill="E2EFDA"/>
            <w:noWrap/>
            <w:vAlign w:val="center"/>
            <w:hideMark/>
          </w:tcPr>
          <w:p w14:paraId="120262BC"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703</w:t>
            </w:r>
          </w:p>
        </w:tc>
        <w:tc>
          <w:tcPr>
            <w:tcW w:w="2440" w:type="dxa"/>
            <w:tcBorders>
              <w:top w:val="nil"/>
              <w:left w:val="nil"/>
              <w:bottom w:val="nil"/>
              <w:right w:val="nil"/>
            </w:tcBorders>
            <w:shd w:val="clear" w:color="000000" w:fill="E2EFDA"/>
            <w:noWrap/>
            <w:vAlign w:val="center"/>
            <w:hideMark/>
          </w:tcPr>
          <w:p w14:paraId="009271FC"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484</w:t>
            </w:r>
          </w:p>
        </w:tc>
        <w:tc>
          <w:tcPr>
            <w:tcW w:w="160" w:type="dxa"/>
            <w:tcBorders>
              <w:top w:val="nil"/>
              <w:left w:val="nil"/>
              <w:bottom w:val="nil"/>
              <w:right w:val="nil"/>
            </w:tcBorders>
            <w:shd w:val="clear" w:color="auto" w:fill="auto"/>
            <w:noWrap/>
            <w:vAlign w:val="bottom"/>
            <w:hideMark/>
          </w:tcPr>
          <w:p w14:paraId="0D2B800E"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05E4E427"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175DC2E2"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030A2116"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36A3F952"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4BA09EB3"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6BF516AF"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347439BA"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69D75BAD" w14:textId="77777777" w:rsidR="009E47A0" w:rsidRPr="009E47A0" w:rsidRDefault="009E47A0" w:rsidP="009E47A0">
            <w:pPr>
              <w:widowControl/>
              <w:jc w:val="center"/>
              <w:rPr>
                <w:rFonts w:eastAsia="Times New Roman"/>
                <w:sz w:val="20"/>
                <w:szCs w:val="20"/>
                <w:lang w:eastAsia="es-GT"/>
              </w:rPr>
            </w:pPr>
          </w:p>
        </w:tc>
      </w:tr>
      <w:tr w:rsidR="009E47A0" w:rsidRPr="009E47A0" w14:paraId="2F7AE718" w14:textId="77777777" w:rsidTr="001A37CA">
        <w:trPr>
          <w:trHeight w:val="217"/>
          <w:jc w:val="center"/>
        </w:trPr>
        <w:tc>
          <w:tcPr>
            <w:tcW w:w="160" w:type="dxa"/>
            <w:tcBorders>
              <w:top w:val="nil"/>
              <w:left w:val="nil"/>
              <w:bottom w:val="nil"/>
              <w:right w:val="nil"/>
            </w:tcBorders>
            <w:shd w:val="clear" w:color="auto" w:fill="auto"/>
            <w:noWrap/>
            <w:vAlign w:val="bottom"/>
            <w:hideMark/>
          </w:tcPr>
          <w:p w14:paraId="391159A6"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69A918F5" w14:textId="06BD0B52"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172F5F2D"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0F62F19B"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Alta Verapaz</w:t>
            </w:r>
          </w:p>
        </w:tc>
        <w:tc>
          <w:tcPr>
            <w:tcW w:w="1200" w:type="dxa"/>
            <w:tcBorders>
              <w:top w:val="nil"/>
              <w:left w:val="nil"/>
              <w:bottom w:val="nil"/>
              <w:right w:val="nil"/>
            </w:tcBorders>
            <w:shd w:val="clear" w:color="000000" w:fill="FFF2CC"/>
            <w:noWrap/>
            <w:vAlign w:val="center"/>
            <w:hideMark/>
          </w:tcPr>
          <w:p w14:paraId="61DB79E2"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1,758</w:t>
            </w:r>
          </w:p>
        </w:tc>
        <w:tc>
          <w:tcPr>
            <w:tcW w:w="2440" w:type="dxa"/>
            <w:tcBorders>
              <w:top w:val="nil"/>
              <w:left w:val="nil"/>
              <w:bottom w:val="nil"/>
              <w:right w:val="nil"/>
            </w:tcBorders>
            <w:shd w:val="clear" w:color="000000" w:fill="FFF2CC"/>
            <w:noWrap/>
            <w:vAlign w:val="center"/>
            <w:hideMark/>
          </w:tcPr>
          <w:p w14:paraId="3BDFC43E"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1,223</w:t>
            </w:r>
          </w:p>
        </w:tc>
        <w:tc>
          <w:tcPr>
            <w:tcW w:w="160" w:type="dxa"/>
            <w:tcBorders>
              <w:top w:val="nil"/>
              <w:left w:val="nil"/>
              <w:bottom w:val="nil"/>
              <w:right w:val="nil"/>
            </w:tcBorders>
            <w:shd w:val="clear" w:color="auto" w:fill="auto"/>
            <w:noWrap/>
            <w:vAlign w:val="bottom"/>
            <w:hideMark/>
          </w:tcPr>
          <w:p w14:paraId="12786301"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52031D98"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1900535F"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3C8B1A36"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3F795405"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2C992BD2"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0B32CF44"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37460B1E"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15254635" w14:textId="77777777" w:rsidR="009E47A0" w:rsidRPr="009E47A0" w:rsidRDefault="009E47A0" w:rsidP="009E47A0">
            <w:pPr>
              <w:widowControl/>
              <w:jc w:val="center"/>
              <w:rPr>
                <w:rFonts w:eastAsia="Times New Roman"/>
                <w:sz w:val="20"/>
                <w:szCs w:val="20"/>
                <w:lang w:eastAsia="es-GT"/>
              </w:rPr>
            </w:pPr>
          </w:p>
        </w:tc>
      </w:tr>
      <w:tr w:rsidR="009E47A0" w:rsidRPr="009E47A0" w14:paraId="0E687CB8" w14:textId="77777777" w:rsidTr="001A37CA">
        <w:trPr>
          <w:trHeight w:val="138"/>
          <w:jc w:val="center"/>
        </w:trPr>
        <w:tc>
          <w:tcPr>
            <w:tcW w:w="160" w:type="dxa"/>
            <w:tcBorders>
              <w:top w:val="nil"/>
              <w:left w:val="nil"/>
              <w:bottom w:val="nil"/>
              <w:right w:val="nil"/>
            </w:tcBorders>
            <w:shd w:val="clear" w:color="auto" w:fill="auto"/>
            <w:noWrap/>
            <w:vAlign w:val="bottom"/>
            <w:hideMark/>
          </w:tcPr>
          <w:p w14:paraId="5C932EDA"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5794AD9" w14:textId="1D67F872"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69391EA7"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4F59D2DF"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Sololá</w:t>
            </w:r>
          </w:p>
        </w:tc>
        <w:tc>
          <w:tcPr>
            <w:tcW w:w="1200" w:type="dxa"/>
            <w:tcBorders>
              <w:top w:val="nil"/>
              <w:left w:val="nil"/>
              <w:bottom w:val="nil"/>
              <w:right w:val="nil"/>
            </w:tcBorders>
            <w:shd w:val="clear" w:color="000000" w:fill="FFF2CC"/>
            <w:noWrap/>
            <w:vAlign w:val="center"/>
            <w:hideMark/>
          </w:tcPr>
          <w:p w14:paraId="43FB858F"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345</w:t>
            </w:r>
          </w:p>
        </w:tc>
        <w:tc>
          <w:tcPr>
            <w:tcW w:w="2440" w:type="dxa"/>
            <w:tcBorders>
              <w:top w:val="nil"/>
              <w:left w:val="nil"/>
              <w:bottom w:val="nil"/>
              <w:right w:val="nil"/>
            </w:tcBorders>
            <w:shd w:val="clear" w:color="000000" w:fill="FFF2CC"/>
            <w:noWrap/>
            <w:vAlign w:val="center"/>
            <w:hideMark/>
          </w:tcPr>
          <w:p w14:paraId="233FA2E8"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241</w:t>
            </w:r>
          </w:p>
        </w:tc>
        <w:tc>
          <w:tcPr>
            <w:tcW w:w="160" w:type="dxa"/>
            <w:tcBorders>
              <w:top w:val="nil"/>
              <w:left w:val="nil"/>
              <w:bottom w:val="nil"/>
              <w:right w:val="nil"/>
            </w:tcBorders>
            <w:shd w:val="clear" w:color="auto" w:fill="auto"/>
            <w:noWrap/>
            <w:vAlign w:val="bottom"/>
            <w:hideMark/>
          </w:tcPr>
          <w:p w14:paraId="5B595D98"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00657AE4"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598552EB"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6ACAE46D"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04AA0863"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0A1068E7"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32951C78"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1D71E410"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354703B1" w14:textId="77777777" w:rsidR="009E47A0" w:rsidRPr="009E47A0" w:rsidRDefault="009E47A0" w:rsidP="009E47A0">
            <w:pPr>
              <w:widowControl/>
              <w:jc w:val="center"/>
              <w:rPr>
                <w:rFonts w:eastAsia="Times New Roman"/>
                <w:sz w:val="20"/>
                <w:szCs w:val="20"/>
                <w:lang w:eastAsia="es-GT"/>
              </w:rPr>
            </w:pPr>
          </w:p>
        </w:tc>
      </w:tr>
      <w:tr w:rsidR="009E47A0" w:rsidRPr="009E47A0" w14:paraId="20BC21FF" w14:textId="77777777" w:rsidTr="001A37CA">
        <w:trPr>
          <w:trHeight w:val="64"/>
          <w:jc w:val="center"/>
        </w:trPr>
        <w:tc>
          <w:tcPr>
            <w:tcW w:w="160" w:type="dxa"/>
            <w:tcBorders>
              <w:top w:val="nil"/>
              <w:left w:val="nil"/>
              <w:bottom w:val="nil"/>
              <w:right w:val="nil"/>
            </w:tcBorders>
            <w:shd w:val="clear" w:color="auto" w:fill="auto"/>
            <w:noWrap/>
            <w:vAlign w:val="bottom"/>
            <w:hideMark/>
          </w:tcPr>
          <w:p w14:paraId="50282B48"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0115AAD" w14:textId="38B2F4F9"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24D067D4"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6A2C06B5"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Quiché</w:t>
            </w:r>
          </w:p>
        </w:tc>
        <w:tc>
          <w:tcPr>
            <w:tcW w:w="1200" w:type="dxa"/>
            <w:tcBorders>
              <w:top w:val="nil"/>
              <w:left w:val="nil"/>
              <w:bottom w:val="nil"/>
              <w:right w:val="nil"/>
            </w:tcBorders>
            <w:shd w:val="clear" w:color="000000" w:fill="FFF2CC"/>
            <w:noWrap/>
            <w:vAlign w:val="center"/>
            <w:hideMark/>
          </w:tcPr>
          <w:p w14:paraId="360A2DAA"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1,147</w:t>
            </w:r>
          </w:p>
        </w:tc>
        <w:tc>
          <w:tcPr>
            <w:tcW w:w="2440" w:type="dxa"/>
            <w:tcBorders>
              <w:top w:val="nil"/>
              <w:left w:val="nil"/>
              <w:bottom w:val="nil"/>
              <w:right w:val="nil"/>
            </w:tcBorders>
            <w:shd w:val="clear" w:color="000000" w:fill="FFF2CC"/>
            <w:noWrap/>
            <w:vAlign w:val="center"/>
            <w:hideMark/>
          </w:tcPr>
          <w:p w14:paraId="3F86996A"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842</w:t>
            </w:r>
          </w:p>
        </w:tc>
        <w:tc>
          <w:tcPr>
            <w:tcW w:w="160" w:type="dxa"/>
            <w:tcBorders>
              <w:top w:val="nil"/>
              <w:left w:val="nil"/>
              <w:bottom w:val="nil"/>
              <w:right w:val="nil"/>
            </w:tcBorders>
            <w:shd w:val="clear" w:color="auto" w:fill="auto"/>
            <w:noWrap/>
            <w:vAlign w:val="bottom"/>
            <w:hideMark/>
          </w:tcPr>
          <w:p w14:paraId="29B85C5D"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2F9A91ED"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6C70EEAE"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43816825"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568532AD"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4EF5EB84"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4B590A88"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31F5EC9B"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4282D10C" w14:textId="77777777" w:rsidR="009E47A0" w:rsidRPr="009E47A0" w:rsidRDefault="009E47A0" w:rsidP="009E47A0">
            <w:pPr>
              <w:widowControl/>
              <w:jc w:val="center"/>
              <w:rPr>
                <w:rFonts w:eastAsia="Times New Roman"/>
                <w:sz w:val="20"/>
                <w:szCs w:val="20"/>
                <w:lang w:eastAsia="es-GT"/>
              </w:rPr>
            </w:pPr>
          </w:p>
        </w:tc>
      </w:tr>
      <w:tr w:rsidR="009E47A0" w:rsidRPr="009E47A0" w14:paraId="06041CF0" w14:textId="77777777" w:rsidTr="001A37CA">
        <w:trPr>
          <w:trHeight w:val="266"/>
          <w:jc w:val="center"/>
        </w:trPr>
        <w:tc>
          <w:tcPr>
            <w:tcW w:w="160" w:type="dxa"/>
            <w:tcBorders>
              <w:top w:val="nil"/>
              <w:left w:val="nil"/>
              <w:bottom w:val="nil"/>
              <w:right w:val="nil"/>
            </w:tcBorders>
            <w:shd w:val="clear" w:color="auto" w:fill="auto"/>
            <w:noWrap/>
            <w:vAlign w:val="bottom"/>
            <w:hideMark/>
          </w:tcPr>
          <w:p w14:paraId="57DCFF66"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43EBEC6" w14:textId="446CB9D7"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0629A027"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05F1B311"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Petén</w:t>
            </w:r>
          </w:p>
        </w:tc>
        <w:tc>
          <w:tcPr>
            <w:tcW w:w="1200" w:type="dxa"/>
            <w:tcBorders>
              <w:top w:val="nil"/>
              <w:left w:val="nil"/>
              <w:bottom w:val="nil"/>
              <w:right w:val="nil"/>
            </w:tcBorders>
            <w:shd w:val="clear" w:color="000000" w:fill="FFF2CC"/>
            <w:noWrap/>
            <w:vAlign w:val="center"/>
            <w:hideMark/>
          </w:tcPr>
          <w:p w14:paraId="246F3DD0"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821</w:t>
            </w:r>
          </w:p>
        </w:tc>
        <w:tc>
          <w:tcPr>
            <w:tcW w:w="2440" w:type="dxa"/>
            <w:tcBorders>
              <w:top w:val="nil"/>
              <w:left w:val="nil"/>
              <w:bottom w:val="nil"/>
              <w:right w:val="nil"/>
            </w:tcBorders>
            <w:shd w:val="clear" w:color="000000" w:fill="FFF2CC"/>
            <w:noWrap/>
            <w:vAlign w:val="center"/>
            <w:hideMark/>
          </w:tcPr>
          <w:p w14:paraId="5AA31599"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616</w:t>
            </w:r>
          </w:p>
        </w:tc>
        <w:tc>
          <w:tcPr>
            <w:tcW w:w="160" w:type="dxa"/>
            <w:tcBorders>
              <w:top w:val="nil"/>
              <w:left w:val="nil"/>
              <w:bottom w:val="nil"/>
              <w:right w:val="nil"/>
            </w:tcBorders>
            <w:shd w:val="clear" w:color="auto" w:fill="auto"/>
            <w:noWrap/>
            <w:vAlign w:val="bottom"/>
            <w:hideMark/>
          </w:tcPr>
          <w:p w14:paraId="3D8081E6"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6D61030C"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66D6E87E"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5DA22AA6"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314B0C54"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2724CD2E"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49E02F4F"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3883BC1F"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30D4C39C" w14:textId="77777777" w:rsidR="009E47A0" w:rsidRPr="009E47A0" w:rsidRDefault="009E47A0" w:rsidP="009E47A0">
            <w:pPr>
              <w:widowControl/>
              <w:jc w:val="center"/>
              <w:rPr>
                <w:rFonts w:eastAsia="Times New Roman"/>
                <w:sz w:val="20"/>
                <w:szCs w:val="20"/>
                <w:lang w:eastAsia="es-GT"/>
              </w:rPr>
            </w:pPr>
          </w:p>
        </w:tc>
      </w:tr>
      <w:tr w:rsidR="009E47A0" w:rsidRPr="009E47A0" w14:paraId="2F73DC86" w14:textId="77777777" w:rsidTr="001A37CA">
        <w:trPr>
          <w:trHeight w:val="174"/>
          <w:jc w:val="center"/>
        </w:trPr>
        <w:tc>
          <w:tcPr>
            <w:tcW w:w="160" w:type="dxa"/>
            <w:tcBorders>
              <w:top w:val="nil"/>
              <w:left w:val="nil"/>
              <w:bottom w:val="nil"/>
              <w:right w:val="nil"/>
            </w:tcBorders>
            <w:shd w:val="clear" w:color="auto" w:fill="auto"/>
            <w:noWrap/>
            <w:vAlign w:val="bottom"/>
            <w:hideMark/>
          </w:tcPr>
          <w:p w14:paraId="3DBED939"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DA02EE8" w14:textId="1A224E97"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653453E5"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23835B53"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Huehuetenango</w:t>
            </w:r>
          </w:p>
        </w:tc>
        <w:tc>
          <w:tcPr>
            <w:tcW w:w="1200" w:type="dxa"/>
            <w:tcBorders>
              <w:top w:val="nil"/>
              <w:left w:val="nil"/>
              <w:bottom w:val="nil"/>
              <w:right w:val="nil"/>
            </w:tcBorders>
            <w:shd w:val="clear" w:color="000000" w:fill="FFF2CC"/>
            <w:noWrap/>
            <w:vAlign w:val="center"/>
            <w:hideMark/>
          </w:tcPr>
          <w:p w14:paraId="01533E8C"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1,628</w:t>
            </w:r>
          </w:p>
        </w:tc>
        <w:tc>
          <w:tcPr>
            <w:tcW w:w="2440" w:type="dxa"/>
            <w:tcBorders>
              <w:top w:val="nil"/>
              <w:left w:val="nil"/>
              <w:bottom w:val="nil"/>
              <w:right w:val="nil"/>
            </w:tcBorders>
            <w:shd w:val="clear" w:color="000000" w:fill="FFF2CC"/>
            <w:noWrap/>
            <w:vAlign w:val="center"/>
            <w:hideMark/>
          </w:tcPr>
          <w:p w14:paraId="71932798"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1,238</w:t>
            </w:r>
          </w:p>
        </w:tc>
        <w:tc>
          <w:tcPr>
            <w:tcW w:w="160" w:type="dxa"/>
            <w:tcBorders>
              <w:top w:val="nil"/>
              <w:left w:val="nil"/>
              <w:bottom w:val="nil"/>
              <w:right w:val="nil"/>
            </w:tcBorders>
            <w:shd w:val="clear" w:color="auto" w:fill="auto"/>
            <w:noWrap/>
            <w:vAlign w:val="bottom"/>
            <w:hideMark/>
          </w:tcPr>
          <w:p w14:paraId="3562EEE7"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5CD6D622"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0ADFDAE6"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48DD5157"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6D8661C0"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5760F936"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3E456D33"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087B1C8A"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760299E5" w14:textId="77777777" w:rsidR="009E47A0" w:rsidRPr="009E47A0" w:rsidRDefault="009E47A0" w:rsidP="009E47A0">
            <w:pPr>
              <w:widowControl/>
              <w:jc w:val="center"/>
              <w:rPr>
                <w:rFonts w:eastAsia="Times New Roman"/>
                <w:sz w:val="20"/>
                <w:szCs w:val="20"/>
                <w:lang w:eastAsia="es-GT"/>
              </w:rPr>
            </w:pPr>
          </w:p>
        </w:tc>
      </w:tr>
      <w:tr w:rsidR="009E47A0" w:rsidRPr="009E47A0" w14:paraId="671471A9" w14:textId="77777777" w:rsidTr="001A37CA">
        <w:trPr>
          <w:trHeight w:val="96"/>
          <w:jc w:val="center"/>
        </w:trPr>
        <w:tc>
          <w:tcPr>
            <w:tcW w:w="160" w:type="dxa"/>
            <w:tcBorders>
              <w:top w:val="nil"/>
              <w:left w:val="nil"/>
              <w:bottom w:val="nil"/>
              <w:right w:val="nil"/>
            </w:tcBorders>
            <w:shd w:val="clear" w:color="auto" w:fill="auto"/>
            <w:noWrap/>
            <w:vAlign w:val="bottom"/>
            <w:hideMark/>
          </w:tcPr>
          <w:p w14:paraId="38E1BE94"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75900A4" w14:textId="312DB665"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3C7A7B5B"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41DB1B7D"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Zacapa</w:t>
            </w:r>
          </w:p>
        </w:tc>
        <w:tc>
          <w:tcPr>
            <w:tcW w:w="1200" w:type="dxa"/>
            <w:tcBorders>
              <w:top w:val="nil"/>
              <w:left w:val="nil"/>
              <w:bottom w:val="nil"/>
              <w:right w:val="nil"/>
            </w:tcBorders>
            <w:shd w:val="clear" w:color="000000" w:fill="FFF2CC"/>
            <w:noWrap/>
            <w:vAlign w:val="center"/>
            <w:hideMark/>
          </w:tcPr>
          <w:p w14:paraId="0DBA648D"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445</w:t>
            </w:r>
          </w:p>
        </w:tc>
        <w:tc>
          <w:tcPr>
            <w:tcW w:w="2440" w:type="dxa"/>
            <w:tcBorders>
              <w:top w:val="nil"/>
              <w:left w:val="nil"/>
              <w:bottom w:val="nil"/>
              <w:right w:val="nil"/>
            </w:tcBorders>
            <w:shd w:val="clear" w:color="000000" w:fill="FFF2CC"/>
            <w:noWrap/>
            <w:vAlign w:val="center"/>
            <w:hideMark/>
          </w:tcPr>
          <w:p w14:paraId="42B03C68"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340</w:t>
            </w:r>
          </w:p>
        </w:tc>
        <w:tc>
          <w:tcPr>
            <w:tcW w:w="160" w:type="dxa"/>
            <w:tcBorders>
              <w:top w:val="nil"/>
              <w:left w:val="nil"/>
              <w:bottom w:val="nil"/>
              <w:right w:val="nil"/>
            </w:tcBorders>
            <w:shd w:val="clear" w:color="auto" w:fill="auto"/>
            <w:noWrap/>
            <w:vAlign w:val="bottom"/>
            <w:hideMark/>
          </w:tcPr>
          <w:p w14:paraId="7E0A2AAF"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5C7B7D71"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1659446D"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79A2CFE1"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760DD31C"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0B68DA6D"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509047CF"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4A1FC397"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3F9F4734" w14:textId="77777777" w:rsidR="009E47A0" w:rsidRPr="009E47A0" w:rsidRDefault="009E47A0" w:rsidP="009E47A0">
            <w:pPr>
              <w:widowControl/>
              <w:jc w:val="center"/>
              <w:rPr>
                <w:rFonts w:eastAsia="Times New Roman"/>
                <w:sz w:val="20"/>
                <w:szCs w:val="20"/>
                <w:lang w:eastAsia="es-GT"/>
              </w:rPr>
            </w:pPr>
          </w:p>
        </w:tc>
      </w:tr>
      <w:tr w:rsidR="009E47A0" w:rsidRPr="009E47A0" w14:paraId="2BFDED67" w14:textId="77777777" w:rsidTr="001A37CA">
        <w:trPr>
          <w:trHeight w:val="160"/>
          <w:jc w:val="center"/>
        </w:trPr>
        <w:tc>
          <w:tcPr>
            <w:tcW w:w="160" w:type="dxa"/>
            <w:tcBorders>
              <w:top w:val="nil"/>
              <w:left w:val="nil"/>
              <w:bottom w:val="nil"/>
              <w:right w:val="nil"/>
            </w:tcBorders>
            <w:shd w:val="clear" w:color="auto" w:fill="auto"/>
            <w:noWrap/>
            <w:vAlign w:val="bottom"/>
            <w:hideMark/>
          </w:tcPr>
          <w:p w14:paraId="088832F1"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6C1707B0" w14:textId="41BB1BBB"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4A8ED75C"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64E8B7F7"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Jalapa</w:t>
            </w:r>
          </w:p>
        </w:tc>
        <w:tc>
          <w:tcPr>
            <w:tcW w:w="1200" w:type="dxa"/>
            <w:tcBorders>
              <w:top w:val="nil"/>
              <w:left w:val="nil"/>
              <w:bottom w:val="nil"/>
              <w:right w:val="nil"/>
            </w:tcBorders>
            <w:shd w:val="clear" w:color="000000" w:fill="FFF2CC"/>
            <w:noWrap/>
            <w:vAlign w:val="center"/>
            <w:hideMark/>
          </w:tcPr>
          <w:p w14:paraId="4EE66CE0"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401</w:t>
            </w:r>
          </w:p>
        </w:tc>
        <w:tc>
          <w:tcPr>
            <w:tcW w:w="2440" w:type="dxa"/>
            <w:tcBorders>
              <w:top w:val="nil"/>
              <w:left w:val="nil"/>
              <w:bottom w:val="nil"/>
              <w:right w:val="nil"/>
            </w:tcBorders>
            <w:shd w:val="clear" w:color="000000" w:fill="FFF2CC"/>
            <w:noWrap/>
            <w:vAlign w:val="center"/>
            <w:hideMark/>
          </w:tcPr>
          <w:p w14:paraId="78EBA7A9"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310</w:t>
            </w:r>
          </w:p>
        </w:tc>
        <w:tc>
          <w:tcPr>
            <w:tcW w:w="160" w:type="dxa"/>
            <w:tcBorders>
              <w:top w:val="nil"/>
              <w:left w:val="nil"/>
              <w:bottom w:val="nil"/>
              <w:right w:val="nil"/>
            </w:tcBorders>
            <w:shd w:val="clear" w:color="auto" w:fill="auto"/>
            <w:noWrap/>
            <w:vAlign w:val="bottom"/>
            <w:hideMark/>
          </w:tcPr>
          <w:p w14:paraId="038BF9E1"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29E02B6F"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478958E4"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7B23FFD0"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2F19B85D"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08C28D8C"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2ABCEB75"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2CA1B8CD"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533B6D62" w14:textId="77777777" w:rsidR="009E47A0" w:rsidRPr="009E47A0" w:rsidRDefault="009E47A0" w:rsidP="009E47A0">
            <w:pPr>
              <w:widowControl/>
              <w:jc w:val="center"/>
              <w:rPr>
                <w:rFonts w:eastAsia="Times New Roman"/>
                <w:sz w:val="20"/>
                <w:szCs w:val="20"/>
                <w:lang w:eastAsia="es-GT"/>
              </w:rPr>
            </w:pPr>
          </w:p>
        </w:tc>
      </w:tr>
      <w:tr w:rsidR="009E47A0" w:rsidRPr="009E47A0" w14:paraId="7830CD6E" w14:textId="77777777" w:rsidTr="001A37CA">
        <w:trPr>
          <w:trHeight w:val="224"/>
          <w:jc w:val="center"/>
        </w:trPr>
        <w:tc>
          <w:tcPr>
            <w:tcW w:w="160" w:type="dxa"/>
            <w:tcBorders>
              <w:top w:val="nil"/>
              <w:left w:val="nil"/>
              <w:bottom w:val="nil"/>
              <w:right w:val="nil"/>
            </w:tcBorders>
            <w:shd w:val="clear" w:color="auto" w:fill="auto"/>
            <w:noWrap/>
            <w:vAlign w:val="bottom"/>
            <w:hideMark/>
          </w:tcPr>
          <w:p w14:paraId="17EF0B35"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88DA77A" w14:textId="4223A302"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7D5EC823"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3830D83B"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Baja Verapaz</w:t>
            </w:r>
          </w:p>
        </w:tc>
        <w:tc>
          <w:tcPr>
            <w:tcW w:w="1200" w:type="dxa"/>
            <w:tcBorders>
              <w:top w:val="nil"/>
              <w:left w:val="nil"/>
              <w:bottom w:val="nil"/>
              <w:right w:val="nil"/>
            </w:tcBorders>
            <w:shd w:val="clear" w:color="000000" w:fill="FFF2CC"/>
            <w:noWrap/>
            <w:vAlign w:val="center"/>
            <w:hideMark/>
          </w:tcPr>
          <w:p w14:paraId="44E43077"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578</w:t>
            </w:r>
          </w:p>
        </w:tc>
        <w:tc>
          <w:tcPr>
            <w:tcW w:w="2440" w:type="dxa"/>
            <w:tcBorders>
              <w:top w:val="nil"/>
              <w:left w:val="nil"/>
              <w:bottom w:val="nil"/>
              <w:right w:val="nil"/>
            </w:tcBorders>
            <w:shd w:val="clear" w:color="000000" w:fill="FFF2CC"/>
            <w:noWrap/>
            <w:vAlign w:val="center"/>
            <w:hideMark/>
          </w:tcPr>
          <w:p w14:paraId="012427B1"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454</w:t>
            </w:r>
          </w:p>
        </w:tc>
        <w:tc>
          <w:tcPr>
            <w:tcW w:w="160" w:type="dxa"/>
            <w:tcBorders>
              <w:top w:val="nil"/>
              <w:left w:val="nil"/>
              <w:bottom w:val="nil"/>
              <w:right w:val="nil"/>
            </w:tcBorders>
            <w:shd w:val="clear" w:color="auto" w:fill="auto"/>
            <w:noWrap/>
            <w:vAlign w:val="bottom"/>
            <w:hideMark/>
          </w:tcPr>
          <w:p w14:paraId="63135856"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59F3BA71"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0345F9BD"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2E8A760B"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10DF4830"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60E108CA"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341B25CB"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1085B29E"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74221104" w14:textId="77777777" w:rsidR="009E47A0" w:rsidRPr="009E47A0" w:rsidRDefault="009E47A0" w:rsidP="009E47A0">
            <w:pPr>
              <w:widowControl/>
              <w:jc w:val="center"/>
              <w:rPr>
                <w:rFonts w:eastAsia="Times New Roman"/>
                <w:sz w:val="20"/>
                <w:szCs w:val="20"/>
                <w:lang w:eastAsia="es-GT"/>
              </w:rPr>
            </w:pPr>
          </w:p>
        </w:tc>
      </w:tr>
      <w:tr w:rsidR="009E47A0" w:rsidRPr="009E47A0" w14:paraId="2606A8D9" w14:textId="77777777" w:rsidTr="001A37CA">
        <w:trPr>
          <w:trHeight w:val="146"/>
          <w:jc w:val="center"/>
        </w:trPr>
        <w:tc>
          <w:tcPr>
            <w:tcW w:w="160" w:type="dxa"/>
            <w:tcBorders>
              <w:top w:val="nil"/>
              <w:left w:val="nil"/>
              <w:bottom w:val="nil"/>
              <w:right w:val="nil"/>
            </w:tcBorders>
            <w:shd w:val="clear" w:color="auto" w:fill="auto"/>
            <w:noWrap/>
            <w:vAlign w:val="bottom"/>
            <w:hideMark/>
          </w:tcPr>
          <w:p w14:paraId="764461C8"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868229A" w14:textId="6C3167E7"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0E044BFC"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55E3B473"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Santa Rosa</w:t>
            </w:r>
          </w:p>
        </w:tc>
        <w:tc>
          <w:tcPr>
            <w:tcW w:w="1200" w:type="dxa"/>
            <w:tcBorders>
              <w:top w:val="nil"/>
              <w:left w:val="nil"/>
              <w:bottom w:val="nil"/>
              <w:right w:val="nil"/>
            </w:tcBorders>
            <w:shd w:val="clear" w:color="000000" w:fill="FFF2CC"/>
            <w:noWrap/>
            <w:vAlign w:val="center"/>
            <w:hideMark/>
          </w:tcPr>
          <w:p w14:paraId="1B8E7892"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769</w:t>
            </w:r>
          </w:p>
        </w:tc>
        <w:tc>
          <w:tcPr>
            <w:tcW w:w="2440" w:type="dxa"/>
            <w:tcBorders>
              <w:top w:val="nil"/>
              <w:left w:val="nil"/>
              <w:bottom w:val="nil"/>
              <w:right w:val="nil"/>
            </w:tcBorders>
            <w:shd w:val="clear" w:color="000000" w:fill="FFF2CC"/>
            <w:noWrap/>
            <w:vAlign w:val="center"/>
            <w:hideMark/>
          </w:tcPr>
          <w:p w14:paraId="43B435E2"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616</w:t>
            </w:r>
          </w:p>
        </w:tc>
        <w:tc>
          <w:tcPr>
            <w:tcW w:w="160" w:type="dxa"/>
            <w:tcBorders>
              <w:top w:val="nil"/>
              <w:left w:val="nil"/>
              <w:bottom w:val="nil"/>
              <w:right w:val="nil"/>
            </w:tcBorders>
            <w:shd w:val="clear" w:color="auto" w:fill="auto"/>
            <w:noWrap/>
            <w:vAlign w:val="bottom"/>
            <w:hideMark/>
          </w:tcPr>
          <w:p w14:paraId="7383E575"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2C5CA8AB"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688863AC"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5364AB54"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580D9A4B"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1CE514DA"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1B5DAE5D"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73F6DDFB"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60AEC8DD" w14:textId="77777777" w:rsidR="009E47A0" w:rsidRPr="009E47A0" w:rsidRDefault="009E47A0" w:rsidP="009E47A0">
            <w:pPr>
              <w:widowControl/>
              <w:jc w:val="center"/>
              <w:rPr>
                <w:rFonts w:eastAsia="Times New Roman"/>
                <w:sz w:val="20"/>
                <w:szCs w:val="20"/>
                <w:lang w:eastAsia="es-GT"/>
              </w:rPr>
            </w:pPr>
          </w:p>
        </w:tc>
      </w:tr>
      <w:tr w:rsidR="009E47A0" w:rsidRPr="009E47A0" w14:paraId="284B1069" w14:textId="77777777" w:rsidTr="009E47A0">
        <w:trPr>
          <w:trHeight w:val="300"/>
          <w:jc w:val="center"/>
        </w:trPr>
        <w:tc>
          <w:tcPr>
            <w:tcW w:w="160" w:type="dxa"/>
            <w:tcBorders>
              <w:top w:val="nil"/>
              <w:left w:val="nil"/>
              <w:bottom w:val="nil"/>
              <w:right w:val="nil"/>
            </w:tcBorders>
            <w:shd w:val="clear" w:color="auto" w:fill="auto"/>
            <w:noWrap/>
            <w:vAlign w:val="bottom"/>
            <w:hideMark/>
          </w:tcPr>
          <w:p w14:paraId="79BF6E8D"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0010D89" w14:textId="3E6C0380"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0371136B"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2402B0C3"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Suchitepéquez</w:t>
            </w:r>
          </w:p>
        </w:tc>
        <w:tc>
          <w:tcPr>
            <w:tcW w:w="1200" w:type="dxa"/>
            <w:tcBorders>
              <w:top w:val="nil"/>
              <w:left w:val="nil"/>
              <w:bottom w:val="nil"/>
              <w:right w:val="nil"/>
            </w:tcBorders>
            <w:shd w:val="clear" w:color="000000" w:fill="FFF2CC"/>
            <w:noWrap/>
            <w:vAlign w:val="center"/>
            <w:hideMark/>
          </w:tcPr>
          <w:p w14:paraId="1643E7DB"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729</w:t>
            </w:r>
          </w:p>
        </w:tc>
        <w:tc>
          <w:tcPr>
            <w:tcW w:w="2440" w:type="dxa"/>
            <w:tcBorders>
              <w:top w:val="nil"/>
              <w:left w:val="nil"/>
              <w:bottom w:val="nil"/>
              <w:right w:val="nil"/>
            </w:tcBorders>
            <w:shd w:val="clear" w:color="000000" w:fill="FFF2CC"/>
            <w:noWrap/>
            <w:vAlign w:val="center"/>
            <w:hideMark/>
          </w:tcPr>
          <w:p w14:paraId="46228D2E"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599</w:t>
            </w:r>
          </w:p>
        </w:tc>
        <w:tc>
          <w:tcPr>
            <w:tcW w:w="160" w:type="dxa"/>
            <w:tcBorders>
              <w:top w:val="nil"/>
              <w:left w:val="nil"/>
              <w:bottom w:val="nil"/>
              <w:right w:val="nil"/>
            </w:tcBorders>
            <w:shd w:val="clear" w:color="auto" w:fill="auto"/>
            <w:noWrap/>
            <w:vAlign w:val="bottom"/>
            <w:hideMark/>
          </w:tcPr>
          <w:p w14:paraId="368F08A2"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567A08EA"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62C152A6"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2D8CA796"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0805F3F2"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676C4535"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3FA7E83B"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27850171"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34951602" w14:textId="77777777" w:rsidR="009E47A0" w:rsidRPr="009E47A0" w:rsidRDefault="009E47A0" w:rsidP="009E47A0">
            <w:pPr>
              <w:widowControl/>
              <w:jc w:val="center"/>
              <w:rPr>
                <w:rFonts w:eastAsia="Times New Roman"/>
                <w:sz w:val="20"/>
                <w:szCs w:val="20"/>
                <w:lang w:eastAsia="es-GT"/>
              </w:rPr>
            </w:pPr>
          </w:p>
        </w:tc>
      </w:tr>
      <w:tr w:rsidR="009E47A0" w:rsidRPr="009E47A0" w14:paraId="0737E04C" w14:textId="77777777" w:rsidTr="001A37CA">
        <w:trPr>
          <w:trHeight w:val="163"/>
          <w:jc w:val="center"/>
        </w:trPr>
        <w:tc>
          <w:tcPr>
            <w:tcW w:w="160" w:type="dxa"/>
            <w:tcBorders>
              <w:top w:val="nil"/>
              <w:left w:val="nil"/>
              <w:bottom w:val="nil"/>
              <w:right w:val="nil"/>
            </w:tcBorders>
            <w:shd w:val="clear" w:color="auto" w:fill="auto"/>
            <w:noWrap/>
            <w:vAlign w:val="bottom"/>
            <w:hideMark/>
          </w:tcPr>
          <w:p w14:paraId="22B4F012"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26AAE12" w14:textId="50CF25A2"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21A49F9D"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FF2CC"/>
            <w:noWrap/>
            <w:vAlign w:val="center"/>
            <w:hideMark/>
          </w:tcPr>
          <w:p w14:paraId="438C10EB"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Totonicapán</w:t>
            </w:r>
          </w:p>
        </w:tc>
        <w:tc>
          <w:tcPr>
            <w:tcW w:w="1200" w:type="dxa"/>
            <w:tcBorders>
              <w:top w:val="nil"/>
              <w:left w:val="nil"/>
              <w:bottom w:val="nil"/>
              <w:right w:val="nil"/>
            </w:tcBorders>
            <w:shd w:val="clear" w:color="000000" w:fill="FFF2CC"/>
            <w:noWrap/>
            <w:vAlign w:val="center"/>
            <w:hideMark/>
          </w:tcPr>
          <w:p w14:paraId="6F71DAC4"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447</w:t>
            </w:r>
          </w:p>
        </w:tc>
        <w:tc>
          <w:tcPr>
            <w:tcW w:w="2440" w:type="dxa"/>
            <w:tcBorders>
              <w:top w:val="nil"/>
              <w:left w:val="nil"/>
              <w:bottom w:val="nil"/>
              <w:right w:val="nil"/>
            </w:tcBorders>
            <w:shd w:val="clear" w:color="000000" w:fill="FFF2CC"/>
            <w:noWrap/>
            <w:vAlign w:val="center"/>
            <w:hideMark/>
          </w:tcPr>
          <w:p w14:paraId="7DE27168"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377</w:t>
            </w:r>
          </w:p>
        </w:tc>
        <w:tc>
          <w:tcPr>
            <w:tcW w:w="160" w:type="dxa"/>
            <w:tcBorders>
              <w:top w:val="nil"/>
              <w:left w:val="nil"/>
              <w:bottom w:val="nil"/>
              <w:right w:val="nil"/>
            </w:tcBorders>
            <w:shd w:val="clear" w:color="auto" w:fill="auto"/>
            <w:noWrap/>
            <w:vAlign w:val="bottom"/>
            <w:hideMark/>
          </w:tcPr>
          <w:p w14:paraId="7325ABAC"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3D1DC397"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05A46C00"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0FCFEBCF"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36961354"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36706105"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1046DF0D"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09E7AE39"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1813728A" w14:textId="77777777" w:rsidR="009E47A0" w:rsidRPr="009E47A0" w:rsidRDefault="009E47A0" w:rsidP="009E47A0">
            <w:pPr>
              <w:widowControl/>
              <w:jc w:val="center"/>
              <w:rPr>
                <w:rFonts w:eastAsia="Times New Roman"/>
                <w:sz w:val="20"/>
                <w:szCs w:val="20"/>
                <w:lang w:eastAsia="es-GT"/>
              </w:rPr>
            </w:pPr>
          </w:p>
        </w:tc>
      </w:tr>
      <w:tr w:rsidR="009E47A0" w:rsidRPr="009E47A0" w14:paraId="7FFB653D" w14:textId="77777777" w:rsidTr="001A37CA">
        <w:trPr>
          <w:trHeight w:val="213"/>
          <w:jc w:val="center"/>
        </w:trPr>
        <w:tc>
          <w:tcPr>
            <w:tcW w:w="160" w:type="dxa"/>
            <w:tcBorders>
              <w:top w:val="nil"/>
              <w:left w:val="nil"/>
              <w:bottom w:val="nil"/>
              <w:right w:val="nil"/>
            </w:tcBorders>
            <w:shd w:val="clear" w:color="auto" w:fill="auto"/>
            <w:noWrap/>
            <w:vAlign w:val="bottom"/>
            <w:hideMark/>
          </w:tcPr>
          <w:p w14:paraId="39E55F2F"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2F81540F" w14:textId="35E3936A"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0F828FF4"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8CBAD"/>
            <w:noWrap/>
            <w:vAlign w:val="center"/>
            <w:hideMark/>
          </w:tcPr>
          <w:p w14:paraId="1ED94894" w14:textId="769B21FF"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El Progreso</w:t>
            </w:r>
          </w:p>
        </w:tc>
        <w:tc>
          <w:tcPr>
            <w:tcW w:w="1200" w:type="dxa"/>
            <w:tcBorders>
              <w:top w:val="nil"/>
              <w:left w:val="nil"/>
              <w:bottom w:val="nil"/>
              <w:right w:val="nil"/>
            </w:tcBorders>
            <w:shd w:val="clear" w:color="000000" w:fill="F8CBAD"/>
            <w:noWrap/>
            <w:vAlign w:val="center"/>
            <w:hideMark/>
          </w:tcPr>
          <w:p w14:paraId="10C20D71"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395</w:t>
            </w:r>
          </w:p>
        </w:tc>
        <w:tc>
          <w:tcPr>
            <w:tcW w:w="2440" w:type="dxa"/>
            <w:tcBorders>
              <w:top w:val="nil"/>
              <w:left w:val="nil"/>
              <w:bottom w:val="nil"/>
              <w:right w:val="nil"/>
            </w:tcBorders>
            <w:shd w:val="clear" w:color="000000" w:fill="F8CBAD"/>
            <w:noWrap/>
            <w:vAlign w:val="center"/>
            <w:hideMark/>
          </w:tcPr>
          <w:p w14:paraId="7F8A59F3"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357</w:t>
            </w:r>
          </w:p>
        </w:tc>
        <w:tc>
          <w:tcPr>
            <w:tcW w:w="160" w:type="dxa"/>
            <w:tcBorders>
              <w:top w:val="nil"/>
              <w:left w:val="nil"/>
              <w:bottom w:val="nil"/>
              <w:right w:val="nil"/>
            </w:tcBorders>
            <w:shd w:val="clear" w:color="auto" w:fill="auto"/>
            <w:noWrap/>
            <w:vAlign w:val="bottom"/>
            <w:hideMark/>
          </w:tcPr>
          <w:p w14:paraId="79A9BE6D"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01B6FFF5"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6A67C8EC"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2A93F800"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099DF1EB"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0B5676A7"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0F129394"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56B43D00"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5B951798" w14:textId="77777777" w:rsidR="009E47A0" w:rsidRPr="009E47A0" w:rsidRDefault="009E47A0" w:rsidP="009E47A0">
            <w:pPr>
              <w:widowControl/>
              <w:jc w:val="center"/>
              <w:rPr>
                <w:rFonts w:eastAsia="Times New Roman"/>
                <w:sz w:val="20"/>
                <w:szCs w:val="20"/>
                <w:lang w:eastAsia="es-GT"/>
              </w:rPr>
            </w:pPr>
          </w:p>
        </w:tc>
      </w:tr>
      <w:tr w:rsidR="009E47A0" w:rsidRPr="009E47A0" w14:paraId="1362E5EC" w14:textId="77777777" w:rsidTr="001A37CA">
        <w:trPr>
          <w:trHeight w:val="134"/>
          <w:jc w:val="center"/>
        </w:trPr>
        <w:tc>
          <w:tcPr>
            <w:tcW w:w="160" w:type="dxa"/>
            <w:tcBorders>
              <w:top w:val="nil"/>
              <w:left w:val="nil"/>
              <w:bottom w:val="nil"/>
              <w:right w:val="nil"/>
            </w:tcBorders>
            <w:shd w:val="clear" w:color="auto" w:fill="auto"/>
            <w:noWrap/>
            <w:vAlign w:val="bottom"/>
            <w:hideMark/>
          </w:tcPr>
          <w:p w14:paraId="64861665"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071609F9" w14:textId="38742155"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73894170"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8CBAD"/>
            <w:noWrap/>
            <w:vAlign w:val="center"/>
            <w:hideMark/>
          </w:tcPr>
          <w:p w14:paraId="73A0576D"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Escuintla</w:t>
            </w:r>
          </w:p>
        </w:tc>
        <w:tc>
          <w:tcPr>
            <w:tcW w:w="1200" w:type="dxa"/>
            <w:tcBorders>
              <w:top w:val="nil"/>
              <w:left w:val="nil"/>
              <w:bottom w:val="nil"/>
              <w:right w:val="nil"/>
            </w:tcBorders>
            <w:shd w:val="clear" w:color="000000" w:fill="F8CBAD"/>
            <w:noWrap/>
            <w:vAlign w:val="center"/>
            <w:hideMark/>
          </w:tcPr>
          <w:p w14:paraId="6946E69C"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1,052</w:t>
            </w:r>
          </w:p>
        </w:tc>
        <w:tc>
          <w:tcPr>
            <w:tcW w:w="2440" w:type="dxa"/>
            <w:tcBorders>
              <w:top w:val="nil"/>
              <w:left w:val="nil"/>
              <w:bottom w:val="nil"/>
              <w:right w:val="nil"/>
            </w:tcBorders>
            <w:shd w:val="clear" w:color="000000" w:fill="F8CBAD"/>
            <w:noWrap/>
            <w:vAlign w:val="center"/>
            <w:hideMark/>
          </w:tcPr>
          <w:p w14:paraId="6009CBCE"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960</w:t>
            </w:r>
          </w:p>
        </w:tc>
        <w:tc>
          <w:tcPr>
            <w:tcW w:w="160" w:type="dxa"/>
            <w:tcBorders>
              <w:top w:val="nil"/>
              <w:left w:val="nil"/>
              <w:bottom w:val="nil"/>
              <w:right w:val="nil"/>
            </w:tcBorders>
            <w:shd w:val="clear" w:color="auto" w:fill="auto"/>
            <w:noWrap/>
            <w:vAlign w:val="bottom"/>
            <w:hideMark/>
          </w:tcPr>
          <w:p w14:paraId="72DC9592"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44A5DAC3"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541B4728"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35859AC1"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618EB40E"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3A9E640A"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69709D23"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204928D3"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31AFE9B7" w14:textId="77777777" w:rsidR="009E47A0" w:rsidRPr="009E47A0" w:rsidRDefault="009E47A0" w:rsidP="009E47A0">
            <w:pPr>
              <w:widowControl/>
              <w:jc w:val="center"/>
              <w:rPr>
                <w:rFonts w:eastAsia="Times New Roman"/>
                <w:sz w:val="20"/>
                <w:szCs w:val="20"/>
                <w:lang w:eastAsia="es-GT"/>
              </w:rPr>
            </w:pPr>
          </w:p>
        </w:tc>
      </w:tr>
      <w:tr w:rsidR="009E47A0" w:rsidRPr="009E47A0" w14:paraId="3C86FB91" w14:textId="77777777" w:rsidTr="001A37CA">
        <w:trPr>
          <w:trHeight w:val="199"/>
          <w:jc w:val="center"/>
        </w:trPr>
        <w:tc>
          <w:tcPr>
            <w:tcW w:w="160" w:type="dxa"/>
            <w:tcBorders>
              <w:top w:val="nil"/>
              <w:left w:val="nil"/>
              <w:bottom w:val="nil"/>
              <w:right w:val="nil"/>
            </w:tcBorders>
            <w:shd w:val="clear" w:color="auto" w:fill="auto"/>
            <w:noWrap/>
            <w:vAlign w:val="bottom"/>
            <w:hideMark/>
          </w:tcPr>
          <w:p w14:paraId="29C6370B"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343A706C" w14:textId="5A2F90B8"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40F7A764"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8CBAD"/>
            <w:noWrap/>
            <w:vAlign w:val="center"/>
            <w:hideMark/>
          </w:tcPr>
          <w:p w14:paraId="77DD7E18"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San Marcos</w:t>
            </w:r>
          </w:p>
        </w:tc>
        <w:tc>
          <w:tcPr>
            <w:tcW w:w="1200" w:type="dxa"/>
            <w:tcBorders>
              <w:top w:val="nil"/>
              <w:left w:val="nil"/>
              <w:bottom w:val="nil"/>
              <w:right w:val="nil"/>
            </w:tcBorders>
            <w:shd w:val="clear" w:color="000000" w:fill="F8CBAD"/>
            <w:noWrap/>
            <w:vAlign w:val="center"/>
            <w:hideMark/>
          </w:tcPr>
          <w:p w14:paraId="073B4599"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1,497</w:t>
            </w:r>
          </w:p>
        </w:tc>
        <w:tc>
          <w:tcPr>
            <w:tcW w:w="2440" w:type="dxa"/>
            <w:tcBorders>
              <w:top w:val="nil"/>
              <w:left w:val="nil"/>
              <w:bottom w:val="nil"/>
              <w:right w:val="nil"/>
            </w:tcBorders>
            <w:shd w:val="clear" w:color="000000" w:fill="F8CBAD"/>
            <w:noWrap/>
            <w:vAlign w:val="center"/>
            <w:hideMark/>
          </w:tcPr>
          <w:p w14:paraId="07E9C132"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1,355</w:t>
            </w:r>
          </w:p>
        </w:tc>
        <w:tc>
          <w:tcPr>
            <w:tcW w:w="160" w:type="dxa"/>
            <w:tcBorders>
              <w:top w:val="nil"/>
              <w:left w:val="nil"/>
              <w:bottom w:val="nil"/>
              <w:right w:val="nil"/>
            </w:tcBorders>
            <w:shd w:val="clear" w:color="auto" w:fill="auto"/>
            <w:noWrap/>
            <w:vAlign w:val="bottom"/>
            <w:hideMark/>
          </w:tcPr>
          <w:p w14:paraId="2DA56100"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4FEDCB3B"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216DB6DB"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090CA67C"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455B9BFE"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667C3AE9"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46ECDC1A"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07C4BB06"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21478609" w14:textId="77777777" w:rsidR="009E47A0" w:rsidRPr="009E47A0" w:rsidRDefault="009E47A0" w:rsidP="009E47A0">
            <w:pPr>
              <w:widowControl/>
              <w:jc w:val="center"/>
              <w:rPr>
                <w:rFonts w:eastAsia="Times New Roman"/>
                <w:sz w:val="20"/>
                <w:szCs w:val="20"/>
                <w:lang w:eastAsia="es-GT"/>
              </w:rPr>
            </w:pPr>
          </w:p>
        </w:tc>
      </w:tr>
      <w:tr w:rsidR="009E47A0" w:rsidRPr="009E47A0" w14:paraId="1461F459" w14:textId="77777777" w:rsidTr="001A37CA">
        <w:trPr>
          <w:trHeight w:val="121"/>
          <w:jc w:val="center"/>
        </w:trPr>
        <w:tc>
          <w:tcPr>
            <w:tcW w:w="160" w:type="dxa"/>
            <w:tcBorders>
              <w:top w:val="nil"/>
              <w:left w:val="nil"/>
              <w:bottom w:val="nil"/>
              <w:right w:val="nil"/>
            </w:tcBorders>
            <w:shd w:val="clear" w:color="auto" w:fill="auto"/>
            <w:noWrap/>
            <w:vAlign w:val="bottom"/>
            <w:hideMark/>
          </w:tcPr>
          <w:p w14:paraId="709A669B"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6E5F2FC8" w14:textId="6DCFD0B0"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54B90603"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8CBAD"/>
            <w:noWrap/>
            <w:vAlign w:val="center"/>
            <w:hideMark/>
          </w:tcPr>
          <w:p w14:paraId="592892C1"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Retalhuleu</w:t>
            </w:r>
          </w:p>
        </w:tc>
        <w:tc>
          <w:tcPr>
            <w:tcW w:w="1200" w:type="dxa"/>
            <w:tcBorders>
              <w:top w:val="nil"/>
              <w:left w:val="nil"/>
              <w:bottom w:val="nil"/>
              <w:right w:val="nil"/>
            </w:tcBorders>
            <w:shd w:val="clear" w:color="000000" w:fill="F8CBAD"/>
            <w:noWrap/>
            <w:vAlign w:val="center"/>
            <w:hideMark/>
          </w:tcPr>
          <w:p w14:paraId="0492E503"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343</w:t>
            </w:r>
          </w:p>
        </w:tc>
        <w:tc>
          <w:tcPr>
            <w:tcW w:w="2440" w:type="dxa"/>
            <w:tcBorders>
              <w:top w:val="nil"/>
              <w:left w:val="nil"/>
              <w:bottom w:val="nil"/>
              <w:right w:val="nil"/>
            </w:tcBorders>
            <w:shd w:val="clear" w:color="000000" w:fill="F8CBAD"/>
            <w:noWrap/>
            <w:vAlign w:val="center"/>
            <w:hideMark/>
          </w:tcPr>
          <w:p w14:paraId="126850FA"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327</w:t>
            </w:r>
          </w:p>
        </w:tc>
        <w:tc>
          <w:tcPr>
            <w:tcW w:w="160" w:type="dxa"/>
            <w:tcBorders>
              <w:top w:val="nil"/>
              <w:left w:val="nil"/>
              <w:bottom w:val="nil"/>
              <w:right w:val="nil"/>
            </w:tcBorders>
            <w:shd w:val="clear" w:color="auto" w:fill="auto"/>
            <w:noWrap/>
            <w:vAlign w:val="bottom"/>
            <w:hideMark/>
          </w:tcPr>
          <w:p w14:paraId="46F732BA"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1191F9DE" w14:textId="77777777" w:rsidTr="009E47A0">
        <w:trPr>
          <w:trHeight w:val="90"/>
          <w:jc w:val="center"/>
        </w:trPr>
        <w:tc>
          <w:tcPr>
            <w:tcW w:w="160" w:type="dxa"/>
            <w:tcBorders>
              <w:top w:val="nil"/>
              <w:left w:val="nil"/>
              <w:bottom w:val="nil"/>
              <w:right w:val="nil"/>
            </w:tcBorders>
            <w:shd w:val="clear" w:color="auto" w:fill="auto"/>
            <w:noWrap/>
            <w:vAlign w:val="bottom"/>
            <w:hideMark/>
          </w:tcPr>
          <w:p w14:paraId="0CE7A798"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center"/>
            <w:hideMark/>
          </w:tcPr>
          <w:p w14:paraId="2E151A9B"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center"/>
            <w:hideMark/>
          </w:tcPr>
          <w:p w14:paraId="7AAA8279"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center"/>
            <w:hideMark/>
          </w:tcPr>
          <w:p w14:paraId="7A5C57CF" w14:textId="77777777" w:rsidR="009E47A0" w:rsidRPr="009E47A0" w:rsidRDefault="009E47A0" w:rsidP="009E47A0">
            <w:pPr>
              <w:widowControl/>
              <w:rPr>
                <w:rFonts w:eastAsia="Times New Roman"/>
                <w:sz w:val="20"/>
                <w:szCs w:val="20"/>
                <w:lang w:eastAsia="es-GT"/>
              </w:rPr>
            </w:pPr>
          </w:p>
        </w:tc>
        <w:tc>
          <w:tcPr>
            <w:tcW w:w="1200" w:type="dxa"/>
            <w:tcBorders>
              <w:top w:val="nil"/>
              <w:left w:val="nil"/>
              <w:bottom w:val="nil"/>
              <w:right w:val="nil"/>
            </w:tcBorders>
            <w:shd w:val="clear" w:color="auto" w:fill="auto"/>
            <w:noWrap/>
            <w:vAlign w:val="center"/>
            <w:hideMark/>
          </w:tcPr>
          <w:p w14:paraId="43A1AA24" w14:textId="77777777" w:rsidR="009E47A0" w:rsidRPr="009E47A0" w:rsidRDefault="009E47A0" w:rsidP="009E47A0">
            <w:pPr>
              <w:widowControl/>
              <w:jc w:val="center"/>
              <w:rPr>
                <w:rFonts w:eastAsia="Times New Roman"/>
                <w:sz w:val="20"/>
                <w:szCs w:val="20"/>
                <w:lang w:eastAsia="es-GT"/>
              </w:rPr>
            </w:pPr>
          </w:p>
        </w:tc>
        <w:tc>
          <w:tcPr>
            <w:tcW w:w="2440" w:type="dxa"/>
            <w:tcBorders>
              <w:top w:val="nil"/>
              <w:left w:val="nil"/>
              <w:bottom w:val="nil"/>
              <w:right w:val="nil"/>
            </w:tcBorders>
            <w:shd w:val="clear" w:color="auto" w:fill="auto"/>
            <w:noWrap/>
            <w:vAlign w:val="center"/>
            <w:hideMark/>
          </w:tcPr>
          <w:p w14:paraId="2C09105B" w14:textId="77777777" w:rsidR="009E47A0" w:rsidRPr="009E47A0" w:rsidRDefault="009E47A0" w:rsidP="009E47A0">
            <w:pPr>
              <w:widowControl/>
              <w:jc w:val="center"/>
              <w:rPr>
                <w:rFonts w:eastAsia="Times New Roman"/>
                <w:sz w:val="20"/>
                <w:szCs w:val="20"/>
                <w:lang w:eastAsia="es-GT"/>
              </w:rPr>
            </w:pPr>
          </w:p>
        </w:tc>
        <w:tc>
          <w:tcPr>
            <w:tcW w:w="160" w:type="dxa"/>
            <w:tcBorders>
              <w:top w:val="nil"/>
              <w:left w:val="nil"/>
              <w:bottom w:val="nil"/>
              <w:right w:val="nil"/>
            </w:tcBorders>
            <w:shd w:val="clear" w:color="auto" w:fill="auto"/>
            <w:noWrap/>
            <w:vAlign w:val="bottom"/>
            <w:hideMark/>
          </w:tcPr>
          <w:p w14:paraId="72C52E66" w14:textId="77777777" w:rsidR="009E47A0" w:rsidRPr="009E47A0" w:rsidRDefault="009E47A0" w:rsidP="009E47A0">
            <w:pPr>
              <w:widowControl/>
              <w:jc w:val="center"/>
              <w:rPr>
                <w:rFonts w:eastAsia="Times New Roman"/>
                <w:sz w:val="20"/>
                <w:szCs w:val="20"/>
                <w:lang w:eastAsia="es-GT"/>
              </w:rPr>
            </w:pPr>
          </w:p>
        </w:tc>
      </w:tr>
      <w:tr w:rsidR="009E47A0" w:rsidRPr="009E47A0" w14:paraId="571D0869" w14:textId="77777777" w:rsidTr="001A37CA">
        <w:trPr>
          <w:trHeight w:val="184"/>
          <w:jc w:val="center"/>
        </w:trPr>
        <w:tc>
          <w:tcPr>
            <w:tcW w:w="160" w:type="dxa"/>
            <w:tcBorders>
              <w:top w:val="nil"/>
              <w:left w:val="nil"/>
              <w:bottom w:val="nil"/>
              <w:right w:val="nil"/>
            </w:tcBorders>
            <w:shd w:val="clear" w:color="auto" w:fill="auto"/>
            <w:noWrap/>
            <w:vAlign w:val="bottom"/>
            <w:hideMark/>
          </w:tcPr>
          <w:p w14:paraId="282B6209" w14:textId="77777777" w:rsidR="009E47A0" w:rsidRPr="009E47A0" w:rsidRDefault="009E47A0" w:rsidP="009E47A0">
            <w:pPr>
              <w:widowControl/>
              <w:rPr>
                <w:rFonts w:eastAsia="Times New Roman"/>
                <w:sz w:val="20"/>
                <w:szCs w:val="20"/>
                <w:lang w:eastAsia="es-GT"/>
              </w:rPr>
            </w:pPr>
          </w:p>
        </w:tc>
        <w:tc>
          <w:tcPr>
            <w:tcW w:w="380" w:type="dxa"/>
            <w:tcBorders>
              <w:top w:val="single" w:sz="4" w:space="0" w:color="auto"/>
              <w:left w:val="single" w:sz="4" w:space="0" w:color="auto"/>
              <w:bottom w:val="single" w:sz="4" w:space="0" w:color="auto"/>
              <w:right w:val="single" w:sz="4" w:space="0" w:color="auto"/>
            </w:tcBorders>
            <w:shd w:val="clear" w:color="000000" w:fill="C65911"/>
            <w:noWrap/>
            <w:vAlign w:val="center"/>
            <w:hideMark/>
          </w:tcPr>
          <w:p w14:paraId="235CC970" w14:textId="5885D4B7" w:rsidR="009E47A0" w:rsidRPr="009E47A0" w:rsidRDefault="009E47A0" w:rsidP="009E47A0">
            <w:pPr>
              <w:widowControl/>
              <w:rPr>
                <w:rFonts w:eastAsia="Times New Roman"/>
                <w:color w:val="000000"/>
                <w:sz w:val="22"/>
                <w:szCs w:val="22"/>
                <w:lang w:eastAsia="es-GT"/>
              </w:rPr>
            </w:pPr>
          </w:p>
        </w:tc>
        <w:tc>
          <w:tcPr>
            <w:tcW w:w="220" w:type="dxa"/>
            <w:tcBorders>
              <w:top w:val="nil"/>
              <w:left w:val="nil"/>
              <w:bottom w:val="nil"/>
              <w:right w:val="nil"/>
            </w:tcBorders>
            <w:shd w:val="clear" w:color="auto" w:fill="auto"/>
            <w:noWrap/>
            <w:vAlign w:val="center"/>
            <w:hideMark/>
          </w:tcPr>
          <w:p w14:paraId="39A8A32E" w14:textId="77777777" w:rsidR="009E47A0" w:rsidRPr="009E47A0" w:rsidRDefault="009E47A0" w:rsidP="009E47A0">
            <w:pPr>
              <w:widowControl/>
              <w:rPr>
                <w:rFonts w:eastAsia="Times New Roman"/>
                <w:color w:val="000000"/>
                <w:sz w:val="22"/>
                <w:szCs w:val="22"/>
                <w:lang w:eastAsia="es-GT"/>
              </w:rPr>
            </w:pPr>
          </w:p>
        </w:tc>
        <w:tc>
          <w:tcPr>
            <w:tcW w:w="2040" w:type="dxa"/>
            <w:tcBorders>
              <w:top w:val="nil"/>
              <w:left w:val="nil"/>
              <w:bottom w:val="nil"/>
              <w:right w:val="nil"/>
            </w:tcBorders>
            <w:shd w:val="clear" w:color="000000" w:fill="F8CBAD"/>
            <w:noWrap/>
            <w:vAlign w:val="center"/>
            <w:hideMark/>
          </w:tcPr>
          <w:p w14:paraId="1588FF38"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Quetzaltenango</w:t>
            </w:r>
          </w:p>
        </w:tc>
        <w:tc>
          <w:tcPr>
            <w:tcW w:w="1200" w:type="dxa"/>
            <w:tcBorders>
              <w:top w:val="nil"/>
              <w:left w:val="nil"/>
              <w:bottom w:val="nil"/>
              <w:right w:val="nil"/>
            </w:tcBorders>
            <w:shd w:val="clear" w:color="000000" w:fill="F8CBAD"/>
            <w:noWrap/>
            <w:vAlign w:val="center"/>
            <w:hideMark/>
          </w:tcPr>
          <w:p w14:paraId="43B3C336"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666</w:t>
            </w:r>
          </w:p>
        </w:tc>
        <w:tc>
          <w:tcPr>
            <w:tcW w:w="2440" w:type="dxa"/>
            <w:tcBorders>
              <w:top w:val="nil"/>
              <w:left w:val="nil"/>
              <w:bottom w:val="nil"/>
              <w:right w:val="nil"/>
            </w:tcBorders>
            <w:shd w:val="clear" w:color="000000" w:fill="F8CBAD"/>
            <w:noWrap/>
            <w:vAlign w:val="center"/>
            <w:hideMark/>
          </w:tcPr>
          <w:p w14:paraId="6254CD7A" w14:textId="77777777" w:rsidR="009E47A0" w:rsidRPr="009E47A0" w:rsidRDefault="009E47A0" w:rsidP="009E47A0">
            <w:pPr>
              <w:widowControl/>
              <w:jc w:val="center"/>
              <w:rPr>
                <w:rFonts w:eastAsia="Times New Roman"/>
                <w:color w:val="000000"/>
                <w:sz w:val="22"/>
                <w:szCs w:val="22"/>
                <w:lang w:eastAsia="es-GT"/>
              </w:rPr>
            </w:pPr>
            <w:r w:rsidRPr="009E47A0">
              <w:rPr>
                <w:rFonts w:eastAsia="Times New Roman"/>
                <w:color w:val="000000"/>
                <w:sz w:val="22"/>
                <w:szCs w:val="22"/>
                <w:lang w:eastAsia="es-GT"/>
              </w:rPr>
              <w:t>639</w:t>
            </w:r>
          </w:p>
        </w:tc>
        <w:tc>
          <w:tcPr>
            <w:tcW w:w="160" w:type="dxa"/>
            <w:tcBorders>
              <w:top w:val="nil"/>
              <w:left w:val="nil"/>
              <w:bottom w:val="nil"/>
              <w:right w:val="nil"/>
            </w:tcBorders>
            <w:shd w:val="clear" w:color="auto" w:fill="auto"/>
            <w:noWrap/>
            <w:vAlign w:val="bottom"/>
            <w:hideMark/>
          </w:tcPr>
          <w:p w14:paraId="6A5B9982" w14:textId="77777777" w:rsidR="009E47A0" w:rsidRPr="009E47A0" w:rsidRDefault="009E47A0" w:rsidP="009E47A0">
            <w:pPr>
              <w:widowControl/>
              <w:jc w:val="center"/>
              <w:rPr>
                <w:rFonts w:eastAsia="Times New Roman"/>
                <w:color w:val="000000"/>
                <w:sz w:val="22"/>
                <w:szCs w:val="22"/>
                <w:lang w:eastAsia="es-GT"/>
              </w:rPr>
            </w:pPr>
          </w:p>
        </w:tc>
      </w:tr>
      <w:tr w:rsidR="009E47A0" w:rsidRPr="009E47A0" w14:paraId="07FE294F" w14:textId="77777777" w:rsidTr="009E47A0">
        <w:trPr>
          <w:trHeight w:val="300"/>
          <w:jc w:val="center"/>
        </w:trPr>
        <w:tc>
          <w:tcPr>
            <w:tcW w:w="160" w:type="dxa"/>
            <w:tcBorders>
              <w:top w:val="nil"/>
              <w:left w:val="nil"/>
              <w:bottom w:val="nil"/>
              <w:right w:val="nil"/>
            </w:tcBorders>
            <w:shd w:val="clear" w:color="auto" w:fill="auto"/>
            <w:noWrap/>
            <w:vAlign w:val="bottom"/>
            <w:hideMark/>
          </w:tcPr>
          <w:p w14:paraId="0FD88B79" w14:textId="77777777" w:rsidR="009E47A0" w:rsidRPr="009E47A0" w:rsidRDefault="009E47A0" w:rsidP="009E47A0">
            <w:pPr>
              <w:widowControl/>
              <w:rPr>
                <w:rFonts w:eastAsia="Times New Roman"/>
                <w:sz w:val="20"/>
                <w:szCs w:val="20"/>
                <w:lang w:eastAsia="es-GT"/>
              </w:rPr>
            </w:pPr>
          </w:p>
        </w:tc>
        <w:tc>
          <w:tcPr>
            <w:tcW w:w="380" w:type="dxa"/>
            <w:tcBorders>
              <w:top w:val="nil"/>
              <w:left w:val="nil"/>
              <w:bottom w:val="nil"/>
              <w:right w:val="nil"/>
            </w:tcBorders>
            <w:shd w:val="clear" w:color="auto" w:fill="auto"/>
            <w:noWrap/>
            <w:vAlign w:val="bottom"/>
            <w:hideMark/>
          </w:tcPr>
          <w:p w14:paraId="016B66F2" w14:textId="77777777" w:rsidR="009E47A0" w:rsidRPr="009E47A0" w:rsidRDefault="009E47A0" w:rsidP="009E47A0">
            <w:pPr>
              <w:widowControl/>
              <w:rPr>
                <w:rFonts w:eastAsia="Times New Roman"/>
                <w:sz w:val="20"/>
                <w:szCs w:val="20"/>
                <w:lang w:eastAsia="es-GT"/>
              </w:rPr>
            </w:pPr>
          </w:p>
        </w:tc>
        <w:tc>
          <w:tcPr>
            <w:tcW w:w="220" w:type="dxa"/>
            <w:tcBorders>
              <w:top w:val="nil"/>
              <w:left w:val="nil"/>
              <w:bottom w:val="nil"/>
              <w:right w:val="nil"/>
            </w:tcBorders>
            <w:shd w:val="clear" w:color="auto" w:fill="auto"/>
            <w:noWrap/>
            <w:vAlign w:val="bottom"/>
            <w:hideMark/>
          </w:tcPr>
          <w:p w14:paraId="1058F80E" w14:textId="77777777" w:rsidR="009E47A0" w:rsidRPr="009E47A0" w:rsidRDefault="009E47A0" w:rsidP="009E47A0">
            <w:pPr>
              <w:widowControl/>
              <w:rPr>
                <w:rFonts w:eastAsia="Times New Roman"/>
                <w:sz w:val="20"/>
                <w:szCs w:val="20"/>
                <w:lang w:eastAsia="es-GT"/>
              </w:rPr>
            </w:pPr>
          </w:p>
        </w:tc>
        <w:tc>
          <w:tcPr>
            <w:tcW w:w="2040" w:type="dxa"/>
            <w:tcBorders>
              <w:top w:val="nil"/>
              <w:left w:val="nil"/>
              <w:bottom w:val="nil"/>
              <w:right w:val="nil"/>
            </w:tcBorders>
            <w:shd w:val="clear" w:color="auto" w:fill="auto"/>
            <w:noWrap/>
            <w:vAlign w:val="bottom"/>
            <w:hideMark/>
          </w:tcPr>
          <w:p w14:paraId="4030F605" w14:textId="77777777" w:rsidR="009E47A0" w:rsidRPr="009E47A0" w:rsidRDefault="009E47A0" w:rsidP="009E47A0">
            <w:pPr>
              <w:widowControl/>
              <w:rPr>
                <w:rFonts w:eastAsia="Times New Roman"/>
                <w:b/>
                <w:bCs/>
                <w:color w:val="000000"/>
                <w:sz w:val="22"/>
                <w:szCs w:val="22"/>
                <w:lang w:eastAsia="es-GT"/>
              </w:rPr>
            </w:pPr>
            <w:r w:rsidRPr="009E47A0">
              <w:rPr>
                <w:rFonts w:eastAsia="Times New Roman"/>
                <w:b/>
                <w:bCs/>
                <w:color w:val="000000"/>
                <w:sz w:val="22"/>
                <w:szCs w:val="22"/>
                <w:lang w:eastAsia="es-GT"/>
              </w:rPr>
              <w:t>Total</w:t>
            </w:r>
          </w:p>
        </w:tc>
        <w:tc>
          <w:tcPr>
            <w:tcW w:w="1200" w:type="dxa"/>
            <w:tcBorders>
              <w:top w:val="nil"/>
              <w:left w:val="nil"/>
              <w:bottom w:val="nil"/>
              <w:right w:val="nil"/>
            </w:tcBorders>
            <w:shd w:val="clear" w:color="auto" w:fill="auto"/>
            <w:noWrap/>
            <w:vAlign w:val="bottom"/>
            <w:hideMark/>
          </w:tcPr>
          <w:p w14:paraId="315B075B" w14:textId="77777777" w:rsidR="009E47A0" w:rsidRPr="009E47A0" w:rsidRDefault="009E47A0" w:rsidP="009E47A0">
            <w:pPr>
              <w:widowControl/>
              <w:jc w:val="center"/>
              <w:rPr>
                <w:rFonts w:eastAsia="Times New Roman"/>
                <w:b/>
                <w:bCs/>
                <w:color w:val="000000"/>
                <w:sz w:val="22"/>
                <w:szCs w:val="22"/>
                <w:lang w:eastAsia="es-GT"/>
              </w:rPr>
            </w:pPr>
            <w:r w:rsidRPr="009E47A0">
              <w:rPr>
                <w:rFonts w:eastAsia="Times New Roman"/>
                <w:b/>
                <w:bCs/>
                <w:color w:val="000000"/>
                <w:sz w:val="22"/>
                <w:szCs w:val="22"/>
                <w:lang w:eastAsia="es-GT"/>
              </w:rPr>
              <w:t>17,673</w:t>
            </w:r>
          </w:p>
        </w:tc>
        <w:tc>
          <w:tcPr>
            <w:tcW w:w="2440" w:type="dxa"/>
            <w:tcBorders>
              <w:top w:val="nil"/>
              <w:left w:val="nil"/>
              <w:bottom w:val="nil"/>
              <w:right w:val="nil"/>
            </w:tcBorders>
            <w:shd w:val="clear" w:color="auto" w:fill="auto"/>
            <w:noWrap/>
            <w:vAlign w:val="bottom"/>
            <w:hideMark/>
          </w:tcPr>
          <w:p w14:paraId="0C35EEA6" w14:textId="77777777" w:rsidR="009E47A0" w:rsidRPr="009E47A0" w:rsidRDefault="009E47A0" w:rsidP="009E47A0">
            <w:pPr>
              <w:widowControl/>
              <w:jc w:val="center"/>
              <w:rPr>
                <w:rFonts w:eastAsia="Times New Roman"/>
                <w:b/>
                <w:bCs/>
                <w:color w:val="000000"/>
                <w:sz w:val="22"/>
                <w:szCs w:val="22"/>
                <w:lang w:eastAsia="es-GT"/>
              </w:rPr>
            </w:pPr>
            <w:r w:rsidRPr="009E47A0">
              <w:rPr>
                <w:rFonts w:eastAsia="Times New Roman"/>
                <w:b/>
                <w:bCs/>
                <w:color w:val="000000"/>
                <w:sz w:val="22"/>
                <w:szCs w:val="22"/>
                <w:lang w:eastAsia="es-GT"/>
              </w:rPr>
              <w:t>13,092</w:t>
            </w:r>
          </w:p>
        </w:tc>
        <w:tc>
          <w:tcPr>
            <w:tcW w:w="160" w:type="dxa"/>
            <w:tcBorders>
              <w:top w:val="nil"/>
              <w:left w:val="nil"/>
              <w:bottom w:val="nil"/>
              <w:right w:val="nil"/>
            </w:tcBorders>
            <w:shd w:val="clear" w:color="auto" w:fill="auto"/>
            <w:noWrap/>
            <w:vAlign w:val="bottom"/>
            <w:hideMark/>
          </w:tcPr>
          <w:p w14:paraId="0C111FD0" w14:textId="77777777" w:rsidR="009E47A0" w:rsidRPr="009E47A0" w:rsidRDefault="009E47A0" w:rsidP="009E47A0">
            <w:pPr>
              <w:widowControl/>
              <w:jc w:val="center"/>
              <w:rPr>
                <w:rFonts w:eastAsia="Times New Roman"/>
                <w:b/>
                <w:bCs/>
                <w:color w:val="000000"/>
                <w:sz w:val="22"/>
                <w:szCs w:val="22"/>
                <w:lang w:eastAsia="es-GT"/>
              </w:rPr>
            </w:pPr>
          </w:p>
        </w:tc>
      </w:tr>
    </w:tbl>
    <w:p w14:paraId="45F3B8BB" w14:textId="41DE7ECE" w:rsidR="00462A0A" w:rsidRDefault="00462A0A" w:rsidP="00265DBD">
      <w:pPr>
        <w:jc w:val="both"/>
        <w:rPr>
          <w:rFonts w:eastAsia="Times New Roman"/>
          <w:lang w:val="es-ES"/>
        </w:rPr>
      </w:pPr>
    </w:p>
    <w:tbl>
      <w:tblPr>
        <w:tblW w:w="4440" w:type="dxa"/>
        <w:jc w:val="center"/>
        <w:tblCellMar>
          <w:left w:w="70" w:type="dxa"/>
          <w:right w:w="70" w:type="dxa"/>
        </w:tblCellMar>
        <w:tblLook w:val="04A0" w:firstRow="1" w:lastRow="0" w:firstColumn="1" w:lastColumn="0" w:noHBand="0" w:noVBand="1"/>
      </w:tblPr>
      <w:tblGrid>
        <w:gridCol w:w="360"/>
        <w:gridCol w:w="146"/>
        <w:gridCol w:w="990"/>
        <w:gridCol w:w="990"/>
        <w:gridCol w:w="990"/>
        <w:gridCol w:w="990"/>
      </w:tblGrid>
      <w:tr w:rsidR="009E47A0" w:rsidRPr="009E47A0" w14:paraId="51D353BD" w14:textId="77777777" w:rsidTr="009E47A0">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000000" w:fill="548235"/>
            <w:noWrap/>
            <w:vAlign w:val="bottom"/>
            <w:hideMark/>
          </w:tcPr>
          <w:p w14:paraId="321FE686"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 </w:t>
            </w:r>
          </w:p>
        </w:tc>
        <w:tc>
          <w:tcPr>
            <w:tcW w:w="120" w:type="dxa"/>
            <w:tcBorders>
              <w:top w:val="nil"/>
              <w:left w:val="nil"/>
              <w:bottom w:val="nil"/>
              <w:right w:val="nil"/>
            </w:tcBorders>
            <w:shd w:val="clear" w:color="auto" w:fill="auto"/>
            <w:noWrap/>
            <w:vAlign w:val="bottom"/>
            <w:hideMark/>
          </w:tcPr>
          <w:p w14:paraId="0CDB8105" w14:textId="77777777" w:rsidR="009E47A0" w:rsidRPr="009E47A0" w:rsidRDefault="009E47A0" w:rsidP="009E47A0">
            <w:pPr>
              <w:widowControl/>
              <w:rPr>
                <w:rFonts w:eastAsia="Times New Roman"/>
                <w:color w:val="000000"/>
                <w:sz w:val="22"/>
                <w:szCs w:val="22"/>
                <w:lang w:eastAsia="es-GT"/>
              </w:rPr>
            </w:pPr>
          </w:p>
        </w:tc>
        <w:tc>
          <w:tcPr>
            <w:tcW w:w="3960" w:type="dxa"/>
            <w:gridSpan w:val="4"/>
            <w:tcBorders>
              <w:top w:val="nil"/>
              <w:left w:val="nil"/>
              <w:bottom w:val="nil"/>
              <w:right w:val="nil"/>
            </w:tcBorders>
            <w:shd w:val="clear" w:color="auto" w:fill="auto"/>
            <w:noWrap/>
            <w:vAlign w:val="bottom"/>
            <w:hideMark/>
          </w:tcPr>
          <w:p w14:paraId="5BF1443A"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Menos del 40% de los poblados expuestos</w:t>
            </w:r>
          </w:p>
        </w:tc>
      </w:tr>
      <w:tr w:rsidR="009E47A0" w:rsidRPr="009E47A0" w14:paraId="09340625" w14:textId="77777777" w:rsidTr="001A37CA">
        <w:trPr>
          <w:trHeight w:val="64"/>
          <w:jc w:val="center"/>
        </w:trPr>
        <w:tc>
          <w:tcPr>
            <w:tcW w:w="360" w:type="dxa"/>
            <w:tcBorders>
              <w:top w:val="nil"/>
              <w:left w:val="nil"/>
              <w:bottom w:val="nil"/>
              <w:right w:val="nil"/>
            </w:tcBorders>
            <w:shd w:val="clear" w:color="auto" w:fill="auto"/>
            <w:noWrap/>
            <w:vAlign w:val="bottom"/>
            <w:hideMark/>
          </w:tcPr>
          <w:p w14:paraId="33405E5D" w14:textId="77777777" w:rsidR="009E47A0" w:rsidRPr="009E47A0" w:rsidRDefault="009E47A0" w:rsidP="009E47A0">
            <w:pPr>
              <w:widowControl/>
              <w:rPr>
                <w:rFonts w:eastAsia="Times New Roman"/>
                <w:color w:val="000000"/>
                <w:sz w:val="22"/>
                <w:szCs w:val="22"/>
                <w:lang w:eastAsia="es-GT"/>
              </w:rPr>
            </w:pPr>
          </w:p>
        </w:tc>
        <w:tc>
          <w:tcPr>
            <w:tcW w:w="120" w:type="dxa"/>
            <w:tcBorders>
              <w:top w:val="nil"/>
              <w:left w:val="nil"/>
              <w:bottom w:val="nil"/>
              <w:right w:val="nil"/>
            </w:tcBorders>
            <w:shd w:val="clear" w:color="auto" w:fill="auto"/>
            <w:noWrap/>
            <w:vAlign w:val="bottom"/>
            <w:hideMark/>
          </w:tcPr>
          <w:p w14:paraId="4770F46B"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535D9685"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48644A80"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4A8AF6B4"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502727F0" w14:textId="77777777" w:rsidR="009E47A0" w:rsidRPr="009E47A0" w:rsidRDefault="009E47A0" w:rsidP="009E47A0">
            <w:pPr>
              <w:widowControl/>
              <w:rPr>
                <w:rFonts w:eastAsia="Times New Roman"/>
                <w:sz w:val="20"/>
                <w:szCs w:val="20"/>
                <w:lang w:eastAsia="es-GT"/>
              </w:rPr>
            </w:pPr>
          </w:p>
        </w:tc>
      </w:tr>
      <w:tr w:rsidR="009E47A0" w:rsidRPr="009E47A0" w14:paraId="3A466986" w14:textId="77777777" w:rsidTr="009E47A0">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BDC78C2"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 </w:t>
            </w:r>
          </w:p>
        </w:tc>
        <w:tc>
          <w:tcPr>
            <w:tcW w:w="120" w:type="dxa"/>
            <w:tcBorders>
              <w:top w:val="nil"/>
              <w:left w:val="nil"/>
              <w:bottom w:val="nil"/>
              <w:right w:val="nil"/>
            </w:tcBorders>
            <w:shd w:val="clear" w:color="auto" w:fill="auto"/>
            <w:noWrap/>
            <w:vAlign w:val="bottom"/>
            <w:hideMark/>
          </w:tcPr>
          <w:p w14:paraId="4411709C" w14:textId="77777777" w:rsidR="009E47A0" w:rsidRPr="009E47A0" w:rsidRDefault="009E47A0" w:rsidP="009E47A0">
            <w:pPr>
              <w:widowControl/>
              <w:rPr>
                <w:rFonts w:eastAsia="Times New Roman"/>
                <w:color w:val="000000"/>
                <w:sz w:val="22"/>
                <w:szCs w:val="22"/>
                <w:lang w:eastAsia="es-GT"/>
              </w:rPr>
            </w:pPr>
          </w:p>
        </w:tc>
        <w:tc>
          <w:tcPr>
            <w:tcW w:w="1980" w:type="dxa"/>
            <w:gridSpan w:val="2"/>
            <w:tcBorders>
              <w:top w:val="nil"/>
              <w:left w:val="nil"/>
              <w:bottom w:val="nil"/>
              <w:right w:val="nil"/>
            </w:tcBorders>
            <w:shd w:val="clear" w:color="auto" w:fill="auto"/>
            <w:noWrap/>
            <w:vAlign w:val="bottom"/>
            <w:hideMark/>
          </w:tcPr>
          <w:p w14:paraId="6C19EB1C"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 xml:space="preserve">Entre 41% y 69% </w:t>
            </w:r>
          </w:p>
        </w:tc>
        <w:tc>
          <w:tcPr>
            <w:tcW w:w="990" w:type="dxa"/>
            <w:tcBorders>
              <w:top w:val="nil"/>
              <w:left w:val="nil"/>
              <w:bottom w:val="nil"/>
              <w:right w:val="nil"/>
            </w:tcBorders>
            <w:shd w:val="clear" w:color="auto" w:fill="auto"/>
            <w:noWrap/>
            <w:vAlign w:val="bottom"/>
            <w:hideMark/>
          </w:tcPr>
          <w:p w14:paraId="395D743A" w14:textId="77777777" w:rsidR="009E47A0" w:rsidRPr="009E47A0" w:rsidRDefault="009E47A0" w:rsidP="009E47A0">
            <w:pPr>
              <w:widowControl/>
              <w:rPr>
                <w:rFonts w:eastAsia="Times New Roman"/>
                <w:color w:val="000000"/>
                <w:sz w:val="22"/>
                <w:szCs w:val="22"/>
                <w:lang w:eastAsia="es-GT"/>
              </w:rPr>
            </w:pPr>
          </w:p>
        </w:tc>
        <w:tc>
          <w:tcPr>
            <w:tcW w:w="990" w:type="dxa"/>
            <w:tcBorders>
              <w:top w:val="nil"/>
              <w:left w:val="nil"/>
              <w:bottom w:val="nil"/>
              <w:right w:val="nil"/>
            </w:tcBorders>
            <w:shd w:val="clear" w:color="auto" w:fill="auto"/>
            <w:noWrap/>
            <w:vAlign w:val="bottom"/>
            <w:hideMark/>
          </w:tcPr>
          <w:p w14:paraId="5140B401" w14:textId="77777777" w:rsidR="009E47A0" w:rsidRPr="009E47A0" w:rsidRDefault="009E47A0" w:rsidP="009E47A0">
            <w:pPr>
              <w:widowControl/>
              <w:rPr>
                <w:rFonts w:eastAsia="Times New Roman"/>
                <w:sz w:val="20"/>
                <w:szCs w:val="20"/>
                <w:lang w:eastAsia="es-GT"/>
              </w:rPr>
            </w:pPr>
          </w:p>
        </w:tc>
      </w:tr>
      <w:tr w:rsidR="009E47A0" w:rsidRPr="009E47A0" w14:paraId="1D47B76B" w14:textId="77777777" w:rsidTr="009E47A0">
        <w:trPr>
          <w:trHeight w:val="90"/>
          <w:jc w:val="center"/>
        </w:trPr>
        <w:tc>
          <w:tcPr>
            <w:tcW w:w="360" w:type="dxa"/>
            <w:tcBorders>
              <w:top w:val="nil"/>
              <w:left w:val="nil"/>
              <w:bottom w:val="nil"/>
              <w:right w:val="nil"/>
            </w:tcBorders>
            <w:shd w:val="clear" w:color="auto" w:fill="auto"/>
            <w:noWrap/>
            <w:vAlign w:val="bottom"/>
            <w:hideMark/>
          </w:tcPr>
          <w:p w14:paraId="3A4B0762" w14:textId="77777777" w:rsidR="009E47A0" w:rsidRPr="009E47A0" w:rsidRDefault="009E47A0" w:rsidP="009E47A0">
            <w:pPr>
              <w:widowControl/>
              <w:rPr>
                <w:rFonts w:eastAsia="Times New Roman"/>
                <w:sz w:val="20"/>
                <w:szCs w:val="20"/>
                <w:lang w:eastAsia="es-GT"/>
              </w:rPr>
            </w:pPr>
          </w:p>
        </w:tc>
        <w:tc>
          <w:tcPr>
            <w:tcW w:w="120" w:type="dxa"/>
            <w:tcBorders>
              <w:top w:val="nil"/>
              <w:left w:val="nil"/>
              <w:bottom w:val="nil"/>
              <w:right w:val="nil"/>
            </w:tcBorders>
            <w:shd w:val="clear" w:color="auto" w:fill="auto"/>
            <w:noWrap/>
            <w:vAlign w:val="bottom"/>
            <w:hideMark/>
          </w:tcPr>
          <w:p w14:paraId="6B66FBF0"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68DC0F03"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5D38C46C"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65D4575F"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1E28C62F" w14:textId="77777777" w:rsidR="009E47A0" w:rsidRPr="009E47A0" w:rsidRDefault="009E47A0" w:rsidP="009E47A0">
            <w:pPr>
              <w:widowControl/>
              <w:rPr>
                <w:rFonts w:eastAsia="Times New Roman"/>
                <w:sz w:val="20"/>
                <w:szCs w:val="20"/>
                <w:lang w:eastAsia="es-GT"/>
              </w:rPr>
            </w:pPr>
          </w:p>
        </w:tc>
      </w:tr>
      <w:tr w:rsidR="009E47A0" w:rsidRPr="009E47A0" w14:paraId="7C074868" w14:textId="77777777" w:rsidTr="009E47A0">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3543C24"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 </w:t>
            </w:r>
          </w:p>
        </w:tc>
        <w:tc>
          <w:tcPr>
            <w:tcW w:w="120" w:type="dxa"/>
            <w:tcBorders>
              <w:top w:val="nil"/>
              <w:left w:val="nil"/>
              <w:bottom w:val="nil"/>
              <w:right w:val="nil"/>
            </w:tcBorders>
            <w:shd w:val="clear" w:color="auto" w:fill="auto"/>
            <w:noWrap/>
            <w:vAlign w:val="bottom"/>
            <w:hideMark/>
          </w:tcPr>
          <w:p w14:paraId="31941ABA" w14:textId="77777777" w:rsidR="009E47A0" w:rsidRPr="009E47A0" w:rsidRDefault="009E47A0" w:rsidP="009E47A0">
            <w:pPr>
              <w:widowControl/>
              <w:rPr>
                <w:rFonts w:eastAsia="Times New Roman"/>
                <w:color w:val="000000"/>
                <w:sz w:val="22"/>
                <w:szCs w:val="22"/>
                <w:lang w:eastAsia="es-GT"/>
              </w:rPr>
            </w:pPr>
          </w:p>
        </w:tc>
        <w:tc>
          <w:tcPr>
            <w:tcW w:w="1980" w:type="dxa"/>
            <w:gridSpan w:val="2"/>
            <w:tcBorders>
              <w:top w:val="nil"/>
              <w:left w:val="nil"/>
              <w:bottom w:val="nil"/>
              <w:right w:val="nil"/>
            </w:tcBorders>
            <w:shd w:val="clear" w:color="auto" w:fill="auto"/>
            <w:noWrap/>
            <w:vAlign w:val="bottom"/>
            <w:hideMark/>
          </w:tcPr>
          <w:p w14:paraId="19D22FC2"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Entre 70% y 89%</w:t>
            </w:r>
          </w:p>
        </w:tc>
        <w:tc>
          <w:tcPr>
            <w:tcW w:w="990" w:type="dxa"/>
            <w:tcBorders>
              <w:top w:val="nil"/>
              <w:left w:val="nil"/>
              <w:bottom w:val="nil"/>
              <w:right w:val="nil"/>
            </w:tcBorders>
            <w:shd w:val="clear" w:color="auto" w:fill="auto"/>
            <w:noWrap/>
            <w:vAlign w:val="bottom"/>
            <w:hideMark/>
          </w:tcPr>
          <w:p w14:paraId="2F7EE551" w14:textId="77777777" w:rsidR="009E47A0" w:rsidRPr="009E47A0" w:rsidRDefault="009E47A0" w:rsidP="009E47A0">
            <w:pPr>
              <w:widowControl/>
              <w:rPr>
                <w:rFonts w:eastAsia="Times New Roman"/>
                <w:color w:val="000000"/>
                <w:sz w:val="22"/>
                <w:szCs w:val="22"/>
                <w:lang w:eastAsia="es-GT"/>
              </w:rPr>
            </w:pPr>
          </w:p>
        </w:tc>
        <w:tc>
          <w:tcPr>
            <w:tcW w:w="990" w:type="dxa"/>
            <w:tcBorders>
              <w:top w:val="nil"/>
              <w:left w:val="nil"/>
              <w:bottom w:val="nil"/>
              <w:right w:val="nil"/>
            </w:tcBorders>
            <w:shd w:val="clear" w:color="auto" w:fill="auto"/>
            <w:noWrap/>
            <w:vAlign w:val="bottom"/>
            <w:hideMark/>
          </w:tcPr>
          <w:p w14:paraId="323024FA" w14:textId="77777777" w:rsidR="009E47A0" w:rsidRPr="009E47A0" w:rsidRDefault="009E47A0" w:rsidP="009E47A0">
            <w:pPr>
              <w:widowControl/>
              <w:rPr>
                <w:rFonts w:eastAsia="Times New Roman"/>
                <w:sz w:val="20"/>
                <w:szCs w:val="20"/>
                <w:lang w:eastAsia="es-GT"/>
              </w:rPr>
            </w:pPr>
          </w:p>
        </w:tc>
      </w:tr>
      <w:tr w:rsidR="009E47A0" w:rsidRPr="009E47A0" w14:paraId="726C312A" w14:textId="77777777" w:rsidTr="009E47A0">
        <w:trPr>
          <w:trHeight w:val="90"/>
          <w:jc w:val="center"/>
        </w:trPr>
        <w:tc>
          <w:tcPr>
            <w:tcW w:w="360" w:type="dxa"/>
            <w:tcBorders>
              <w:top w:val="nil"/>
              <w:left w:val="nil"/>
              <w:bottom w:val="nil"/>
              <w:right w:val="nil"/>
            </w:tcBorders>
            <w:shd w:val="clear" w:color="auto" w:fill="auto"/>
            <w:noWrap/>
            <w:vAlign w:val="bottom"/>
            <w:hideMark/>
          </w:tcPr>
          <w:p w14:paraId="3E71C9D3" w14:textId="77777777" w:rsidR="009E47A0" w:rsidRPr="009E47A0" w:rsidRDefault="009E47A0" w:rsidP="009E47A0">
            <w:pPr>
              <w:widowControl/>
              <w:rPr>
                <w:rFonts w:eastAsia="Times New Roman"/>
                <w:sz w:val="20"/>
                <w:szCs w:val="20"/>
                <w:lang w:eastAsia="es-GT"/>
              </w:rPr>
            </w:pPr>
          </w:p>
        </w:tc>
        <w:tc>
          <w:tcPr>
            <w:tcW w:w="120" w:type="dxa"/>
            <w:tcBorders>
              <w:top w:val="nil"/>
              <w:left w:val="nil"/>
              <w:bottom w:val="nil"/>
              <w:right w:val="nil"/>
            </w:tcBorders>
            <w:shd w:val="clear" w:color="auto" w:fill="auto"/>
            <w:noWrap/>
            <w:vAlign w:val="bottom"/>
            <w:hideMark/>
          </w:tcPr>
          <w:p w14:paraId="2E5869DD"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10E1FE55"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48E6BB73"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56B209EF" w14:textId="77777777" w:rsidR="009E47A0" w:rsidRPr="009E47A0" w:rsidRDefault="009E47A0" w:rsidP="009E47A0">
            <w:pPr>
              <w:widowControl/>
              <w:rPr>
                <w:rFonts w:eastAsia="Times New Roman"/>
                <w:sz w:val="20"/>
                <w:szCs w:val="20"/>
                <w:lang w:eastAsia="es-GT"/>
              </w:rPr>
            </w:pPr>
          </w:p>
        </w:tc>
        <w:tc>
          <w:tcPr>
            <w:tcW w:w="990" w:type="dxa"/>
            <w:tcBorders>
              <w:top w:val="nil"/>
              <w:left w:val="nil"/>
              <w:bottom w:val="nil"/>
              <w:right w:val="nil"/>
            </w:tcBorders>
            <w:shd w:val="clear" w:color="auto" w:fill="auto"/>
            <w:noWrap/>
            <w:vAlign w:val="bottom"/>
            <w:hideMark/>
          </w:tcPr>
          <w:p w14:paraId="073409E4" w14:textId="77777777" w:rsidR="009E47A0" w:rsidRPr="009E47A0" w:rsidRDefault="009E47A0" w:rsidP="009E47A0">
            <w:pPr>
              <w:widowControl/>
              <w:rPr>
                <w:rFonts w:eastAsia="Times New Roman"/>
                <w:sz w:val="20"/>
                <w:szCs w:val="20"/>
                <w:lang w:eastAsia="es-GT"/>
              </w:rPr>
            </w:pPr>
          </w:p>
        </w:tc>
      </w:tr>
      <w:tr w:rsidR="009E47A0" w:rsidRPr="009E47A0" w14:paraId="2D378ECF" w14:textId="77777777" w:rsidTr="009E47A0">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14:paraId="3BA70115"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 </w:t>
            </w:r>
          </w:p>
        </w:tc>
        <w:tc>
          <w:tcPr>
            <w:tcW w:w="120" w:type="dxa"/>
            <w:tcBorders>
              <w:top w:val="nil"/>
              <w:left w:val="nil"/>
              <w:bottom w:val="nil"/>
              <w:right w:val="nil"/>
            </w:tcBorders>
            <w:shd w:val="clear" w:color="auto" w:fill="auto"/>
            <w:noWrap/>
            <w:vAlign w:val="bottom"/>
            <w:hideMark/>
          </w:tcPr>
          <w:p w14:paraId="10E160F8" w14:textId="77777777" w:rsidR="009E47A0" w:rsidRPr="009E47A0" w:rsidRDefault="009E47A0" w:rsidP="009E47A0">
            <w:pPr>
              <w:widowControl/>
              <w:rPr>
                <w:rFonts w:eastAsia="Times New Roman"/>
                <w:color w:val="000000"/>
                <w:sz w:val="22"/>
                <w:szCs w:val="22"/>
                <w:lang w:eastAsia="es-GT"/>
              </w:rPr>
            </w:pPr>
          </w:p>
        </w:tc>
        <w:tc>
          <w:tcPr>
            <w:tcW w:w="1980" w:type="dxa"/>
            <w:gridSpan w:val="2"/>
            <w:tcBorders>
              <w:top w:val="nil"/>
              <w:left w:val="nil"/>
              <w:bottom w:val="nil"/>
              <w:right w:val="nil"/>
            </w:tcBorders>
            <w:shd w:val="clear" w:color="auto" w:fill="auto"/>
            <w:noWrap/>
            <w:vAlign w:val="bottom"/>
            <w:hideMark/>
          </w:tcPr>
          <w:p w14:paraId="3151B182" w14:textId="77777777" w:rsidR="009E47A0" w:rsidRPr="009E47A0" w:rsidRDefault="009E47A0" w:rsidP="009E47A0">
            <w:pPr>
              <w:widowControl/>
              <w:rPr>
                <w:rFonts w:eastAsia="Times New Roman"/>
                <w:color w:val="000000"/>
                <w:sz w:val="22"/>
                <w:szCs w:val="22"/>
                <w:lang w:eastAsia="es-GT"/>
              </w:rPr>
            </w:pPr>
            <w:r w:rsidRPr="009E47A0">
              <w:rPr>
                <w:rFonts w:eastAsia="Times New Roman"/>
                <w:color w:val="000000"/>
                <w:sz w:val="22"/>
                <w:szCs w:val="22"/>
                <w:lang w:eastAsia="es-GT"/>
              </w:rPr>
              <w:t>De 90% a 100%</w:t>
            </w:r>
          </w:p>
        </w:tc>
        <w:tc>
          <w:tcPr>
            <w:tcW w:w="990" w:type="dxa"/>
            <w:tcBorders>
              <w:top w:val="nil"/>
              <w:left w:val="nil"/>
              <w:bottom w:val="nil"/>
              <w:right w:val="nil"/>
            </w:tcBorders>
            <w:shd w:val="clear" w:color="auto" w:fill="auto"/>
            <w:noWrap/>
            <w:vAlign w:val="bottom"/>
            <w:hideMark/>
          </w:tcPr>
          <w:p w14:paraId="26139089" w14:textId="77777777" w:rsidR="009E47A0" w:rsidRPr="009E47A0" w:rsidRDefault="009E47A0" w:rsidP="009E47A0">
            <w:pPr>
              <w:widowControl/>
              <w:rPr>
                <w:rFonts w:eastAsia="Times New Roman"/>
                <w:color w:val="000000"/>
                <w:sz w:val="22"/>
                <w:szCs w:val="22"/>
                <w:lang w:eastAsia="es-GT"/>
              </w:rPr>
            </w:pPr>
          </w:p>
        </w:tc>
        <w:tc>
          <w:tcPr>
            <w:tcW w:w="990" w:type="dxa"/>
            <w:tcBorders>
              <w:top w:val="nil"/>
              <w:left w:val="nil"/>
              <w:bottom w:val="nil"/>
              <w:right w:val="nil"/>
            </w:tcBorders>
            <w:shd w:val="clear" w:color="auto" w:fill="auto"/>
            <w:noWrap/>
            <w:vAlign w:val="bottom"/>
            <w:hideMark/>
          </w:tcPr>
          <w:p w14:paraId="579C961C" w14:textId="77777777" w:rsidR="009E47A0" w:rsidRPr="009E47A0" w:rsidRDefault="009E47A0" w:rsidP="009E47A0">
            <w:pPr>
              <w:widowControl/>
              <w:rPr>
                <w:rFonts w:eastAsia="Times New Roman"/>
                <w:sz w:val="20"/>
                <w:szCs w:val="20"/>
                <w:lang w:eastAsia="es-GT"/>
              </w:rPr>
            </w:pPr>
          </w:p>
        </w:tc>
      </w:tr>
    </w:tbl>
    <w:p w14:paraId="0FB37251" w14:textId="77777777" w:rsidR="009E47A0" w:rsidRDefault="009E47A0" w:rsidP="00265DBD">
      <w:pPr>
        <w:jc w:val="both"/>
        <w:rPr>
          <w:rFonts w:eastAsia="Times New Roman"/>
          <w:lang w:val="es-ES"/>
        </w:rPr>
      </w:pPr>
    </w:p>
    <w:p w14:paraId="2B87ED2A" w14:textId="1877EA04" w:rsidR="00462A0A" w:rsidRPr="009E47A0" w:rsidRDefault="009E47A0" w:rsidP="00265DBD">
      <w:pPr>
        <w:jc w:val="both"/>
        <w:rPr>
          <w:rFonts w:eastAsia="Times New Roman"/>
          <w:sz w:val="16"/>
          <w:szCs w:val="16"/>
          <w:lang w:val="es-ES"/>
        </w:rPr>
      </w:pPr>
      <w:r w:rsidRPr="009E47A0">
        <w:rPr>
          <w:rFonts w:eastAsia="Times New Roman"/>
          <w:sz w:val="16"/>
          <w:szCs w:val="16"/>
          <w:lang w:val="es-ES"/>
        </w:rPr>
        <w:t>Fuente: Tercera Comunicación Nacional de Cambio Climático, Guatemala 2021</w:t>
      </w:r>
    </w:p>
    <w:p w14:paraId="2399B23B" w14:textId="77777777" w:rsidR="00462A0A" w:rsidRPr="00316458" w:rsidRDefault="00462A0A" w:rsidP="00265DBD">
      <w:pPr>
        <w:jc w:val="both"/>
        <w:rPr>
          <w:rFonts w:eastAsia="Times New Roman"/>
          <w:lang w:val="es-ES"/>
        </w:rPr>
      </w:pPr>
    </w:p>
    <w:p w14:paraId="70947EB4" w14:textId="55411BA6" w:rsidR="000E4B9F" w:rsidRPr="000E4B9F" w:rsidRDefault="000E4B9F" w:rsidP="000E4B9F">
      <w:pPr>
        <w:jc w:val="both"/>
        <w:rPr>
          <w:rFonts w:eastAsia="Times New Roman"/>
          <w:lang w:val="es-ES"/>
        </w:rPr>
      </w:pPr>
      <w:r w:rsidRPr="000E4B9F">
        <w:rPr>
          <w:rFonts w:eastAsia="Times New Roman"/>
          <w:lang w:val="es-ES"/>
        </w:rPr>
        <w:t xml:space="preserve">El reflejo del alto grado de exposición climática en los departamentos del país se puede ver reflejado en varios aspectos, siendo uno de los más importantes la salud humana, ya que los cambios climáticos están incidiendo en las modificaciones de patrones de enfermedades como dengue, malaria y diarrea, especialmente en personar que viven en área remotas y con carencias. Asimismo, los departamentos se ven afectados directamente por los daños y </w:t>
      </w:r>
      <w:r w:rsidR="00595C75" w:rsidRPr="000E4B9F">
        <w:rPr>
          <w:rFonts w:eastAsia="Times New Roman"/>
          <w:lang w:val="es-ES"/>
        </w:rPr>
        <w:t>pérdidas</w:t>
      </w:r>
      <w:r w:rsidRPr="000E4B9F">
        <w:rPr>
          <w:rFonts w:eastAsia="Times New Roman"/>
          <w:lang w:val="es-ES"/>
        </w:rPr>
        <w:t xml:space="preserve"> en infraestructura escolar, movilización de personas y vehículos para el comercio. Y como lo es en muchos casos las poblaciones más pobres y con más inequidades son los más vulnerables a las consecuencias de los altos grado de amenazas climáticas.</w:t>
      </w:r>
    </w:p>
    <w:p w14:paraId="4EC8D419" w14:textId="77777777" w:rsidR="00265DBD" w:rsidRPr="00316458" w:rsidRDefault="00265DBD" w:rsidP="00265DBD">
      <w:pPr>
        <w:jc w:val="both"/>
        <w:rPr>
          <w:rFonts w:eastAsia="Times New Roman"/>
          <w:lang w:val="es-ES"/>
        </w:rPr>
      </w:pPr>
    </w:p>
    <w:p w14:paraId="097D92E2" w14:textId="35ACB9F7" w:rsidR="00265DBD" w:rsidRPr="00316458" w:rsidRDefault="000E4B9F" w:rsidP="00265DBD">
      <w:pPr>
        <w:jc w:val="both"/>
        <w:rPr>
          <w:rFonts w:eastAsia="Times New Roman"/>
          <w:lang w:val="es-ES"/>
        </w:rPr>
      </w:pPr>
      <w:r>
        <w:rPr>
          <w:rFonts w:eastAsia="Times New Roman"/>
          <w:lang w:val="es-ES"/>
        </w:rPr>
        <w:t xml:space="preserve">Por lo mencionado anteriormente, </w:t>
      </w:r>
      <w:r w:rsidR="00265DBD" w:rsidRPr="00316458">
        <w:rPr>
          <w:rFonts w:eastAsia="Times New Roman"/>
          <w:lang w:val="es-ES"/>
        </w:rPr>
        <w:t xml:space="preserve">Guatemala es reconocido como un país altamente vulnerable a nivel mundial según estudios y análisis de diferentes organismos y esto se ve reflejado en el Índice Global de Riesgo Climático de “Germanwatch” en donde en su último informe proveen información sobre el Índice de Riesgo Climático Histórico 2000-2019, en el cual Guatemala se encuentra en la posición 16 a nivel mundial de los países con mayor riesgo ante desastres (180 países analizados), y de los países de la región se encuentra en el primera posición. </w:t>
      </w:r>
    </w:p>
    <w:p w14:paraId="3178ACBD" w14:textId="77777777" w:rsidR="00265DBD" w:rsidRPr="00316458" w:rsidRDefault="00265DBD" w:rsidP="00265DBD">
      <w:pPr>
        <w:jc w:val="both"/>
        <w:rPr>
          <w:rFonts w:eastAsia="Times New Roman"/>
          <w:lang w:val="es-ES"/>
        </w:rPr>
      </w:pPr>
    </w:p>
    <w:p w14:paraId="7D8790D2" w14:textId="77777777" w:rsidR="00265DBD" w:rsidRPr="00316458" w:rsidRDefault="00265DBD" w:rsidP="00265DBD">
      <w:pPr>
        <w:jc w:val="both"/>
        <w:rPr>
          <w:rFonts w:eastAsia="Times New Roman"/>
          <w:lang w:val="es-ES"/>
        </w:rPr>
      </w:pPr>
      <w:r w:rsidRPr="00316458">
        <w:rPr>
          <w:rFonts w:eastAsia="Times New Roman"/>
          <w:lang w:val="es-ES"/>
        </w:rPr>
        <w:t>El Índice de Riesgo Climático indica el nivel de exposición y vulnerabilidad a eventos extremos, el cual los países deberían entenderlo como una advertencia para prepararse ante eventos que serán más frecuentes y severos en el futuro.</w:t>
      </w:r>
    </w:p>
    <w:p w14:paraId="074C1EFD" w14:textId="6EF82642" w:rsidR="003C6336" w:rsidRDefault="003C6336" w:rsidP="00265DBD">
      <w:pPr>
        <w:jc w:val="both"/>
        <w:rPr>
          <w:rFonts w:eastAsia="Times New Roman"/>
          <w:sz w:val="28"/>
          <w:szCs w:val="28"/>
          <w:lang w:val="es-ES"/>
        </w:rPr>
      </w:pPr>
    </w:p>
    <w:p w14:paraId="40E09542" w14:textId="77777777" w:rsidR="003C6336" w:rsidRPr="00316458" w:rsidRDefault="003C6336" w:rsidP="00265DBD">
      <w:pPr>
        <w:jc w:val="both"/>
        <w:rPr>
          <w:rFonts w:eastAsia="Times New Roman"/>
          <w:sz w:val="28"/>
          <w:szCs w:val="28"/>
          <w:lang w:val="es-ES"/>
        </w:rPr>
      </w:pPr>
    </w:p>
    <w:p w14:paraId="2553A413" w14:textId="0FB70311" w:rsidR="00265DBD" w:rsidRPr="00286E33" w:rsidRDefault="00286E33" w:rsidP="00286E33">
      <w:pPr>
        <w:pStyle w:val="Descripcin"/>
        <w:keepNext/>
      </w:pPr>
      <w:bookmarkStart w:id="366" w:name="_Toc114493940"/>
      <w:r w:rsidRPr="00286E33">
        <w:rPr>
          <w:color w:val="auto"/>
        </w:rPr>
        <w:t xml:space="preserve">Tabla </w:t>
      </w:r>
      <w:r w:rsidRPr="00286E33">
        <w:rPr>
          <w:color w:val="auto"/>
        </w:rPr>
        <w:fldChar w:fldCharType="begin"/>
      </w:r>
      <w:r w:rsidRPr="00286E33">
        <w:rPr>
          <w:color w:val="auto"/>
        </w:rPr>
        <w:instrText xml:space="preserve"> SEQ Tabla \* ARABIC </w:instrText>
      </w:r>
      <w:r w:rsidRPr="00286E33">
        <w:rPr>
          <w:color w:val="auto"/>
        </w:rPr>
        <w:fldChar w:fldCharType="separate"/>
      </w:r>
      <w:r w:rsidR="002E7809">
        <w:rPr>
          <w:noProof/>
          <w:color w:val="auto"/>
        </w:rPr>
        <w:t>17</w:t>
      </w:r>
      <w:r w:rsidRPr="00286E33">
        <w:rPr>
          <w:color w:val="auto"/>
        </w:rPr>
        <w:fldChar w:fldCharType="end"/>
      </w:r>
      <w:r w:rsidRPr="00286E33">
        <w:rPr>
          <w:color w:val="auto"/>
        </w:rPr>
        <w:t xml:space="preserve">.  </w:t>
      </w:r>
      <w:r w:rsidR="00265DBD" w:rsidRPr="00286E33">
        <w:rPr>
          <w:rFonts w:eastAsia="Times New Roman"/>
          <w:bCs/>
          <w:color w:val="auto"/>
          <w:lang w:val="es-ES"/>
        </w:rPr>
        <w:t>Índice de riesgo climático histórico 2000–2019 para Centroamérica y República Dominicana</w:t>
      </w:r>
      <w:bookmarkEnd w:id="366"/>
    </w:p>
    <w:tbl>
      <w:tblPr>
        <w:tblStyle w:val="Tabladecuadrcula1clara"/>
        <w:tblW w:w="8784" w:type="dxa"/>
        <w:tblLayout w:type="fixed"/>
        <w:tblLook w:val="04A0" w:firstRow="1" w:lastRow="0" w:firstColumn="1" w:lastColumn="0" w:noHBand="0" w:noVBand="1"/>
      </w:tblPr>
      <w:tblGrid>
        <w:gridCol w:w="1129"/>
        <w:gridCol w:w="1276"/>
        <w:gridCol w:w="1134"/>
        <w:gridCol w:w="992"/>
        <w:gridCol w:w="1560"/>
        <w:gridCol w:w="1417"/>
        <w:gridCol w:w="1276"/>
      </w:tblGrid>
      <w:tr w:rsidR="00265DBD" w:rsidRPr="001A78C9" w14:paraId="283E6D73" w14:textId="77777777" w:rsidTr="00ED48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4546A" w:themeFill="text2"/>
            <w:vAlign w:val="center"/>
          </w:tcPr>
          <w:p w14:paraId="14CA45C5" w14:textId="77777777" w:rsidR="00265DBD" w:rsidRPr="00B22DA2" w:rsidRDefault="00265DBD" w:rsidP="00ED483A">
            <w:pPr>
              <w:jc w:val="center"/>
              <w:rPr>
                <w:rFonts w:ascii="Times New Roman" w:eastAsia="Times New Roman" w:hAnsi="Times New Roman" w:cs="Times New Roman"/>
                <w:color w:val="FFFFFF" w:themeColor="background1"/>
                <w:sz w:val="18"/>
                <w:szCs w:val="18"/>
                <w:lang w:val="es-ES"/>
              </w:rPr>
            </w:pPr>
            <w:r w:rsidRPr="00B22DA2">
              <w:rPr>
                <w:rFonts w:ascii="Times New Roman" w:eastAsia="Times New Roman" w:hAnsi="Times New Roman" w:cs="Times New Roman"/>
                <w:color w:val="FFFFFF" w:themeColor="background1"/>
                <w:sz w:val="18"/>
                <w:szCs w:val="18"/>
                <w:lang w:val="es-ES"/>
              </w:rPr>
              <w:t>Índice de Riesgo Climático Global (CRI)</w:t>
            </w:r>
          </w:p>
          <w:p w14:paraId="2EE35A61" w14:textId="77777777" w:rsidR="00265DBD" w:rsidRPr="00B22DA2" w:rsidRDefault="00265DBD" w:rsidP="00ED483A">
            <w:pPr>
              <w:jc w:val="center"/>
              <w:rPr>
                <w:rFonts w:ascii="Times New Roman" w:eastAsia="Times New Roman" w:hAnsi="Times New Roman" w:cs="Times New Roman"/>
                <w:color w:val="FFFFFF" w:themeColor="background1"/>
                <w:sz w:val="18"/>
                <w:szCs w:val="18"/>
                <w:lang w:val="es-ES"/>
              </w:rPr>
            </w:pPr>
            <w:r>
              <w:rPr>
                <w:rFonts w:ascii="Times New Roman" w:eastAsia="Times New Roman" w:hAnsi="Times New Roman" w:cs="Times New Roman"/>
                <w:color w:val="FFFFFF" w:themeColor="background1"/>
                <w:sz w:val="18"/>
                <w:szCs w:val="18"/>
                <w:lang w:val="es-ES"/>
              </w:rPr>
              <w:t>Puesto</w:t>
            </w:r>
          </w:p>
        </w:tc>
        <w:tc>
          <w:tcPr>
            <w:tcW w:w="1276" w:type="dxa"/>
            <w:shd w:val="clear" w:color="auto" w:fill="44546A" w:themeFill="text2"/>
          </w:tcPr>
          <w:p w14:paraId="630EFD79" w14:textId="77777777" w:rsidR="00265DBD" w:rsidRPr="00B22DA2" w:rsidRDefault="00265DBD" w:rsidP="00ED48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18"/>
                <w:szCs w:val="18"/>
                <w:lang w:val="es-ES"/>
              </w:rPr>
            </w:pPr>
          </w:p>
          <w:p w14:paraId="511EFAAD" w14:textId="77777777" w:rsidR="00265DBD" w:rsidRPr="00B22DA2" w:rsidRDefault="00265DBD" w:rsidP="00ED48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18"/>
                <w:szCs w:val="18"/>
                <w:lang w:val="es-ES"/>
              </w:rPr>
            </w:pPr>
          </w:p>
          <w:p w14:paraId="2C839205" w14:textId="77777777" w:rsidR="00265DBD" w:rsidRPr="00B22DA2" w:rsidRDefault="00265DBD" w:rsidP="00ED48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val="es-ES"/>
              </w:rPr>
            </w:pPr>
            <w:r w:rsidRPr="00B22DA2">
              <w:rPr>
                <w:rFonts w:ascii="Times New Roman" w:eastAsia="Times New Roman" w:hAnsi="Times New Roman" w:cs="Times New Roman"/>
                <w:color w:val="FFFFFF" w:themeColor="background1"/>
                <w:sz w:val="18"/>
                <w:szCs w:val="18"/>
                <w:lang w:val="es-ES"/>
              </w:rPr>
              <w:t>País</w:t>
            </w:r>
          </w:p>
        </w:tc>
        <w:tc>
          <w:tcPr>
            <w:tcW w:w="1134" w:type="dxa"/>
            <w:shd w:val="clear" w:color="auto" w:fill="44546A" w:themeFill="text2"/>
            <w:vAlign w:val="center"/>
          </w:tcPr>
          <w:p w14:paraId="4E85951E" w14:textId="77777777" w:rsidR="00265DBD" w:rsidRPr="00B22DA2" w:rsidRDefault="00265DBD" w:rsidP="00ED48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val="es-ES"/>
              </w:rPr>
            </w:pPr>
            <w:r w:rsidRPr="00B22DA2">
              <w:rPr>
                <w:rFonts w:ascii="Times New Roman" w:eastAsia="Times New Roman" w:hAnsi="Times New Roman" w:cs="Times New Roman"/>
                <w:color w:val="FFFFFF" w:themeColor="background1"/>
                <w:sz w:val="18"/>
                <w:szCs w:val="18"/>
                <w:lang w:val="es-ES"/>
              </w:rPr>
              <w:t>Puntuación CRI</w:t>
            </w:r>
          </w:p>
        </w:tc>
        <w:tc>
          <w:tcPr>
            <w:tcW w:w="992" w:type="dxa"/>
            <w:shd w:val="clear" w:color="auto" w:fill="44546A" w:themeFill="text2"/>
            <w:vAlign w:val="center"/>
          </w:tcPr>
          <w:p w14:paraId="75B68ECA" w14:textId="77777777" w:rsidR="00265DBD" w:rsidRPr="00B22DA2" w:rsidRDefault="00265DBD" w:rsidP="00ED48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val="es-ES"/>
              </w:rPr>
            </w:pPr>
            <w:r w:rsidRPr="00B22DA2">
              <w:rPr>
                <w:rFonts w:ascii="Times New Roman" w:eastAsia="Times New Roman" w:hAnsi="Times New Roman" w:cs="Times New Roman"/>
                <w:color w:val="FFFFFF" w:themeColor="background1"/>
                <w:sz w:val="18"/>
                <w:szCs w:val="18"/>
                <w:lang w:val="es-ES"/>
              </w:rPr>
              <w:t>Muertes Promedio 2000-2019 (Puesto)</w:t>
            </w:r>
          </w:p>
        </w:tc>
        <w:tc>
          <w:tcPr>
            <w:tcW w:w="1560" w:type="dxa"/>
            <w:shd w:val="clear" w:color="auto" w:fill="44546A" w:themeFill="text2"/>
            <w:vAlign w:val="center"/>
          </w:tcPr>
          <w:p w14:paraId="7790D4FD" w14:textId="77777777" w:rsidR="00265DBD" w:rsidRPr="00B22DA2" w:rsidRDefault="00265DBD" w:rsidP="00ED48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val="es-ES"/>
              </w:rPr>
            </w:pPr>
            <w:r w:rsidRPr="00B22DA2">
              <w:rPr>
                <w:rFonts w:ascii="Times New Roman" w:eastAsia="Times New Roman" w:hAnsi="Times New Roman" w:cs="Times New Roman"/>
                <w:color w:val="FFFFFF" w:themeColor="background1"/>
                <w:sz w:val="18"/>
                <w:szCs w:val="18"/>
                <w:lang w:val="es-ES"/>
              </w:rPr>
              <w:t>Promedio de muertes por cada 100 000 habitantes 2000-2019 (Puesto)</w:t>
            </w:r>
          </w:p>
        </w:tc>
        <w:tc>
          <w:tcPr>
            <w:tcW w:w="1417" w:type="dxa"/>
            <w:shd w:val="clear" w:color="auto" w:fill="44546A" w:themeFill="text2"/>
            <w:vAlign w:val="center"/>
          </w:tcPr>
          <w:p w14:paraId="0A47E6A0" w14:textId="77777777" w:rsidR="00265DBD" w:rsidRPr="00B22DA2" w:rsidRDefault="00265DBD" w:rsidP="00ED48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val="es-ES"/>
              </w:rPr>
            </w:pPr>
            <w:r w:rsidRPr="00B22DA2">
              <w:rPr>
                <w:rFonts w:ascii="Times New Roman" w:eastAsia="Times New Roman" w:hAnsi="Times New Roman" w:cs="Times New Roman"/>
                <w:color w:val="FFFFFF" w:themeColor="background1"/>
                <w:sz w:val="18"/>
                <w:szCs w:val="18"/>
                <w:lang w:val="es-ES"/>
              </w:rPr>
              <w:t>Pérdidas Promedio en millones de US$ (PPA) 2000-2019 (Puesto)</w:t>
            </w:r>
          </w:p>
        </w:tc>
        <w:tc>
          <w:tcPr>
            <w:tcW w:w="1276" w:type="dxa"/>
            <w:shd w:val="clear" w:color="auto" w:fill="44546A" w:themeFill="text2"/>
            <w:vAlign w:val="center"/>
          </w:tcPr>
          <w:p w14:paraId="03672D38" w14:textId="77777777" w:rsidR="00265DBD" w:rsidRPr="00B22DA2" w:rsidRDefault="00265DBD" w:rsidP="00ED48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18"/>
                <w:szCs w:val="18"/>
                <w:lang w:val="es-ES"/>
              </w:rPr>
            </w:pPr>
            <w:r w:rsidRPr="00B22DA2">
              <w:rPr>
                <w:rFonts w:ascii="Times New Roman" w:eastAsia="Times New Roman" w:hAnsi="Times New Roman" w:cs="Times New Roman"/>
                <w:color w:val="FFFFFF" w:themeColor="background1"/>
                <w:sz w:val="18"/>
                <w:szCs w:val="18"/>
                <w:lang w:val="es-ES"/>
              </w:rPr>
              <w:t>Pérdidas promedio por unidad de PIB en % 2000-2019 (Puesto)</w:t>
            </w:r>
          </w:p>
        </w:tc>
      </w:tr>
      <w:tr w:rsidR="00265DBD" w:rsidRPr="001A78C9" w14:paraId="51CF5AF6" w14:textId="77777777" w:rsidTr="00ED483A">
        <w:tc>
          <w:tcPr>
            <w:cnfStyle w:val="001000000000" w:firstRow="0" w:lastRow="0" w:firstColumn="1" w:lastColumn="0" w:oddVBand="0" w:evenVBand="0" w:oddHBand="0" w:evenHBand="0" w:firstRowFirstColumn="0" w:firstRowLastColumn="0" w:lastRowFirstColumn="0" w:lastRowLastColumn="0"/>
            <w:tcW w:w="1129" w:type="dxa"/>
            <w:vAlign w:val="center"/>
          </w:tcPr>
          <w:p w14:paraId="7DF99FC7" w14:textId="77777777" w:rsidR="00265DBD" w:rsidRPr="00B22DA2" w:rsidRDefault="00265DBD" w:rsidP="00ED483A">
            <w:pPr>
              <w:jc w:val="center"/>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16</w:t>
            </w:r>
          </w:p>
        </w:tc>
        <w:tc>
          <w:tcPr>
            <w:tcW w:w="1276" w:type="dxa"/>
            <w:vAlign w:val="center"/>
          </w:tcPr>
          <w:p w14:paraId="6C738EAD"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Guatemala</w:t>
            </w:r>
          </w:p>
        </w:tc>
        <w:tc>
          <w:tcPr>
            <w:tcW w:w="1134" w:type="dxa"/>
            <w:vAlign w:val="center"/>
          </w:tcPr>
          <w:p w14:paraId="28356694"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37.50</w:t>
            </w:r>
          </w:p>
        </w:tc>
        <w:tc>
          <w:tcPr>
            <w:tcW w:w="992" w:type="dxa"/>
            <w:vAlign w:val="center"/>
          </w:tcPr>
          <w:p w14:paraId="23AD0C9E"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30</w:t>
            </w:r>
          </w:p>
        </w:tc>
        <w:tc>
          <w:tcPr>
            <w:tcW w:w="1560" w:type="dxa"/>
            <w:vAlign w:val="center"/>
          </w:tcPr>
          <w:p w14:paraId="40C9BC80"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27</w:t>
            </w:r>
          </w:p>
        </w:tc>
        <w:tc>
          <w:tcPr>
            <w:tcW w:w="1417" w:type="dxa"/>
            <w:vAlign w:val="center"/>
          </w:tcPr>
          <w:p w14:paraId="16514FB2"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45</w:t>
            </w:r>
          </w:p>
        </w:tc>
        <w:tc>
          <w:tcPr>
            <w:tcW w:w="1276" w:type="dxa"/>
            <w:vAlign w:val="center"/>
          </w:tcPr>
          <w:p w14:paraId="486B274C"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48</w:t>
            </w:r>
          </w:p>
        </w:tc>
      </w:tr>
      <w:tr w:rsidR="00265DBD" w:rsidRPr="001A78C9" w14:paraId="7D45E923" w14:textId="77777777" w:rsidTr="00ED483A">
        <w:tc>
          <w:tcPr>
            <w:cnfStyle w:val="001000000000" w:firstRow="0" w:lastRow="0" w:firstColumn="1" w:lastColumn="0" w:oddVBand="0" w:evenVBand="0" w:oddHBand="0" w:evenHBand="0" w:firstRowFirstColumn="0" w:firstRowLastColumn="0" w:lastRowFirstColumn="0" w:lastRowLastColumn="0"/>
            <w:tcW w:w="1129" w:type="dxa"/>
            <w:vAlign w:val="center"/>
          </w:tcPr>
          <w:p w14:paraId="1AE16CBB" w14:textId="77777777" w:rsidR="00265DBD" w:rsidRPr="00B22DA2" w:rsidRDefault="00265DBD" w:rsidP="00ED483A">
            <w:pPr>
              <w:jc w:val="center"/>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28</w:t>
            </w:r>
          </w:p>
        </w:tc>
        <w:tc>
          <w:tcPr>
            <w:tcW w:w="1276" w:type="dxa"/>
            <w:vAlign w:val="center"/>
          </w:tcPr>
          <w:p w14:paraId="551501D9"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El Salvador</w:t>
            </w:r>
          </w:p>
        </w:tc>
        <w:tc>
          <w:tcPr>
            <w:tcW w:w="1134" w:type="dxa"/>
            <w:vAlign w:val="center"/>
          </w:tcPr>
          <w:p w14:paraId="21F4B95A"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43.67</w:t>
            </w:r>
          </w:p>
        </w:tc>
        <w:tc>
          <w:tcPr>
            <w:tcW w:w="992" w:type="dxa"/>
            <w:vAlign w:val="center"/>
          </w:tcPr>
          <w:p w14:paraId="44776B2A"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65</w:t>
            </w:r>
          </w:p>
        </w:tc>
        <w:tc>
          <w:tcPr>
            <w:tcW w:w="1560" w:type="dxa"/>
            <w:vAlign w:val="center"/>
          </w:tcPr>
          <w:p w14:paraId="34571050"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41</w:t>
            </w:r>
          </w:p>
        </w:tc>
        <w:tc>
          <w:tcPr>
            <w:tcW w:w="1417" w:type="dxa"/>
            <w:vAlign w:val="center"/>
          </w:tcPr>
          <w:p w14:paraId="0B198FAD"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57</w:t>
            </w:r>
          </w:p>
        </w:tc>
        <w:tc>
          <w:tcPr>
            <w:tcW w:w="1276" w:type="dxa"/>
            <w:vAlign w:val="center"/>
          </w:tcPr>
          <w:p w14:paraId="6EA9A5AE"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29</w:t>
            </w:r>
          </w:p>
        </w:tc>
      </w:tr>
      <w:tr w:rsidR="00265DBD" w:rsidRPr="001A78C9" w14:paraId="1ABBC409" w14:textId="77777777" w:rsidTr="00ED483A">
        <w:tc>
          <w:tcPr>
            <w:cnfStyle w:val="001000000000" w:firstRow="0" w:lastRow="0" w:firstColumn="1" w:lastColumn="0" w:oddVBand="0" w:evenVBand="0" w:oddHBand="0" w:evenHBand="0" w:firstRowFirstColumn="0" w:firstRowLastColumn="0" w:lastRowFirstColumn="0" w:lastRowLastColumn="0"/>
            <w:tcW w:w="1129" w:type="dxa"/>
            <w:vAlign w:val="center"/>
          </w:tcPr>
          <w:p w14:paraId="7E0DD753" w14:textId="77777777" w:rsidR="00265DBD" w:rsidRPr="00B22DA2" w:rsidRDefault="00265DBD" w:rsidP="00ED483A">
            <w:pPr>
              <w:jc w:val="center"/>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35</w:t>
            </w:r>
          </w:p>
        </w:tc>
        <w:tc>
          <w:tcPr>
            <w:tcW w:w="1276" w:type="dxa"/>
            <w:vAlign w:val="center"/>
          </w:tcPr>
          <w:p w14:paraId="740A95D7"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Nicaragua</w:t>
            </w:r>
          </w:p>
        </w:tc>
        <w:tc>
          <w:tcPr>
            <w:tcW w:w="1134" w:type="dxa"/>
            <w:vAlign w:val="center"/>
          </w:tcPr>
          <w:p w14:paraId="552361B3"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53</w:t>
            </w:r>
          </w:p>
        </w:tc>
        <w:tc>
          <w:tcPr>
            <w:tcW w:w="992" w:type="dxa"/>
            <w:vAlign w:val="center"/>
          </w:tcPr>
          <w:p w14:paraId="4967EEF6"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66</w:t>
            </w:r>
          </w:p>
        </w:tc>
        <w:tc>
          <w:tcPr>
            <w:tcW w:w="1560" w:type="dxa"/>
            <w:vAlign w:val="center"/>
          </w:tcPr>
          <w:p w14:paraId="33473287"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40</w:t>
            </w:r>
          </w:p>
        </w:tc>
        <w:tc>
          <w:tcPr>
            <w:tcW w:w="1417" w:type="dxa"/>
            <w:vAlign w:val="center"/>
          </w:tcPr>
          <w:p w14:paraId="4D6A32BE"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88</w:t>
            </w:r>
          </w:p>
        </w:tc>
        <w:tc>
          <w:tcPr>
            <w:tcW w:w="1276" w:type="dxa"/>
            <w:vAlign w:val="center"/>
          </w:tcPr>
          <w:p w14:paraId="7E298AB9"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42</w:t>
            </w:r>
          </w:p>
        </w:tc>
      </w:tr>
      <w:tr w:rsidR="00265DBD" w:rsidRPr="001A78C9" w14:paraId="45EF5F5A" w14:textId="77777777" w:rsidTr="00ED483A">
        <w:tc>
          <w:tcPr>
            <w:cnfStyle w:val="001000000000" w:firstRow="0" w:lastRow="0" w:firstColumn="1" w:lastColumn="0" w:oddVBand="0" w:evenVBand="0" w:oddHBand="0" w:evenHBand="0" w:firstRowFirstColumn="0" w:firstRowLastColumn="0" w:lastRowFirstColumn="0" w:lastRowLastColumn="0"/>
            <w:tcW w:w="1129" w:type="dxa"/>
            <w:vAlign w:val="center"/>
          </w:tcPr>
          <w:p w14:paraId="305C453E" w14:textId="77777777" w:rsidR="00265DBD" w:rsidRPr="00B22DA2" w:rsidRDefault="00265DBD" w:rsidP="00ED483A">
            <w:pPr>
              <w:jc w:val="center"/>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44</w:t>
            </w:r>
          </w:p>
        </w:tc>
        <w:tc>
          <w:tcPr>
            <w:tcW w:w="1276" w:type="dxa"/>
            <w:vAlign w:val="center"/>
          </w:tcPr>
          <w:p w14:paraId="5ED9294C"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Honduras</w:t>
            </w:r>
          </w:p>
        </w:tc>
        <w:tc>
          <w:tcPr>
            <w:tcW w:w="1134" w:type="dxa"/>
            <w:vAlign w:val="center"/>
          </w:tcPr>
          <w:p w14:paraId="4C123747"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57</w:t>
            </w:r>
          </w:p>
        </w:tc>
        <w:tc>
          <w:tcPr>
            <w:tcW w:w="992" w:type="dxa"/>
            <w:vAlign w:val="center"/>
          </w:tcPr>
          <w:p w14:paraId="71DF837E"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68</w:t>
            </w:r>
          </w:p>
        </w:tc>
        <w:tc>
          <w:tcPr>
            <w:tcW w:w="1560" w:type="dxa"/>
            <w:vAlign w:val="center"/>
          </w:tcPr>
          <w:p w14:paraId="26C47DC6"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57</w:t>
            </w:r>
          </w:p>
        </w:tc>
        <w:tc>
          <w:tcPr>
            <w:tcW w:w="1417" w:type="dxa"/>
            <w:vAlign w:val="center"/>
          </w:tcPr>
          <w:p w14:paraId="5B19D84A"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78</w:t>
            </w:r>
          </w:p>
        </w:tc>
        <w:tc>
          <w:tcPr>
            <w:tcW w:w="1276" w:type="dxa"/>
            <w:vAlign w:val="center"/>
          </w:tcPr>
          <w:p w14:paraId="098B740A"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41</w:t>
            </w:r>
          </w:p>
        </w:tc>
      </w:tr>
      <w:tr w:rsidR="00265DBD" w:rsidRPr="001A78C9" w14:paraId="7FB6EAF1" w14:textId="77777777" w:rsidTr="00ED483A">
        <w:tc>
          <w:tcPr>
            <w:cnfStyle w:val="001000000000" w:firstRow="0" w:lastRow="0" w:firstColumn="1" w:lastColumn="0" w:oddVBand="0" w:evenVBand="0" w:oddHBand="0" w:evenHBand="0" w:firstRowFirstColumn="0" w:firstRowLastColumn="0" w:lastRowFirstColumn="0" w:lastRowLastColumn="0"/>
            <w:tcW w:w="1129" w:type="dxa"/>
            <w:vAlign w:val="center"/>
          </w:tcPr>
          <w:p w14:paraId="0B29D09F" w14:textId="77777777" w:rsidR="00265DBD" w:rsidRPr="00B22DA2" w:rsidRDefault="00265DBD" w:rsidP="00ED483A">
            <w:pPr>
              <w:jc w:val="center"/>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50</w:t>
            </w:r>
          </w:p>
        </w:tc>
        <w:tc>
          <w:tcPr>
            <w:tcW w:w="1276" w:type="dxa"/>
            <w:vAlign w:val="center"/>
          </w:tcPr>
          <w:p w14:paraId="5E351DD4"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República Dominicana</w:t>
            </w:r>
          </w:p>
        </w:tc>
        <w:tc>
          <w:tcPr>
            <w:tcW w:w="1134" w:type="dxa"/>
            <w:vAlign w:val="center"/>
          </w:tcPr>
          <w:p w14:paraId="36C64574"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59.50</w:t>
            </w:r>
          </w:p>
        </w:tc>
        <w:tc>
          <w:tcPr>
            <w:tcW w:w="992" w:type="dxa"/>
            <w:vAlign w:val="center"/>
          </w:tcPr>
          <w:p w14:paraId="6F633B25"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52</w:t>
            </w:r>
          </w:p>
        </w:tc>
        <w:tc>
          <w:tcPr>
            <w:tcW w:w="1560" w:type="dxa"/>
            <w:vAlign w:val="center"/>
          </w:tcPr>
          <w:p w14:paraId="4CE0E9A2"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36</w:t>
            </w:r>
          </w:p>
        </w:tc>
        <w:tc>
          <w:tcPr>
            <w:tcW w:w="1417" w:type="dxa"/>
            <w:vAlign w:val="center"/>
          </w:tcPr>
          <w:p w14:paraId="6B6FDAF8"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69</w:t>
            </w:r>
          </w:p>
        </w:tc>
        <w:tc>
          <w:tcPr>
            <w:tcW w:w="1276" w:type="dxa"/>
            <w:vAlign w:val="center"/>
          </w:tcPr>
          <w:p w14:paraId="3D30443F"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82</w:t>
            </w:r>
          </w:p>
        </w:tc>
      </w:tr>
      <w:tr w:rsidR="00265DBD" w:rsidRPr="001A78C9" w14:paraId="12146D17" w14:textId="77777777" w:rsidTr="00ED483A">
        <w:tc>
          <w:tcPr>
            <w:cnfStyle w:val="001000000000" w:firstRow="0" w:lastRow="0" w:firstColumn="1" w:lastColumn="0" w:oddVBand="0" w:evenVBand="0" w:oddHBand="0" w:evenHBand="0" w:firstRowFirstColumn="0" w:firstRowLastColumn="0" w:lastRowFirstColumn="0" w:lastRowLastColumn="0"/>
            <w:tcW w:w="1129" w:type="dxa"/>
            <w:vAlign w:val="center"/>
          </w:tcPr>
          <w:p w14:paraId="27601963" w14:textId="77777777" w:rsidR="00265DBD" w:rsidRPr="00B22DA2" w:rsidRDefault="00265DBD" w:rsidP="00ED483A">
            <w:pPr>
              <w:jc w:val="center"/>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89</w:t>
            </w:r>
          </w:p>
        </w:tc>
        <w:tc>
          <w:tcPr>
            <w:tcW w:w="1276" w:type="dxa"/>
            <w:vAlign w:val="center"/>
          </w:tcPr>
          <w:p w14:paraId="2CBAABEE"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Costa Rica</w:t>
            </w:r>
          </w:p>
        </w:tc>
        <w:tc>
          <w:tcPr>
            <w:tcW w:w="1134" w:type="dxa"/>
            <w:vAlign w:val="center"/>
          </w:tcPr>
          <w:p w14:paraId="10628F72"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84.50</w:t>
            </w:r>
          </w:p>
        </w:tc>
        <w:tc>
          <w:tcPr>
            <w:tcW w:w="992" w:type="dxa"/>
            <w:vAlign w:val="center"/>
          </w:tcPr>
          <w:p w14:paraId="3025D4EB"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96</w:t>
            </w:r>
          </w:p>
        </w:tc>
        <w:tc>
          <w:tcPr>
            <w:tcW w:w="1560" w:type="dxa"/>
            <w:vAlign w:val="center"/>
          </w:tcPr>
          <w:p w14:paraId="3666004E"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81</w:t>
            </w:r>
          </w:p>
        </w:tc>
        <w:tc>
          <w:tcPr>
            <w:tcW w:w="1417" w:type="dxa"/>
            <w:vAlign w:val="center"/>
          </w:tcPr>
          <w:p w14:paraId="02268E60"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89</w:t>
            </w:r>
          </w:p>
        </w:tc>
        <w:tc>
          <w:tcPr>
            <w:tcW w:w="1276" w:type="dxa"/>
            <w:vAlign w:val="center"/>
          </w:tcPr>
          <w:p w14:paraId="1C30AAC8"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80</w:t>
            </w:r>
          </w:p>
        </w:tc>
      </w:tr>
      <w:tr w:rsidR="00265DBD" w:rsidRPr="001A78C9" w14:paraId="26FB5D67" w14:textId="77777777" w:rsidTr="00ED483A">
        <w:tc>
          <w:tcPr>
            <w:cnfStyle w:val="001000000000" w:firstRow="0" w:lastRow="0" w:firstColumn="1" w:lastColumn="0" w:oddVBand="0" w:evenVBand="0" w:oddHBand="0" w:evenHBand="0" w:firstRowFirstColumn="0" w:firstRowLastColumn="0" w:lastRowFirstColumn="0" w:lastRowLastColumn="0"/>
            <w:tcW w:w="1129" w:type="dxa"/>
            <w:vAlign w:val="center"/>
          </w:tcPr>
          <w:p w14:paraId="34A9B8D7" w14:textId="77777777" w:rsidR="00265DBD" w:rsidRPr="00B22DA2" w:rsidRDefault="00265DBD" w:rsidP="00ED483A">
            <w:pPr>
              <w:jc w:val="center"/>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118</w:t>
            </w:r>
          </w:p>
        </w:tc>
        <w:tc>
          <w:tcPr>
            <w:tcW w:w="1276" w:type="dxa"/>
            <w:vAlign w:val="center"/>
          </w:tcPr>
          <w:p w14:paraId="6E24CD65"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Panamá</w:t>
            </w:r>
          </w:p>
        </w:tc>
        <w:tc>
          <w:tcPr>
            <w:tcW w:w="1134" w:type="dxa"/>
            <w:vAlign w:val="center"/>
          </w:tcPr>
          <w:p w14:paraId="14E88BDD"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107</w:t>
            </w:r>
          </w:p>
        </w:tc>
        <w:tc>
          <w:tcPr>
            <w:tcW w:w="992" w:type="dxa"/>
            <w:vAlign w:val="center"/>
          </w:tcPr>
          <w:p w14:paraId="384A4D9D"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101</w:t>
            </w:r>
          </w:p>
        </w:tc>
        <w:tc>
          <w:tcPr>
            <w:tcW w:w="1560" w:type="dxa"/>
            <w:vAlign w:val="center"/>
          </w:tcPr>
          <w:p w14:paraId="15905FF2"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78</w:t>
            </w:r>
          </w:p>
        </w:tc>
        <w:tc>
          <w:tcPr>
            <w:tcW w:w="1417" w:type="dxa"/>
            <w:vAlign w:val="center"/>
          </w:tcPr>
          <w:p w14:paraId="5EBD8D92"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115</w:t>
            </w:r>
          </w:p>
        </w:tc>
        <w:tc>
          <w:tcPr>
            <w:tcW w:w="1276" w:type="dxa"/>
            <w:vAlign w:val="center"/>
          </w:tcPr>
          <w:p w14:paraId="28ECFEE5" w14:textId="77777777" w:rsidR="00265DBD" w:rsidRPr="00B22DA2" w:rsidRDefault="00265DBD" w:rsidP="00ED48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s-ES"/>
              </w:rPr>
            </w:pPr>
            <w:r w:rsidRPr="00B22DA2">
              <w:rPr>
                <w:rFonts w:ascii="Times New Roman" w:eastAsia="Times New Roman" w:hAnsi="Times New Roman" w:cs="Times New Roman"/>
                <w:sz w:val="18"/>
                <w:szCs w:val="18"/>
                <w:lang w:val="es-ES"/>
              </w:rPr>
              <w:t>135</w:t>
            </w:r>
          </w:p>
        </w:tc>
      </w:tr>
    </w:tbl>
    <w:p w14:paraId="143AF377" w14:textId="77777777" w:rsidR="00265DBD" w:rsidRPr="00B22DA2" w:rsidRDefault="00265DBD" w:rsidP="00265DBD">
      <w:pPr>
        <w:rPr>
          <w:rFonts w:eastAsia="Times New Roman"/>
          <w:sz w:val="16"/>
          <w:szCs w:val="16"/>
          <w:lang w:val="es-ES"/>
        </w:rPr>
      </w:pPr>
      <w:r w:rsidRPr="00B22DA2">
        <w:rPr>
          <w:rFonts w:eastAsia="Times New Roman"/>
          <w:sz w:val="16"/>
          <w:szCs w:val="16"/>
          <w:lang w:val="es-ES"/>
        </w:rPr>
        <w:t>Fuente: Informe global del Índice de Riesgo Climático 2021</w:t>
      </w:r>
    </w:p>
    <w:p w14:paraId="349AD4CD" w14:textId="77777777" w:rsidR="00265DBD" w:rsidRPr="001A78C9" w:rsidRDefault="00265DBD" w:rsidP="00265DBD">
      <w:pPr>
        <w:jc w:val="both"/>
        <w:rPr>
          <w:rFonts w:eastAsia="Times New Roman"/>
          <w:lang w:val="es-ES"/>
        </w:rPr>
      </w:pPr>
    </w:p>
    <w:p w14:paraId="32E29BA2" w14:textId="77777777" w:rsidR="00265DBD" w:rsidRPr="00316458" w:rsidRDefault="00265DBD" w:rsidP="00265DBD">
      <w:pPr>
        <w:jc w:val="both"/>
        <w:rPr>
          <w:rFonts w:eastAsia="Times New Roman"/>
          <w:lang w:val="es-ES"/>
        </w:rPr>
      </w:pPr>
      <w:r w:rsidRPr="00316458">
        <w:rPr>
          <w:rFonts w:eastAsia="Times New Roman"/>
          <w:lang w:val="es-ES"/>
        </w:rPr>
        <w:t>El alto grado de vulnerabilidad se debe entre otros factores a la ubicación geográfica del país, el cual se encuentra entre la confluencia de tres placas tectónicas con numerosas fallas y se encuentra dentro del Cinturón de Fuego del Pacífico, haciendo que el país este expuesto a una intensa actividad sísmica y volcánica, también, su geografía lo predispone a un amplio número de riesgos como: inundaciones fluviales urbanas y costeras; terremotos; desprendimiento de tierra; tsunamis; erupción volcánica; ciclones; calor extremo; e incendios forestales.</w:t>
      </w:r>
    </w:p>
    <w:p w14:paraId="3A79638E" w14:textId="77777777" w:rsidR="00265DBD" w:rsidRPr="00316458" w:rsidRDefault="00265DBD" w:rsidP="00265DBD">
      <w:pPr>
        <w:jc w:val="both"/>
        <w:rPr>
          <w:rFonts w:eastAsia="Times New Roman"/>
          <w:lang w:val="es-ES"/>
        </w:rPr>
      </w:pPr>
    </w:p>
    <w:p w14:paraId="5DECFFEC" w14:textId="77777777" w:rsidR="00265DBD" w:rsidRPr="00316458" w:rsidRDefault="00265DBD" w:rsidP="00265DBD">
      <w:pPr>
        <w:jc w:val="both"/>
        <w:rPr>
          <w:rFonts w:eastAsia="Times New Roman"/>
          <w:lang w:val="es-ES"/>
        </w:rPr>
      </w:pPr>
      <w:r w:rsidRPr="00316458">
        <w:rPr>
          <w:rFonts w:eastAsia="Times New Roman"/>
          <w:lang w:val="es-ES"/>
        </w:rPr>
        <w:t>Aunado a lo anteriormente mencionado, se suman elementos ambientales y condiciones socioeconómicas que hacen que la población guatemalteca se encuentre con mayor grado de exposición a los riesgos y que el aumento de las amenazas climáticas incremente el nivel de riesgo y vulnerabilidad. De acuerdo a la Tercera Comunicación Nacional de Cambio Climático, el país emite a nivel mundial el 0.08% del total de emisiones, lo cual es un nivel muy bajo, sin embargo, esto no hace a Guatemala un país emisor, pero si un país receptor de los cambios y desastres que son provocados por fenómenos naturales. Dichos desastres se traducen a riesgos fiscales para el país, la reconstrucción de la infraestructura pública y la prestación de alivios para las comunidades afectadas implican costos fiscales significativos.</w:t>
      </w:r>
    </w:p>
    <w:p w14:paraId="6822E98F" w14:textId="77777777" w:rsidR="00265DBD" w:rsidRPr="00316458" w:rsidRDefault="00265DBD" w:rsidP="00265DBD">
      <w:pPr>
        <w:rPr>
          <w:rFonts w:eastAsia="Times New Roman"/>
          <w:b/>
          <w:szCs w:val="22"/>
          <w:lang w:val="es-ES"/>
        </w:rPr>
      </w:pPr>
    </w:p>
    <w:p w14:paraId="3A06CE81" w14:textId="77777777" w:rsidR="00286E33" w:rsidRPr="00286E33" w:rsidRDefault="00286E33" w:rsidP="00286E33">
      <w:pPr>
        <w:pStyle w:val="Prrafodelista"/>
        <w:keepNext/>
        <w:widowControl/>
        <w:numPr>
          <w:ilvl w:val="0"/>
          <w:numId w:val="23"/>
        </w:numPr>
        <w:ind w:right="49"/>
        <w:contextualSpacing w:val="0"/>
        <w:outlineLvl w:val="0"/>
        <w:rPr>
          <w:b/>
          <w:vanish/>
        </w:rPr>
      </w:pPr>
      <w:bookmarkStart w:id="367" w:name="_Toc110522972"/>
      <w:bookmarkStart w:id="368" w:name="_Toc114066676"/>
      <w:bookmarkStart w:id="369" w:name="_Toc114473998"/>
      <w:bookmarkStart w:id="370" w:name="_Toc114476045"/>
      <w:bookmarkStart w:id="371" w:name="_Toc114476152"/>
      <w:bookmarkStart w:id="372" w:name="_Toc114476238"/>
      <w:bookmarkStart w:id="373" w:name="_Toc114476305"/>
      <w:bookmarkStart w:id="374" w:name="_Toc114476378"/>
      <w:bookmarkStart w:id="375" w:name="_Toc114476443"/>
      <w:bookmarkStart w:id="376" w:name="_Toc114492529"/>
      <w:bookmarkStart w:id="377" w:name="_Toc114492729"/>
      <w:bookmarkStart w:id="378" w:name="_Toc114493839"/>
      <w:bookmarkStart w:id="379" w:name="_Toc114495294"/>
      <w:bookmarkEnd w:id="367"/>
      <w:bookmarkEnd w:id="368"/>
      <w:bookmarkEnd w:id="369"/>
      <w:bookmarkEnd w:id="370"/>
      <w:bookmarkEnd w:id="371"/>
      <w:bookmarkEnd w:id="372"/>
      <w:bookmarkEnd w:id="373"/>
      <w:bookmarkEnd w:id="374"/>
      <w:bookmarkEnd w:id="375"/>
      <w:bookmarkEnd w:id="376"/>
      <w:bookmarkEnd w:id="377"/>
      <w:bookmarkEnd w:id="378"/>
      <w:bookmarkEnd w:id="379"/>
    </w:p>
    <w:p w14:paraId="1E66F136" w14:textId="60DDDA26" w:rsidR="00265DBD" w:rsidRPr="00286E33" w:rsidRDefault="00265DBD" w:rsidP="00A9708A">
      <w:pPr>
        <w:pStyle w:val="Ttulo1"/>
        <w:widowControl/>
        <w:numPr>
          <w:ilvl w:val="1"/>
          <w:numId w:val="23"/>
        </w:numPr>
        <w:ind w:left="567" w:right="49" w:hanging="283"/>
        <w:jc w:val="left"/>
        <w:rPr>
          <w:color w:val="auto"/>
          <w:sz w:val="24"/>
        </w:rPr>
      </w:pPr>
      <w:bookmarkStart w:id="380" w:name="_Toc114495295"/>
      <w:r w:rsidRPr="00286E33">
        <w:rPr>
          <w:color w:val="auto"/>
          <w:sz w:val="24"/>
        </w:rPr>
        <w:t>Desastres provocados por fenómenos naturales en Guatemala</w:t>
      </w:r>
      <w:bookmarkEnd w:id="380"/>
    </w:p>
    <w:p w14:paraId="6E406B6C" w14:textId="77777777" w:rsidR="00265DBD" w:rsidRPr="00316458" w:rsidRDefault="00265DBD" w:rsidP="00265DBD">
      <w:pPr>
        <w:jc w:val="both"/>
        <w:rPr>
          <w:rFonts w:eastAsia="Times New Roman"/>
          <w:sz w:val="22"/>
          <w:szCs w:val="22"/>
          <w:lang w:val="es-ES"/>
        </w:rPr>
      </w:pPr>
    </w:p>
    <w:p w14:paraId="3C422782" w14:textId="01B39A92" w:rsidR="00265DBD" w:rsidRDefault="00265DBD" w:rsidP="00265DBD">
      <w:pPr>
        <w:jc w:val="both"/>
        <w:rPr>
          <w:rFonts w:eastAsia="Times New Roman"/>
          <w:lang w:val="es-ES"/>
        </w:rPr>
      </w:pPr>
      <w:r w:rsidRPr="00316458">
        <w:rPr>
          <w:rFonts w:eastAsia="Times New Roman"/>
          <w:lang w:val="es-ES"/>
        </w:rPr>
        <w:t xml:space="preserve">Durante el 2022 el país se ha visto afectado por diversos eventos naturales como actividad volcánica, frentes fríos, sismos y fuertes lluvias los cuales han causado impactos y pérdidas en la infraestructura, carreteras y transporte, esto se ve reflejado en las finanzas públicas implicando un mayor riesgo de choques negativos como la reducción de ingresos tributarios por la caída de la actividad económica y una alta presión en el gasto público por necesidades financieras </w:t>
      </w:r>
      <w:r w:rsidR="001A37CA">
        <w:rPr>
          <w:rFonts w:eastAsia="Times New Roman"/>
          <w:lang w:val="es-ES"/>
        </w:rPr>
        <w:t xml:space="preserve">de atención a las emergencias. </w:t>
      </w:r>
    </w:p>
    <w:p w14:paraId="5E0C23CB" w14:textId="77777777" w:rsidR="00A9708A" w:rsidRPr="00316458" w:rsidRDefault="00A9708A" w:rsidP="00265DBD">
      <w:pPr>
        <w:jc w:val="both"/>
        <w:rPr>
          <w:rFonts w:eastAsia="Times New Roman"/>
          <w:lang w:val="es-ES"/>
        </w:rPr>
      </w:pPr>
    </w:p>
    <w:p w14:paraId="50F28862" w14:textId="77777777" w:rsidR="00265DBD" w:rsidRPr="00316458" w:rsidRDefault="00265DBD" w:rsidP="00265DBD">
      <w:pPr>
        <w:jc w:val="both"/>
        <w:rPr>
          <w:rFonts w:eastAsia="Times New Roman"/>
          <w:lang w:val="es-ES"/>
        </w:rPr>
      </w:pPr>
      <w:r w:rsidRPr="00316458">
        <w:rPr>
          <w:rFonts w:eastAsia="Times New Roman"/>
          <w:lang w:val="es-ES"/>
        </w:rPr>
        <w:t>La CONRED y el INSIVUMEH, han reportado a lo largo del año movimiento sísmicos en todo el país, en donde los más sensibles que ocasionaron daños ocurrieron el 16 de febrero, con una magnitud de 6.8, con epicentro en el Océano Pacífico y costas de Escuintla, el sismo causó daños en infraestructura y carreteras en siete departamentos. Asimismo, el 6 de mayo hubo un nuevo sismo con una magnitud de 5.6 grados frente a las costas de Escuintla, en donde se reportaron daños en once departamentos.</w:t>
      </w:r>
    </w:p>
    <w:p w14:paraId="0366EF7F" w14:textId="77777777" w:rsidR="00265DBD" w:rsidRPr="00316458" w:rsidRDefault="00265DBD" w:rsidP="00265DBD">
      <w:pPr>
        <w:jc w:val="both"/>
        <w:rPr>
          <w:rFonts w:eastAsia="Times New Roman"/>
          <w:lang w:val="es-ES"/>
        </w:rPr>
      </w:pPr>
    </w:p>
    <w:p w14:paraId="1EFE9116" w14:textId="77777777" w:rsidR="00265DBD" w:rsidRDefault="00265DBD" w:rsidP="00265DBD">
      <w:pPr>
        <w:jc w:val="both"/>
        <w:rPr>
          <w:rFonts w:eastAsia="Times New Roman"/>
          <w:lang w:val="es-ES"/>
        </w:rPr>
      </w:pPr>
      <w:r w:rsidRPr="00316458">
        <w:rPr>
          <w:rFonts w:eastAsia="Times New Roman"/>
          <w:lang w:val="es-ES"/>
        </w:rPr>
        <w:t>Por su parte, el exceso de lluvias es uno de los principales eventos con mayor impacto a nivel nacional, viéndose reflejado en su mayoría por deslizamientos e inundaciones en diferentes áreas geográficas, prueba de ello son los impactos que provocó la primera Depresión Tropical, la cual se formó el 27 de mayo por la temporada de huracanes del Pacifico, que se ubicó en el suroeste del golfo de Tehuantepec, México. La misma se fortaleció y paso a categoría de Tormenta Tropical denominada Agatha y el 29 de mayo pas</w:t>
      </w:r>
      <w:r>
        <w:rPr>
          <w:rFonts w:eastAsia="Times New Roman"/>
          <w:lang w:val="es-ES"/>
        </w:rPr>
        <w:t>ó</w:t>
      </w:r>
      <w:r w:rsidRPr="00316458">
        <w:rPr>
          <w:rFonts w:eastAsia="Times New Roman"/>
          <w:lang w:val="es-ES"/>
        </w:rPr>
        <w:t xml:space="preserve"> a ser un huracán categoría uno. Aunque no representó amenaza directa para Guatemala, según informes oficiales durante los últimos días de lluvia de la Depresión Tropical Agatha se atendieron inundaciones, derrumbes y deslizamientos en los departamentos de Guatemala, Quetzaltenango y Huehuetenango.</w:t>
      </w:r>
    </w:p>
    <w:p w14:paraId="2710CA71" w14:textId="77777777" w:rsidR="00265DBD" w:rsidRPr="00316458" w:rsidRDefault="00265DBD" w:rsidP="00265DBD">
      <w:pPr>
        <w:jc w:val="both"/>
        <w:rPr>
          <w:rFonts w:eastAsia="Times New Roman"/>
          <w:lang w:val="es-ES"/>
        </w:rPr>
      </w:pPr>
    </w:p>
    <w:p w14:paraId="4A331589" w14:textId="77777777" w:rsidR="00265DBD" w:rsidRPr="00316458" w:rsidRDefault="00265DBD" w:rsidP="00265DBD">
      <w:pPr>
        <w:tabs>
          <w:tab w:val="left" w:pos="3615"/>
        </w:tabs>
        <w:jc w:val="both"/>
        <w:rPr>
          <w:rFonts w:eastAsia="Times New Roman"/>
          <w:lang w:val="es-ES"/>
        </w:rPr>
      </w:pPr>
      <w:r w:rsidRPr="00316458">
        <w:rPr>
          <w:rFonts w:eastAsia="Times New Roman"/>
          <w:lang w:val="es-ES"/>
        </w:rPr>
        <w:t>A partir del primero de junio, según información del INSIVUMEH inició la Temporada Ciclónica en el océano Atlántico, además continu</w:t>
      </w:r>
      <w:r>
        <w:rPr>
          <w:rFonts w:eastAsia="Times New Roman"/>
          <w:lang w:val="es-ES"/>
        </w:rPr>
        <w:t>ó</w:t>
      </w:r>
      <w:r w:rsidRPr="00316458">
        <w:rPr>
          <w:rFonts w:eastAsia="Times New Roman"/>
          <w:lang w:val="es-ES"/>
        </w:rPr>
        <w:t xml:space="preserve"> el fenómeno de La Niña</w:t>
      </w:r>
      <w:r>
        <w:rPr>
          <w:rFonts w:eastAsia="Times New Roman"/>
          <w:lang w:val="es-ES"/>
        </w:rPr>
        <w:t>,</w:t>
      </w:r>
      <w:r w:rsidRPr="00316458">
        <w:rPr>
          <w:rFonts w:eastAsia="Times New Roman"/>
          <w:lang w:val="es-ES"/>
        </w:rPr>
        <w:t xml:space="preserve"> lo cual intensific</w:t>
      </w:r>
      <w:r>
        <w:rPr>
          <w:rFonts w:eastAsia="Times New Roman"/>
          <w:lang w:val="es-ES"/>
        </w:rPr>
        <w:t>ó</w:t>
      </w:r>
      <w:r w:rsidRPr="00316458">
        <w:rPr>
          <w:rFonts w:eastAsia="Times New Roman"/>
          <w:lang w:val="es-ES"/>
        </w:rPr>
        <w:t xml:space="preserve"> las lluvias en el territorio nacional. La tormenta tropical Blas fue el segundo ciclón de la temporada, este se formó el martes 14 de junio a 400 kilómetros del estado mexicano de Guerrero, provocando lluvias intensas sobre algunas regiones de Centroamérica, incluida Guatemala. Asimismo, en junio durante la semana del 13 al 19 se registró la mayor precipitación fluvial en el año, lo que provocó incidentes a nivel nacional, entre los más relevantes reportados por las instituciones rectoras se puede mencionar los daños provocados por deslizamientos y derrumbes, siendo uno de los más grandes en proporciones el derrumbe del kilómetro 24 de la ruta Interamericana. Además, se vieron afectados varios departamentos por inundaciones, colapsos estructurales y hundimientos en carreteras, siendo el hundimiento en la carretera kilómetro 15 en el Municipio de Villa Nueva el más representativo, derivado que es una de las principales arterias viales del país, el cual aún no se encuentra reestablecido.</w:t>
      </w:r>
    </w:p>
    <w:p w14:paraId="24CE035C" w14:textId="77777777" w:rsidR="00265DBD" w:rsidRPr="00316458" w:rsidRDefault="00265DBD" w:rsidP="00265DBD">
      <w:pPr>
        <w:tabs>
          <w:tab w:val="left" w:pos="3615"/>
        </w:tabs>
        <w:jc w:val="both"/>
        <w:rPr>
          <w:rFonts w:eastAsia="Times New Roman"/>
          <w:lang w:val="es-ES"/>
        </w:rPr>
      </w:pPr>
    </w:p>
    <w:p w14:paraId="0E63AB0E" w14:textId="77777777" w:rsidR="00265DBD" w:rsidRPr="00316458" w:rsidRDefault="00265DBD" w:rsidP="00265DBD">
      <w:pPr>
        <w:tabs>
          <w:tab w:val="left" w:pos="3615"/>
        </w:tabs>
        <w:jc w:val="both"/>
        <w:rPr>
          <w:rFonts w:eastAsia="Times New Roman"/>
          <w:lang w:val="es-ES"/>
        </w:rPr>
      </w:pPr>
      <w:r w:rsidRPr="00316458">
        <w:rPr>
          <w:rFonts w:eastAsia="Times New Roman"/>
          <w:lang w:val="es-ES"/>
        </w:rPr>
        <w:t xml:space="preserve">La CONRED comunicó que la temporada de lluvia ha dejado hasta el 30 de junio al menos 23 personas fallecidas y 1.7 millones de afectadas. Así mismo reportó 15,923 personas atendidas, 874 albergadas, 4 desaparecidas, 8 heridas, 2,883 en riesgo, 3,216 damnificadas y 7,055 evacuadas y en tema de daños se reportaron 790 viviendas en riesgos, 651 con daños leves, 2,353 con daño moderado y 212 con daño severo. </w:t>
      </w:r>
    </w:p>
    <w:p w14:paraId="20A5E844" w14:textId="77777777" w:rsidR="00265DBD" w:rsidRPr="00316458" w:rsidRDefault="00265DBD" w:rsidP="00265DBD">
      <w:pPr>
        <w:tabs>
          <w:tab w:val="left" w:pos="3615"/>
        </w:tabs>
        <w:jc w:val="both"/>
        <w:rPr>
          <w:rFonts w:eastAsia="Times New Roman"/>
          <w:lang w:val="es-ES"/>
        </w:rPr>
      </w:pPr>
    </w:p>
    <w:p w14:paraId="17CC4AAD" w14:textId="77777777" w:rsidR="00265DBD" w:rsidRPr="00316458" w:rsidRDefault="00265DBD" w:rsidP="00265DBD">
      <w:pPr>
        <w:tabs>
          <w:tab w:val="left" w:pos="3615"/>
        </w:tabs>
        <w:jc w:val="both"/>
        <w:rPr>
          <w:rFonts w:eastAsia="Times New Roman"/>
          <w:lang w:val="es-ES"/>
        </w:rPr>
      </w:pPr>
      <w:r w:rsidRPr="00316458">
        <w:rPr>
          <w:rFonts w:eastAsia="Times New Roman"/>
          <w:lang w:val="es-ES"/>
        </w:rPr>
        <w:t>Derivado de esto, el Congreso de la República en junio aprobó el Decreto 35-2022 en el cual decreta ratificar el Decreto Gubernativo 03-2022</w:t>
      </w:r>
      <w:r>
        <w:rPr>
          <w:rFonts w:eastAsia="Times New Roman"/>
          <w:lang w:val="es-ES"/>
        </w:rPr>
        <w:t>,</w:t>
      </w:r>
      <w:r w:rsidRPr="00316458">
        <w:rPr>
          <w:rFonts w:eastAsia="Times New Roman"/>
          <w:lang w:val="es-ES"/>
        </w:rPr>
        <w:t xml:space="preserve"> emitido por el Presidente de la República en Consejo de Ministros, ante la gravedad de los desastres ocasionados por la temporada lluviosa, el Congreso de la República declaró estado de calamidad pública en todo el territorio nacional</w:t>
      </w:r>
      <w:r>
        <w:rPr>
          <w:rFonts w:eastAsia="Times New Roman"/>
          <w:lang w:val="es-ES"/>
        </w:rPr>
        <w:t xml:space="preserve"> por un plazo de 30 días</w:t>
      </w:r>
      <w:r w:rsidRPr="00316458">
        <w:rPr>
          <w:rFonts w:eastAsia="Times New Roman"/>
          <w:lang w:val="es-ES"/>
        </w:rPr>
        <w:t xml:space="preserve"> </w:t>
      </w:r>
    </w:p>
    <w:p w14:paraId="13599DC0" w14:textId="77777777" w:rsidR="00265DBD" w:rsidRPr="00316458" w:rsidRDefault="00265DBD" w:rsidP="00265DBD">
      <w:pPr>
        <w:tabs>
          <w:tab w:val="left" w:pos="3615"/>
        </w:tabs>
        <w:jc w:val="both"/>
        <w:rPr>
          <w:rFonts w:eastAsia="Times New Roman"/>
          <w:lang w:val="es-ES"/>
        </w:rPr>
      </w:pPr>
    </w:p>
    <w:p w14:paraId="70058C7D" w14:textId="388DBD98" w:rsidR="00265DBD" w:rsidRPr="00316458" w:rsidRDefault="00265DBD" w:rsidP="00265DBD">
      <w:pPr>
        <w:tabs>
          <w:tab w:val="left" w:pos="3615"/>
        </w:tabs>
        <w:jc w:val="both"/>
        <w:rPr>
          <w:rFonts w:eastAsia="Times New Roman"/>
          <w:lang w:val="es-ES"/>
        </w:rPr>
      </w:pPr>
      <w:r w:rsidRPr="00316458">
        <w:rPr>
          <w:rFonts w:eastAsia="Times New Roman"/>
          <w:lang w:val="es-ES"/>
        </w:rPr>
        <w:t>Posteriormente</w:t>
      </w:r>
      <w:r>
        <w:rPr>
          <w:rFonts w:eastAsia="Times New Roman"/>
          <w:lang w:val="es-ES"/>
        </w:rPr>
        <w:t>,</w:t>
      </w:r>
      <w:r w:rsidRPr="00316458">
        <w:rPr>
          <w:rFonts w:eastAsia="Times New Roman"/>
          <w:lang w:val="es-ES"/>
        </w:rPr>
        <w:t xml:space="preserve"> fue aprobado el Decreto 36-2022 “Reformas a los Decretos número 16-2021 Ley del Presupuesto General de Ingresos y Egresos del Estado para el ejercicio fiscal 2022 y 21-2022 Ley para Fortalecer el Mantenimiento y Construcción de Infraestructura Estratégica” en este Decreto se decidió fortalecer el fondo emergente hasta con Q1,000 millones que anteriormente correspondían a infraestructura estratégica (Q400 millones) y a la compra de la vacuna contra el COVID-19 (Q600 millones). Dentro de la Ley de Presupuesto de Ingresos y Egresos del Estado para el 2022, el Fondo Emergente contaba con una asignación de Q110.0 millones y con la nueva asignación se busca fortalecerlo con más recursos, para destinarlos a mitigar los daños ocasionados por los fenómenos naturales que han afectado al país.              </w:t>
      </w:r>
    </w:p>
    <w:p w14:paraId="1FEB8B07" w14:textId="77777777" w:rsidR="00265DBD" w:rsidRPr="00316458" w:rsidRDefault="00265DBD" w:rsidP="00265DBD">
      <w:pPr>
        <w:tabs>
          <w:tab w:val="left" w:pos="3615"/>
        </w:tabs>
        <w:jc w:val="both"/>
        <w:rPr>
          <w:rFonts w:eastAsia="Times New Roman"/>
          <w:lang w:val="es-ES"/>
        </w:rPr>
      </w:pPr>
    </w:p>
    <w:p w14:paraId="2A414983" w14:textId="52C86EEA" w:rsidR="00265DBD" w:rsidRPr="00316458" w:rsidRDefault="00265DBD" w:rsidP="00265DBD">
      <w:pPr>
        <w:tabs>
          <w:tab w:val="left" w:pos="3615"/>
        </w:tabs>
        <w:jc w:val="both"/>
        <w:rPr>
          <w:rFonts w:eastAsia="Times New Roman"/>
          <w:lang w:val="es-ES"/>
        </w:rPr>
      </w:pPr>
      <w:r w:rsidRPr="00316458">
        <w:rPr>
          <w:rFonts w:eastAsia="Times New Roman"/>
          <w:lang w:val="es-ES"/>
        </w:rPr>
        <w:t xml:space="preserve">De acuerdo al registro histórico de incidentes registrados en Conred, en un período de 5 años (2017-2021) se han registrado 6,502 incidentes en toda la República de Guatemala, de los cuales el 50% corresponde a incidentes de tipo </w:t>
      </w:r>
      <w:r w:rsidR="003C6336" w:rsidRPr="00316458">
        <w:rPr>
          <w:rFonts w:eastAsia="Times New Roman"/>
          <w:lang w:val="es-ES"/>
        </w:rPr>
        <w:t>hidrometeorológicos</w:t>
      </w:r>
      <w:r w:rsidRPr="00316458">
        <w:rPr>
          <w:rFonts w:eastAsia="Times New Roman"/>
          <w:lang w:val="es-ES"/>
        </w:rPr>
        <w:t xml:space="preserve"> (lluvias, sequías, temperaturas extremas), el 19.7% corresponde a incidente por inundaciones, el 16.8% corresponde a movimientos de masa (derrumbes, deslizamientos y hundimientos) y el 13.5% corresponde a incidentes asociados a otras causas. Entre los departamentos que más han sufrido de incidentes se encuentran Alta Verapaz (794 incidentes), Guatemala (776 incidentes) y Suchitepéquez (642 incidentes).</w:t>
      </w:r>
    </w:p>
    <w:p w14:paraId="25ADE262" w14:textId="2DF08D98" w:rsidR="00265DBD" w:rsidRPr="00316458" w:rsidRDefault="00265DBD" w:rsidP="00265DBD">
      <w:pPr>
        <w:tabs>
          <w:tab w:val="left" w:pos="3615"/>
        </w:tabs>
        <w:jc w:val="both"/>
        <w:rPr>
          <w:rFonts w:eastAsia="Times New Roman"/>
          <w:lang w:val="es-ES"/>
        </w:rPr>
      </w:pPr>
    </w:p>
    <w:p w14:paraId="1AD2A17F" w14:textId="726AC8DF" w:rsidR="00265DBD" w:rsidRDefault="00265DBD" w:rsidP="00265DBD">
      <w:pPr>
        <w:tabs>
          <w:tab w:val="left" w:pos="3615"/>
        </w:tabs>
        <w:jc w:val="both"/>
        <w:rPr>
          <w:rFonts w:eastAsia="Times New Roman"/>
          <w:lang w:val="es-ES"/>
        </w:rPr>
      </w:pPr>
      <w:r w:rsidRPr="00646A63">
        <w:rPr>
          <w:rFonts w:eastAsia="Times New Roman"/>
          <w:lang w:val="es-ES"/>
        </w:rPr>
        <w:t xml:space="preserve">Asimismo, se le da seguimiento a la EM-DAT, la base de datos internacional de desastres utilizada por organismos internacionales, en la misma </w:t>
      </w:r>
      <w:r>
        <w:rPr>
          <w:rFonts w:eastAsia="Times New Roman"/>
          <w:lang w:val="es-ES"/>
        </w:rPr>
        <w:t xml:space="preserve">se consideró para Guatemala los desastres de origen natural que se clasifican dentro de cuatro categorías: </w:t>
      </w:r>
      <w:r w:rsidRPr="00646A63">
        <w:rPr>
          <w:rFonts w:eastAsia="Times New Roman"/>
          <w:lang w:val="es-ES"/>
        </w:rPr>
        <w:t>geofísicos (actividad volcánica, terremoto, movimiento de masa), climatológico (comprende incendio forestal y sequías), meteorológico (ciclón tropical, tormenta, temperatura extrema) e hidrológico (inundación, deslizamiento de tierra o derrumbe)</w:t>
      </w:r>
      <w:r>
        <w:rPr>
          <w:rFonts w:eastAsia="Times New Roman"/>
          <w:lang w:val="es-ES"/>
        </w:rPr>
        <w:t xml:space="preserve">. </w:t>
      </w:r>
    </w:p>
    <w:p w14:paraId="1D8A3B16" w14:textId="77777777" w:rsidR="00265DBD" w:rsidRDefault="00265DBD" w:rsidP="00265DBD">
      <w:pPr>
        <w:tabs>
          <w:tab w:val="left" w:pos="3615"/>
        </w:tabs>
        <w:jc w:val="both"/>
        <w:rPr>
          <w:rFonts w:eastAsia="Times New Roman"/>
          <w:lang w:val="es-ES"/>
        </w:rPr>
      </w:pPr>
    </w:p>
    <w:p w14:paraId="5B098C70" w14:textId="4FFF6F87" w:rsidR="00265DBD" w:rsidRDefault="00265DBD" w:rsidP="00265DBD">
      <w:pPr>
        <w:tabs>
          <w:tab w:val="left" w:pos="3615"/>
        </w:tabs>
        <w:jc w:val="both"/>
        <w:rPr>
          <w:rFonts w:eastAsia="Times New Roman"/>
          <w:lang w:val="es-ES"/>
        </w:rPr>
      </w:pPr>
      <w:r>
        <w:rPr>
          <w:rFonts w:eastAsia="Times New Roman"/>
          <w:lang w:val="es-ES"/>
        </w:rPr>
        <w:t xml:space="preserve">Se identificó que en un período de 26 años (1994-2020), para el caso de Guatemala los eventos que han representan el mayor costo económico se encuentran relacionados a eventos naturales de tipo </w:t>
      </w:r>
      <w:r w:rsidRPr="006A7DF4">
        <w:rPr>
          <w:rFonts w:eastAsia="Times New Roman"/>
          <w:lang w:val="es-ES"/>
        </w:rPr>
        <w:t>meteorológico</w:t>
      </w:r>
      <w:r>
        <w:rPr>
          <w:rFonts w:eastAsia="Times New Roman"/>
          <w:lang w:val="es-ES"/>
        </w:rPr>
        <w:t xml:space="preserve">, siendo el caso del Huracán Mitch en 1998, el ciclón tropical Stan en 2005, el Huracán Agatha en 2010 o el Huracán Eta e Iota en 2020. Adicionalmente, estos se encuentran estrechamente relacionados a los eventos de tipo hidrológicos. </w:t>
      </w:r>
    </w:p>
    <w:p w14:paraId="3F0D6273" w14:textId="229F4B3B" w:rsidR="004C0F54" w:rsidRDefault="004C0F54" w:rsidP="00265DBD">
      <w:pPr>
        <w:jc w:val="center"/>
      </w:pPr>
    </w:p>
    <w:p w14:paraId="5858555B" w14:textId="6DD66DD2" w:rsidR="00265DBD" w:rsidRPr="004C0F54" w:rsidRDefault="00A9708A" w:rsidP="004C0F54">
      <w:pPr>
        <w:pStyle w:val="Descripcin"/>
        <w:keepNext/>
      </w:pPr>
      <w:bookmarkStart w:id="381" w:name="_Toc114493920"/>
      <w:r w:rsidRPr="004C0F54">
        <w:rPr>
          <w:rFonts w:eastAsia="Times New Roman"/>
          <w:noProof/>
          <w:color w:val="auto"/>
          <w:lang w:eastAsia="es-GT"/>
        </w:rPr>
        <w:drawing>
          <wp:anchor distT="0" distB="0" distL="114300" distR="114300" simplePos="0" relativeHeight="251665408" behindDoc="0" locked="0" layoutInCell="1" allowOverlap="1" wp14:anchorId="59FE10DC" wp14:editId="1249291F">
            <wp:simplePos x="0" y="0"/>
            <wp:positionH relativeFrom="margin">
              <wp:posOffset>-70485</wp:posOffset>
            </wp:positionH>
            <wp:positionV relativeFrom="paragraph">
              <wp:posOffset>243840</wp:posOffset>
            </wp:positionV>
            <wp:extent cx="5734050" cy="2600325"/>
            <wp:effectExtent l="0" t="0" r="0" b="0"/>
            <wp:wrapSquare wrapText="bothSides"/>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r w:rsidR="004C0F54" w:rsidRPr="004C0F54">
        <w:rPr>
          <w:color w:val="auto"/>
        </w:rPr>
        <w:t xml:space="preserve">Gráfico </w:t>
      </w:r>
      <w:r w:rsidR="004C0F54" w:rsidRPr="004C0F54">
        <w:rPr>
          <w:color w:val="auto"/>
        </w:rPr>
        <w:fldChar w:fldCharType="begin"/>
      </w:r>
      <w:r w:rsidR="004C0F54" w:rsidRPr="004C0F54">
        <w:rPr>
          <w:color w:val="auto"/>
        </w:rPr>
        <w:instrText xml:space="preserve"> SEQ Gráfico \* ARABIC </w:instrText>
      </w:r>
      <w:r w:rsidR="004C0F54" w:rsidRPr="004C0F54">
        <w:rPr>
          <w:color w:val="auto"/>
        </w:rPr>
        <w:fldChar w:fldCharType="separate"/>
      </w:r>
      <w:r w:rsidR="002E7809">
        <w:rPr>
          <w:noProof/>
          <w:color w:val="auto"/>
        </w:rPr>
        <w:t>78</w:t>
      </w:r>
      <w:r w:rsidR="004C0F54" w:rsidRPr="004C0F54">
        <w:rPr>
          <w:color w:val="auto"/>
        </w:rPr>
        <w:fldChar w:fldCharType="end"/>
      </w:r>
      <w:r w:rsidR="004C0F54" w:rsidRPr="004C0F54">
        <w:rPr>
          <w:color w:val="auto"/>
        </w:rPr>
        <w:t xml:space="preserve">.  </w:t>
      </w:r>
      <w:r w:rsidR="00265DBD" w:rsidRPr="004C0F54">
        <w:rPr>
          <w:rFonts w:eastAsia="Times New Roman"/>
          <w:bCs/>
          <w:color w:val="auto"/>
          <w:lang w:val="es-ES"/>
        </w:rPr>
        <w:t>Costo Económico de E</w:t>
      </w:r>
      <w:r w:rsidR="00265DBD" w:rsidRPr="004C0F54">
        <w:rPr>
          <w:rFonts w:eastAsia="Times New Roman"/>
          <w:bCs/>
          <w:color w:val="auto"/>
          <w:sz w:val="22"/>
          <w:szCs w:val="22"/>
          <w:lang w:val="es-ES"/>
        </w:rPr>
        <w:t>ventos Naturales desde 1994 al 2020</w:t>
      </w:r>
      <w:bookmarkEnd w:id="381"/>
    </w:p>
    <w:p w14:paraId="4FCF750D" w14:textId="303CA685" w:rsidR="00265DBD" w:rsidRDefault="00265DBD" w:rsidP="00265DBD">
      <w:pPr>
        <w:tabs>
          <w:tab w:val="left" w:pos="3615"/>
        </w:tabs>
        <w:jc w:val="both"/>
        <w:rPr>
          <w:rFonts w:eastAsia="Times New Roman"/>
          <w:lang w:val="es-ES"/>
        </w:rPr>
      </w:pPr>
      <w:r w:rsidRPr="002A7140">
        <w:rPr>
          <w:rFonts w:eastAsia="Times New Roman"/>
          <w:sz w:val="16"/>
          <w:szCs w:val="16"/>
          <w:lang w:val="es-ES"/>
        </w:rPr>
        <w:t>Fuente: EM-DAT Base de datos internacional</w:t>
      </w:r>
      <w:r w:rsidRPr="002A7140">
        <w:rPr>
          <w:sz w:val="16"/>
          <w:szCs w:val="16"/>
        </w:rPr>
        <w:t xml:space="preserve"> </w:t>
      </w:r>
      <w:r w:rsidRPr="002A7140">
        <w:rPr>
          <w:rFonts w:eastAsia="Times New Roman"/>
          <w:sz w:val="16"/>
          <w:szCs w:val="16"/>
          <w:lang w:val="es-ES"/>
        </w:rPr>
        <w:t>de desastres</w:t>
      </w:r>
    </w:p>
    <w:p w14:paraId="7668630D" w14:textId="77777777" w:rsidR="00595C75" w:rsidRDefault="00595C75" w:rsidP="00265DBD">
      <w:pPr>
        <w:tabs>
          <w:tab w:val="left" w:pos="3615"/>
        </w:tabs>
        <w:jc w:val="both"/>
        <w:rPr>
          <w:rFonts w:eastAsia="Times New Roman"/>
          <w:lang w:val="es-ES"/>
        </w:rPr>
      </w:pPr>
    </w:p>
    <w:p w14:paraId="3F8FE4AD" w14:textId="2B8708C6" w:rsidR="00265DBD" w:rsidRPr="00E54CE3" w:rsidRDefault="00265DBD" w:rsidP="00265DBD">
      <w:pPr>
        <w:tabs>
          <w:tab w:val="left" w:pos="3615"/>
        </w:tabs>
        <w:jc w:val="both"/>
        <w:rPr>
          <w:rFonts w:eastAsia="Times New Roman"/>
          <w:lang w:val="es-ES"/>
        </w:rPr>
      </w:pPr>
      <w:r w:rsidRPr="00E54CE3">
        <w:rPr>
          <w:rFonts w:eastAsia="Times New Roman"/>
          <w:lang w:val="es-ES"/>
        </w:rPr>
        <w:t xml:space="preserve">Esto pone de manifiesto que los riesgos fiscales por eventos naturales son </w:t>
      </w:r>
      <w:r>
        <w:rPr>
          <w:rFonts w:eastAsia="Times New Roman"/>
          <w:lang w:val="es-ES"/>
        </w:rPr>
        <w:t xml:space="preserve">sucesos </w:t>
      </w:r>
      <w:r w:rsidRPr="00E54CE3">
        <w:rPr>
          <w:rFonts w:eastAsia="Times New Roman"/>
          <w:lang w:val="es-ES"/>
        </w:rPr>
        <w:t>que generan incertidumbre respecto a su temporalidad, magnitud o probabilidad de ocurrencia. La experiencia en Guatemala es que estos eventos generan pérdidas continuas y están con una tendencia hacia el alza, lo que causa un aumento de población y zonas susceptibles a los desastres limitando los recursos disponibles del gobierno para enfrentar los costos y demuestra la necesidad de buscar un enfoque de gestión del riesgo a largo plazo con el que se pueda financiar las pérdidas post desastres y gestionar mecanismos de adaptación a la vulnerabilidad climática del país para reducir el impacto en las finanzas públicas. Por ello el Ministerio de Finanzas Públicas cuenta con una serie de mecanismos financieros para fortalecer la resiliencia económica y fiscal del país y su capacidad de respuesta ante el riesgo de desastres.</w:t>
      </w:r>
    </w:p>
    <w:p w14:paraId="0E448FC0" w14:textId="77777777" w:rsidR="00265DBD" w:rsidRPr="00E54CE3" w:rsidRDefault="00265DBD" w:rsidP="00265DBD">
      <w:pPr>
        <w:tabs>
          <w:tab w:val="left" w:pos="3615"/>
        </w:tabs>
        <w:jc w:val="both"/>
        <w:rPr>
          <w:rFonts w:eastAsia="Times New Roman"/>
          <w:lang w:val="es-ES"/>
        </w:rPr>
      </w:pPr>
    </w:p>
    <w:p w14:paraId="774B767D" w14:textId="77777777" w:rsidR="00265DBD" w:rsidRPr="00286E33" w:rsidRDefault="00265DBD" w:rsidP="00A9708A">
      <w:pPr>
        <w:pStyle w:val="Ttulo1"/>
        <w:widowControl/>
        <w:numPr>
          <w:ilvl w:val="1"/>
          <w:numId w:val="23"/>
        </w:numPr>
        <w:ind w:left="567" w:right="49" w:hanging="283"/>
        <w:jc w:val="left"/>
        <w:rPr>
          <w:color w:val="auto"/>
          <w:sz w:val="24"/>
        </w:rPr>
      </w:pPr>
      <w:bookmarkStart w:id="382" w:name="_Toc114495296"/>
      <w:r w:rsidRPr="00286E33">
        <w:rPr>
          <w:color w:val="auto"/>
          <w:sz w:val="24"/>
        </w:rPr>
        <w:t>Estrategia Financiera ante el riesgo de desastres</w:t>
      </w:r>
      <w:bookmarkEnd w:id="382"/>
    </w:p>
    <w:p w14:paraId="250D8D07" w14:textId="77777777" w:rsidR="00265DBD" w:rsidRPr="005779CD" w:rsidRDefault="00265DBD" w:rsidP="00265DBD">
      <w:pPr>
        <w:ind w:right="4"/>
        <w:jc w:val="both"/>
        <w:rPr>
          <w:rFonts w:eastAsia="Times New Roman"/>
          <w:lang w:val="es-ES"/>
        </w:rPr>
      </w:pPr>
    </w:p>
    <w:p w14:paraId="13E80383" w14:textId="77777777" w:rsidR="00265DBD" w:rsidRPr="001740C6" w:rsidRDefault="00265DBD" w:rsidP="00265DBD">
      <w:pPr>
        <w:ind w:right="4"/>
        <w:jc w:val="both"/>
        <w:rPr>
          <w:rFonts w:eastAsia="Times New Roman"/>
          <w:lang w:val="es-ES"/>
        </w:rPr>
      </w:pPr>
      <w:r w:rsidRPr="00C5382D">
        <w:rPr>
          <w:rFonts w:eastAsia="Times New Roman"/>
          <w:lang w:val="es-ES"/>
        </w:rPr>
        <w:t>Siguiendo las mejores prácticas internacionales en esta materia, el 18 de abril de 2018, el M</w:t>
      </w:r>
      <w:r>
        <w:rPr>
          <w:rFonts w:eastAsia="Times New Roman"/>
          <w:lang w:val="es-ES"/>
        </w:rPr>
        <w:t>inisterio de Finanzas Públicas</w:t>
      </w:r>
      <w:r w:rsidRPr="00C5382D">
        <w:rPr>
          <w:rFonts w:eastAsia="Times New Roman"/>
          <w:lang w:val="es-ES"/>
        </w:rPr>
        <w:t xml:space="preserve"> aprobó una Estrategia Financiera ante el Riesgo de Desastres</w:t>
      </w:r>
      <w:r w:rsidRPr="001740C6">
        <w:rPr>
          <w:rFonts w:eastAsia="Times New Roman"/>
          <w:lang w:val="es-ES"/>
        </w:rPr>
        <w:t>, a través del Acuerdo Ministerial No. 206-2018. Esta estrategia aboga por la diversificación de los instrumentos financieros para responder a las emergencias y promueve la movilización eficiente</w:t>
      </w:r>
      <w:r>
        <w:rPr>
          <w:rFonts w:eastAsia="Times New Roman"/>
          <w:lang w:val="es-ES"/>
        </w:rPr>
        <w:t>,</w:t>
      </w:r>
      <w:r w:rsidRPr="001740C6">
        <w:rPr>
          <w:rFonts w:eastAsia="Times New Roman"/>
          <w:lang w:val="es-ES"/>
        </w:rPr>
        <w:t xml:space="preserve"> transparente y la ejecución de gastos relacionados con el riesgo de desastres. </w:t>
      </w:r>
    </w:p>
    <w:p w14:paraId="46DB7462" w14:textId="77777777" w:rsidR="00265DBD" w:rsidRPr="001740C6" w:rsidRDefault="00265DBD" w:rsidP="00265DBD">
      <w:pPr>
        <w:pStyle w:val="Prrafodelista"/>
        <w:rPr>
          <w:rFonts w:eastAsia="Times New Roman"/>
          <w:lang w:val="es-ES"/>
        </w:rPr>
      </w:pPr>
    </w:p>
    <w:p w14:paraId="6C0CAB7D" w14:textId="77777777" w:rsidR="00265DBD" w:rsidRPr="001740C6" w:rsidRDefault="00265DBD" w:rsidP="00265DBD">
      <w:pPr>
        <w:ind w:right="4"/>
        <w:jc w:val="both"/>
        <w:rPr>
          <w:rFonts w:eastAsia="Times New Roman"/>
          <w:lang w:val="es-ES"/>
        </w:rPr>
      </w:pPr>
      <w:r w:rsidRPr="001740C6">
        <w:rPr>
          <w:rFonts w:eastAsia="Times New Roman"/>
          <w:lang w:val="es-ES"/>
        </w:rPr>
        <w:t xml:space="preserve">Dentro del marco de la citada Estrategia Financiera, actualmente se ha avanzado en la implementación del Plan Operativo en donde dentro de seis líneas estratégicas se establecen actividades, productos, responsables y plazos para la consecución de los objetivos establecidos. </w:t>
      </w:r>
    </w:p>
    <w:p w14:paraId="3D1BDD16" w14:textId="77777777" w:rsidR="00265DBD" w:rsidRPr="001740C6" w:rsidRDefault="00265DBD" w:rsidP="00265DBD">
      <w:pPr>
        <w:ind w:right="4"/>
        <w:jc w:val="both"/>
        <w:rPr>
          <w:rFonts w:eastAsia="Times New Roman"/>
          <w:lang w:val="es-ES"/>
        </w:rPr>
      </w:pPr>
    </w:p>
    <w:p w14:paraId="70FD6670" w14:textId="77777777" w:rsidR="00265DBD" w:rsidRPr="001740C6" w:rsidRDefault="00265DBD" w:rsidP="00265DBD">
      <w:pPr>
        <w:ind w:right="4"/>
        <w:jc w:val="both"/>
        <w:rPr>
          <w:rFonts w:eastAsia="Times New Roman"/>
          <w:lang w:val="es-ES"/>
        </w:rPr>
      </w:pPr>
      <w:r w:rsidRPr="001740C6">
        <w:rPr>
          <w:rFonts w:eastAsia="Times New Roman"/>
          <w:lang w:val="es-ES"/>
        </w:rPr>
        <w:t xml:space="preserve">Las seis líneas estratégicas tiene una relación directa para abordar de forma integral el tema de riesgos fiscales frente a desastres, siendo estas; LE1: Conocimiento sobre amenaza, vulnerabilidad, exposición y riesgo, LE2: Identificación de instrumentos como Fondos de Emergencia, Seguros y Créditos </w:t>
      </w:r>
      <w:r>
        <w:rPr>
          <w:rFonts w:eastAsia="Times New Roman"/>
          <w:lang w:val="es-ES"/>
        </w:rPr>
        <w:t>C</w:t>
      </w:r>
      <w:r w:rsidRPr="001740C6">
        <w:rPr>
          <w:rFonts w:eastAsia="Times New Roman"/>
          <w:lang w:val="es-ES"/>
        </w:rPr>
        <w:t>ontingentes, LE3: Seguros Catastróficos, pasivos contingentes del Estado, sector público y privado, LE4: Ejecución eficiente y transparente, clasificadores temáticos y mecanismos de compras y contrataciones eficiente</w:t>
      </w:r>
      <w:r>
        <w:rPr>
          <w:rFonts w:eastAsia="Times New Roman"/>
          <w:lang w:val="es-ES"/>
        </w:rPr>
        <w:t>s</w:t>
      </w:r>
      <w:r w:rsidRPr="001740C6">
        <w:rPr>
          <w:rFonts w:eastAsia="Times New Roman"/>
          <w:lang w:val="es-ES"/>
        </w:rPr>
        <w:t xml:space="preserve">, LE5: Gestión financiera en gestión de riesgo de desastres para Gobiernos Locales y LE6: Fortalecimiento institucional del Ministerio de Finanzas Públicas para la gestión fiscal y financiera del riesgo asociado a desastres provocados por fenómenos naturales. </w:t>
      </w:r>
    </w:p>
    <w:p w14:paraId="444FC189" w14:textId="77777777" w:rsidR="00265DBD" w:rsidRPr="001740C6" w:rsidRDefault="00265DBD" w:rsidP="00265DBD">
      <w:pPr>
        <w:tabs>
          <w:tab w:val="left" w:pos="3615"/>
        </w:tabs>
        <w:jc w:val="both"/>
        <w:rPr>
          <w:rFonts w:eastAsia="Times New Roman"/>
          <w:lang w:val="es-ES"/>
        </w:rPr>
      </w:pPr>
    </w:p>
    <w:p w14:paraId="42C07F82" w14:textId="77777777" w:rsidR="00265DBD" w:rsidRPr="00DB4B9E" w:rsidRDefault="00265DBD" w:rsidP="00265DBD">
      <w:pPr>
        <w:tabs>
          <w:tab w:val="left" w:pos="3615"/>
        </w:tabs>
        <w:jc w:val="both"/>
        <w:rPr>
          <w:rFonts w:eastAsia="Times New Roman"/>
          <w:lang w:val="es-ES"/>
        </w:rPr>
      </w:pPr>
      <w:r w:rsidRPr="00DB4B9E">
        <w:rPr>
          <w:rFonts w:eastAsia="Times New Roman"/>
          <w:lang w:val="es-ES"/>
        </w:rPr>
        <w:t>En función de lo anterior, dentro de los aspectos importantes que actualmente está trabajando el Ministerio de Finanzas Públicas para contar con cobertura ante la ocurrencia de un determinado evento producido por un fenómeno natural, se encuentran los siguientes:</w:t>
      </w:r>
    </w:p>
    <w:p w14:paraId="6DE876CA" w14:textId="77777777" w:rsidR="00265DBD" w:rsidRPr="00DB4B9E" w:rsidRDefault="00265DBD" w:rsidP="00265DBD">
      <w:pPr>
        <w:tabs>
          <w:tab w:val="left" w:pos="3615"/>
        </w:tabs>
        <w:rPr>
          <w:rFonts w:eastAsia="Times New Roman"/>
          <w:lang w:val="es-ES"/>
        </w:rPr>
      </w:pPr>
    </w:p>
    <w:p w14:paraId="0A22180D" w14:textId="77777777" w:rsidR="00265DBD" w:rsidRPr="007C12D9" w:rsidRDefault="00265DBD" w:rsidP="00265DBD">
      <w:pPr>
        <w:pStyle w:val="Prrafodelista"/>
        <w:widowControl/>
        <w:numPr>
          <w:ilvl w:val="0"/>
          <w:numId w:val="24"/>
        </w:numPr>
        <w:rPr>
          <w:rFonts w:eastAsia="Times New Roman"/>
          <w:b/>
          <w:lang w:val="es-ES"/>
        </w:rPr>
      </w:pPr>
      <w:r w:rsidRPr="007C12D9">
        <w:rPr>
          <w:rFonts w:eastAsia="Times New Roman"/>
          <w:b/>
          <w:lang w:val="es-ES"/>
        </w:rPr>
        <w:t>Mecanismo de Seguro contra riesgos de catástrofes del caribe -CCRIF-</w:t>
      </w:r>
    </w:p>
    <w:p w14:paraId="59015727" w14:textId="77777777" w:rsidR="00265DBD" w:rsidRPr="007C12D9" w:rsidRDefault="00265DBD" w:rsidP="00265DBD">
      <w:pPr>
        <w:ind w:firstLine="360"/>
        <w:rPr>
          <w:rFonts w:eastAsia="Times New Roman"/>
          <w:b/>
          <w:i/>
          <w:lang w:val="es-ES"/>
        </w:rPr>
      </w:pPr>
      <w:r w:rsidRPr="007C12D9">
        <w:rPr>
          <w:rFonts w:eastAsia="Times New Roman"/>
          <w:b/>
          <w:i/>
          <w:lang w:val="es-ES"/>
        </w:rPr>
        <w:t>Cobertura con seguro paramétrico contra exceso de lluvias</w:t>
      </w:r>
    </w:p>
    <w:p w14:paraId="2379685C" w14:textId="77777777" w:rsidR="00265DBD" w:rsidRPr="00DB4B9E" w:rsidRDefault="00265DBD" w:rsidP="00265DBD">
      <w:pPr>
        <w:rPr>
          <w:rFonts w:eastAsia="Times New Roman"/>
          <w:i/>
          <w:lang w:val="es-ES"/>
        </w:rPr>
      </w:pPr>
    </w:p>
    <w:p w14:paraId="03A54833" w14:textId="2BD2B340" w:rsidR="00265DBD" w:rsidRDefault="00265DBD" w:rsidP="00265DBD">
      <w:pPr>
        <w:jc w:val="both"/>
        <w:rPr>
          <w:rFonts w:eastAsia="Times New Roman"/>
          <w:lang w:val="es-ES"/>
        </w:rPr>
      </w:pPr>
      <w:r w:rsidRPr="00DB4B9E">
        <w:rPr>
          <w:rFonts w:eastAsia="Times New Roman"/>
          <w:lang w:val="es-ES"/>
        </w:rPr>
        <w:t xml:space="preserve">El Gobierno de Guatemala forma parte del </w:t>
      </w:r>
      <w:r>
        <w:rPr>
          <w:rFonts w:eastAsia="Times New Roman"/>
          <w:lang w:val="es-ES"/>
        </w:rPr>
        <w:t>m</w:t>
      </w:r>
      <w:r w:rsidRPr="00DB4B9E">
        <w:rPr>
          <w:rFonts w:eastAsia="Times New Roman"/>
          <w:lang w:val="es-ES"/>
        </w:rPr>
        <w:t xml:space="preserve">ecanismo desde octubre 2019, como el tercer miembro centroamericano. Guatemala adquirió un seguro paramétrico para exceso de lluvia para el año de póliza 2019/20. El 01 de junio 2022 se renovó la póliza para los años 2022-2023 contratada para ampliar la cobertura para Eventos de Precipitación Pluviales en una Zona Cubierta -CARE-. El país tiene una cobertura máxima de hasta por US$7,160,363 en su punto máximo de activación. </w:t>
      </w:r>
    </w:p>
    <w:p w14:paraId="4D33620F" w14:textId="77777777" w:rsidR="00F97A9F" w:rsidRPr="00DB4B9E" w:rsidRDefault="00F97A9F" w:rsidP="00265DBD">
      <w:pPr>
        <w:jc w:val="both"/>
        <w:rPr>
          <w:rFonts w:eastAsia="Times New Roman"/>
          <w:lang w:val="es-ES"/>
        </w:rPr>
      </w:pPr>
    </w:p>
    <w:p w14:paraId="76CF7788" w14:textId="77777777" w:rsidR="00265DBD" w:rsidRPr="00D431FD" w:rsidRDefault="00265DBD" w:rsidP="00265DBD">
      <w:pPr>
        <w:jc w:val="both"/>
        <w:rPr>
          <w:rFonts w:eastAsia="Times New Roman"/>
          <w:sz w:val="16"/>
          <w:szCs w:val="16"/>
          <w:lang w:val="es-ES"/>
        </w:rPr>
      </w:pPr>
    </w:p>
    <w:p w14:paraId="1029A6A7" w14:textId="77777777" w:rsidR="00265DBD" w:rsidRPr="00DB4B9E" w:rsidRDefault="00265DBD" w:rsidP="00265DBD">
      <w:pPr>
        <w:jc w:val="center"/>
        <w:rPr>
          <w:rFonts w:eastAsia="Times New Roman"/>
          <w:b/>
          <w:lang w:val="es-ES"/>
        </w:rPr>
      </w:pPr>
      <w:r w:rsidRPr="00DB4B9E">
        <w:rPr>
          <w:rFonts w:eastAsia="Times New Roman"/>
          <w:b/>
          <w:lang w:val="es-ES"/>
        </w:rPr>
        <w:t xml:space="preserve">Términos y condiciones </w:t>
      </w:r>
    </w:p>
    <w:tbl>
      <w:tblPr>
        <w:tblStyle w:val="Tablaconcuadrcula"/>
        <w:tblW w:w="0" w:type="auto"/>
        <w:jc w:val="center"/>
        <w:tblLook w:val="04A0" w:firstRow="1" w:lastRow="0" w:firstColumn="1" w:lastColumn="0" w:noHBand="0" w:noVBand="1"/>
      </w:tblPr>
      <w:tblGrid>
        <w:gridCol w:w="2488"/>
        <w:gridCol w:w="5304"/>
      </w:tblGrid>
      <w:tr w:rsidR="00265DBD" w:rsidRPr="00DB4B9E" w14:paraId="36238FB6" w14:textId="77777777" w:rsidTr="00ED483A">
        <w:trPr>
          <w:jc w:val="center"/>
        </w:trPr>
        <w:tc>
          <w:tcPr>
            <w:tcW w:w="2488" w:type="dxa"/>
          </w:tcPr>
          <w:p w14:paraId="28EB0D17" w14:textId="77777777" w:rsidR="00265DBD" w:rsidRPr="00B61EC5" w:rsidRDefault="00265DBD" w:rsidP="00ED483A">
            <w:pPr>
              <w:jc w:val="both"/>
              <w:rPr>
                <w:lang w:val="es-ES" w:eastAsia="en-US"/>
              </w:rPr>
            </w:pPr>
            <w:r w:rsidRPr="00B61EC5">
              <w:rPr>
                <w:lang w:val="es-ES" w:eastAsia="en-US"/>
              </w:rPr>
              <w:t xml:space="preserve">Período póliza </w:t>
            </w:r>
          </w:p>
        </w:tc>
        <w:tc>
          <w:tcPr>
            <w:tcW w:w="5304" w:type="dxa"/>
          </w:tcPr>
          <w:p w14:paraId="5C61FC94" w14:textId="77777777" w:rsidR="00265DBD" w:rsidRPr="00DB4B9E" w:rsidRDefault="00265DBD" w:rsidP="00ED483A">
            <w:pPr>
              <w:jc w:val="both"/>
              <w:rPr>
                <w:lang w:val="es-ES" w:eastAsia="en-US"/>
              </w:rPr>
            </w:pPr>
            <w:r w:rsidRPr="00DB4B9E">
              <w:rPr>
                <w:lang w:val="es-ES" w:eastAsia="en-US"/>
              </w:rPr>
              <w:t>1 de junio 2022 – 30 mayo 2023</w:t>
            </w:r>
          </w:p>
        </w:tc>
      </w:tr>
      <w:tr w:rsidR="00265DBD" w:rsidRPr="00DB4B9E" w14:paraId="7170EB15" w14:textId="77777777" w:rsidTr="00ED483A">
        <w:trPr>
          <w:jc w:val="center"/>
        </w:trPr>
        <w:tc>
          <w:tcPr>
            <w:tcW w:w="2488" w:type="dxa"/>
          </w:tcPr>
          <w:p w14:paraId="0D4CF9B5" w14:textId="77777777" w:rsidR="00265DBD" w:rsidRPr="00B61EC5" w:rsidRDefault="00265DBD" w:rsidP="00ED483A">
            <w:pPr>
              <w:jc w:val="both"/>
              <w:rPr>
                <w:lang w:val="es-ES" w:eastAsia="en-US"/>
              </w:rPr>
            </w:pPr>
            <w:r w:rsidRPr="00B61EC5">
              <w:rPr>
                <w:lang w:val="es-ES" w:eastAsia="en-US"/>
              </w:rPr>
              <w:t>Prima por el periodo</w:t>
            </w:r>
          </w:p>
        </w:tc>
        <w:tc>
          <w:tcPr>
            <w:tcW w:w="5304" w:type="dxa"/>
          </w:tcPr>
          <w:p w14:paraId="5D145E42" w14:textId="77777777" w:rsidR="00265DBD" w:rsidRPr="00DB4B9E" w:rsidRDefault="00265DBD" w:rsidP="00ED483A">
            <w:pPr>
              <w:jc w:val="both"/>
              <w:rPr>
                <w:lang w:val="es-ES" w:eastAsia="en-US"/>
              </w:rPr>
            </w:pPr>
            <w:r w:rsidRPr="00DB4B9E">
              <w:rPr>
                <w:lang w:val="es-ES" w:eastAsia="en-US"/>
              </w:rPr>
              <w:t>US$ 761,248</w:t>
            </w:r>
          </w:p>
        </w:tc>
      </w:tr>
      <w:tr w:rsidR="00265DBD" w:rsidRPr="00DB4B9E" w14:paraId="108D3A39" w14:textId="77777777" w:rsidTr="00ED483A">
        <w:trPr>
          <w:jc w:val="center"/>
        </w:trPr>
        <w:tc>
          <w:tcPr>
            <w:tcW w:w="2488" w:type="dxa"/>
          </w:tcPr>
          <w:p w14:paraId="13F76E0E" w14:textId="77777777" w:rsidR="00265DBD" w:rsidRPr="00B61EC5" w:rsidRDefault="00265DBD" w:rsidP="00ED483A">
            <w:pPr>
              <w:jc w:val="both"/>
              <w:rPr>
                <w:lang w:val="es-ES" w:eastAsia="en-US"/>
              </w:rPr>
            </w:pPr>
            <w:r w:rsidRPr="00B61EC5">
              <w:rPr>
                <w:lang w:val="es-ES" w:eastAsia="en-US"/>
              </w:rPr>
              <w:t>Zona cubierta</w:t>
            </w:r>
          </w:p>
        </w:tc>
        <w:tc>
          <w:tcPr>
            <w:tcW w:w="5304" w:type="dxa"/>
          </w:tcPr>
          <w:p w14:paraId="1645D872" w14:textId="77777777" w:rsidR="00265DBD" w:rsidRPr="00DB4B9E" w:rsidRDefault="00265DBD" w:rsidP="00ED483A">
            <w:pPr>
              <w:jc w:val="both"/>
              <w:rPr>
                <w:lang w:val="es-ES" w:eastAsia="en-US"/>
              </w:rPr>
            </w:pPr>
            <w:r w:rsidRPr="00DB4B9E">
              <w:rPr>
                <w:lang w:val="es-ES" w:eastAsia="en-US"/>
              </w:rPr>
              <w:t>Todo el Territorio de la República de Guatemala.</w:t>
            </w:r>
          </w:p>
        </w:tc>
      </w:tr>
      <w:tr w:rsidR="00265DBD" w:rsidRPr="00DB4B9E" w14:paraId="0A05BE03" w14:textId="77777777" w:rsidTr="00ED483A">
        <w:trPr>
          <w:jc w:val="center"/>
        </w:trPr>
        <w:tc>
          <w:tcPr>
            <w:tcW w:w="2488" w:type="dxa"/>
          </w:tcPr>
          <w:p w14:paraId="14FF6803" w14:textId="77777777" w:rsidR="00265DBD" w:rsidRPr="00B61EC5" w:rsidRDefault="00265DBD" w:rsidP="00ED483A">
            <w:pPr>
              <w:jc w:val="both"/>
              <w:rPr>
                <w:lang w:val="es-ES" w:eastAsia="en-US"/>
              </w:rPr>
            </w:pPr>
            <w:r w:rsidRPr="00B61EC5">
              <w:rPr>
                <w:lang w:val="es-ES" w:eastAsia="en-US"/>
              </w:rPr>
              <w:t xml:space="preserve">Porcentaje de Cesión </w:t>
            </w:r>
          </w:p>
        </w:tc>
        <w:tc>
          <w:tcPr>
            <w:tcW w:w="5304" w:type="dxa"/>
          </w:tcPr>
          <w:p w14:paraId="2546039F" w14:textId="77777777" w:rsidR="00265DBD" w:rsidRPr="00DB4B9E" w:rsidRDefault="00265DBD" w:rsidP="00ED483A">
            <w:pPr>
              <w:jc w:val="both"/>
              <w:rPr>
                <w:lang w:val="es-ES" w:eastAsia="en-US"/>
              </w:rPr>
            </w:pPr>
            <w:r w:rsidRPr="00DB4B9E">
              <w:rPr>
                <w:lang w:val="es-ES" w:eastAsia="en-US"/>
              </w:rPr>
              <w:t>5.46%</w:t>
            </w:r>
          </w:p>
        </w:tc>
      </w:tr>
      <w:tr w:rsidR="00265DBD" w:rsidRPr="00DB4B9E" w14:paraId="2A94D0C4" w14:textId="77777777" w:rsidTr="00ED483A">
        <w:trPr>
          <w:jc w:val="center"/>
        </w:trPr>
        <w:tc>
          <w:tcPr>
            <w:tcW w:w="2488" w:type="dxa"/>
          </w:tcPr>
          <w:p w14:paraId="19572500" w14:textId="77777777" w:rsidR="00265DBD" w:rsidRPr="00B61EC5" w:rsidRDefault="00265DBD" w:rsidP="00ED483A">
            <w:pPr>
              <w:jc w:val="both"/>
              <w:rPr>
                <w:lang w:val="es-ES" w:eastAsia="en-US"/>
              </w:rPr>
            </w:pPr>
            <w:r w:rsidRPr="00B61EC5">
              <w:rPr>
                <w:lang w:val="es-ES" w:eastAsia="en-US"/>
              </w:rPr>
              <w:t>Límite de cobertura</w:t>
            </w:r>
          </w:p>
        </w:tc>
        <w:tc>
          <w:tcPr>
            <w:tcW w:w="5304" w:type="dxa"/>
          </w:tcPr>
          <w:p w14:paraId="3F333569" w14:textId="77777777" w:rsidR="00265DBD" w:rsidRPr="00DB4B9E" w:rsidRDefault="00265DBD" w:rsidP="00ED483A">
            <w:pPr>
              <w:jc w:val="both"/>
              <w:rPr>
                <w:lang w:val="es-ES" w:eastAsia="en-US"/>
              </w:rPr>
            </w:pPr>
            <w:r w:rsidRPr="00DB4B9E">
              <w:rPr>
                <w:lang w:val="es-ES" w:eastAsia="en-US"/>
              </w:rPr>
              <w:t>US$ 7,160,363</w:t>
            </w:r>
          </w:p>
        </w:tc>
      </w:tr>
      <w:tr w:rsidR="00265DBD" w:rsidRPr="0083563C" w14:paraId="63004DB1" w14:textId="77777777" w:rsidTr="00ED483A">
        <w:trPr>
          <w:jc w:val="center"/>
        </w:trPr>
        <w:tc>
          <w:tcPr>
            <w:tcW w:w="2488" w:type="dxa"/>
          </w:tcPr>
          <w:p w14:paraId="2A19BDF4" w14:textId="77777777" w:rsidR="00265DBD" w:rsidRPr="00B61EC5" w:rsidRDefault="00265DBD" w:rsidP="00ED483A">
            <w:pPr>
              <w:jc w:val="both"/>
              <w:rPr>
                <w:lang w:val="es-ES" w:eastAsia="en-US"/>
              </w:rPr>
            </w:pPr>
            <w:r w:rsidRPr="00B61EC5">
              <w:rPr>
                <w:lang w:val="es-ES" w:eastAsia="en-US"/>
              </w:rPr>
              <w:t xml:space="preserve">Pago mínimo </w:t>
            </w:r>
          </w:p>
        </w:tc>
        <w:tc>
          <w:tcPr>
            <w:tcW w:w="5304" w:type="dxa"/>
          </w:tcPr>
          <w:p w14:paraId="38990FCF" w14:textId="77777777" w:rsidR="00265DBD" w:rsidRPr="0083563C" w:rsidRDefault="00265DBD" w:rsidP="00ED483A">
            <w:pPr>
              <w:jc w:val="both"/>
              <w:rPr>
                <w:lang w:val="es-ES" w:eastAsia="en-US"/>
              </w:rPr>
            </w:pPr>
            <w:r w:rsidRPr="00DB4B9E">
              <w:rPr>
                <w:lang w:val="es-ES" w:eastAsia="en-US"/>
              </w:rPr>
              <w:t>US$ 645,374</w:t>
            </w:r>
            <w:r w:rsidRPr="0083563C">
              <w:rPr>
                <w:lang w:val="es-ES" w:eastAsia="en-US"/>
              </w:rPr>
              <w:t xml:space="preserve"> </w:t>
            </w:r>
          </w:p>
        </w:tc>
      </w:tr>
    </w:tbl>
    <w:p w14:paraId="1DB162CF" w14:textId="77777777" w:rsidR="00265DBD" w:rsidRPr="006A7DF4" w:rsidRDefault="00265DBD" w:rsidP="00265DBD">
      <w:pPr>
        <w:jc w:val="both"/>
        <w:rPr>
          <w:rFonts w:eastAsia="Times New Roman"/>
          <w:sz w:val="20"/>
          <w:szCs w:val="20"/>
          <w:lang w:val="es-ES"/>
        </w:rPr>
      </w:pPr>
    </w:p>
    <w:p w14:paraId="39285B11" w14:textId="77777777" w:rsidR="00265DBD" w:rsidRPr="007C12D9" w:rsidRDefault="00265DBD" w:rsidP="00265DBD">
      <w:pPr>
        <w:pStyle w:val="Prrafodelista"/>
        <w:widowControl/>
        <w:numPr>
          <w:ilvl w:val="0"/>
          <w:numId w:val="24"/>
        </w:numPr>
        <w:rPr>
          <w:rFonts w:eastAsia="Times New Roman"/>
          <w:b/>
          <w:szCs w:val="22"/>
          <w:lang w:val="es-ES"/>
        </w:rPr>
      </w:pPr>
      <w:r w:rsidRPr="007C12D9">
        <w:rPr>
          <w:rFonts w:eastAsia="Times New Roman"/>
          <w:b/>
          <w:szCs w:val="22"/>
          <w:lang w:val="es-ES"/>
        </w:rPr>
        <w:t xml:space="preserve">Operaciones en gestión de préstamos contingentes </w:t>
      </w:r>
    </w:p>
    <w:p w14:paraId="5C3A7A09" w14:textId="77777777" w:rsidR="00265DBD" w:rsidRPr="00643BDF" w:rsidRDefault="00265DBD" w:rsidP="00265DBD">
      <w:pPr>
        <w:jc w:val="both"/>
        <w:rPr>
          <w:rFonts w:eastAsia="Times New Roman"/>
          <w:lang w:val="es-ES"/>
        </w:rPr>
      </w:pPr>
    </w:p>
    <w:p w14:paraId="4A688376" w14:textId="77777777" w:rsidR="00265DBD" w:rsidRPr="00384D37" w:rsidRDefault="00265DBD" w:rsidP="00C17BA4">
      <w:pPr>
        <w:spacing w:after="200"/>
        <w:ind w:left="709" w:right="49" w:hanging="426"/>
        <w:jc w:val="both"/>
        <w:rPr>
          <w:rFonts w:eastAsia="Times New Roman"/>
          <w:lang w:val="es-ES"/>
        </w:rPr>
      </w:pPr>
      <w:r w:rsidRPr="00643BDF">
        <w:rPr>
          <w:rFonts w:eastAsia="Times New Roman"/>
          <w:b/>
          <w:sz w:val="23"/>
          <w:szCs w:val="23"/>
          <w:lang w:val="es-ES"/>
        </w:rPr>
        <w:t>b1</w:t>
      </w:r>
      <w:r w:rsidRPr="00643BDF">
        <w:rPr>
          <w:rFonts w:eastAsia="Times New Roman"/>
          <w:b/>
          <w:lang w:val="es-ES"/>
        </w:rPr>
        <w:t xml:space="preserve">.  </w:t>
      </w:r>
      <w:r w:rsidRPr="00384D37">
        <w:rPr>
          <w:rFonts w:eastAsia="Times New Roman"/>
          <w:lang w:val="es-ES"/>
        </w:rPr>
        <w:t>BID - Préstamo Contingente para Emergencias causadas por Desastres Naturales y de Salud Pública</w:t>
      </w:r>
    </w:p>
    <w:p w14:paraId="268817B1" w14:textId="77777777" w:rsidR="00265DBD" w:rsidRPr="00643BDF" w:rsidRDefault="00265DBD" w:rsidP="00C17BA4">
      <w:pPr>
        <w:pStyle w:val="Prrafodelista"/>
        <w:spacing w:after="200"/>
        <w:ind w:left="709" w:right="49"/>
        <w:jc w:val="both"/>
        <w:rPr>
          <w:rFonts w:eastAsia="Times New Roman"/>
          <w:lang w:val="es-ES"/>
        </w:rPr>
      </w:pPr>
      <w:r>
        <w:rPr>
          <w:rFonts w:eastAsia="Times New Roman"/>
          <w:lang w:val="es-ES"/>
        </w:rPr>
        <w:t>Se está</w:t>
      </w:r>
      <w:r w:rsidRPr="00643BDF">
        <w:rPr>
          <w:rFonts w:eastAsia="Times New Roman"/>
          <w:lang w:val="es-ES"/>
        </w:rPr>
        <w:t xml:space="preserve"> gestionando ante el BID la obtención de un Préstamo Contingente para Emergencias Causadas por Desastres Naturales hasta por US$400.0 millones.  </w:t>
      </w:r>
    </w:p>
    <w:p w14:paraId="4E01A243" w14:textId="77777777" w:rsidR="00265DBD" w:rsidRPr="00D431FD" w:rsidRDefault="00265DBD" w:rsidP="00C17BA4">
      <w:pPr>
        <w:pStyle w:val="Prrafodelista"/>
        <w:spacing w:after="200"/>
        <w:ind w:left="709" w:right="49"/>
        <w:jc w:val="both"/>
        <w:rPr>
          <w:rFonts w:eastAsia="Times New Roman"/>
          <w:sz w:val="16"/>
          <w:szCs w:val="16"/>
          <w:lang w:val="es-ES"/>
        </w:rPr>
      </w:pPr>
    </w:p>
    <w:p w14:paraId="2FBAD0B0" w14:textId="77777777" w:rsidR="00265DBD" w:rsidRPr="006A5A4B" w:rsidRDefault="00265DBD" w:rsidP="00C17BA4">
      <w:pPr>
        <w:pStyle w:val="Prrafodelista"/>
        <w:widowControl/>
        <w:numPr>
          <w:ilvl w:val="1"/>
          <w:numId w:val="25"/>
        </w:numPr>
        <w:autoSpaceDE w:val="0"/>
        <w:autoSpaceDN w:val="0"/>
        <w:adjustRightInd w:val="0"/>
        <w:spacing w:after="200"/>
        <w:ind w:left="709" w:right="49" w:hanging="426"/>
        <w:jc w:val="both"/>
        <w:rPr>
          <w:rFonts w:eastAsia="Times New Roman"/>
          <w:lang w:val="es-ES"/>
        </w:rPr>
      </w:pPr>
      <w:r w:rsidRPr="006A5A4B">
        <w:rPr>
          <w:rFonts w:eastAsia="Times New Roman"/>
          <w:b/>
          <w:lang w:val="es-ES"/>
        </w:rPr>
        <w:t>Componente Único del Programa.</w:t>
      </w:r>
      <w:r w:rsidRPr="006A5A4B">
        <w:rPr>
          <w:rFonts w:eastAsia="Times New Roman"/>
          <w:lang w:val="es-ES"/>
        </w:rPr>
        <w:t xml:space="preserve">  </w:t>
      </w:r>
      <w:bookmarkStart w:id="383" w:name="_Hlk47485078"/>
      <w:r w:rsidRPr="006A5A4B">
        <w:rPr>
          <w:rFonts w:eastAsia="Times New Roman"/>
          <w:lang w:val="es-ES"/>
        </w:rPr>
        <w:t>La operación propuesta contempla un único componente, cuyos recursos se distribuyen así:</w:t>
      </w:r>
      <w:bookmarkStart w:id="384" w:name="_Hlk47485064"/>
      <w:bookmarkEnd w:id="383"/>
      <w:bookmarkEnd w:id="384"/>
    </w:p>
    <w:p w14:paraId="2CE4BC71" w14:textId="77777777" w:rsidR="00265DBD" w:rsidRPr="006A5A4B" w:rsidRDefault="00265DBD" w:rsidP="00C17BA4">
      <w:pPr>
        <w:pStyle w:val="Paragraph"/>
        <w:tabs>
          <w:tab w:val="clear" w:pos="720"/>
        </w:tabs>
        <w:autoSpaceDE w:val="0"/>
        <w:autoSpaceDN w:val="0"/>
        <w:adjustRightInd w:val="0"/>
        <w:ind w:left="709" w:right="49" w:firstLine="0"/>
        <w:outlineLvl w:val="9"/>
        <w:rPr>
          <w:szCs w:val="24"/>
        </w:rPr>
      </w:pPr>
      <w:bookmarkStart w:id="385" w:name="_Hlk47485101"/>
      <w:r w:rsidRPr="006A5A4B">
        <w:rPr>
          <w:b/>
          <w:bCs/>
          <w:szCs w:val="24"/>
        </w:rPr>
        <w:t xml:space="preserve">Subcomponente </w:t>
      </w:r>
      <w:bookmarkStart w:id="386" w:name="_Hlk47485088"/>
      <w:bookmarkEnd w:id="385"/>
      <w:r w:rsidRPr="006A5A4B">
        <w:rPr>
          <w:b/>
          <w:bCs/>
          <w:szCs w:val="24"/>
        </w:rPr>
        <w:t>1.1 Cobertura bajo la Modalidad I</w:t>
      </w:r>
      <w:r w:rsidRPr="006A5A4B">
        <w:rPr>
          <w:szCs w:val="24"/>
        </w:rPr>
        <w:t xml:space="preserve"> </w:t>
      </w:r>
      <w:r w:rsidRPr="006A5A4B">
        <w:rPr>
          <w:b/>
          <w:bCs/>
          <w:szCs w:val="24"/>
        </w:rPr>
        <w:t>(US$300.0 millones).</w:t>
      </w:r>
      <w:r w:rsidRPr="006A5A4B">
        <w:rPr>
          <w:szCs w:val="24"/>
        </w:rPr>
        <w:t xml:space="preserve"> Que proporcionará cobertura en caso de amenazas naturales de evolución rápida y baja probabilidad de impacto severo o catastrófico, a través de disparadores paramétricos predefinidos y medibles. En específico, serán elegibles los terremotos, huracanes y exceso de lluvia asociado a sistemas ciclónicos</w:t>
      </w:r>
      <w:bookmarkEnd w:id="386"/>
      <w:r w:rsidRPr="006A5A4B">
        <w:rPr>
          <w:szCs w:val="24"/>
        </w:rPr>
        <w:t>.</w:t>
      </w:r>
    </w:p>
    <w:p w14:paraId="5E1DFFFC" w14:textId="77777777" w:rsidR="00265DBD" w:rsidRPr="006A5A4B" w:rsidRDefault="00265DBD" w:rsidP="00C17BA4">
      <w:pPr>
        <w:pStyle w:val="Paragraph"/>
        <w:tabs>
          <w:tab w:val="clear" w:pos="720"/>
        </w:tabs>
        <w:autoSpaceDE w:val="0"/>
        <w:autoSpaceDN w:val="0"/>
        <w:adjustRightInd w:val="0"/>
        <w:ind w:left="709" w:right="49" w:firstLine="0"/>
        <w:outlineLvl w:val="9"/>
        <w:rPr>
          <w:szCs w:val="24"/>
        </w:rPr>
      </w:pPr>
      <w:r w:rsidRPr="006A5A4B">
        <w:rPr>
          <w:b/>
          <w:bCs/>
          <w:szCs w:val="24"/>
        </w:rPr>
        <w:t xml:space="preserve">Subcomponente </w:t>
      </w:r>
      <w:bookmarkStart w:id="387" w:name="_Hlk47485096"/>
      <w:r w:rsidRPr="006A5A4B">
        <w:rPr>
          <w:b/>
          <w:bCs/>
          <w:szCs w:val="24"/>
        </w:rPr>
        <w:t>1.2</w:t>
      </w:r>
      <w:r w:rsidRPr="006A5A4B">
        <w:rPr>
          <w:szCs w:val="24"/>
        </w:rPr>
        <w:t xml:space="preserve"> </w:t>
      </w:r>
      <w:r w:rsidRPr="006A5A4B">
        <w:rPr>
          <w:b/>
          <w:bCs/>
          <w:szCs w:val="24"/>
        </w:rPr>
        <w:t>Cobertura bajo la Modalidad II</w:t>
      </w:r>
      <w:r w:rsidRPr="006A5A4B">
        <w:rPr>
          <w:szCs w:val="24"/>
        </w:rPr>
        <w:t xml:space="preserve"> </w:t>
      </w:r>
      <w:r w:rsidRPr="006A5A4B">
        <w:rPr>
          <w:b/>
          <w:bCs/>
          <w:szCs w:val="24"/>
        </w:rPr>
        <w:t>(US$100.0 millones).</w:t>
      </w:r>
      <w:r w:rsidRPr="006A5A4B">
        <w:rPr>
          <w:szCs w:val="24"/>
        </w:rPr>
        <w:t xml:space="preserve"> Que financiará oportunamente gastos públicos extraordinarios que se estima podrían llegar a producirse durante emergencias de salud pública</w:t>
      </w:r>
      <w:bookmarkEnd w:id="387"/>
      <w:r w:rsidRPr="006A5A4B">
        <w:rPr>
          <w:szCs w:val="24"/>
        </w:rPr>
        <w:t xml:space="preserve"> o por desastres naturales severos o catastróficos no parametrizables. </w:t>
      </w:r>
    </w:p>
    <w:p w14:paraId="3FF24495" w14:textId="77777777" w:rsidR="00265DBD" w:rsidRPr="00D431FD" w:rsidRDefault="00265DBD" w:rsidP="0083768D">
      <w:pPr>
        <w:pStyle w:val="Prrafodelista"/>
        <w:ind w:left="709" w:right="-448"/>
        <w:jc w:val="both"/>
        <w:rPr>
          <w:b/>
          <w:sz w:val="8"/>
          <w:szCs w:val="8"/>
        </w:rPr>
      </w:pPr>
    </w:p>
    <w:p w14:paraId="4C3DE065" w14:textId="77777777" w:rsidR="00265DBD" w:rsidRPr="00643BDF" w:rsidRDefault="00265DBD" w:rsidP="00C17BA4">
      <w:pPr>
        <w:spacing w:after="200"/>
        <w:ind w:left="709" w:right="49" w:hanging="426"/>
        <w:jc w:val="both"/>
        <w:rPr>
          <w:sz w:val="23"/>
          <w:szCs w:val="23"/>
        </w:rPr>
      </w:pPr>
      <w:r w:rsidRPr="00787B58">
        <w:rPr>
          <w:rFonts w:eastAsia="Times New Roman"/>
          <w:b/>
          <w:bCs/>
          <w:lang w:val="es-ES"/>
        </w:rPr>
        <w:t xml:space="preserve">b.2 Banco Mundial – Tercer </w:t>
      </w:r>
      <w:r w:rsidRPr="00787B58">
        <w:rPr>
          <w:b/>
        </w:rPr>
        <w:t>Préstamo para Políticas de Desarrollo sobre Gestión del Riesgo de Desastres con una Opción de Desembolso Diferido ante Catástrofes (CAT DDO por sus siglas en inglés).</w:t>
      </w:r>
      <w:r w:rsidRPr="00643BDF">
        <w:rPr>
          <w:sz w:val="23"/>
          <w:szCs w:val="23"/>
        </w:rPr>
        <w:t xml:space="preserve"> </w:t>
      </w:r>
    </w:p>
    <w:p w14:paraId="7CD65B7A" w14:textId="77777777" w:rsidR="00265DBD" w:rsidRDefault="00265DBD" w:rsidP="00C17BA4">
      <w:pPr>
        <w:pStyle w:val="Prrafodelista"/>
        <w:spacing w:after="200"/>
        <w:ind w:left="709" w:right="49"/>
        <w:jc w:val="both"/>
        <w:rPr>
          <w:rFonts w:eastAsia="Times New Roman"/>
          <w:lang w:val="es-ES"/>
        </w:rPr>
      </w:pPr>
      <w:r w:rsidRPr="00643BDF">
        <w:rPr>
          <w:rFonts w:eastAsia="Times New Roman"/>
          <w:lang w:val="es-ES"/>
        </w:rPr>
        <w:t>El Ministerio de Finanzas Públicas se encuentra gestionando ante el Banco Mundial la obtención de un Préstamo Contingente</w:t>
      </w:r>
      <w:r w:rsidRPr="008E1BD0">
        <w:rPr>
          <w:rFonts w:eastAsia="Times New Roman"/>
          <w:lang w:val="es-ES"/>
        </w:rPr>
        <w:t xml:space="preserve"> para Emergencias Causadas por Desastres Naturales hasta por US$</w:t>
      </w:r>
      <w:r>
        <w:rPr>
          <w:rFonts w:eastAsia="Times New Roman"/>
          <w:lang w:val="es-ES"/>
        </w:rPr>
        <w:t>19</w:t>
      </w:r>
      <w:r w:rsidRPr="008E1BD0">
        <w:rPr>
          <w:rFonts w:eastAsia="Times New Roman"/>
          <w:lang w:val="es-ES"/>
        </w:rPr>
        <w:t xml:space="preserve">0.0 millones. </w:t>
      </w:r>
      <w:r>
        <w:rPr>
          <w:rFonts w:eastAsia="Times New Roman"/>
          <w:lang w:val="es-ES"/>
        </w:rPr>
        <w:t xml:space="preserve"> </w:t>
      </w:r>
    </w:p>
    <w:p w14:paraId="468060E3" w14:textId="77777777" w:rsidR="00265DBD" w:rsidRDefault="00265DBD" w:rsidP="00C17BA4">
      <w:pPr>
        <w:pStyle w:val="Prrafodelista"/>
        <w:spacing w:after="200"/>
        <w:ind w:left="709" w:right="49"/>
        <w:jc w:val="both"/>
        <w:rPr>
          <w:rFonts w:eastAsia="Times New Roman"/>
          <w:lang w:val="es-ES"/>
        </w:rPr>
      </w:pPr>
    </w:p>
    <w:p w14:paraId="4611D130" w14:textId="77777777" w:rsidR="00265DBD" w:rsidRPr="00F05233" w:rsidRDefault="00265DBD" w:rsidP="00C17BA4">
      <w:pPr>
        <w:pStyle w:val="Prrafodelista"/>
        <w:spacing w:after="200"/>
        <w:ind w:left="709" w:right="49"/>
        <w:jc w:val="both"/>
        <w:rPr>
          <w:rFonts w:eastAsia="Times New Roman"/>
          <w:lang w:val="es-ES"/>
        </w:rPr>
      </w:pPr>
      <w:r w:rsidRPr="003216E1">
        <w:rPr>
          <w:rFonts w:eastAsia="Times New Roman"/>
          <w:lang w:val="es-ES"/>
        </w:rPr>
        <w:t xml:space="preserve">La primera </w:t>
      </w:r>
      <w:r>
        <w:rPr>
          <w:rFonts w:eastAsia="Times New Roman"/>
          <w:lang w:val="es-ES"/>
        </w:rPr>
        <w:t xml:space="preserve">y segunda </w:t>
      </w:r>
      <w:r w:rsidRPr="003216E1">
        <w:rPr>
          <w:rFonts w:eastAsia="Times New Roman"/>
          <w:lang w:val="es-ES"/>
        </w:rPr>
        <w:t xml:space="preserve">operación </w:t>
      </w:r>
      <w:r>
        <w:rPr>
          <w:rFonts w:eastAsia="Times New Roman"/>
          <w:lang w:val="es-ES"/>
        </w:rPr>
        <w:t xml:space="preserve">de préstamo </w:t>
      </w:r>
      <w:r w:rsidRPr="003216E1">
        <w:rPr>
          <w:rFonts w:eastAsia="Times New Roman"/>
          <w:lang w:val="es-ES"/>
        </w:rPr>
        <w:t>bajo la modalidad CAT DDO para Guatemala, fue</w:t>
      </w:r>
      <w:r>
        <w:rPr>
          <w:rFonts w:eastAsia="Times New Roman"/>
          <w:lang w:val="es-ES"/>
        </w:rPr>
        <w:t>ron formalizadas en los años 2010 (Tormenta Agatha y Erupción Pacaya) y 2020 (Pandemia COVID-19), respectivamente y sus recursos. Entre l</w:t>
      </w:r>
      <w:r w:rsidRPr="00F05233">
        <w:rPr>
          <w:rFonts w:eastAsia="Times New Roman"/>
          <w:lang w:val="es-ES"/>
        </w:rPr>
        <w:t>os principales aspectos de la operación</w:t>
      </w:r>
      <w:r>
        <w:rPr>
          <w:rFonts w:eastAsia="Times New Roman"/>
          <w:lang w:val="es-ES"/>
        </w:rPr>
        <w:t xml:space="preserve"> se encuentran</w:t>
      </w:r>
      <w:r w:rsidRPr="00F05233">
        <w:rPr>
          <w:rFonts w:eastAsia="Times New Roman"/>
          <w:lang w:val="es-ES"/>
        </w:rPr>
        <w:t>:</w:t>
      </w:r>
    </w:p>
    <w:p w14:paraId="3492E76B" w14:textId="77777777" w:rsidR="00265DBD" w:rsidRPr="006A7DF4" w:rsidRDefault="00265DBD" w:rsidP="00C17BA4">
      <w:pPr>
        <w:pStyle w:val="Prrafodelista"/>
        <w:spacing w:after="200"/>
        <w:ind w:left="709" w:right="49"/>
        <w:jc w:val="both"/>
        <w:rPr>
          <w:rFonts w:eastAsia="Times New Roman"/>
          <w:sz w:val="18"/>
          <w:szCs w:val="18"/>
          <w:lang w:val="es-ES"/>
        </w:rPr>
      </w:pPr>
    </w:p>
    <w:p w14:paraId="02C4CA91" w14:textId="77777777" w:rsidR="00265DBD" w:rsidRDefault="00265DBD" w:rsidP="00C17BA4">
      <w:pPr>
        <w:pStyle w:val="Prrafodelista"/>
        <w:widowControl/>
        <w:numPr>
          <w:ilvl w:val="0"/>
          <w:numId w:val="26"/>
        </w:numPr>
        <w:spacing w:after="200"/>
        <w:ind w:left="709" w:right="49" w:hanging="426"/>
        <w:jc w:val="both"/>
        <w:rPr>
          <w:rFonts w:eastAsia="Times New Roman"/>
          <w:lang w:val="es-ES"/>
        </w:rPr>
      </w:pPr>
      <w:r w:rsidRPr="00D96908">
        <w:rPr>
          <w:rFonts w:eastAsia="Times New Roman"/>
          <w:b/>
          <w:lang w:val="es-ES"/>
        </w:rPr>
        <w:t>Tipo de instrumento</w:t>
      </w:r>
      <w:r>
        <w:rPr>
          <w:rFonts w:eastAsia="Times New Roman"/>
          <w:b/>
          <w:lang w:val="es-ES"/>
        </w:rPr>
        <w:t>.</w:t>
      </w:r>
      <w:r>
        <w:rPr>
          <w:rFonts w:eastAsia="Times New Roman"/>
          <w:lang w:val="es-ES"/>
        </w:rPr>
        <w:t xml:space="preserve"> </w:t>
      </w:r>
      <w:r w:rsidRPr="003216E1">
        <w:rPr>
          <w:rFonts w:eastAsia="Times New Roman"/>
          <w:lang w:val="es-ES"/>
        </w:rPr>
        <w:t>El CAT DDO es una línea de financiamiento contingente que proporciona liquidez inmediata a los países elegibles del B</w:t>
      </w:r>
      <w:r>
        <w:rPr>
          <w:rFonts w:eastAsia="Times New Roman"/>
          <w:lang w:val="es-ES"/>
        </w:rPr>
        <w:t>anco Mundial</w:t>
      </w:r>
      <w:r w:rsidRPr="003216E1">
        <w:rPr>
          <w:rFonts w:eastAsia="Times New Roman"/>
          <w:lang w:val="es-ES"/>
        </w:rPr>
        <w:t xml:space="preserve"> para enfrentar las situaciones relacionadas con desastres naturales y/o eventos relacionados con la salud. Sirve como financiamiento inmediato mientras se movilizan fondos de otras fuentes</w:t>
      </w:r>
      <w:r>
        <w:rPr>
          <w:rFonts w:eastAsia="Times New Roman"/>
          <w:lang w:val="es-ES"/>
        </w:rPr>
        <w:t xml:space="preserve"> de financiamiento disponibles</w:t>
      </w:r>
      <w:r w:rsidRPr="003216E1">
        <w:rPr>
          <w:rFonts w:eastAsia="Times New Roman"/>
          <w:lang w:val="es-ES"/>
        </w:rPr>
        <w:t>.</w:t>
      </w:r>
    </w:p>
    <w:p w14:paraId="529BD638" w14:textId="1F92BBDD" w:rsidR="00265DBD" w:rsidRDefault="00265DBD" w:rsidP="00C17BA4">
      <w:pPr>
        <w:pStyle w:val="Prrafodelista"/>
        <w:spacing w:after="200"/>
        <w:ind w:left="426" w:right="49"/>
        <w:jc w:val="both"/>
        <w:rPr>
          <w:rFonts w:eastAsia="Times New Roman"/>
          <w:lang w:val="es-ES"/>
        </w:rPr>
      </w:pPr>
    </w:p>
    <w:p w14:paraId="5B3DDB23" w14:textId="77777777" w:rsidR="00F97A9F" w:rsidRDefault="00F97A9F" w:rsidP="00C17BA4">
      <w:pPr>
        <w:pStyle w:val="Prrafodelista"/>
        <w:spacing w:after="200"/>
        <w:ind w:left="426" w:right="49"/>
        <w:jc w:val="both"/>
        <w:rPr>
          <w:rFonts w:eastAsia="Times New Roman"/>
          <w:lang w:val="es-ES"/>
        </w:rPr>
      </w:pPr>
    </w:p>
    <w:p w14:paraId="3F760F5E" w14:textId="77777777" w:rsidR="00265DBD" w:rsidRPr="007C12D9" w:rsidRDefault="00265DBD" w:rsidP="00265DBD">
      <w:pPr>
        <w:pStyle w:val="Prrafodelista"/>
        <w:widowControl/>
        <w:numPr>
          <w:ilvl w:val="0"/>
          <w:numId w:val="24"/>
        </w:numPr>
        <w:rPr>
          <w:rFonts w:eastAsia="Times New Roman"/>
          <w:b/>
          <w:bCs/>
          <w:szCs w:val="22"/>
          <w:lang w:val="es-ES"/>
        </w:rPr>
      </w:pPr>
      <w:r w:rsidRPr="007C12D9">
        <w:rPr>
          <w:rFonts w:eastAsia="Times New Roman"/>
          <w:b/>
          <w:bCs/>
          <w:szCs w:val="22"/>
          <w:lang w:val="es-ES"/>
        </w:rPr>
        <w:t xml:space="preserve">Emisión de Bonos de Carbono </w:t>
      </w:r>
    </w:p>
    <w:p w14:paraId="2F385EA5" w14:textId="77777777" w:rsidR="00265DBD" w:rsidRPr="006A7DF4" w:rsidRDefault="00265DBD" w:rsidP="00265DBD">
      <w:pPr>
        <w:jc w:val="both"/>
        <w:rPr>
          <w:rFonts w:eastAsia="Times New Roman"/>
          <w:b/>
          <w:sz w:val="16"/>
          <w:szCs w:val="16"/>
          <w:highlight w:val="yellow"/>
          <w:lang w:val="es-ES"/>
        </w:rPr>
      </w:pPr>
    </w:p>
    <w:p w14:paraId="20939D16" w14:textId="77777777" w:rsidR="00265DBD" w:rsidRPr="00674E6E" w:rsidRDefault="00265DBD" w:rsidP="00265DBD">
      <w:pPr>
        <w:pStyle w:val="Prrafodelista"/>
        <w:widowControl/>
        <w:numPr>
          <w:ilvl w:val="0"/>
          <w:numId w:val="27"/>
        </w:numPr>
        <w:ind w:left="426" w:hanging="426"/>
        <w:jc w:val="both"/>
        <w:rPr>
          <w:rFonts w:eastAsia="Times New Roman"/>
          <w:lang w:eastAsia="ja-JP"/>
        </w:rPr>
      </w:pPr>
      <w:r w:rsidRPr="00674E6E">
        <w:rPr>
          <w:rFonts w:eastAsia="Times New Roman"/>
          <w:lang w:eastAsia="ja-JP"/>
        </w:rPr>
        <w:t>El Ministerio de Finanzas Públicas en conjunto con un amplio grupo de actores nacionales han gestionado la firma de un Acuerdo de Pago de Reducción de Emisiones de Bonos de Carbono (Co2e) denominado Programa de Reducción de Emisiones de Guatemala, con el Banco Internacional de Reconstrucción y Fomento (BIRF), como Fiduciario del Fondo Cooperativo del Carbono de los Bosques, que consiste en un acuerdo de compra-venta de hasta 10.5 millones de toneladas de dióxido de carbono (Co2e), en un periodo de hasta cinco años. Esta acción representa una oportunidad para acceder a un estimado de US$52.5 millones como compensación si el país demuestra ante ese Organismo Financiero la reducción de emisiones debidas a la deforestación y</w:t>
      </w:r>
      <w:r>
        <w:rPr>
          <w:rFonts w:eastAsia="Times New Roman"/>
          <w:lang w:eastAsia="ja-JP"/>
        </w:rPr>
        <w:t xml:space="preserve"> </w:t>
      </w:r>
      <w:r w:rsidRPr="00674E6E">
        <w:rPr>
          <w:rFonts w:eastAsia="Times New Roman"/>
          <w:lang w:eastAsia="ja-JP"/>
        </w:rPr>
        <w:t>degradación de bosques, y como beneficio constituye un mecanismo de financiamiento, del cual la República de Guatemala participa por primera vez.</w:t>
      </w:r>
    </w:p>
    <w:p w14:paraId="634737AF" w14:textId="77777777" w:rsidR="001D4FF0" w:rsidRDefault="001D4FF0" w:rsidP="00265DBD">
      <w:pPr>
        <w:jc w:val="both"/>
      </w:pPr>
    </w:p>
    <w:p w14:paraId="69301F29" w14:textId="77777777" w:rsidR="005E5C46" w:rsidRPr="00535E3B" w:rsidRDefault="005E5C46" w:rsidP="004C44BD">
      <w:pPr>
        <w:pStyle w:val="Ttulo1"/>
        <w:numPr>
          <w:ilvl w:val="0"/>
          <w:numId w:val="5"/>
        </w:numPr>
        <w:ind w:left="284" w:hanging="284"/>
        <w:jc w:val="left"/>
        <w:rPr>
          <w:color w:val="auto"/>
          <w:sz w:val="24"/>
          <w:szCs w:val="28"/>
        </w:rPr>
      </w:pPr>
      <w:bookmarkStart w:id="388" w:name="_Toc114495297"/>
      <w:r w:rsidRPr="00535E3B">
        <w:rPr>
          <w:color w:val="auto"/>
          <w:sz w:val="24"/>
          <w:szCs w:val="28"/>
        </w:rPr>
        <w:t>Riesgos fiscales por Recursos Naturales</w:t>
      </w:r>
      <w:bookmarkEnd w:id="388"/>
      <w:r w:rsidRPr="00535E3B">
        <w:rPr>
          <w:color w:val="auto"/>
          <w:sz w:val="24"/>
          <w:szCs w:val="28"/>
        </w:rPr>
        <w:t xml:space="preserve"> </w:t>
      </w:r>
    </w:p>
    <w:p w14:paraId="76284AB9" w14:textId="77777777" w:rsidR="005E5C46" w:rsidRDefault="005E5C46" w:rsidP="005E5C46">
      <w:pPr>
        <w:jc w:val="both"/>
        <w:rPr>
          <w:rFonts w:eastAsia="Times New Roman"/>
          <w:lang w:val="es-ES"/>
        </w:rPr>
      </w:pPr>
      <w:bookmarkStart w:id="389" w:name="_Hlk109988879"/>
    </w:p>
    <w:p w14:paraId="594870A2" w14:textId="1A04F43B" w:rsidR="000E4B9F" w:rsidRDefault="000E4B9F" w:rsidP="005E5C46">
      <w:pPr>
        <w:jc w:val="both"/>
        <w:rPr>
          <w:rFonts w:eastAsia="Times New Roman"/>
          <w:lang w:val="es-ES"/>
        </w:rPr>
      </w:pPr>
      <w:r w:rsidRPr="000E4B9F">
        <w:rPr>
          <w:rFonts w:eastAsia="Times New Roman"/>
          <w:lang w:val="es-ES"/>
        </w:rPr>
        <w:t xml:space="preserve">Los recursos naturales son todos los elementos de la naturaleza que el ser humano utiliza para cubrir ciertas necesidades que garantizan su bienestar o desarrollo (agua, sol, tierra, aire, bosque, animales, entre otros).  Existen dos tipos de recursos naturales, los renovables y los no renovables. Los recursos naturales renovables son elementos de la naturaleza que se regeneran o renuevan en un período de tiempo, mientras que los recursos naturales no renovables son elementos de la naturaleza limitados en cantidad, su ciclo de renovación es lento comparado al ritmo de extracción o explotación, como lo </w:t>
      </w:r>
      <w:r w:rsidR="000E72AA" w:rsidRPr="000E4B9F">
        <w:rPr>
          <w:rFonts w:eastAsia="Times New Roman"/>
          <w:lang w:val="es-ES"/>
        </w:rPr>
        <w:t>son,</w:t>
      </w:r>
      <w:r w:rsidRPr="000E4B9F">
        <w:rPr>
          <w:rFonts w:eastAsia="Times New Roman"/>
          <w:lang w:val="es-ES"/>
        </w:rPr>
        <w:t xml:space="preserve"> </w:t>
      </w:r>
      <w:r>
        <w:rPr>
          <w:rFonts w:eastAsia="Times New Roman"/>
          <w:lang w:val="es-ES"/>
        </w:rPr>
        <w:t xml:space="preserve">por ejemplo: </w:t>
      </w:r>
      <w:r w:rsidRPr="000E4B9F">
        <w:rPr>
          <w:rFonts w:eastAsia="Times New Roman"/>
          <w:lang w:val="es-ES"/>
        </w:rPr>
        <w:t>los minerales.</w:t>
      </w:r>
    </w:p>
    <w:p w14:paraId="22F929B1" w14:textId="77777777" w:rsidR="000E4B9F" w:rsidRDefault="000E4B9F" w:rsidP="005E5C46">
      <w:pPr>
        <w:jc w:val="both"/>
        <w:rPr>
          <w:rFonts w:eastAsia="Times New Roman"/>
          <w:lang w:val="es-ES"/>
        </w:rPr>
      </w:pPr>
    </w:p>
    <w:p w14:paraId="02C78B74" w14:textId="7AE8CC70" w:rsidR="005E5C46" w:rsidRDefault="005E5C46" w:rsidP="005E5C46">
      <w:pPr>
        <w:jc w:val="both"/>
        <w:rPr>
          <w:rFonts w:eastAsia="Times New Roman"/>
          <w:lang w:val="es-ES"/>
        </w:rPr>
      </w:pPr>
      <w:r w:rsidRPr="00AF74DF">
        <w:rPr>
          <w:rFonts w:eastAsia="Times New Roman"/>
          <w:lang w:val="es-ES"/>
        </w:rPr>
        <w:t>Los minerales son recursos naturales no renovables,</w:t>
      </w:r>
      <w:r>
        <w:rPr>
          <w:rFonts w:eastAsia="Times New Roman"/>
          <w:lang w:val="es-ES"/>
        </w:rPr>
        <w:t xml:space="preserve"> esto quiere decir que </w:t>
      </w:r>
      <w:r w:rsidRPr="00AF74DF">
        <w:rPr>
          <w:rFonts w:eastAsia="Times New Roman"/>
          <w:lang w:val="es-ES"/>
        </w:rPr>
        <w:t xml:space="preserve">son elementos </w:t>
      </w:r>
      <w:r>
        <w:rPr>
          <w:rFonts w:eastAsia="Times New Roman"/>
          <w:lang w:val="es-ES"/>
        </w:rPr>
        <w:t xml:space="preserve">que se encuentran en </w:t>
      </w:r>
      <w:r w:rsidRPr="00AF74DF">
        <w:rPr>
          <w:rFonts w:eastAsia="Times New Roman"/>
          <w:lang w:val="es-ES"/>
        </w:rPr>
        <w:t xml:space="preserve">la naturaleza que al ser utilizados </w:t>
      </w:r>
      <w:r>
        <w:rPr>
          <w:rFonts w:eastAsia="Times New Roman"/>
          <w:lang w:val="es-ES"/>
        </w:rPr>
        <w:t xml:space="preserve">no se recuperan rápidamente ya que son procesos naturales lentos. </w:t>
      </w:r>
      <w:r w:rsidRPr="00AF74DF">
        <w:rPr>
          <w:rFonts w:eastAsia="Times New Roman"/>
          <w:lang w:val="es-ES"/>
        </w:rPr>
        <w:t xml:space="preserve"> Guatemala es un país muy rico en minerales</w:t>
      </w:r>
      <w:r>
        <w:rPr>
          <w:rFonts w:eastAsia="Times New Roman"/>
          <w:lang w:val="es-ES"/>
        </w:rPr>
        <w:t xml:space="preserve"> lo que se constituye en un atractivo para la inversión, sin embargo, fue hasta 2005 que tuvo un crecimiento con</w:t>
      </w:r>
      <w:r w:rsidRPr="003E731C">
        <w:rPr>
          <w:rFonts w:eastAsia="Times New Roman"/>
          <w:lang w:val="es-ES"/>
        </w:rPr>
        <w:t xml:space="preserve"> el otorgamiento de la Mina Marlin la cual su función principal era la de explotar oro y plata</w:t>
      </w:r>
      <w:r>
        <w:rPr>
          <w:rFonts w:eastAsia="Times New Roman"/>
          <w:lang w:val="es-ES"/>
        </w:rPr>
        <w:t xml:space="preserve">. </w:t>
      </w:r>
      <w:r w:rsidRPr="003E731C">
        <w:rPr>
          <w:rFonts w:eastAsia="Times New Roman"/>
          <w:lang w:val="es-ES"/>
        </w:rPr>
        <w:t>La producción de esta mina llegó a constituir más del 95% del total de ingresos por</w:t>
      </w:r>
      <w:r>
        <w:rPr>
          <w:rFonts w:eastAsia="Times New Roman"/>
          <w:lang w:val="es-ES"/>
        </w:rPr>
        <w:t xml:space="preserve"> actividad</w:t>
      </w:r>
      <w:r w:rsidRPr="003E731C">
        <w:rPr>
          <w:rFonts w:eastAsia="Times New Roman"/>
          <w:lang w:val="es-ES"/>
        </w:rPr>
        <w:t xml:space="preserve"> minera al país</w:t>
      </w:r>
      <w:r>
        <w:rPr>
          <w:rFonts w:eastAsia="Times New Roman"/>
          <w:lang w:val="es-ES"/>
        </w:rPr>
        <w:t xml:space="preserve">, agregado a esto otras empresas a lo largo de los años se han instalado y generado ingresos por regalías. </w:t>
      </w:r>
    </w:p>
    <w:p w14:paraId="4FF7E2A4" w14:textId="73BE9474" w:rsidR="000E72AA" w:rsidRDefault="000E72AA" w:rsidP="005E5C46">
      <w:pPr>
        <w:jc w:val="both"/>
        <w:rPr>
          <w:rFonts w:eastAsia="Times New Roman"/>
          <w:lang w:val="es-ES"/>
        </w:rPr>
      </w:pPr>
    </w:p>
    <w:p w14:paraId="7C47F6E0" w14:textId="77777777" w:rsidR="000E72AA" w:rsidRDefault="000E72AA" w:rsidP="000E72AA">
      <w:pPr>
        <w:jc w:val="both"/>
        <w:rPr>
          <w:rFonts w:eastAsia="Times New Roman"/>
          <w:lang w:val="es-ES"/>
        </w:rPr>
      </w:pPr>
      <w:r w:rsidRPr="000E72AA">
        <w:rPr>
          <w:rFonts w:eastAsia="Times New Roman"/>
          <w:lang w:val="es-ES"/>
        </w:rPr>
        <w:t>Según información del Ministerio de Energía y Minas, la minería en el país se clasifica dependiendo de la utilización, pero comúnmente se divide en dos tipos</w:t>
      </w:r>
      <w:r>
        <w:rPr>
          <w:rFonts w:eastAsia="Times New Roman"/>
          <w:lang w:val="es-ES"/>
        </w:rPr>
        <w:t>:</w:t>
      </w:r>
      <w:r w:rsidRPr="000E72AA">
        <w:rPr>
          <w:rFonts w:eastAsia="Times New Roman"/>
          <w:lang w:val="es-ES"/>
        </w:rPr>
        <w:t xml:space="preserve"> </w:t>
      </w:r>
    </w:p>
    <w:p w14:paraId="235B9665" w14:textId="77777777" w:rsidR="000E72AA" w:rsidRDefault="000E72AA" w:rsidP="000E72AA">
      <w:pPr>
        <w:jc w:val="both"/>
        <w:rPr>
          <w:rFonts w:eastAsia="Times New Roman"/>
          <w:lang w:val="es-ES"/>
        </w:rPr>
      </w:pPr>
    </w:p>
    <w:p w14:paraId="203A8754" w14:textId="170F7F52" w:rsidR="000E72AA" w:rsidRDefault="000E72AA" w:rsidP="000E72AA">
      <w:pPr>
        <w:pStyle w:val="Prrafodelista"/>
        <w:numPr>
          <w:ilvl w:val="0"/>
          <w:numId w:val="27"/>
        </w:numPr>
        <w:jc w:val="both"/>
        <w:rPr>
          <w:rFonts w:eastAsia="Times New Roman"/>
          <w:lang w:val="es-ES"/>
        </w:rPr>
      </w:pPr>
      <w:r>
        <w:rPr>
          <w:rFonts w:eastAsia="Times New Roman"/>
          <w:lang w:val="es-ES"/>
        </w:rPr>
        <w:t>M</w:t>
      </w:r>
      <w:r w:rsidRPr="000E72AA">
        <w:rPr>
          <w:rFonts w:eastAsia="Times New Roman"/>
          <w:lang w:val="es-ES"/>
        </w:rPr>
        <w:t>inería metálica</w:t>
      </w:r>
      <w:r>
        <w:rPr>
          <w:rFonts w:eastAsia="Times New Roman"/>
          <w:lang w:val="es-ES"/>
        </w:rPr>
        <w:t>:</w:t>
      </w:r>
      <w:r w:rsidRPr="000E72AA">
        <w:t xml:space="preserve"> </w:t>
      </w:r>
      <w:r w:rsidRPr="000E72AA">
        <w:rPr>
          <w:rFonts w:eastAsia="Times New Roman"/>
          <w:lang w:val="es-ES"/>
        </w:rPr>
        <w:t>son recursos no renovables que están presentes en la corteza terrestre en grandes cantidades y que se producen de forma natural, contienen uno o más elementos metálicos, por lo que muchos tienen características y propiedades físicas como brillo metálico, peso y cristalización.</w:t>
      </w:r>
    </w:p>
    <w:p w14:paraId="0B75BE1F" w14:textId="2ABEF026" w:rsidR="000E72AA" w:rsidRDefault="000E72AA" w:rsidP="00C43CBD">
      <w:pPr>
        <w:pStyle w:val="Prrafodelista"/>
        <w:numPr>
          <w:ilvl w:val="0"/>
          <w:numId w:val="27"/>
        </w:numPr>
        <w:jc w:val="both"/>
        <w:rPr>
          <w:rFonts w:eastAsia="Times New Roman"/>
          <w:lang w:val="es-ES"/>
        </w:rPr>
      </w:pPr>
      <w:r w:rsidRPr="000E72AA">
        <w:rPr>
          <w:rFonts w:eastAsia="Times New Roman"/>
          <w:lang w:val="es-ES"/>
        </w:rPr>
        <w:t>Minería no metálica: son minerales, rocas u otras sustancias de ocurrencia natural con valor económico, excluidas las menas metálicas, minerales energéticos (carbón; azufre) y las gemas (Jade). Se establecen como minerales industriales, entre los que destacan las arcillas en sus distintas formas y a los materiales de construcción (arenas, gravas, granitos, pizarras, entre otros).</w:t>
      </w:r>
    </w:p>
    <w:p w14:paraId="7A0F9F2B" w14:textId="32FFF668" w:rsidR="000E72AA" w:rsidRDefault="000E72AA" w:rsidP="000E72AA">
      <w:pPr>
        <w:jc w:val="both"/>
        <w:rPr>
          <w:rFonts w:eastAsia="Times New Roman"/>
          <w:lang w:val="es-ES"/>
        </w:rPr>
      </w:pPr>
    </w:p>
    <w:p w14:paraId="2FCE4908" w14:textId="6CEE7AF2" w:rsidR="000E72AA" w:rsidRPr="00595C75" w:rsidRDefault="00595C75" w:rsidP="00595C75">
      <w:pPr>
        <w:pStyle w:val="Descripcin"/>
        <w:keepNext/>
      </w:pPr>
      <w:bookmarkStart w:id="390" w:name="_Toc114493941"/>
      <w:r w:rsidRPr="00595C75">
        <w:rPr>
          <w:color w:val="auto"/>
        </w:rPr>
        <w:t xml:space="preserve">Tabla </w:t>
      </w:r>
      <w:r w:rsidRPr="00595C75">
        <w:rPr>
          <w:color w:val="auto"/>
        </w:rPr>
        <w:fldChar w:fldCharType="begin"/>
      </w:r>
      <w:r w:rsidRPr="00595C75">
        <w:rPr>
          <w:color w:val="auto"/>
        </w:rPr>
        <w:instrText xml:space="preserve"> SEQ Tabla \* ARABIC </w:instrText>
      </w:r>
      <w:r w:rsidRPr="00595C75">
        <w:rPr>
          <w:color w:val="auto"/>
        </w:rPr>
        <w:fldChar w:fldCharType="separate"/>
      </w:r>
      <w:r w:rsidR="002E7809">
        <w:rPr>
          <w:noProof/>
          <w:color w:val="auto"/>
        </w:rPr>
        <w:t>18</w:t>
      </w:r>
      <w:r w:rsidRPr="00595C75">
        <w:rPr>
          <w:color w:val="auto"/>
        </w:rPr>
        <w:fldChar w:fldCharType="end"/>
      </w:r>
      <w:r w:rsidRPr="00595C75">
        <w:rPr>
          <w:color w:val="auto"/>
        </w:rPr>
        <w:t xml:space="preserve">.  </w:t>
      </w:r>
      <w:r w:rsidR="000E72AA" w:rsidRPr="00595C75">
        <w:rPr>
          <w:rFonts w:eastAsia="Times New Roman"/>
          <w:bCs/>
          <w:color w:val="auto"/>
          <w:lang w:val="es-ES"/>
        </w:rPr>
        <w:t>Minerales metálicos y no metálicos Guatemala</w:t>
      </w:r>
      <w:bookmarkEnd w:id="390"/>
    </w:p>
    <w:tbl>
      <w:tblPr>
        <w:tblStyle w:val="Tablaconcuadrcula"/>
        <w:tblW w:w="0" w:type="auto"/>
        <w:tblLook w:val="04A0" w:firstRow="1" w:lastRow="0" w:firstColumn="1" w:lastColumn="0" w:noHBand="0" w:noVBand="1"/>
      </w:tblPr>
      <w:tblGrid>
        <w:gridCol w:w="1280"/>
        <w:gridCol w:w="2521"/>
        <w:gridCol w:w="5027"/>
      </w:tblGrid>
      <w:tr w:rsidR="000E72AA" w:rsidRPr="000E72AA" w14:paraId="4AF552BF" w14:textId="77777777" w:rsidTr="000E72AA">
        <w:tc>
          <w:tcPr>
            <w:tcW w:w="1138" w:type="dxa"/>
            <w:shd w:val="clear" w:color="auto" w:fill="1F4E79" w:themeFill="accent5" w:themeFillShade="80"/>
          </w:tcPr>
          <w:p w14:paraId="17D47C78" w14:textId="77777777" w:rsidR="000E72AA" w:rsidRPr="000E72AA" w:rsidRDefault="000E72AA" w:rsidP="000E72AA">
            <w:pPr>
              <w:jc w:val="center"/>
              <w:rPr>
                <w:b/>
                <w:bCs/>
                <w:color w:val="FFFFFF" w:themeColor="background1"/>
                <w:sz w:val="22"/>
                <w:szCs w:val="22"/>
                <w:lang w:val="es-ES"/>
              </w:rPr>
            </w:pPr>
            <w:r w:rsidRPr="000E72AA">
              <w:rPr>
                <w:b/>
                <w:bCs/>
                <w:color w:val="FFFFFF" w:themeColor="background1"/>
                <w:sz w:val="22"/>
                <w:szCs w:val="22"/>
                <w:lang w:val="es-ES"/>
              </w:rPr>
              <w:t>MINERAL</w:t>
            </w:r>
          </w:p>
        </w:tc>
        <w:tc>
          <w:tcPr>
            <w:tcW w:w="2543" w:type="dxa"/>
            <w:shd w:val="clear" w:color="auto" w:fill="1F4E79" w:themeFill="accent5" w:themeFillShade="80"/>
          </w:tcPr>
          <w:p w14:paraId="4DB7C2C9" w14:textId="77777777" w:rsidR="000E72AA" w:rsidRPr="000E72AA" w:rsidRDefault="000E72AA" w:rsidP="000E72AA">
            <w:pPr>
              <w:jc w:val="center"/>
              <w:rPr>
                <w:b/>
                <w:bCs/>
                <w:color w:val="FFFFFF" w:themeColor="background1"/>
                <w:sz w:val="22"/>
                <w:szCs w:val="22"/>
                <w:lang w:val="es-ES"/>
              </w:rPr>
            </w:pPr>
            <w:r w:rsidRPr="000E72AA">
              <w:rPr>
                <w:b/>
                <w:bCs/>
                <w:color w:val="FFFFFF" w:themeColor="background1"/>
                <w:sz w:val="22"/>
                <w:szCs w:val="22"/>
                <w:lang w:val="es-ES"/>
              </w:rPr>
              <w:t>LOCALIZACIÓN</w:t>
            </w:r>
          </w:p>
        </w:tc>
        <w:tc>
          <w:tcPr>
            <w:tcW w:w="5147" w:type="dxa"/>
            <w:shd w:val="clear" w:color="auto" w:fill="1F4E79" w:themeFill="accent5" w:themeFillShade="80"/>
          </w:tcPr>
          <w:p w14:paraId="1DB885E5" w14:textId="77777777" w:rsidR="000E72AA" w:rsidRPr="000E72AA" w:rsidRDefault="000E72AA" w:rsidP="000E72AA">
            <w:pPr>
              <w:jc w:val="center"/>
              <w:rPr>
                <w:b/>
                <w:bCs/>
                <w:color w:val="FFFFFF" w:themeColor="background1"/>
                <w:sz w:val="22"/>
                <w:szCs w:val="22"/>
                <w:lang w:val="es-ES"/>
              </w:rPr>
            </w:pPr>
            <w:r w:rsidRPr="000E72AA">
              <w:rPr>
                <w:b/>
                <w:bCs/>
                <w:color w:val="FFFFFF" w:themeColor="background1"/>
                <w:sz w:val="22"/>
                <w:szCs w:val="22"/>
                <w:lang w:val="es-ES"/>
              </w:rPr>
              <w:t>USO INDUSTRIAL</w:t>
            </w:r>
          </w:p>
        </w:tc>
      </w:tr>
      <w:tr w:rsidR="000E72AA" w:rsidRPr="000E72AA" w14:paraId="18763CEA" w14:textId="77777777" w:rsidTr="000E72AA">
        <w:tc>
          <w:tcPr>
            <w:tcW w:w="1138" w:type="dxa"/>
            <w:vAlign w:val="center"/>
          </w:tcPr>
          <w:p w14:paraId="407437D6" w14:textId="77777777" w:rsidR="000E72AA" w:rsidRPr="000E72AA" w:rsidRDefault="000E72AA" w:rsidP="000E72AA">
            <w:pPr>
              <w:rPr>
                <w:sz w:val="22"/>
                <w:szCs w:val="22"/>
                <w:lang w:val="es-ES"/>
              </w:rPr>
            </w:pPr>
            <w:r w:rsidRPr="000E72AA">
              <w:rPr>
                <w:sz w:val="22"/>
                <w:szCs w:val="22"/>
                <w:lang w:val="es-ES"/>
              </w:rPr>
              <w:t xml:space="preserve">Antimonio </w:t>
            </w:r>
          </w:p>
        </w:tc>
        <w:tc>
          <w:tcPr>
            <w:tcW w:w="2543" w:type="dxa"/>
            <w:vAlign w:val="center"/>
          </w:tcPr>
          <w:p w14:paraId="458EED66" w14:textId="77777777" w:rsidR="000E72AA" w:rsidRPr="000E72AA" w:rsidRDefault="000E72AA" w:rsidP="000E72AA">
            <w:pPr>
              <w:rPr>
                <w:sz w:val="22"/>
                <w:szCs w:val="22"/>
                <w:lang w:val="es-ES"/>
              </w:rPr>
            </w:pPr>
            <w:r w:rsidRPr="000E72AA">
              <w:rPr>
                <w:sz w:val="22"/>
                <w:szCs w:val="22"/>
                <w:lang w:val="es-ES"/>
              </w:rPr>
              <w:t>Huehuetenango, Chiquimula, Palencia (Guatemala).</w:t>
            </w:r>
          </w:p>
        </w:tc>
        <w:tc>
          <w:tcPr>
            <w:tcW w:w="5147" w:type="dxa"/>
          </w:tcPr>
          <w:p w14:paraId="17364809" w14:textId="77777777" w:rsidR="000E72AA" w:rsidRPr="000E72AA" w:rsidRDefault="000E72AA" w:rsidP="000E72AA">
            <w:pPr>
              <w:jc w:val="both"/>
              <w:rPr>
                <w:sz w:val="22"/>
                <w:szCs w:val="22"/>
                <w:lang w:val="es-ES"/>
              </w:rPr>
            </w:pPr>
            <w:r w:rsidRPr="000E72AA">
              <w:rPr>
                <w:sz w:val="22"/>
                <w:szCs w:val="22"/>
                <w:lang w:val="es-ES"/>
              </w:rPr>
              <w:t>Placas de acumuladores, tipos de imprenta, pinturas y lacas, fósforos y aleaciones para motores. Trioxides de antimonio para telas resistentes al fuego.</w:t>
            </w:r>
          </w:p>
        </w:tc>
      </w:tr>
      <w:tr w:rsidR="000E72AA" w:rsidRPr="000E72AA" w14:paraId="59E9EADA" w14:textId="77777777" w:rsidTr="000E72AA">
        <w:tc>
          <w:tcPr>
            <w:tcW w:w="1138" w:type="dxa"/>
            <w:vAlign w:val="center"/>
          </w:tcPr>
          <w:p w14:paraId="0B0BA6F7" w14:textId="77777777" w:rsidR="000E72AA" w:rsidRPr="000E72AA" w:rsidRDefault="000E72AA" w:rsidP="000E72AA">
            <w:pPr>
              <w:rPr>
                <w:sz w:val="22"/>
                <w:szCs w:val="22"/>
                <w:lang w:val="es-ES"/>
              </w:rPr>
            </w:pPr>
            <w:r w:rsidRPr="000E72AA">
              <w:rPr>
                <w:sz w:val="22"/>
                <w:szCs w:val="22"/>
                <w:lang w:val="es-ES"/>
              </w:rPr>
              <w:t xml:space="preserve">Cinc (Zinc) </w:t>
            </w:r>
          </w:p>
        </w:tc>
        <w:tc>
          <w:tcPr>
            <w:tcW w:w="2543" w:type="dxa"/>
            <w:vAlign w:val="center"/>
          </w:tcPr>
          <w:p w14:paraId="59110FEB" w14:textId="77777777" w:rsidR="000E72AA" w:rsidRPr="000E72AA" w:rsidRDefault="000E72AA" w:rsidP="000E72AA">
            <w:pPr>
              <w:rPr>
                <w:sz w:val="22"/>
                <w:szCs w:val="22"/>
                <w:lang w:val="es-ES"/>
              </w:rPr>
            </w:pPr>
            <w:r w:rsidRPr="000E72AA">
              <w:rPr>
                <w:sz w:val="22"/>
                <w:szCs w:val="22"/>
                <w:lang w:val="es-ES"/>
              </w:rPr>
              <w:t>Huehuetenango, Chiquimula, Baja Verapaz y Palencia (Guatemala)</w:t>
            </w:r>
          </w:p>
        </w:tc>
        <w:tc>
          <w:tcPr>
            <w:tcW w:w="5147" w:type="dxa"/>
          </w:tcPr>
          <w:p w14:paraId="7E9CA16E" w14:textId="77777777" w:rsidR="000E72AA" w:rsidRPr="000E72AA" w:rsidRDefault="000E72AA" w:rsidP="000E72AA">
            <w:pPr>
              <w:jc w:val="both"/>
              <w:rPr>
                <w:sz w:val="22"/>
                <w:szCs w:val="22"/>
                <w:lang w:val="es-ES"/>
              </w:rPr>
            </w:pPr>
            <w:r w:rsidRPr="000E72AA">
              <w:rPr>
                <w:sz w:val="22"/>
                <w:szCs w:val="22"/>
                <w:lang w:val="es-ES"/>
              </w:rPr>
              <w:t>Lámina y tubería galvanizada, vaciado de moldes, pilas húmedas, separación de plata del plomo, separación de oro del cianuro. Fabricación de hidrosulfito de sodio: blanqueador para jabones, desteñido, preservación de madera, fundente para soldar, pavonado del acero, mercerizado de algodón, aprestado de telas, vulcanizado de caucho. Mordiente para tintes, fabricación de pinturas, blanqueador de papel, galvanoplastía. Sulfuro de cinc: pigmento para pintura, linóleo y cuero. Óxido de cinc: pigmento para pintura blanca, cosméticos y cementos odontológicos, porcelana, neumáticos, cola blanca, fósforos, tinta de imprenta.</w:t>
            </w:r>
          </w:p>
        </w:tc>
      </w:tr>
      <w:tr w:rsidR="000E72AA" w:rsidRPr="000E72AA" w14:paraId="63DDB040" w14:textId="77777777" w:rsidTr="000E72AA">
        <w:tc>
          <w:tcPr>
            <w:tcW w:w="1138" w:type="dxa"/>
            <w:vAlign w:val="center"/>
          </w:tcPr>
          <w:p w14:paraId="7DE38AA1" w14:textId="77777777" w:rsidR="000E72AA" w:rsidRPr="000E72AA" w:rsidRDefault="000E72AA" w:rsidP="000E72AA">
            <w:pPr>
              <w:rPr>
                <w:sz w:val="22"/>
                <w:szCs w:val="22"/>
                <w:lang w:val="es-ES"/>
              </w:rPr>
            </w:pPr>
            <w:r w:rsidRPr="000E72AA">
              <w:rPr>
                <w:sz w:val="22"/>
                <w:szCs w:val="22"/>
                <w:lang w:val="es-ES"/>
              </w:rPr>
              <w:t xml:space="preserve">Cobalto </w:t>
            </w:r>
          </w:p>
        </w:tc>
        <w:tc>
          <w:tcPr>
            <w:tcW w:w="2543" w:type="dxa"/>
            <w:vAlign w:val="center"/>
          </w:tcPr>
          <w:p w14:paraId="1D4A2FBC" w14:textId="77777777" w:rsidR="000E72AA" w:rsidRPr="000E72AA" w:rsidRDefault="000E72AA" w:rsidP="000E72AA">
            <w:pPr>
              <w:rPr>
                <w:sz w:val="22"/>
                <w:szCs w:val="22"/>
                <w:lang w:val="es-ES"/>
              </w:rPr>
            </w:pPr>
            <w:r w:rsidRPr="000E72AA">
              <w:rPr>
                <w:sz w:val="22"/>
                <w:szCs w:val="22"/>
                <w:lang w:val="es-ES"/>
              </w:rPr>
              <w:t>Izabal, Alta Verapaz.</w:t>
            </w:r>
          </w:p>
        </w:tc>
        <w:tc>
          <w:tcPr>
            <w:tcW w:w="5147" w:type="dxa"/>
          </w:tcPr>
          <w:p w14:paraId="421612D8" w14:textId="77777777" w:rsidR="000E72AA" w:rsidRPr="000E72AA" w:rsidRDefault="000E72AA" w:rsidP="000E72AA">
            <w:pPr>
              <w:jc w:val="both"/>
              <w:rPr>
                <w:sz w:val="22"/>
                <w:szCs w:val="22"/>
                <w:lang w:val="es-ES"/>
              </w:rPr>
            </w:pPr>
            <w:r w:rsidRPr="000E72AA">
              <w:rPr>
                <w:sz w:val="22"/>
                <w:szCs w:val="22"/>
                <w:lang w:val="es-ES"/>
              </w:rPr>
              <w:t xml:space="preserve">Aleaciones de acero, magnetos, varilla de soldadura, pigmentos, pintura para vidrio y porcelana, higrómetros y barómetros, absorbente para gases tóxicos, satinados para cerámica. </w:t>
            </w:r>
          </w:p>
        </w:tc>
      </w:tr>
      <w:tr w:rsidR="000E72AA" w:rsidRPr="000E72AA" w14:paraId="7D82FA43" w14:textId="77777777" w:rsidTr="000E72AA">
        <w:tc>
          <w:tcPr>
            <w:tcW w:w="1138" w:type="dxa"/>
            <w:vAlign w:val="center"/>
          </w:tcPr>
          <w:p w14:paraId="4ABF618A" w14:textId="77777777" w:rsidR="000E72AA" w:rsidRPr="000E72AA" w:rsidRDefault="000E72AA" w:rsidP="000E72AA">
            <w:pPr>
              <w:rPr>
                <w:sz w:val="22"/>
                <w:szCs w:val="22"/>
                <w:lang w:val="es-ES"/>
              </w:rPr>
            </w:pPr>
            <w:r w:rsidRPr="000E72AA">
              <w:rPr>
                <w:sz w:val="22"/>
                <w:szCs w:val="22"/>
                <w:lang w:val="es-ES"/>
              </w:rPr>
              <w:t>Cobre</w:t>
            </w:r>
          </w:p>
        </w:tc>
        <w:tc>
          <w:tcPr>
            <w:tcW w:w="2543" w:type="dxa"/>
            <w:vAlign w:val="center"/>
          </w:tcPr>
          <w:p w14:paraId="2B0DC041" w14:textId="77777777" w:rsidR="000E72AA" w:rsidRPr="000E72AA" w:rsidRDefault="000E72AA" w:rsidP="000E72AA">
            <w:pPr>
              <w:rPr>
                <w:sz w:val="22"/>
                <w:szCs w:val="22"/>
                <w:lang w:val="es-ES"/>
              </w:rPr>
            </w:pPr>
            <w:r w:rsidRPr="000E72AA">
              <w:rPr>
                <w:sz w:val="22"/>
                <w:szCs w:val="22"/>
                <w:lang w:val="es-ES"/>
              </w:rPr>
              <w:t>Chiquimula, Alta Verapaz, Izabal, Huehuetenango</w:t>
            </w:r>
          </w:p>
        </w:tc>
        <w:tc>
          <w:tcPr>
            <w:tcW w:w="5147" w:type="dxa"/>
          </w:tcPr>
          <w:p w14:paraId="49953E47" w14:textId="77777777" w:rsidR="000E72AA" w:rsidRPr="000E72AA" w:rsidRDefault="000E72AA" w:rsidP="000E72AA">
            <w:pPr>
              <w:jc w:val="both"/>
              <w:rPr>
                <w:sz w:val="22"/>
                <w:szCs w:val="22"/>
                <w:lang w:val="es-ES"/>
              </w:rPr>
            </w:pPr>
            <w:r w:rsidRPr="000E72AA">
              <w:rPr>
                <w:sz w:val="22"/>
                <w:szCs w:val="22"/>
                <w:lang w:val="es-ES"/>
              </w:rPr>
              <w:t xml:space="preserve">Alambre para electricidad y teléfono, numerosas aleaciones, pintura y pigmentos para papel, calderas, serpentines, insecticidas y exterminadores, pirotecnia, cera de dorado, flores artificiales, mordientes para teñido, sedas artificiales, estampado, vidrio de colores, electrodos. </w:t>
            </w:r>
          </w:p>
        </w:tc>
      </w:tr>
      <w:tr w:rsidR="000E72AA" w:rsidRPr="000E72AA" w14:paraId="75BDB4B8" w14:textId="77777777" w:rsidTr="000E72AA">
        <w:tc>
          <w:tcPr>
            <w:tcW w:w="1138" w:type="dxa"/>
            <w:vAlign w:val="center"/>
          </w:tcPr>
          <w:p w14:paraId="24C7DFB1" w14:textId="53183494" w:rsidR="000E72AA" w:rsidRPr="000E72AA" w:rsidRDefault="000E72AA" w:rsidP="000E72AA">
            <w:pPr>
              <w:rPr>
                <w:sz w:val="22"/>
                <w:szCs w:val="22"/>
                <w:lang w:val="es-ES"/>
              </w:rPr>
            </w:pPr>
            <w:r w:rsidRPr="000E72AA">
              <w:rPr>
                <w:sz w:val="22"/>
                <w:szCs w:val="22"/>
                <w:lang w:val="es-ES"/>
              </w:rPr>
              <w:t>Hier</w:t>
            </w:r>
            <w:r>
              <w:rPr>
                <w:sz w:val="22"/>
                <w:szCs w:val="22"/>
                <w:lang w:val="es-ES"/>
              </w:rPr>
              <w:t>r</w:t>
            </w:r>
            <w:r w:rsidRPr="000E72AA">
              <w:rPr>
                <w:sz w:val="22"/>
                <w:szCs w:val="22"/>
                <w:lang w:val="es-ES"/>
              </w:rPr>
              <w:t>o</w:t>
            </w:r>
          </w:p>
        </w:tc>
        <w:tc>
          <w:tcPr>
            <w:tcW w:w="2543" w:type="dxa"/>
            <w:vAlign w:val="center"/>
          </w:tcPr>
          <w:p w14:paraId="22DD4CD0" w14:textId="77777777" w:rsidR="000E72AA" w:rsidRPr="000E72AA" w:rsidRDefault="000E72AA" w:rsidP="000E72AA">
            <w:pPr>
              <w:rPr>
                <w:sz w:val="22"/>
                <w:szCs w:val="22"/>
                <w:lang w:val="es-ES"/>
              </w:rPr>
            </w:pPr>
            <w:r w:rsidRPr="000E72AA">
              <w:rPr>
                <w:sz w:val="22"/>
                <w:szCs w:val="22"/>
                <w:lang w:val="es-ES"/>
              </w:rPr>
              <w:t>Chiquimula, Zacapa, El Progreso, Izabal.</w:t>
            </w:r>
          </w:p>
        </w:tc>
        <w:tc>
          <w:tcPr>
            <w:tcW w:w="5147" w:type="dxa"/>
          </w:tcPr>
          <w:p w14:paraId="1ED8944B" w14:textId="77777777" w:rsidR="000E72AA" w:rsidRPr="000E72AA" w:rsidRDefault="000E72AA" w:rsidP="000E72AA">
            <w:pPr>
              <w:jc w:val="both"/>
              <w:rPr>
                <w:sz w:val="22"/>
                <w:szCs w:val="22"/>
                <w:lang w:val="es-ES"/>
              </w:rPr>
            </w:pPr>
            <w:r w:rsidRPr="000E72AA">
              <w:rPr>
                <w:sz w:val="22"/>
                <w:szCs w:val="22"/>
                <w:lang w:val="es-ES"/>
              </w:rPr>
              <w:t>Fabricación de acero, ferroaleaciones para imanes, alambre y varillas de construcción, planchas, láminas</w:t>
            </w:r>
          </w:p>
        </w:tc>
      </w:tr>
      <w:tr w:rsidR="000E72AA" w:rsidRPr="000E72AA" w14:paraId="3C181C84" w14:textId="77777777" w:rsidTr="000E72AA">
        <w:tc>
          <w:tcPr>
            <w:tcW w:w="1138" w:type="dxa"/>
            <w:vAlign w:val="center"/>
          </w:tcPr>
          <w:p w14:paraId="09CAEEE2" w14:textId="77777777" w:rsidR="000E72AA" w:rsidRPr="000E72AA" w:rsidRDefault="000E72AA" w:rsidP="000E72AA">
            <w:pPr>
              <w:rPr>
                <w:sz w:val="22"/>
                <w:szCs w:val="22"/>
                <w:lang w:val="es-ES"/>
              </w:rPr>
            </w:pPr>
            <w:r w:rsidRPr="000E72AA">
              <w:rPr>
                <w:sz w:val="22"/>
                <w:szCs w:val="22"/>
                <w:lang w:val="es-ES"/>
              </w:rPr>
              <w:t>Magnesio</w:t>
            </w:r>
          </w:p>
        </w:tc>
        <w:tc>
          <w:tcPr>
            <w:tcW w:w="2543" w:type="dxa"/>
            <w:vAlign w:val="center"/>
          </w:tcPr>
          <w:p w14:paraId="493B0747" w14:textId="77777777" w:rsidR="000E72AA" w:rsidRPr="000E72AA" w:rsidRDefault="000E72AA" w:rsidP="000E72AA">
            <w:pPr>
              <w:rPr>
                <w:sz w:val="22"/>
                <w:szCs w:val="22"/>
                <w:lang w:val="es-ES"/>
              </w:rPr>
            </w:pPr>
            <w:r w:rsidRPr="000E72AA">
              <w:rPr>
                <w:sz w:val="22"/>
                <w:szCs w:val="22"/>
                <w:lang w:val="es-ES"/>
              </w:rPr>
              <w:t>Izabal, El Progreso.</w:t>
            </w:r>
          </w:p>
        </w:tc>
        <w:tc>
          <w:tcPr>
            <w:tcW w:w="5147" w:type="dxa"/>
          </w:tcPr>
          <w:p w14:paraId="78930AF4" w14:textId="77777777" w:rsidR="000E72AA" w:rsidRPr="000E72AA" w:rsidRDefault="000E72AA" w:rsidP="000E72AA">
            <w:pPr>
              <w:jc w:val="both"/>
              <w:rPr>
                <w:sz w:val="22"/>
                <w:szCs w:val="22"/>
                <w:lang w:val="es-ES"/>
              </w:rPr>
            </w:pPr>
            <w:r w:rsidRPr="000E72AA">
              <w:rPr>
                <w:sz w:val="22"/>
                <w:szCs w:val="22"/>
                <w:lang w:val="es-ES"/>
              </w:rPr>
              <w:t xml:space="preserve">Aditivo para aumentar resistencia al aluminio. Matrices y moldes, señales luminosas, aislamiento térmico, pigmentos, polvos dentífricos, pulido, carga para hule, cementos de magnesio, extinguidores de incendios, apresto para tejidos, secador para gases, descamador de calderas, curtido de cuero, abonos, fósforos, papel escarchado, pulpa de papel. </w:t>
            </w:r>
          </w:p>
        </w:tc>
      </w:tr>
      <w:tr w:rsidR="000E72AA" w:rsidRPr="000E72AA" w14:paraId="3F9C5549" w14:textId="77777777" w:rsidTr="000E72AA">
        <w:tc>
          <w:tcPr>
            <w:tcW w:w="1138" w:type="dxa"/>
            <w:vAlign w:val="center"/>
          </w:tcPr>
          <w:p w14:paraId="040AC0C2" w14:textId="77777777" w:rsidR="000E72AA" w:rsidRPr="000E72AA" w:rsidRDefault="000E72AA" w:rsidP="000E72AA">
            <w:pPr>
              <w:rPr>
                <w:sz w:val="22"/>
                <w:szCs w:val="22"/>
                <w:lang w:val="es-ES"/>
              </w:rPr>
            </w:pPr>
            <w:r w:rsidRPr="000E72AA">
              <w:rPr>
                <w:sz w:val="22"/>
                <w:szCs w:val="22"/>
                <w:lang w:val="es-ES"/>
              </w:rPr>
              <w:t>Manganeso</w:t>
            </w:r>
          </w:p>
        </w:tc>
        <w:tc>
          <w:tcPr>
            <w:tcW w:w="2543" w:type="dxa"/>
            <w:vAlign w:val="center"/>
          </w:tcPr>
          <w:p w14:paraId="2B918CEC" w14:textId="77777777" w:rsidR="000E72AA" w:rsidRPr="000E72AA" w:rsidRDefault="000E72AA" w:rsidP="000E72AA">
            <w:pPr>
              <w:rPr>
                <w:sz w:val="22"/>
                <w:szCs w:val="22"/>
                <w:lang w:val="es-ES"/>
              </w:rPr>
            </w:pPr>
            <w:r w:rsidRPr="000E72AA">
              <w:rPr>
                <w:sz w:val="22"/>
                <w:szCs w:val="22"/>
                <w:lang w:val="es-ES"/>
              </w:rPr>
              <w:t>El Progreso, Zacapa</w:t>
            </w:r>
          </w:p>
        </w:tc>
        <w:tc>
          <w:tcPr>
            <w:tcW w:w="5147" w:type="dxa"/>
          </w:tcPr>
          <w:p w14:paraId="09D8074A" w14:textId="77777777" w:rsidR="000E72AA" w:rsidRPr="000E72AA" w:rsidRDefault="000E72AA" w:rsidP="000E72AA">
            <w:pPr>
              <w:jc w:val="both"/>
              <w:rPr>
                <w:sz w:val="22"/>
                <w:szCs w:val="22"/>
                <w:lang w:val="es-ES"/>
              </w:rPr>
            </w:pPr>
            <w:r w:rsidRPr="000E72AA">
              <w:rPr>
                <w:sz w:val="22"/>
                <w:szCs w:val="22"/>
                <w:lang w:val="es-ES"/>
              </w:rPr>
              <w:t>Constituyente esencial del acero, despolarizante de pilas secas, fabricación de esmaltes y pinturas, mordientes, abonos, curtiembre, desinfectantes, pavonado de hierro, mordientes para telas</w:t>
            </w:r>
          </w:p>
        </w:tc>
      </w:tr>
      <w:tr w:rsidR="000E72AA" w:rsidRPr="000E72AA" w14:paraId="682D2B70" w14:textId="77777777" w:rsidTr="000E72AA">
        <w:tc>
          <w:tcPr>
            <w:tcW w:w="1138" w:type="dxa"/>
            <w:vAlign w:val="center"/>
          </w:tcPr>
          <w:p w14:paraId="6B809C39" w14:textId="77777777" w:rsidR="000E72AA" w:rsidRPr="000E72AA" w:rsidRDefault="000E72AA" w:rsidP="000E72AA">
            <w:pPr>
              <w:rPr>
                <w:sz w:val="22"/>
                <w:szCs w:val="22"/>
                <w:lang w:val="es-ES"/>
              </w:rPr>
            </w:pPr>
            <w:r w:rsidRPr="000E72AA">
              <w:rPr>
                <w:sz w:val="22"/>
                <w:szCs w:val="22"/>
                <w:lang w:val="es-ES"/>
              </w:rPr>
              <w:t>Níquel</w:t>
            </w:r>
          </w:p>
        </w:tc>
        <w:tc>
          <w:tcPr>
            <w:tcW w:w="2543" w:type="dxa"/>
            <w:vAlign w:val="center"/>
          </w:tcPr>
          <w:p w14:paraId="3FF61438" w14:textId="77777777" w:rsidR="000E72AA" w:rsidRPr="000E72AA" w:rsidRDefault="000E72AA" w:rsidP="000E72AA">
            <w:pPr>
              <w:rPr>
                <w:sz w:val="22"/>
                <w:szCs w:val="22"/>
                <w:lang w:val="es-ES"/>
              </w:rPr>
            </w:pPr>
            <w:r w:rsidRPr="000E72AA">
              <w:rPr>
                <w:sz w:val="22"/>
                <w:szCs w:val="22"/>
                <w:lang w:val="es-ES"/>
              </w:rPr>
              <w:t xml:space="preserve">Izabal, Alta Verapaz </w:t>
            </w:r>
          </w:p>
        </w:tc>
        <w:tc>
          <w:tcPr>
            <w:tcW w:w="5147" w:type="dxa"/>
          </w:tcPr>
          <w:p w14:paraId="5E727631" w14:textId="77777777" w:rsidR="000E72AA" w:rsidRPr="000E72AA" w:rsidRDefault="000E72AA" w:rsidP="000E72AA">
            <w:pPr>
              <w:jc w:val="both"/>
              <w:rPr>
                <w:sz w:val="22"/>
                <w:szCs w:val="22"/>
                <w:lang w:val="es-ES"/>
              </w:rPr>
            </w:pPr>
            <w:r w:rsidRPr="000E72AA">
              <w:rPr>
                <w:sz w:val="22"/>
                <w:szCs w:val="22"/>
                <w:lang w:val="es-ES"/>
              </w:rPr>
              <w:t xml:space="preserve">Acero inoxidable, acero resistente al calor y ácidos, plata alemana, alambre de níquel y cromo para resistencias eléctricas, metal monel (cobre, hierro, níquel y manganeso), niquelado, monedas, electrotipos, pilas secas, acumuladores, magnetos, puntas de pararrayos, electrodos, bujías, cojinetes y chumaceras, catalizador en la hidrogenación del aceite, catalizador para endurecer grasas, barnices para cerámica, pigmentos resistentes a la luz solar, mordiente para tinte y estampado, productos medicinales y farmacéuticos. </w:t>
            </w:r>
          </w:p>
        </w:tc>
      </w:tr>
      <w:tr w:rsidR="000E72AA" w:rsidRPr="000E72AA" w14:paraId="10012D7D" w14:textId="77777777" w:rsidTr="000E72AA">
        <w:tc>
          <w:tcPr>
            <w:tcW w:w="1138" w:type="dxa"/>
            <w:vAlign w:val="center"/>
          </w:tcPr>
          <w:p w14:paraId="27E84846" w14:textId="77777777" w:rsidR="000E72AA" w:rsidRPr="000E72AA" w:rsidRDefault="000E72AA" w:rsidP="000E72AA">
            <w:pPr>
              <w:rPr>
                <w:sz w:val="22"/>
                <w:szCs w:val="22"/>
                <w:lang w:val="es-ES"/>
              </w:rPr>
            </w:pPr>
            <w:r w:rsidRPr="000E72AA">
              <w:rPr>
                <w:sz w:val="22"/>
                <w:szCs w:val="22"/>
                <w:lang w:val="es-ES"/>
              </w:rPr>
              <w:t>Plata</w:t>
            </w:r>
          </w:p>
        </w:tc>
        <w:tc>
          <w:tcPr>
            <w:tcW w:w="2543" w:type="dxa"/>
            <w:vAlign w:val="center"/>
          </w:tcPr>
          <w:p w14:paraId="15295E14" w14:textId="77777777" w:rsidR="000E72AA" w:rsidRPr="000E72AA" w:rsidRDefault="000E72AA" w:rsidP="000E72AA">
            <w:pPr>
              <w:rPr>
                <w:sz w:val="22"/>
                <w:szCs w:val="22"/>
                <w:lang w:val="es-ES"/>
              </w:rPr>
            </w:pPr>
            <w:r w:rsidRPr="000E72AA">
              <w:rPr>
                <w:sz w:val="22"/>
                <w:szCs w:val="22"/>
                <w:lang w:val="es-ES"/>
              </w:rPr>
              <w:t>Huehuetenango, Santa Rosa, Chiquimula, Baja Verapaz y San Marcos</w:t>
            </w:r>
          </w:p>
        </w:tc>
        <w:tc>
          <w:tcPr>
            <w:tcW w:w="5147" w:type="dxa"/>
          </w:tcPr>
          <w:p w14:paraId="6F0AE507" w14:textId="77777777" w:rsidR="000E72AA" w:rsidRPr="000E72AA" w:rsidRDefault="000E72AA" w:rsidP="000E72AA">
            <w:pPr>
              <w:jc w:val="both"/>
              <w:rPr>
                <w:sz w:val="22"/>
                <w:szCs w:val="22"/>
                <w:lang w:val="es-ES"/>
              </w:rPr>
            </w:pPr>
            <w:r w:rsidRPr="000E72AA">
              <w:rPr>
                <w:sz w:val="22"/>
                <w:szCs w:val="22"/>
                <w:lang w:val="es-ES"/>
              </w:rPr>
              <w:t>Usos monetarios, fotografía, aparatos eléctricos, cojinetes de motores, aleaciones para bronceado, platería y joyería, espejos, artículos médicos y odontológicos, plateado grabado de marfil.</w:t>
            </w:r>
          </w:p>
        </w:tc>
      </w:tr>
      <w:tr w:rsidR="000E72AA" w:rsidRPr="000E72AA" w14:paraId="18D1A1F8" w14:textId="77777777" w:rsidTr="000E72AA">
        <w:tc>
          <w:tcPr>
            <w:tcW w:w="1138" w:type="dxa"/>
            <w:vAlign w:val="center"/>
          </w:tcPr>
          <w:p w14:paraId="183AD646" w14:textId="77777777" w:rsidR="000E72AA" w:rsidRPr="000E72AA" w:rsidRDefault="000E72AA" w:rsidP="000E72AA">
            <w:pPr>
              <w:rPr>
                <w:sz w:val="22"/>
                <w:szCs w:val="22"/>
                <w:lang w:val="es-ES"/>
              </w:rPr>
            </w:pPr>
            <w:r w:rsidRPr="000E72AA">
              <w:rPr>
                <w:sz w:val="22"/>
                <w:szCs w:val="22"/>
                <w:lang w:val="es-ES"/>
              </w:rPr>
              <w:t>Plomo</w:t>
            </w:r>
          </w:p>
        </w:tc>
        <w:tc>
          <w:tcPr>
            <w:tcW w:w="2543" w:type="dxa"/>
            <w:vAlign w:val="center"/>
          </w:tcPr>
          <w:p w14:paraId="243B084F" w14:textId="77777777" w:rsidR="000E72AA" w:rsidRPr="000E72AA" w:rsidRDefault="000E72AA" w:rsidP="000E72AA">
            <w:pPr>
              <w:rPr>
                <w:sz w:val="22"/>
                <w:szCs w:val="22"/>
                <w:lang w:val="es-ES"/>
              </w:rPr>
            </w:pPr>
            <w:r w:rsidRPr="000E72AA">
              <w:rPr>
                <w:sz w:val="22"/>
                <w:szCs w:val="22"/>
                <w:lang w:val="es-ES"/>
              </w:rPr>
              <w:t>Huehuetenango, Chiquimula, Baja Verapaz</w:t>
            </w:r>
          </w:p>
        </w:tc>
        <w:tc>
          <w:tcPr>
            <w:tcW w:w="5147" w:type="dxa"/>
          </w:tcPr>
          <w:p w14:paraId="07BA801E" w14:textId="77777777" w:rsidR="000E72AA" w:rsidRPr="000E72AA" w:rsidRDefault="000E72AA" w:rsidP="000E72AA">
            <w:pPr>
              <w:jc w:val="both"/>
              <w:rPr>
                <w:sz w:val="22"/>
                <w:szCs w:val="22"/>
                <w:lang w:val="es-ES"/>
              </w:rPr>
            </w:pPr>
            <w:r w:rsidRPr="000E72AA">
              <w:rPr>
                <w:sz w:val="22"/>
                <w:szCs w:val="22"/>
                <w:lang w:val="es-ES"/>
              </w:rPr>
              <w:t xml:space="preserve">Metales antifricción, proyectiles, recubrimiento de cables, moldeado de metales, tubos plegadizos, soldadura, acumuladores, pigmentos antioxidantes, insecticidas, refinado de aceite, caucho, barniz, galvanoplastía, tipos de imprenta, fundente, electrodos para pilas, pirotecnia. </w:t>
            </w:r>
          </w:p>
        </w:tc>
      </w:tr>
      <w:tr w:rsidR="000E72AA" w:rsidRPr="000E72AA" w14:paraId="12B35144" w14:textId="77777777" w:rsidTr="000E72AA">
        <w:tc>
          <w:tcPr>
            <w:tcW w:w="1138" w:type="dxa"/>
            <w:vAlign w:val="center"/>
          </w:tcPr>
          <w:p w14:paraId="3D3F5ADF" w14:textId="77777777" w:rsidR="000E72AA" w:rsidRPr="000E72AA" w:rsidRDefault="000E72AA" w:rsidP="000E72AA">
            <w:pPr>
              <w:rPr>
                <w:sz w:val="22"/>
                <w:szCs w:val="22"/>
                <w:lang w:val="es-ES"/>
              </w:rPr>
            </w:pPr>
            <w:r w:rsidRPr="000E72AA">
              <w:rPr>
                <w:sz w:val="22"/>
                <w:szCs w:val="22"/>
                <w:lang w:val="es-ES"/>
              </w:rPr>
              <w:t>Oro</w:t>
            </w:r>
          </w:p>
        </w:tc>
        <w:tc>
          <w:tcPr>
            <w:tcW w:w="2543" w:type="dxa"/>
            <w:vAlign w:val="center"/>
          </w:tcPr>
          <w:p w14:paraId="428DE432" w14:textId="77777777" w:rsidR="000E72AA" w:rsidRPr="000E72AA" w:rsidRDefault="000E72AA" w:rsidP="000E72AA">
            <w:pPr>
              <w:rPr>
                <w:sz w:val="22"/>
                <w:szCs w:val="22"/>
                <w:lang w:val="es-ES"/>
              </w:rPr>
            </w:pPr>
            <w:r w:rsidRPr="000E72AA">
              <w:rPr>
                <w:sz w:val="22"/>
                <w:szCs w:val="22"/>
                <w:lang w:val="es-ES"/>
              </w:rPr>
              <w:t xml:space="preserve">Chiquimula, Izabal, Quiche, San Marco, Guatemala </w:t>
            </w:r>
          </w:p>
        </w:tc>
        <w:tc>
          <w:tcPr>
            <w:tcW w:w="5147" w:type="dxa"/>
          </w:tcPr>
          <w:p w14:paraId="58781B11" w14:textId="77777777" w:rsidR="000E72AA" w:rsidRPr="000E72AA" w:rsidRDefault="000E72AA" w:rsidP="000E72AA">
            <w:pPr>
              <w:jc w:val="both"/>
              <w:rPr>
                <w:sz w:val="22"/>
                <w:szCs w:val="22"/>
                <w:lang w:val="es-ES"/>
              </w:rPr>
            </w:pPr>
            <w:r w:rsidRPr="000E72AA">
              <w:rPr>
                <w:sz w:val="22"/>
                <w:szCs w:val="22"/>
                <w:lang w:val="es-ES"/>
              </w:rPr>
              <w:t xml:space="preserve">Joyería, monedas, conductores eléctricos, dorado de metales, aparatos electrónicos, teléfonos celulares. </w:t>
            </w:r>
          </w:p>
        </w:tc>
      </w:tr>
      <w:tr w:rsidR="000E72AA" w:rsidRPr="000E72AA" w14:paraId="44545D13" w14:textId="77777777" w:rsidTr="000E72AA">
        <w:tc>
          <w:tcPr>
            <w:tcW w:w="1138" w:type="dxa"/>
            <w:vAlign w:val="center"/>
          </w:tcPr>
          <w:p w14:paraId="04415B60" w14:textId="77777777" w:rsidR="000E72AA" w:rsidRPr="000E72AA" w:rsidRDefault="000E72AA" w:rsidP="000E72AA">
            <w:pPr>
              <w:rPr>
                <w:sz w:val="22"/>
                <w:szCs w:val="22"/>
                <w:lang w:val="es-ES"/>
              </w:rPr>
            </w:pPr>
            <w:r w:rsidRPr="000E72AA">
              <w:rPr>
                <w:sz w:val="22"/>
                <w:szCs w:val="22"/>
                <w:lang w:val="es-ES"/>
              </w:rPr>
              <w:t>Tungsteno</w:t>
            </w:r>
          </w:p>
        </w:tc>
        <w:tc>
          <w:tcPr>
            <w:tcW w:w="2543" w:type="dxa"/>
            <w:vAlign w:val="center"/>
          </w:tcPr>
          <w:p w14:paraId="5A5B11CB" w14:textId="77777777" w:rsidR="000E72AA" w:rsidRPr="000E72AA" w:rsidRDefault="000E72AA" w:rsidP="000E72AA">
            <w:pPr>
              <w:rPr>
                <w:sz w:val="22"/>
                <w:szCs w:val="22"/>
                <w:lang w:val="es-ES"/>
              </w:rPr>
            </w:pPr>
            <w:r w:rsidRPr="000E72AA">
              <w:rPr>
                <w:sz w:val="22"/>
                <w:szCs w:val="22"/>
                <w:lang w:val="es-ES"/>
              </w:rPr>
              <w:t xml:space="preserve">Huehuetenango </w:t>
            </w:r>
          </w:p>
        </w:tc>
        <w:tc>
          <w:tcPr>
            <w:tcW w:w="5147" w:type="dxa"/>
          </w:tcPr>
          <w:p w14:paraId="72C6811E" w14:textId="77777777" w:rsidR="000E72AA" w:rsidRPr="000E72AA" w:rsidRDefault="000E72AA" w:rsidP="000E72AA">
            <w:pPr>
              <w:jc w:val="both"/>
              <w:rPr>
                <w:sz w:val="22"/>
                <w:szCs w:val="22"/>
                <w:lang w:val="es-ES"/>
              </w:rPr>
            </w:pPr>
            <w:r w:rsidRPr="000E72AA">
              <w:rPr>
                <w:sz w:val="22"/>
                <w:szCs w:val="22"/>
                <w:lang w:val="es-ES"/>
              </w:rPr>
              <w:t>Aleaciones para buriles de alta velocidad, filamentos para lámparas y agujas fonográficas, aleaciones para magnetos, tela incombustible, pantallas de TV, reactivo químico.</w:t>
            </w:r>
          </w:p>
        </w:tc>
      </w:tr>
      <w:tr w:rsidR="000E72AA" w:rsidRPr="000E72AA" w14:paraId="17096FDF" w14:textId="77777777" w:rsidTr="000E72AA">
        <w:tc>
          <w:tcPr>
            <w:tcW w:w="8828" w:type="dxa"/>
            <w:gridSpan w:val="3"/>
            <w:shd w:val="clear" w:color="auto" w:fill="1F4E79" w:themeFill="accent5" w:themeFillShade="80"/>
            <w:vAlign w:val="center"/>
          </w:tcPr>
          <w:p w14:paraId="7383816F" w14:textId="77777777" w:rsidR="000E72AA" w:rsidRPr="000E72AA" w:rsidRDefault="000E72AA" w:rsidP="001E76F5">
            <w:pPr>
              <w:jc w:val="center"/>
              <w:rPr>
                <w:b/>
                <w:bCs/>
                <w:color w:val="FFFFFF" w:themeColor="background1"/>
                <w:sz w:val="22"/>
                <w:szCs w:val="22"/>
                <w:lang w:val="es-ES"/>
              </w:rPr>
            </w:pPr>
            <w:r w:rsidRPr="000E72AA">
              <w:rPr>
                <w:b/>
                <w:bCs/>
                <w:color w:val="FFFFFF" w:themeColor="background1"/>
                <w:sz w:val="22"/>
                <w:szCs w:val="22"/>
                <w:lang w:val="es-ES"/>
              </w:rPr>
              <w:t>MINERALES NO METÁLICOS</w:t>
            </w:r>
          </w:p>
        </w:tc>
      </w:tr>
      <w:tr w:rsidR="000E72AA" w:rsidRPr="000E72AA" w14:paraId="3B0D8933" w14:textId="77777777" w:rsidTr="000E72AA">
        <w:tc>
          <w:tcPr>
            <w:tcW w:w="1138" w:type="dxa"/>
            <w:vAlign w:val="center"/>
          </w:tcPr>
          <w:p w14:paraId="60156AE4" w14:textId="77777777" w:rsidR="000E72AA" w:rsidRPr="000E72AA" w:rsidRDefault="000E72AA" w:rsidP="000E72AA">
            <w:pPr>
              <w:rPr>
                <w:sz w:val="22"/>
                <w:szCs w:val="22"/>
                <w:lang w:val="es-ES"/>
              </w:rPr>
            </w:pPr>
            <w:r w:rsidRPr="000E72AA">
              <w:rPr>
                <w:sz w:val="22"/>
                <w:szCs w:val="22"/>
                <w:lang w:val="es-ES"/>
              </w:rPr>
              <w:t>Arcilla</w:t>
            </w:r>
          </w:p>
        </w:tc>
        <w:tc>
          <w:tcPr>
            <w:tcW w:w="2543" w:type="dxa"/>
            <w:vAlign w:val="center"/>
          </w:tcPr>
          <w:p w14:paraId="30B2A577" w14:textId="77777777" w:rsidR="000E72AA" w:rsidRPr="000E72AA" w:rsidRDefault="000E72AA" w:rsidP="000E72AA">
            <w:pPr>
              <w:rPr>
                <w:sz w:val="22"/>
                <w:szCs w:val="22"/>
                <w:lang w:val="es-ES"/>
              </w:rPr>
            </w:pPr>
            <w:r w:rsidRPr="000E72AA">
              <w:rPr>
                <w:sz w:val="22"/>
                <w:szCs w:val="22"/>
                <w:lang w:val="es-ES"/>
              </w:rPr>
              <w:t xml:space="preserve">Chiquimula, Baja Verapaz, El Progreso, Izabal </w:t>
            </w:r>
          </w:p>
        </w:tc>
        <w:tc>
          <w:tcPr>
            <w:tcW w:w="5147" w:type="dxa"/>
          </w:tcPr>
          <w:p w14:paraId="50828AA4" w14:textId="77777777" w:rsidR="000E72AA" w:rsidRPr="000E72AA" w:rsidRDefault="000E72AA" w:rsidP="000E72AA">
            <w:pPr>
              <w:jc w:val="both"/>
              <w:rPr>
                <w:sz w:val="22"/>
                <w:szCs w:val="22"/>
                <w:lang w:val="es-ES"/>
              </w:rPr>
            </w:pPr>
            <w:r w:rsidRPr="000E72AA">
              <w:rPr>
                <w:sz w:val="22"/>
                <w:szCs w:val="22"/>
                <w:lang w:val="es-ES"/>
              </w:rPr>
              <w:t>Verapaz, El Progreso, Izabal. Alfarería y cerámica, baldosas, ladrillos para hornos, acabado superficial de papel, carga para linóleo y hule.</w:t>
            </w:r>
          </w:p>
        </w:tc>
      </w:tr>
      <w:tr w:rsidR="000E72AA" w:rsidRPr="000E72AA" w14:paraId="4FD49E6D" w14:textId="77777777" w:rsidTr="000E72AA">
        <w:tc>
          <w:tcPr>
            <w:tcW w:w="1138" w:type="dxa"/>
            <w:vAlign w:val="center"/>
          </w:tcPr>
          <w:p w14:paraId="11553848" w14:textId="77777777" w:rsidR="000E72AA" w:rsidRPr="000E72AA" w:rsidRDefault="000E72AA" w:rsidP="000E72AA">
            <w:pPr>
              <w:rPr>
                <w:sz w:val="22"/>
                <w:szCs w:val="22"/>
                <w:lang w:val="es-ES"/>
              </w:rPr>
            </w:pPr>
            <w:r w:rsidRPr="000E72AA">
              <w:rPr>
                <w:sz w:val="22"/>
                <w:szCs w:val="22"/>
                <w:lang w:val="es-ES"/>
              </w:rPr>
              <w:t>Arena Silícea</w:t>
            </w:r>
          </w:p>
        </w:tc>
        <w:tc>
          <w:tcPr>
            <w:tcW w:w="2543" w:type="dxa"/>
            <w:vAlign w:val="center"/>
          </w:tcPr>
          <w:p w14:paraId="0D5CD1F7" w14:textId="77777777" w:rsidR="000E72AA" w:rsidRPr="000E72AA" w:rsidRDefault="000E72AA" w:rsidP="000E72AA">
            <w:pPr>
              <w:rPr>
                <w:sz w:val="22"/>
                <w:szCs w:val="22"/>
                <w:lang w:val="es-ES"/>
              </w:rPr>
            </w:pPr>
            <w:r w:rsidRPr="000E72AA">
              <w:rPr>
                <w:sz w:val="22"/>
                <w:szCs w:val="22"/>
                <w:lang w:val="es-ES"/>
              </w:rPr>
              <w:t>Chimaltenango, Izabal</w:t>
            </w:r>
          </w:p>
        </w:tc>
        <w:tc>
          <w:tcPr>
            <w:tcW w:w="5147" w:type="dxa"/>
          </w:tcPr>
          <w:p w14:paraId="3CEF9FDC" w14:textId="77777777" w:rsidR="000E72AA" w:rsidRPr="000E72AA" w:rsidRDefault="000E72AA" w:rsidP="000E72AA">
            <w:pPr>
              <w:jc w:val="both"/>
              <w:rPr>
                <w:sz w:val="22"/>
                <w:szCs w:val="22"/>
                <w:lang w:val="es-ES"/>
              </w:rPr>
            </w:pPr>
            <w:r w:rsidRPr="000E72AA">
              <w:rPr>
                <w:sz w:val="22"/>
                <w:szCs w:val="22"/>
                <w:lang w:val="es-ES"/>
              </w:rPr>
              <w:t xml:space="preserve">Fabricación de vidrio, porcelana, azulejos, ladrillo vidriado, artefactos sanitarios, lana de vidrio, abrasivo en compuestos limpiadores y jabones. </w:t>
            </w:r>
          </w:p>
        </w:tc>
      </w:tr>
      <w:tr w:rsidR="000E72AA" w:rsidRPr="000E72AA" w14:paraId="6DA8BD7F" w14:textId="77777777" w:rsidTr="000E72AA">
        <w:tc>
          <w:tcPr>
            <w:tcW w:w="1138" w:type="dxa"/>
            <w:vAlign w:val="center"/>
          </w:tcPr>
          <w:p w14:paraId="2ACE9DD5" w14:textId="77777777" w:rsidR="000E72AA" w:rsidRPr="000E72AA" w:rsidRDefault="000E72AA" w:rsidP="000E72AA">
            <w:pPr>
              <w:rPr>
                <w:sz w:val="22"/>
                <w:szCs w:val="22"/>
                <w:lang w:val="es-ES"/>
              </w:rPr>
            </w:pPr>
            <w:r w:rsidRPr="000E72AA">
              <w:rPr>
                <w:sz w:val="22"/>
                <w:szCs w:val="22"/>
                <w:lang w:val="es-ES"/>
              </w:rPr>
              <w:t>Arena y grava</w:t>
            </w:r>
          </w:p>
        </w:tc>
        <w:tc>
          <w:tcPr>
            <w:tcW w:w="2543" w:type="dxa"/>
            <w:vAlign w:val="center"/>
          </w:tcPr>
          <w:p w14:paraId="5389ACE0" w14:textId="77777777" w:rsidR="000E72AA" w:rsidRPr="000E72AA" w:rsidRDefault="000E72AA" w:rsidP="000E72AA">
            <w:pPr>
              <w:rPr>
                <w:sz w:val="22"/>
                <w:szCs w:val="22"/>
                <w:lang w:val="es-ES"/>
              </w:rPr>
            </w:pPr>
            <w:r w:rsidRPr="000E72AA">
              <w:rPr>
                <w:sz w:val="22"/>
                <w:szCs w:val="22"/>
                <w:lang w:val="es-ES"/>
              </w:rPr>
              <w:t xml:space="preserve">Guatemala, El Progreso, Retalhuleu, San Marcos, Quetzaltenango, Totonicapán, Zacapa, Chiquimula, Santa Rosa, Petén, Huehuetenango, Cobán, Baja Verapaz, Sololá, Quiche </w:t>
            </w:r>
          </w:p>
        </w:tc>
        <w:tc>
          <w:tcPr>
            <w:tcW w:w="5147" w:type="dxa"/>
          </w:tcPr>
          <w:p w14:paraId="63B9E590" w14:textId="77777777" w:rsidR="000E72AA" w:rsidRPr="000E72AA" w:rsidRDefault="000E72AA" w:rsidP="000E72AA">
            <w:pPr>
              <w:jc w:val="both"/>
              <w:rPr>
                <w:sz w:val="22"/>
                <w:szCs w:val="22"/>
                <w:lang w:val="es-ES"/>
              </w:rPr>
            </w:pPr>
            <w:r w:rsidRPr="000E72AA">
              <w:rPr>
                <w:sz w:val="22"/>
                <w:szCs w:val="22"/>
                <w:lang w:val="es-ES"/>
              </w:rPr>
              <w:t>Construcción, pavimentos, balasto para caminos, filtrado.</w:t>
            </w:r>
          </w:p>
        </w:tc>
      </w:tr>
      <w:tr w:rsidR="000E72AA" w:rsidRPr="000E72AA" w14:paraId="0A24F0BF" w14:textId="77777777" w:rsidTr="000E72AA">
        <w:tc>
          <w:tcPr>
            <w:tcW w:w="1138" w:type="dxa"/>
            <w:vAlign w:val="center"/>
          </w:tcPr>
          <w:p w14:paraId="7D7A9876" w14:textId="77777777" w:rsidR="000E72AA" w:rsidRPr="000E72AA" w:rsidRDefault="000E72AA" w:rsidP="000E72AA">
            <w:pPr>
              <w:rPr>
                <w:sz w:val="22"/>
                <w:szCs w:val="22"/>
                <w:lang w:val="es-ES"/>
              </w:rPr>
            </w:pPr>
            <w:r w:rsidRPr="000E72AA">
              <w:rPr>
                <w:sz w:val="22"/>
                <w:szCs w:val="22"/>
                <w:lang w:val="es-ES"/>
              </w:rPr>
              <w:t>Asbesto</w:t>
            </w:r>
          </w:p>
        </w:tc>
        <w:tc>
          <w:tcPr>
            <w:tcW w:w="2543" w:type="dxa"/>
            <w:vAlign w:val="center"/>
          </w:tcPr>
          <w:p w14:paraId="6337D349" w14:textId="77777777" w:rsidR="000E72AA" w:rsidRPr="000E72AA" w:rsidRDefault="000E72AA" w:rsidP="000E72AA">
            <w:pPr>
              <w:rPr>
                <w:sz w:val="22"/>
                <w:szCs w:val="22"/>
                <w:lang w:val="es-ES"/>
              </w:rPr>
            </w:pPr>
            <w:r w:rsidRPr="000E72AA">
              <w:rPr>
                <w:sz w:val="22"/>
                <w:szCs w:val="22"/>
                <w:lang w:val="es-ES"/>
              </w:rPr>
              <w:t>El Progreso</w:t>
            </w:r>
          </w:p>
        </w:tc>
        <w:tc>
          <w:tcPr>
            <w:tcW w:w="5147" w:type="dxa"/>
          </w:tcPr>
          <w:p w14:paraId="6FB1916D" w14:textId="77777777" w:rsidR="000E72AA" w:rsidRPr="000E72AA" w:rsidRDefault="000E72AA" w:rsidP="000E72AA">
            <w:pPr>
              <w:jc w:val="both"/>
              <w:rPr>
                <w:sz w:val="22"/>
                <w:szCs w:val="22"/>
                <w:lang w:val="es-ES"/>
              </w:rPr>
            </w:pPr>
            <w:r w:rsidRPr="000E72AA">
              <w:rPr>
                <w:sz w:val="22"/>
                <w:szCs w:val="22"/>
                <w:lang w:val="es-ES"/>
              </w:rPr>
              <w:t>Telas resistentes al fuego, aislador con cal y sílice para alta temperatura, fricciones para frenos y embragues, empaques para uso en calor, techos de asbesto-cemento.</w:t>
            </w:r>
          </w:p>
        </w:tc>
      </w:tr>
      <w:tr w:rsidR="000E72AA" w:rsidRPr="000E72AA" w14:paraId="0DF9F38B" w14:textId="77777777" w:rsidTr="000E72AA">
        <w:tc>
          <w:tcPr>
            <w:tcW w:w="1138" w:type="dxa"/>
            <w:vAlign w:val="center"/>
          </w:tcPr>
          <w:p w14:paraId="46348376" w14:textId="77777777" w:rsidR="000E72AA" w:rsidRPr="000E72AA" w:rsidRDefault="000E72AA" w:rsidP="000E72AA">
            <w:pPr>
              <w:rPr>
                <w:sz w:val="22"/>
                <w:szCs w:val="22"/>
                <w:lang w:val="es-ES"/>
              </w:rPr>
            </w:pPr>
            <w:r w:rsidRPr="000E72AA">
              <w:rPr>
                <w:sz w:val="22"/>
                <w:szCs w:val="22"/>
                <w:lang w:val="es-ES"/>
              </w:rPr>
              <w:t>Azufre</w:t>
            </w:r>
          </w:p>
        </w:tc>
        <w:tc>
          <w:tcPr>
            <w:tcW w:w="2543" w:type="dxa"/>
            <w:vAlign w:val="center"/>
          </w:tcPr>
          <w:p w14:paraId="67A428EC" w14:textId="77777777" w:rsidR="000E72AA" w:rsidRPr="000E72AA" w:rsidRDefault="000E72AA" w:rsidP="000E72AA">
            <w:pPr>
              <w:rPr>
                <w:sz w:val="22"/>
                <w:szCs w:val="22"/>
                <w:lang w:val="es-ES"/>
              </w:rPr>
            </w:pPr>
            <w:r w:rsidRPr="000E72AA">
              <w:rPr>
                <w:sz w:val="22"/>
                <w:szCs w:val="22"/>
                <w:lang w:val="es-ES"/>
              </w:rPr>
              <w:t>Quetzaltenango, Santa Rosa</w:t>
            </w:r>
          </w:p>
        </w:tc>
        <w:tc>
          <w:tcPr>
            <w:tcW w:w="5147" w:type="dxa"/>
          </w:tcPr>
          <w:p w14:paraId="1FC2C485" w14:textId="77777777" w:rsidR="000E72AA" w:rsidRPr="000E72AA" w:rsidRDefault="000E72AA" w:rsidP="000E72AA">
            <w:pPr>
              <w:jc w:val="both"/>
              <w:rPr>
                <w:sz w:val="22"/>
                <w:szCs w:val="22"/>
                <w:lang w:val="es-ES"/>
              </w:rPr>
            </w:pPr>
            <w:r w:rsidRPr="000E72AA">
              <w:rPr>
                <w:sz w:val="22"/>
                <w:szCs w:val="22"/>
                <w:lang w:val="es-ES"/>
              </w:rPr>
              <w:t>Fertilizantes, explosivos, tintes, caucho, pinturas, vulcanización, plásticos, blanqueo, farmacéuticos, purificación del petróleo, rayón y película de celulosa, decapado de minerales.</w:t>
            </w:r>
          </w:p>
        </w:tc>
      </w:tr>
      <w:tr w:rsidR="000E72AA" w:rsidRPr="000E72AA" w14:paraId="7C9E83EB" w14:textId="77777777" w:rsidTr="000E72AA">
        <w:tc>
          <w:tcPr>
            <w:tcW w:w="1138" w:type="dxa"/>
            <w:vAlign w:val="center"/>
          </w:tcPr>
          <w:p w14:paraId="4900CB13" w14:textId="77777777" w:rsidR="000E72AA" w:rsidRPr="000E72AA" w:rsidRDefault="000E72AA" w:rsidP="000E72AA">
            <w:pPr>
              <w:rPr>
                <w:sz w:val="22"/>
                <w:szCs w:val="22"/>
                <w:lang w:val="es-ES"/>
              </w:rPr>
            </w:pPr>
            <w:r w:rsidRPr="000E72AA">
              <w:rPr>
                <w:sz w:val="22"/>
                <w:szCs w:val="22"/>
                <w:lang w:val="es-ES"/>
              </w:rPr>
              <w:t>Barita</w:t>
            </w:r>
          </w:p>
        </w:tc>
        <w:tc>
          <w:tcPr>
            <w:tcW w:w="2543" w:type="dxa"/>
            <w:vAlign w:val="center"/>
          </w:tcPr>
          <w:p w14:paraId="3E7B7EDB" w14:textId="77777777" w:rsidR="000E72AA" w:rsidRPr="000E72AA" w:rsidRDefault="000E72AA" w:rsidP="000E72AA">
            <w:pPr>
              <w:rPr>
                <w:sz w:val="22"/>
                <w:szCs w:val="22"/>
                <w:lang w:val="es-ES"/>
              </w:rPr>
            </w:pPr>
            <w:r w:rsidRPr="000E72AA">
              <w:rPr>
                <w:sz w:val="22"/>
                <w:szCs w:val="22"/>
                <w:lang w:val="es-ES"/>
              </w:rPr>
              <w:t>Huehuetenango, Baja Verapaz, Quiche</w:t>
            </w:r>
          </w:p>
        </w:tc>
        <w:tc>
          <w:tcPr>
            <w:tcW w:w="5147" w:type="dxa"/>
          </w:tcPr>
          <w:p w14:paraId="22BE6111" w14:textId="77777777" w:rsidR="000E72AA" w:rsidRPr="000E72AA" w:rsidRDefault="000E72AA" w:rsidP="000E72AA">
            <w:pPr>
              <w:jc w:val="both"/>
              <w:rPr>
                <w:sz w:val="22"/>
                <w:szCs w:val="22"/>
                <w:lang w:val="es-ES"/>
              </w:rPr>
            </w:pPr>
            <w:r w:rsidRPr="000E72AA">
              <w:rPr>
                <w:sz w:val="22"/>
                <w:szCs w:val="22"/>
                <w:lang w:val="es-ES"/>
              </w:rPr>
              <w:t xml:space="preserve">Lodos de perforación, blanco para pinturas, vidrio, carga para hule. Cloruro de bario: tratamiento térmico de acero, fabricación de cloro e hidróxidos, destellos verdes para señales, fabricación de agua oxigenada. </w:t>
            </w:r>
          </w:p>
        </w:tc>
      </w:tr>
      <w:tr w:rsidR="000E72AA" w:rsidRPr="000E72AA" w14:paraId="237748B9" w14:textId="77777777" w:rsidTr="000E72AA">
        <w:tc>
          <w:tcPr>
            <w:tcW w:w="1138" w:type="dxa"/>
            <w:vAlign w:val="center"/>
          </w:tcPr>
          <w:p w14:paraId="6837B7CB" w14:textId="77777777" w:rsidR="000E72AA" w:rsidRPr="000E72AA" w:rsidRDefault="000E72AA" w:rsidP="000E72AA">
            <w:pPr>
              <w:rPr>
                <w:sz w:val="22"/>
                <w:szCs w:val="22"/>
                <w:lang w:val="es-ES"/>
              </w:rPr>
            </w:pPr>
            <w:r w:rsidRPr="000E72AA">
              <w:rPr>
                <w:sz w:val="22"/>
                <w:szCs w:val="22"/>
                <w:lang w:val="es-ES"/>
              </w:rPr>
              <w:t>Bentonita</w:t>
            </w:r>
          </w:p>
        </w:tc>
        <w:tc>
          <w:tcPr>
            <w:tcW w:w="2543" w:type="dxa"/>
            <w:vAlign w:val="center"/>
          </w:tcPr>
          <w:p w14:paraId="3C92D677" w14:textId="77777777" w:rsidR="000E72AA" w:rsidRPr="000E72AA" w:rsidRDefault="000E72AA" w:rsidP="000E72AA">
            <w:pPr>
              <w:rPr>
                <w:sz w:val="22"/>
                <w:szCs w:val="22"/>
                <w:lang w:val="es-ES"/>
              </w:rPr>
            </w:pPr>
            <w:r w:rsidRPr="000E72AA">
              <w:rPr>
                <w:sz w:val="22"/>
                <w:szCs w:val="22"/>
                <w:lang w:val="es-ES"/>
              </w:rPr>
              <w:t>Chiquimula, Izabal</w:t>
            </w:r>
          </w:p>
        </w:tc>
        <w:tc>
          <w:tcPr>
            <w:tcW w:w="5147" w:type="dxa"/>
          </w:tcPr>
          <w:p w14:paraId="683A6666" w14:textId="77777777" w:rsidR="000E72AA" w:rsidRPr="000E72AA" w:rsidRDefault="000E72AA" w:rsidP="000E72AA">
            <w:pPr>
              <w:jc w:val="both"/>
              <w:rPr>
                <w:sz w:val="22"/>
                <w:szCs w:val="22"/>
                <w:lang w:val="es-ES"/>
              </w:rPr>
            </w:pPr>
            <w:r w:rsidRPr="000E72AA">
              <w:rPr>
                <w:sz w:val="22"/>
                <w:szCs w:val="22"/>
                <w:lang w:val="es-ES"/>
              </w:rPr>
              <w:t>Lodos de perforación, refinado de petróleo, blanqueador de aceite y grasa, carga de papel y jabón, agente desentintador, sustituto del talco, aglutinante para arena de moldeo en fundición, agente de suspensión para esmaltes, ablandador de agua, repellos.</w:t>
            </w:r>
          </w:p>
        </w:tc>
      </w:tr>
      <w:tr w:rsidR="000E72AA" w:rsidRPr="000E72AA" w14:paraId="0A498143" w14:textId="77777777" w:rsidTr="000E72AA">
        <w:tc>
          <w:tcPr>
            <w:tcW w:w="1138" w:type="dxa"/>
            <w:vAlign w:val="center"/>
          </w:tcPr>
          <w:p w14:paraId="322DA9BD" w14:textId="77777777" w:rsidR="000E72AA" w:rsidRPr="000E72AA" w:rsidRDefault="000E72AA" w:rsidP="000E72AA">
            <w:pPr>
              <w:rPr>
                <w:sz w:val="22"/>
                <w:szCs w:val="22"/>
                <w:lang w:val="es-ES"/>
              </w:rPr>
            </w:pPr>
            <w:r w:rsidRPr="000E72AA">
              <w:rPr>
                <w:sz w:val="22"/>
                <w:szCs w:val="22"/>
                <w:lang w:val="es-ES"/>
              </w:rPr>
              <w:t>Caliza</w:t>
            </w:r>
          </w:p>
        </w:tc>
        <w:tc>
          <w:tcPr>
            <w:tcW w:w="2543" w:type="dxa"/>
            <w:vAlign w:val="center"/>
          </w:tcPr>
          <w:p w14:paraId="1CD58AE8" w14:textId="77777777" w:rsidR="000E72AA" w:rsidRPr="000E72AA" w:rsidRDefault="000E72AA" w:rsidP="000E72AA">
            <w:pPr>
              <w:rPr>
                <w:sz w:val="22"/>
                <w:szCs w:val="22"/>
                <w:lang w:val="es-ES"/>
              </w:rPr>
            </w:pPr>
            <w:r w:rsidRPr="000E72AA">
              <w:rPr>
                <w:sz w:val="22"/>
                <w:szCs w:val="22"/>
                <w:lang w:val="es-ES"/>
              </w:rPr>
              <w:t>Guatemala, El Progreso, Alta Verapaz, Huehuetenango, Chimaltenango, Quetzaltenango, Zacapa, Santa Rosa, Jutiapa, El Progreso, Peten, Guatemala, Baja Verapaz.</w:t>
            </w:r>
          </w:p>
        </w:tc>
        <w:tc>
          <w:tcPr>
            <w:tcW w:w="5147" w:type="dxa"/>
          </w:tcPr>
          <w:p w14:paraId="4C3AE3FF" w14:textId="171FFD49" w:rsidR="000E72AA" w:rsidRPr="000E72AA" w:rsidRDefault="000E72AA" w:rsidP="000E72AA">
            <w:pPr>
              <w:jc w:val="both"/>
              <w:rPr>
                <w:sz w:val="22"/>
                <w:szCs w:val="22"/>
                <w:lang w:val="es-ES"/>
              </w:rPr>
            </w:pPr>
            <w:r w:rsidRPr="000E72AA">
              <w:rPr>
                <w:sz w:val="22"/>
                <w:szCs w:val="22"/>
                <w:lang w:val="es-ES"/>
              </w:rPr>
              <w:t>Uso agrícola, cal para morteros, neutralización de ácidos, fabricación de álcalis, blanqueador, fabricación de carburo de calcio (acetileno), cremerías y lecherías, gelatina, desodorante para aceite vegetal, fabricación de vidrio, grasa lubricante, fundente para acero, concentración de minerales por flotación, fabricación de magnesio, tratamiento de aguas negras, fabricación de papel y hule, refinación de sal, fabricación de jabón y grasas, refinación de azúcar, curtiembre, purificación de agua, fabricación de carbonato de calcio pre</w:t>
            </w:r>
            <w:r w:rsidR="00F97A9F">
              <w:rPr>
                <w:sz w:val="22"/>
                <w:szCs w:val="22"/>
                <w:lang w:val="es-ES"/>
              </w:rPr>
              <w:t>cipitado, compuestos pulidores.</w:t>
            </w:r>
          </w:p>
        </w:tc>
      </w:tr>
      <w:tr w:rsidR="000E72AA" w:rsidRPr="000E72AA" w14:paraId="11F82BAD" w14:textId="77777777" w:rsidTr="000E72AA">
        <w:tc>
          <w:tcPr>
            <w:tcW w:w="1138" w:type="dxa"/>
            <w:vAlign w:val="center"/>
          </w:tcPr>
          <w:p w14:paraId="40F08FBA" w14:textId="77777777" w:rsidR="000E72AA" w:rsidRPr="000E72AA" w:rsidRDefault="000E72AA" w:rsidP="000E72AA">
            <w:pPr>
              <w:rPr>
                <w:sz w:val="22"/>
                <w:szCs w:val="22"/>
                <w:lang w:val="es-ES"/>
              </w:rPr>
            </w:pPr>
            <w:r w:rsidRPr="000E72AA">
              <w:rPr>
                <w:sz w:val="22"/>
                <w:szCs w:val="22"/>
                <w:lang w:val="es-ES"/>
              </w:rPr>
              <w:t>Coalín</w:t>
            </w:r>
          </w:p>
        </w:tc>
        <w:tc>
          <w:tcPr>
            <w:tcW w:w="2543" w:type="dxa"/>
            <w:vAlign w:val="center"/>
          </w:tcPr>
          <w:p w14:paraId="67C6A8BC" w14:textId="77777777" w:rsidR="000E72AA" w:rsidRPr="000E72AA" w:rsidRDefault="000E72AA" w:rsidP="000E72AA">
            <w:pPr>
              <w:rPr>
                <w:sz w:val="22"/>
                <w:szCs w:val="22"/>
                <w:lang w:val="es-ES"/>
              </w:rPr>
            </w:pPr>
            <w:r w:rsidRPr="000E72AA">
              <w:rPr>
                <w:sz w:val="22"/>
                <w:szCs w:val="22"/>
                <w:lang w:val="es-ES"/>
              </w:rPr>
              <w:t>Santa Rosa, Chiquimula</w:t>
            </w:r>
          </w:p>
        </w:tc>
        <w:tc>
          <w:tcPr>
            <w:tcW w:w="5147" w:type="dxa"/>
          </w:tcPr>
          <w:p w14:paraId="4B443027" w14:textId="77777777" w:rsidR="000E72AA" w:rsidRPr="000E72AA" w:rsidRDefault="000E72AA" w:rsidP="000E72AA">
            <w:pPr>
              <w:jc w:val="both"/>
              <w:rPr>
                <w:sz w:val="22"/>
                <w:szCs w:val="22"/>
                <w:lang w:val="es-ES"/>
              </w:rPr>
            </w:pPr>
            <w:r w:rsidRPr="000E72AA">
              <w:rPr>
                <w:sz w:val="22"/>
                <w:szCs w:val="22"/>
                <w:lang w:val="es-ES"/>
              </w:rPr>
              <w:t>Arcilla pura muy blanca, fabricación de porcelana y baldosas, crisoles para fundición, bujías para motores, carga en fabricación de papel y hule, cosméticos, pulimentador, refractarios, vidrio, fabricación de azulejos.</w:t>
            </w:r>
          </w:p>
        </w:tc>
      </w:tr>
      <w:tr w:rsidR="000E72AA" w:rsidRPr="000E72AA" w14:paraId="69E926AC" w14:textId="77777777" w:rsidTr="000E72AA">
        <w:tc>
          <w:tcPr>
            <w:tcW w:w="1138" w:type="dxa"/>
            <w:vAlign w:val="center"/>
          </w:tcPr>
          <w:p w14:paraId="78B047B6" w14:textId="77777777" w:rsidR="000E72AA" w:rsidRPr="000E72AA" w:rsidRDefault="000E72AA" w:rsidP="000E72AA">
            <w:pPr>
              <w:rPr>
                <w:sz w:val="22"/>
                <w:szCs w:val="22"/>
                <w:lang w:val="es-ES"/>
              </w:rPr>
            </w:pPr>
            <w:r w:rsidRPr="000E72AA">
              <w:rPr>
                <w:sz w:val="22"/>
                <w:szCs w:val="22"/>
                <w:lang w:val="es-ES"/>
              </w:rPr>
              <w:t xml:space="preserve">Carbón </w:t>
            </w:r>
          </w:p>
        </w:tc>
        <w:tc>
          <w:tcPr>
            <w:tcW w:w="2543" w:type="dxa"/>
            <w:vAlign w:val="center"/>
          </w:tcPr>
          <w:p w14:paraId="1DBC1658" w14:textId="77777777" w:rsidR="000E72AA" w:rsidRPr="000E72AA" w:rsidRDefault="000E72AA" w:rsidP="000E72AA">
            <w:pPr>
              <w:rPr>
                <w:sz w:val="22"/>
                <w:szCs w:val="22"/>
                <w:lang w:val="es-ES"/>
              </w:rPr>
            </w:pPr>
            <w:r w:rsidRPr="000E72AA">
              <w:rPr>
                <w:sz w:val="22"/>
                <w:szCs w:val="22"/>
                <w:lang w:val="es-ES"/>
              </w:rPr>
              <w:t xml:space="preserve">Izabal, Chiquimula, San Marcos Huehuetenango </w:t>
            </w:r>
          </w:p>
        </w:tc>
        <w:tc>
          <w:tcPr>
            <w:tcW w:w="5147" w:type="dxa"/>
          </w:tcPr>
          <w:p w14:paraId="53B1DFF2" w14:textId="77777777" w:rsidR="000E72AA" w:rsidRPr="000E72AA" w:rsidRDefault="000E72AA" w:rsidP="000E72AA">
            <w:pPr>
              <w:jc w:val="both"/>
              <w:rPr>
                <w:sz w:val="22"/>
                <w:szCs w:val="22"/>
                <w:lang w:val="es-ES"/>
              </w:rPr>
            </w:pPr>
            <w:r w:rsidRPr="000E72AA">
              <w:rPr>
                <w:sz w:val="22"/>
                <w:szCs w:val="22"/>
                <w:lang w:val="es-ES"/>
              </w:rPr>
              <w:t>Combustible, fabricación de cemento, filtración.</w:t>
            </w:r>
          </w:p>
        </w:tc>
      </w:tr>
      <w:tr w:rsidR="000E72AA" w:rsidRPr="000E72AA" w14:paraId="0018296B" w14:textId="77777777" w:rsidTr="000E72AA">
        <w:tc>
          <w:tcPr>
            <w:tcW w:w="1138" w:type="dxa"/>
            <w:vAlign w:val="center"/>
          </w:tcPr>
          <w:p w14:paraId="307D7392" w14:textId="77777777" w:rsidR="000E72AA" w:rsidRPr="000E72AA" w:rsidRDefault="000E72AA" w:rsidP="000E72AA">
            <w:pPr>
              <w:rPr>
                <w:sz w:val="22"/>
                <w:szCs w:val="22"/>
                <w:lang w:val="es-ES"/>
              </w:rPr>
            </w:pPr>
            <w:r w:rsidRPr="000E72AA">
              <w:rPr>
                <w:sz w:val="22"/>
                <w:szCs w:val="22"/>
                <w:lang w:val="es-ES"/>
              </w:rPr>
              <w:t>Cuarzo</w:t>
            </w:r>
          </w:p>
        </w:tc>
        <w:tc>
          <w:tcPr>
            <w:tcW w:w="2543" w:type="dxa"/>
            <w:vAlign w:val="center"/>
          </w:tcPr>
          <w:p w14:paraId="57C76EC5" w14:textId="77777777" w:rsidR="000E72AA" w:rsidRPr="000E72AA" w:rsidRDefault="000E72AA" w:rsidP="000E72AA">
            <w:pPr>
              <w:rPr>
                <w:sz w:val="22"/>
                <w:szCs w:val="22"/>
                <w:lang w:val="es-ES"/>
              </w:rPr>
            </w:pPr>
            <w:r w:rsidRPr="000E72AA">
              <w:rPr>
                <w:sz w:val="22"/>
                <w:szCs w:val="22"/>
                <w:lang w:val="es-ES"/>
              </w:rPr>
              <w:t>Baja Verapaz, El Progreso, Zacapa, Guatemala.</w:t>
            </w:r>
          </w:p>
        </w:tc>
        <w:tc>
          <w:tcPr>
            <w:tcW w:w="5147" w:type="dxa"/>
          </w:tcPr>
          <w:p w14:paraId="18F16764" w14:textId="77777777" w:rsidR="000E72AA" w:rsidRPr="000E72AA" w:rsidRDefault="000E72AA" w:rsidP="000E72AA">
            <w:pPr>
              <w:jc w:val="both"/>
              <w:rPr>
                <w:sz w:val="22"/>
                <w:szCs w:val="22"/>
                <w:lang w:val="es-ES"/>
              </w:rPr>
            </w:pPr>
            <w:r w:rsidRPr="000E72AA">
              <w:rPr>
                <w:sz w:val="22"/>
                <w:szCs w:val="22"/>
                <w:lang w:val="es-ES"/>
              </w:rPr>
              <w:t>Fabricación de vidrio, arena para pulido a chorro, abrasivos. Para regulador de frecuencia de radio. Vidrios ópticos</w:t>
            </w:r>
          </w:p>
        </w:tc>
      </w:tr>
      <w:tr w:rsidR="000E72AA" w:rsidRPr="000E72AA" w14:paraId="061A484C" w14:textId="77777777" w:rsidTr="000E72AA">
        <w:tc>
          <w:tcPr>
            <w:tcW w:w="1138" w:type="dxa"/>
            <w:vAlign w:val="center"/>
          </w:tcPr>
          <w:p w14:paraId="39F9A94A" w14:textId="77777777" w:rsidR="000E72AA" w:rsidRPr="000E72AA" w:rsidRDefault="000E72AA" w:rsidP="000E72AA">
            <w:pPr>
              <w:rPr>
                <w:sz w:val="22"/>
                <w:szCs w:val="22"/>
                <w:lang w:val="es-ES"/>
              </w:rPr>
            </w:pPr>
            <w:r w:rsidRPr="000E72AA">
              <w:rPr>
                <w:sz w:val="22"/>
                <w:szCs w:val="22"/>
                <w:lang w:val="es-ES"/>
              </w:rPr>
              <w:t>Diatomita</w:t>
            </w:r>
          </w:p>
        </w:tc>
        <w:tc>
          <w:tcPr>
            <w:tcW w:w="2543" w:type="dxa"/>
            <w:vAlign w:val="center"/>
          </w:tcPr>
          <w:p w14:paraId="39E0574C" w14:textId="77777777" w:rsidR="000E72AA" w:rsidRPr="000E72AA" w:rsidRDefault="000E72AA" w:rsidP="000E72AA">
            <w:pPr>
              <w:rPr>
                <w:sz w:val="22"/>
                <w:szCs w:val="22"/>
                <w:lang w:val="es-ES"/>
              </w:rPr>
            </w:pPr>
            <w:r w:rsidRPr="000E72AA">
              <w:rPr>
                <w:sz w:val="22"/>
                <w:szCs w:val="22"/>
                <w:lang w:val="es-ES"/>
              </w:rPr>
              <w:t>Guatemala, Chiquimula, Jalapa, Zacapa.</w:t>
            </w:r>
          </w:p>
        </w:tc>
        <w:tc>
          <w:tcPr>
            <w:tcW w:w="5147" w:type="dxa"/>
          </w:tcPr>
          <w:p w14:paraId="6E81D6CC" w14:textId="77777777" w:rsidR="000E72AA" w:rsidRPr="000E72AA" w:rsidRDefault="000E72AA" w:rsidP="000E72AA">
            <w:pPr>
              <w:jc w:val="both"/>
              <w:rPr>
                <w:sz w:val="22"/>
                <w:szCs w:val="22"/>
                <w:lang w:val="es-ES"/>
              </w:rPr>
            </w:pPr>
            <w:r w:rsidRPr="000E72AA">
              <w:rPr>
                <w:sz w:val="22"/>
                <w:szCs w:val="22"/>
                <w:lang w:val="es-ES"/>
              </w:rPr>
              <w:t>Aislante, medio filtrante, abrasivo fino para dentífricos, fabricación de vidrio y esmaltes.</w:t>
            </w:r>
          </w:p>
        </w:tc>
      </w:tr>
      <w:tr w:rsidR="000E72AA" w:rsidRPr="000E72AA" w14:paraId="1EE60B9B" w14:textId="77777777" w:rsidTr="000E72AA">
        <w:tc>
          <w:tcPr>
            <w:tcW w:w="1138" w:type="dxa"/>
            <w:vAlign w:val="center"/>
          </w:tcPr>
          <w:p w14:paraId="39544C93" w14:textId="77777777" w:rsidR="000E72AA" w:rsidRPr="000E72AA" w:rsidRDefault="000E72AA" w:rsidP="000E72AA">
            <w:pPr>
              <w:rPr>
                <w:sz w:val="22"/>
                <w:szCs w:val="22"/>
                <w:lang w:val="es-ES"/>
              </w:rPr>
            </w:pPr>
            <w:r w:rsidRPr="000E72AA">
              <w:rPr>
                <w:sz w:val="22"/>
                <w:szCs w:val="22"/>
                <w:lang w:val="es-ES"/>
              </w:rPr>
              <w:t>Escoria volcánica</w:t>
            </w:r>
          </w:p>
        </w:tc>
        <w:tc>
          <w:tcPr>
            <w:tcW w:w="2543" w:type="dxa"/>
            <w:vAlign w:val="center"/>
          </w:tcPr>
          <w:p w14:paraId="720A6962" w14:textId="77777777" w:rsidR="000E72AA" w:rsidRPr="000E72AA" w:rsidRDefault="000E72AA" w:rsidP="000E72AA">
            <w:pPr>
              <w:rPr>
                <w:sz w:val="22"/>
                <w:szCs w:val="22"/>
                <w:lang w:val="es-ES"/>
              </w:rPr>
            </w:pPr>
            <w:r w:rsidRPr="000E72AA">
              <w:rPr>
                <w:sz w:val="22"/>
                <w:szCs w:val="22"/>
                <w:lang w:val="es-ES"/>
              </w:rPr>
              <w:t>Santa Rosa, Escuintla.</w:t>
            </w:r>
          </w:p>
        </w:tc>
        <w:tc>
          <w:tcPr>
            <w:tcW w:w="5147" w:type="dxa"/>
          </w:tcPr>
          <w:p w14:paraId="1479C778" w14:textId="77777777" w:rsidR="000E72AA" w:rsidRPr="000E72AA" w:rsidRDefault="000E72AA" w:rsidP="000E72AA">
            <w:pPr>
              <w:jc w:val="both"/>
              <w:rPr>
                <w:sz w:val="22"/>
                <w:szCs w:val="22"/>
                <w:lang w:val="es-ES"/>
              </w:rPr>
            </w:pPr>
            <w:r w:rsidRPr="000E72AA">
              <w:rPr>
                <w:sz w:val="22"/>
                <w:szCs w:val="22"/>
                <w:lang w:val="es-ES"/>
              </w:rPr>
              <w:t>Material de construcción, decoración, fabricación de blocks</w:t>
            </w:r>
          </w:p>
        </w:tc>
      </w:tr>
      <w:tr w:rsidR="000E72AA" w:rsidRPr="000E72AA" w14:paraId="6BFA719B" w14:textId="77777777" w:rsidTr="000E72AA">
        <w:tc>
          <w:tcPr>
            <w:tcW w:w="1138" w:type="dxa"/>
            <w:vAlign w:val="center"/>
          </w:tcPr>
          <w:p w14:paraId="7A57F7F2" w14:textId="77777777" w:rsidR="000E72AA" w:rsidRPr="000E72AA" w:rsidRDefault="000E72AA" w:rsidP="000E72AA">
            <w:pPr>
              <w:rPr>
                <w:sz w:val="22"/>
                <w:szCs w:val="22"/>
                <w:lang w:val="es-ES"/>
              </w:rPr>
            </w:pPr>
            <w:r w:rsidRPr="000E72AA">
              <w:rPr>
                <w:sz w:val="22"/>
                <w:szCs w:val="22"/>
                <w:lang w:val="es-ES"/>
              </w:rPr>
              <w:t>Feldespato</w:t>
            </w:r>
          </w:p>
        </w:tc>
        <w:tc>
          <w:tcPr>
            <w:tcW w:w="2543" w:type="dxa"/>
            <w:vAlign w:val="center"/>
          </w:tcPr>
          <w:p w14:paraId="1BCFF96D" w14:textId="77777777" w:rsidR="000E72AA" w:rsidRPr="000E72AA" w:rsidRDefault="000E72AA" w:rsidP="000E72AA">
            <w:pPr>
              <w:rPr>
                <w:sz w:val="22"/>
                <w:szCs w:val="22"/>
                <w:lang w:val="es-ES"/>
              </w:rPr>
            </w:pPr>
            <w:r w:rsidRPr="000E72AA">
              <w:rPr>
                <w:sz w:val="22"/>
                <w:szCs w:val="22"/>
                <w:lang w:val="es-ES"/>
              </w:rPr>
              <w:t>Baja Verapaz, El Progreso.</w:t>
            </w:r>
          </w:p>
        </w:tc>
        <w:tc>
          <w:tcPr>
            <w:tcW w:w="5147" w:type="dxa"/>
          </w:tcPr>
          <w:p w14:paraId="14A07D7A" w14:textId="77777777" w:rsidR="000E72AA" w:rsidRPr="000E72AA" w:rsidRDefault="000E72AA" w:rsidP="000E72AA">
            <w:pPr>
              <w:jc w:val="both"/>
              <w:rPr>
                <w:sz w:val="22"/>
                <w:szCs w:val="22"/>
                <w:lang w:val="es-ES"/>
              </w:rPr>
            </w:pPr>
            <w:r w:rsidRPr="000E72AA">
              <w:rPr>
                <w:sz w:val="22"/>
                <w:szCs w:val="22"/>
                <w:lang w:val="es-ES"/>
              </w:rPr>
              <w:t>Fabricación de vidrio, porcelana, azulejos, ladrillo vidriado, artefactos sanitarios, lana de vidrio, abrasivo en compuestos limpiadores y jabones.</w:t>
            </w:r>
          </w:p>
        </w:tc>
      </w:tr>
      <w:tr w:rsidR="000E72AA" w:rsidRPr="000E72AA" w14:paraId="01850A3E" w14:textId="77777777" w:rsidTr="000E72AA">
        <w:tc>
          <w:tcPr>
            <w:tcW w:w="1138" w:type="dxa"/>
            <w:vAlign w:val="center"/>
          </w:tcPr>
          <w:p w14:paraId="01E541AC" w14:textId="77777777" w:rsidR="000E72AA" w:rsidRPr="000E72AA" w:rsidRDefault="000E72AA" w:rsidP="000E72AA">
            <w:pPr>
              <w:rPr>
                <w:sz w:val="22"/>
                <w:szCs w:val="22"/>
                <w:lang w:val="es-ES"/>
              </w:rPr>
            </w:pPr>
            <w:r w:rsidRPr="000E72AA">
              <w:rPr>
                <w:sz w:val="22"/>
                <w:szCs w:val="22"/>
                <w:lang w:val="es-ES"/>
              </w:rPr>
              <w:t>Fluorita</w:t>
            </w:r>
          </w:p>
        </w:tc>
        <w:tc>
          <w:tcPr>
            <w:tcW w:w="2543" w:type="dxa"/>
            <w:vAlign w:val="center"/>
          </w:tcPr>
          <w:p w14:paraId="5315086C" w14:textId="77777777" w:rsidR="000E72AA" w:rsidRPr="000E72AA" w:rsidRDefault="000E72AA" w:rsidP="000E72AA">
            <w:pPr>
              <w:rPr>
                <w:sz w:val="22"/>
                <w:szCs w:val="22"/>
                <w:lang w:val="es-ES"/>
              </w:rPr>
            </w:pPr>
            <w:r w:rsidRPr="000E72AA">
              <w:rPr>
                <w:sz w:val="22"/>
                <w:szCs w:val="22"/>
                <w:lang w:val="es-ES"/>
              </w:rPr>
              <w:t>Zacapa</w:t>
            </w:r>
          </w:p>
        </w:tc>
        <w:tc>
          <w:tcPr>
            <w:tcW w:w="5147" w:type="dxa"/>
          </w:tcPr>
          <w:p w14:paraId="68F10621" w14:textId="77777777" w:rsidR="000E72AA" w:rsidRPr="000E72AA" w:rsidRDefault="000E72AA" w:rsidP="000E72AA">
            <w:pPr>
              <w:jc w:val="both"/>
              <w:rPr>
                <w:sz w:val="22"/>
                <w:szCs w:val="22"/>
                <w:lang w:val="es-ES"/>
              </w:rPr>
            </w:pPr>
            <w:r w:rsidRPr="000E72AA">
              <w:rPr>
                <w:sz w:val="22"/>
                <w:szCs w:val="22"/>
                <w:lang w:val="es-ES"/>
              </w:rPr>
              <w:t>Fuente de flúor, fundente en metalurgia. La variedad cristalina sirve para elementos ópticos y fabricación de vasos y adornos</w:t>
            </w:r>
          </w:p>
        </w:tc>
      </w:tr>
      <w:tr w:rsidR="000E72AA" w:rsidRPr="000E72AA" w14:paraId="10389ACD" w14:textId="77777777" w:rsidTr="000E72AA">
        <w:tc>
          <w:tcPr>
            <w:tcW w:w="1138" w:type="dxa"/>
            <w:vAlign w:val="center"/>
          </w:tcPr>
          <w:p w14:paraId="67E68F5D" w14:textId="77777777" w:rsidR="000E72AA" w:rsidRPr="000E72AA" w:rsidRDefault="000E72AA" w:rsidP="000E72AA">
            <w:pPr>
              <w:rPr>
                <w:sz w:val="22"/>
                <w:szCs w:val="22"/>
                <w:lang w:val="es-ES"/>
              </w:rPr>
            </w:pPr>
            <w:r w:rsidRPr="000E72AA">
              <w:rPr>
                <w:sz w:val="22"/>
                <w:szCs w:val="22"/>
                <w:lang w:val="es-ES"/>
              </w:rPr>
              <w:t>Grafito</w:t>
            </w:r>
          </w:p>
        </w:tc>
        <w:tc>
          <w:tcPr>
            <w:tcW w:w="2543" w:type="dxa"/>
            <w:vAlign w:val="center"/>
          </w:tcPr>
          <w:p w14:paraId="1316CE63" w14:textId="77777777" w:rsidR="000E72AA" w:rsidRPr="000E72AA" w:rsidRDefault="000E72AA" w:rsidP="000E72AA">
            <w:pPr>
              <w:rPr>
                <w:sz w:val="22"/>
                <w:szCs w:val="22"/>
                <w:lang w:val="es-ES"/>
              </w:rPr>
            </w:pPr>
            <w:r w:rsidRPr="000E72AA">
              <w:rPr>
                <w:sz w:val="22"/>
                <w:szCs w:val="22"/>
                <w:lang w:val="es-ES"/>
              </w:rPr>
              <w:t>Chiquimula, Izabal, Quiché.</w:t>
            </w:r>
          </w:p>
        </w:tc>
        <w:tc>
          <w:tcPr>
            <w:tcW w:w="5147" w:type="dxa"/>
          </w:tcPr>
          <w:p w14:paraId="6CF8649C" w14:textId="77777777" w:rsidR="000E72AA" w:rsidRPr="000E72AA" w:rsidRDefault="000E72AA" w:rsidP="000E72AA">
            <w:pPr>
              <w:jc w:val="both"/>
              <w:rPr>
                <w:sz w:val="22"/>
                <w:szCs w:val="22"/>
                <w:lang w:val="es-ES"/>
              </w:rPr>
            </w:pPr>
            <w:r w:rsidRPr="000E72AA">
              <w:rPr>
                <w:sz w:val="22"/>
                <w:szCs w:val="22"/>
                <w:lang w:val="es-ES"/>
              </w:rPr>
              <w:t>Minas de lápices, pigmentos, lubricantes, explosivos, escobillas de motores eléctricos, ánodos, carbones de arco voltaico, galvanoplastía.</w:t>
            </w:r>
          </w:p>
        </w:tc>
      </w:tr>
      <w:tr w:rsidR="000E72AA" w:rsidRPr="000E72AA" w14:paraId="3C0DA55E" w14:textId="77777777" w:rsidTr="000E72AA">
        <w:tc>
          <w:tcPr>
            <w:tcW w:w="1138" w:type="dxa"/>
            <w:vAlign w:val="center"/>
          </w:tcPr>
          <w:p w14:paraId="66977420" w14:textId="77777777" w:rsidR="000E72AA" w:rsidRPr="000E72AA" w:rsidRDefault="000E72AA" w:rsidP="000E72AA">
            <w:pPr>
              <w:rPr>
                <w:sz w:val="22"/>
                <w:szCs w:val="22"/>
                <w:lang w:val="es-ES"/>
              </w:rPr>
            </w:pPr>
            <w:r w:rsidRPr="000E72AA">
              <w:rPr>
                <w:sz w:val="22"/>
                <w:szCs w:val="22"/>
                <w:lang w:val="es-ES"/>
              </w:rPr>
              <w:t>Granate</w:t>
            </w:r>
          </w:p>
        </w:tc>
        <w:tc>
          <w:tcPr>
            <w:tcW w:w="2543" w:type="dxa"/>
            <w:vAlign w:val="center"/>
          </w:tcPr>
          <w:p w14:paraId="5B4EDEAB" w14:textId="77777777" w:rsidR="000E72AA" w:rsidRPr="000E72AA" w:rsidRDefault="000E72AA" w:rsidP="000E72AA">
            <w:pPr>
              <w:rPr>
                <w:sz w:val="22"/>
                <w:szCs w:val="22"/>
                <w:lang w:val="es-ES"/>
              </w:rPr>
            </w:pPr>
            <w:r w:rsidRPr="000E72AA">
              <w:rPr>
                <w:sz w:val="22"/>
                <w:szCs w:val="22"/>
                <w:lang w:val="es-ES"/>
              </w:rPr>
              <w:t xml:space="preserve">Quiche </w:t>
            </w:r>
          </w:p>
        </w:tc>
        <w:tc>
          <w:tcPr>
            <w:tcW w:w="5147" w:type="dxa"/>
          </w:tcPr>
          <w:p w14:paraId="7BC1274D" w14:textId="2E992104" w:rsidR="000E72AA" w:rsidRPr="000E72AA" w:rsidRDefault="000E72AA" w:rsidP="000E72AA">
            <w:pPr>
              <w:jc w:val="both"/>
              <w:rPr>
                <w:sz w:val="22"/>
                <w:szCs w:val="22"/>
                <w:lang w:val="es-ES"/>
              </w:rPr>
            </w:pPr>
            <w:r w:rsidRPr="000E72AA">
              <w:rPr>
                <w:sz w:val="22"/>
                <w:szCs w:val="22"/>
                <w:lang w:val="es-ES"/>
              </w:rPr>
              <w:t>Pulido de lentes ópticos y placas de vidrio, lija para acabado de madera, cuero, hule duro, plástico, acabados finos de metales blandos como el cobre, latón y aluminio. Corte hidráulico con agua a presión. Limpieza de toberas y depósitos de hidrocarburos, con agua a presión, gemas semipreciosas.</w:t>
            </w:r>
          </w:p>
        </w:tc>
      </w:tr>
      <w:tr w:rsidR="000E72AA" w:rsidRPr="000E72AA" w14:paraId="28FE9052" w14:textId="77777777" w:rsidTr="000E72AA">
        <w:tc>
          <w:tcPr>
            <w:tcW w:w="1138" w:type="dxa"/>
            <w:vAlign w:val="center"/>
          </w:tcPr>
          <w:p w14:paraId="728DCC4E" w14:textId="77777777" w:rsidR="000E72AA" w:rsidRPr="000E72AA" w:rsidRDefault="000E72AA" w:rsidP="000E72AA">
            <w:pPr>
              <w:rPr>
                <w:sz w:val="22"/>
                <w:szCs w:val="22"/>
                <w:lang w:val="es-ES"/>
              </w:rPr>
            </w:pPr>
            <w:r w:rsidRPr="000E72AA">
              <w:rPr>
                <w:sz w:val="22"/>
                <w:szCs w:val="22"/>
                <w:lang w:val="es-ES"/>
              </w:rPr>
              <w:t>Jadeíta</w:t>
            </w:r>
          </w:p>
        </w:tc>
        <w:tc>
          <w:tcPr>
            <w:tcW w:w="2543" w:type="dxa"/>
            <w:vAlign w:val="center"/>
          </w:tcPr>
          <w:p w14:paraId="44E3BF47" w14:textId="77777777" w:rsidR="000E72AA" w:rsidRPr="000E72AA" w:rsidRDefault="000E72AA" w:rsidP="000E72AA">
            <w:pPr>
              <w:rPr>
                <w:sz w:val="22"/>
                <w:szCs w:val="22"/>
                <w:lang w:val="es-ES"/>
              </w:rPr>
            </w:pPr>
            <w:r w:rsidRPr="000E72AA">
              <w:rPr>
                <w:sz w:val="22"/>
                <w:szCs w:val="22"/>
                <w:lang w:val="es-ES"/>
              </w:rPr>
              <w:t>Zacapa, Izabal</w:t>
            </w:r>
          </w:p>
        </w:tc>
        <w:tc>
          <w:tcPr>
            <w:tcW w:w="5147" w:type="dxa"/>
          </w:tcPr>
          <w:p w14:paraId="702DD2D8" w14:textId="77777777" w:rsidR="000E72AA" w:rsidRPr="000E72AA" w:rsidRDefault="000E72AA" w:rsidP="000E72AA">
            <w:pPr>
              <w:jc w:val="both"/>
              <w:rPr>
                <w:sz w:val="22"/>
                <w:szCs w:val="22"/>
                <w:lang w:val="es-ES"/>
              </w:rPr>
            </w:pPr>
            <w:r w:rsidRPr="000E72AA">
              <w:rPr>
                <w:sz w:val="22"/>
                <w:szCs w:val="22"/>
                <w:lang w:val="es-ES"/>
              </w:rPr>
              <w:t>Piedra semipreciosa, ornamentación.</w:t>
            </w:r>
          </w:p>
        </w:tc>
      </w:tr>
      <w:tr w:rsidR="000E72AA" w:rsidRPr="000E72AA" w14:paraId="36006C9A" w14:textId="77777777" w:rsidTr="000E72AA">
        <w:tc>
          <w:tcPr>
            <w:tcW w:w="1138" w:type="dxa"/>
            <w:vAlign w:val="center"/>
          </w:tcPr>
          <w:p w14:paraId="48F36A56" w14:textId="77777777" w:rsidR="000E72AA" w:rsidRPr="000E72AA" w:rsidRDefault="000E72AA" w:rsidP="000E72AA">
            <w:pPr>
              <w:rPr>
                <w:sz w:val="22"/>
                <w:szCs w:val="22"/>
                <w:lang w:val="es-ES"/>
              </w:rPr>
            </w:pPr>
            <w:r w:rsidRPr="000E72AA">
              <w:rPr>
                <w:sz w:val="22"/>
                <w:szCs w:val="22"/>
                <w:lang w:val="es-ES"/>
              </w:rPr>
              <w:t>Mármol</w:t>
            </w:r>
          </w:p>
        </w:tc>
        <w:tc>
          <w:tcPr>
            <w:tcW w:w="2543" w:type="dxa"/>
            <w:vAlign w:val="center"/>
          </w:tcPr>
          <w:p w14:paraId="3D434932" w14:textId="77777777" w:rsidR="000E72AA" w:rsidRPr="000E72AA" w:rsidRDefault="000E72AA" w:rsidP="000E72AA">
            <w:pPr>
              <w:rPr>
                <w:sz w:val="22"/>
                <w:szCs w:val="22"/>
                <w:lang w:val="es-ES"/>
              </w:rPr>
            </w:pPr>
            <w:r w:rsidRPr="000E72AA">
              <w:rPr>
                <w:sz w:val="22"/>
                <w:szCs w:val="22"/>
                <w:lang w:val="es-ES"/>
              </w:rPr>
              <w:t>Guatemala, Zacapa, El Progreso, Petén</w:t>
            </w:r>
          </w:p>
        </w:tc>
        <w:tc>
          <w:tcPr>
            <w:tcW w:w="5147" w:type="dxa"/>
          </w:tcPr>
          <w:p w14:paraId="595BE8D7" w14:textId="77777777" w:rsidR="000E72AA" w:rsidRPr="000E72AA" w:rsidRDefault="000E72AA" w:rsidP="000E72AA">
            <w:pPr>
              <w:jc w:val="both"/>
              <w:rPr>
                <w:sz w:val="22"/>
                <w:szCs w:val="22"/>
                <w:lang w:val="es-ES"/>
              </w:rPr>
            </w:pPr>
            <w:r w:rsidRPr="000E72AA">
              <w:rPr>
                <w:sz w:val="22"/>
                <w:szCs w:val="22"/>
                <w:lang w:val="es-ES"/>
              </w:rPr>
              <w:t>Material decorativo y fuente de carbonato de calcio</w:t>
            </w:r>
          </w:p>
        </w:tc>
      </w:tr>
      <w:tr w:rsidR="000E72AA" w:rsidRPr="000E72AA" w14:paraId="347F9626" w14:textId="77777777" w:rsidTr="000E72AA">
        <w:tc>
          <w:tcPr>
            <w:tcW w:w="1138" w:type="dxa"/>
            <w:vAlign w:val="center"/>
          </w:tcPr>
          <w:p w14:paraId="49532A62" w14:textId="77777777" w:rsidR="000E72AA" w:rsidRPr="000E72AA" w:rsidRDefault="000E72AA" w:rsidP="000E72AA">
            <w:pPr>
              <w:rPr>
                <w:sz w:val="22"/>
                <w:szCs w:val="22"/>
                <w:lang w:val="es-ES"/>
              </w:rPr>
            </w:pPr>
            <w:r w:rsidRPr="000E72AA">
              <w:rPr>
                <w:sz w:val="22"/>
                <w:szCs w:val="22"/>
                <w:lang w:val="es-ES"/>
              </w:rPr>
              <w:t>Mica</w:t>
            </w:r>
          </w:p>
        </w:tc>
        <w:tc>
          <w:tcPr>
            <w:tcW w:w="2543" w:type="dxa"/>
            <w:vAlign w:val="center"/>
          </w:tcPr>
          <w:p w14:paraId="168DD4A9" w14:textId="77777777" w:rsidR="000E72AA" w:rsidRPr="000E72AA" w:rsidRDefault="000E72AA" w:rsidP="000E72AA">
            <w:pPr>
              <w:rPr>
                <w:sz w:val="22"/>
                <w:szCs w:val="22"/>
                <w:lang w:val="es-ES"/>
              </w:rPr>
            </w:pPr>
            <w:r w:rsidRPr="000E72AA">
              <w:rPr>
                <w:sz w:val="22"/>
                <w:szCs w:val="22"/>
                <w:lang w:val="es-ES"/>
              </w:rPr>
              <w:t>Quiché, Alta Verapaz</w:t>
            </w:r>
          </w:p>
        </w:tc>
        <w:tc>
          <w:tcPr>
            <w:tcW w:w="5147" w:type="dxa"/>
          </w:tcPr>
          <w:p w14:paraId="5A240FD0" w14:textId="77777777" w:rsidR="000E72AA" w:rsidRPr="000E72AA" w:rsidRDefault="000E72AA" w:rsidP="000E72AA">
            <w:pPr>
              <w:jc w:val="both"/>
              <w:rPr>
                <w:sz w:val="22"/>
                <w:szCs w:val="22"/>
                <w:lang w:val="es-ES"/>
              </w:rPr>
            </w:pPr>
            <w:r w:rsidRPr="000E72AA">
              <w:rPr>
                <w:sz w:val="22"/>
                <w:szCs w:val="22"/>
                <w:lang w:val="es-ES"/>
              </w:rPr>
              <w:t>En planchas o bloques: Aislamiento, fabricación de bujías y condensadores. Molida: techados, pistas asfálticas de aterrizaje, aislamiento de cables telefónicos, pinturas impermeabilizantes de telas, caucho, plástico, aislamientos eléctricos moldeados, aislamiento de casas, nieve para árboles de navidad, fabricación de grasas y aceites para ejes, recocido de metales, esmalte para oleoductos, textiles, perforación de pozos de petróleo, soldadura</w:t>
            </w:r>
          </w:p>
        </w:tc>
      </w:tr>
      <w:tr w:rsidR="000E72AA" w:rsidRPr="000E72AA" w14:paraId="75A50947" w14:textId="77777777" w:rsidTr="000E72AA">
        <w:tc>
          <w:tcPr>
            <w:tcW w:w="1138" w:type="dxa"/>
            <w:vAlign w:val="center"/>
          </w:tcPr>
          <w:p w14:paraId="1DB005C0" w14:textId="77777777" w:rsidR="000E72AA" w:rsidRPr="000E72AA" w:rsidRDefault="000E72AA" w:rsidP="000E72AA">
            <w:pPr>
              <w:rPr>
                <w:sz w:val="22"/>
                <w:szCs w:val="22"/>
                <w:lang w:val="es-ES"/>
              </w:rPr>
            </w:pPr>
            <w:r w:rsidRPr="000E72AA">
              <w:rPr>
                <w:sz w:val="22"/>
                <w:szCs w:val="22"/>
                <w:lang w:val="es-ES"/>
              </w:rPr>
              <w:t xml:space="preserve">Obsidiana </w:t>
            </w:r>
          </w:p>
        </w:tc>
        <w:tc>
          <w:tcPr>
            <w:tcW w:w="2543" w:type="dxa"/>
            <w:vAlign w:val="center"/>
          </w:tcPr>
          <w:p w14:paraId="04D95758" w14:textId="77777777" w:rsidR="000E72AA" w:rsidRPr="000E72AA" w:rsidRDefault="000E72AA" w:rsidP="000E72AA">
            <w:pPr>
              <w:rPr>
                <w:sz w:val="22"/>
                <w:szCs w:val="22"/>
                <w:lang w:val="es-ES"/>
              </w:rPr>
            </w:pPr>
            <w:r w:rsidRPr="000E72AA">
              <w:rPr>
                <w:sz w:val="22"/>
                <w:szCs w:val="22"/>
                <w:lang w:val="es-ES"/>
              </w:rPr>
              <w:t>Guatemala, Baja Verapaz, Izabal</w:t>
            </w:r>
          </w:p>
        </w:tc>
        <w:tc>
          <w:tcPr>
            <w:tcW w:w="5147" w:type="dxa"/>
          </w:tcPr>
          <w:p w14:paraId="20F86E1D" w14:textId="77777777" w:rsidR="000E72AA" w:rsidRPr="000E72AA" w:rsidRDefault="000E72AA" w:rsidP="000E72AA">
            <w:pPr>
              <w:jc w:val="both"/>
              <w:rPr>
                <w:sz w:val="22"/>
                <w:szCs w:val="22"/>
                <w:lang w:val="es-ES"/>
              </w:rPr>
            </w:pPr>
            <w:r w:rsidRPr="000E72AA">
              <w:rPr>
                <w:sz w:val="22"/>
                <w:szCs w:val="22"/>
                <w:lang w:val="es-ES"/>
              </w:rPr>
              <w:t xml:space="preserve">Ornamentación </w:t>
            </w:r>
          </w:p>
        </w:tc>
      </w:tr>
      <w:tr w:rsidR="000E72AA" w:rsidRPr="000E72AA" w14:paraId="0AF22CD5" w14:textId="77777777" w:rsidTr="000E72AA">
        <w:tc>
          <w:tcPr>
            <w:tcW w:w="1138" w:type="dxa"/>
            <w:vAlign w:val="center"/>
          </w:tcPr>
          <w:p w14:paraId="5761D237" w14:textId="77777777" w:rsidR="000E72AA" w:rsidRPr="000E72AA" w:rsidRDefault="000E72AA" w:rsidP="000E72AA">
            <w:pPr>
              <w:rPr>
                <w:sz w:val="22"/>
                <w:szCs w:val="22"/>
                <w:lang w:val="es-ES"/>
              </w:rPr>
            </w:pPr>
            <w:r w:rsidRPr="000E72AA">
              <w:rPr>
                <w:sz w:val="22"/>
                <w:szCs w:val="22"/>
                <w:lang w:val="es-ES"/>
              </w:rPr>
              <w:t>Apolo y jaspe</w:t>
            </w:r>
          </w:p>
        </w:tc>
        <w:tc>
          <w:tcPr>
            <w:tcW w:w="2543" w:type="dxa"/>
            <w:vAlign w:val="center"/>
          </w:tcPr>
          <w:p w14:paraId="5ECA77B2" w14:textId="77777777" w:rsidR="000E72AA" w:rsidRPr="000E72AA" w:rsidRDefault="000E72AA" w:rsidP="000E72AA">
            <w:pPr>
              <w:rPr>
                <w:sz w:val="22"/>
                <w:szCs w:val="22"/>
                <w:lang w:val="es-ES"/>
              </w:rPr>
            </w:pPr>
            <w:r w:rsidRPr="000E72AA">
              <w:rPr>
                <w:sz w:val="22"/>
                <w:szCs w:val="22"/>
                <w:lang w:val="es-ES"/>
              </w:rPr>
              <w:t>Chiquimula, Zacapa, Izabal</w:t>
            </w:r>
          </w:p>
        </w:tc>
        <w:tc>
          <w:tcPr>
            <w:tcW w:w="5147" w:type="dxa"/>
          </w:tcPr>
          <w:p w14:paraId="185EE133" w14:textId="77777777" w:rsidR="000E72AA" w:rsidRPr="000E72AA" w:rsidRDefault="000E72AA" w:rsidP="000E72AA">
            <w:pPr>
              <w:jc w:val="both"/>
              <w:rPr>
                <w:sz w:val="22"/>
                <w:szCs w:val="22"/>
                <w:lang w:val="es-ES"/>
              </w:rPr>
            </w:pPr>
            <w:r w:rsidRPr="000E72AA">
              <w:rPr>
                <w:sz w:val="22"/>
                <w:szCs w:val="22"/>
                <w:lang w:val="es-ES"/>
              </w:rPr>
              <w:t xml:space="preserve">Piedras semipreciosas, ornamentación. </w:t>
            </w:r>
          </w:p>
        </w:tc>
      </w:tr>
      <w:tr w:rsidR="000E72AA" w:rsidRPr="000E72AA" w14:paraId="6AD662DA" w14:textId="77777777" w:rsidTr="000E72AA">
        <w:tc>
          <w:tcPr>
            <w:tcW w:w="1138" w:type="dxa"/>
            <w:vAlign w:val="center"/>
          </w:tcPr>
          <w:p w14:paraId="07AEAFEA" w14:textId="77777777" w:rsidR="000E72AA" w:rsidRPr="000E72AA" w:rsidRDefault="000E72AA" w:rsidP="000E72AA">
            <w:pPr>
              <w:rPr>
                <w:sz w:val="22"/>
                <w:szCs w:val="22"/>
                <w:lang w:val="es-ES"/>
              </w:rPr>
            </w:pPr>
            <w:r w:rsidRPr="000E72AA">
              <w:rPr>
                <w:sz w:val="22"/>
                <w:szCs w:val="22"/>
                <w:lang w:val="es-ES"/>
              </w:rPr>
              <w:t>Perlita</w:t>
            </w:r>
          </w:p>
        </w:tc>
        <w:tc>
          <w:tcPr>
            <w:tcW w:w="2543" w:type="dxa"/>
            <w:vAlign w:val="center"/>
          </w:tcPr>
          <w:p w14:paraId="539F50E4" w14:textId="77777777" w:rsidR="000E72AA" w:rsidRPr="000E72AA" w:rsidRDefault="000E72AA" w:rsidP="000E72AA">
            <w:pPr>
              <w:rPr>
                <w:sz w:val="22"/>
                <w:szCs w:val="22"/>
                <w:lang w:val="es-ES"/>
              </w:rPr>
            </w:pPr>
            <w:r w:rsidRPr="000E72AA">
              <w:rPr>
                <w:sz w:val="22"/>
                <w:szCs w:val="22"/>
                <w:lang w:val="es-ES"/>
              </w:rPr>
              <w:t>Chiquimula, Zacapa, Guatemala, El Progreso</w:t>
            </w:r>
          </w:p>
        </w:tc>
        <w:tc>
          <w:tcPr>
            <w:tcW w:w="5147" w:type="dxa"/>
          </w:tcPr>
          <w:p w14:paraId="21EF0D1A" w14:textId="77777777" w:rsidR="000E72AA" w:rsidRPr="000E72AA" w:rsidRDefault="000E72AA" w:rsidP="000E72AA">
            <w:pPr>
              <w:jc w:val="both"/>
              <w:rPr>
                <w:sz w:val="22"/>
                <w:szCs w:val="22"/>
                <w:lang w:val="es-ES"/>
              </w:rPr>
            </w:pPr>
            <w:r w:rsidRPr="000E72AA">
              <w:rPr>
                <w:sz w:val="22"/>
                <w:szCs w:val="22"/>
                <w:lang w:val="es-ES"/>
              </w:rPr>
              <w:t>Vidrio volcánico que al calentarse se expande hasta 20 veces su volumen. Agregado liviano para concreto, aislante térmico, relleno, medio filtrante; empleo en agroindustria y como purificador de aguas contaminadas.</w:t>
            </w:r>
          </w:p>
        </w:tc>
      </w:tr>
      <w:tr w:rsidR="000E72AA" w:rsidRPr="000E72AA" w14:paraId="41C145C3" w14:textId="77777777" w:rsidTr="000E72AA">
        <w:tc>
          <w:tcPr>
            <w:tcW w:w="1138" w:type="dxa"/>
            <w:vAlign w:val="center"/>
          </w:tcPr>
          <w:p w14:paraId="3D9B3F2E" w14:textId="77777777" w:rsidR="000E72AA" w:rsidRPr="000E72AA" w:rsidRDefault="000E72AA" w:rsidP="000E72AA">
            <w:pPr>
              <w:rPr>
                <w:sz w:val="22"/>
                <w:szCs w:val="22"/>
                <w:lang w:val="es-ES"/>
              </w:rPr>
            </w:pPr>
            <w:r w:rsidRPr="000E72AA">
              <w:rPr>
                <w:sz w:val="22"/>
                <w:szCs w:val="22"/>
                <w:lang w:val="es-ES"/>
              </w:rPr>
              <w:t>Pómez</w:t>
            </w:r>
          </w:p>
        </w:tc>
        <w:tc>
          <w:tcPr>
            <w:tcW w:w="2543" w:type="dxa"/>
            <w:vAlign w:val="center"/>
          </w:tcPr>
          <w:p w14:paraId="07D39677" w14:textId="77777777" w:rsidR="000E72AA" w:rsidRPr="000E72AA" w:rsidRDefault="000E72AA" w:rsidP="000E72AA">
            <w:pPr>
              <w:rPr>
                <w:sz w:val="22"/>
                <w:szCs w:val="22"/>
                <w:lang w:val="es-ES"/>
              </w:rPr>
            </w:pPr>
            <w:r w:rsidRPr="000E72AA">
              <w:rPr>
                <w:sz w:val="22"/>
                <w:szCs w:val="22"/>
                <w:lang w:val="es-ES"/>
              </w:rPr>
              <w:t>Guatemala, Quetzaltenango</w:t>
            </w:r>
          </w:p>
        </w:tc>
        <w:tc>
          <w:tcPr>
            <w:tcW w:w="5147" w:type="dxa"/>
          </w:tcPr>
          <w:p w14:paraId="5B400309" w14:textId="77777777" w:rsidR="000E72AA" w:rsidRPr="000E72AA" w:rsidRDefault="000E72AA" w:rsidP="000E72AA">
            <w:pPr>
              <w:jc w:val="both"/>
              <w:rPr>
                <w:sz w:val="22"/>
                <w:szCs w:val="22"/>
                <w:lang w:val="es-ES"/>
              </w:rPr>
            </w:pPr>
            <w:r w:rsidRPr="000E72AA">
              <w:rPr>
                <w:sz w:val="22"/>
                <w:szCs w:val="22"/>
                <w:lang w:val="es-ES"/>
              </w:rPr>
              <w:t>Abrasivos, pulimentos, carga para detergentes, para desteñir telas, vehículo para insecticidas.</w:t>
            </w:r>
          </w:p>
        </w:tc>
      </w:tr>
      <w:tr w:rsidR="000E72AA" w:rsidRPr="000E72AA" w14:paraId="05024829" w14:textId="77777777" w:rsidTr="000E72AA">
        <w:tc>
          <w:tcPr>
            <w:tcW w:w="1138" w:type="dxa"/>
            <w:vAlign w:val="center"/>
          </w:tcPr>
          <w:p w14:paraId="2E9E2D59" w14:textId="77777777" w:rsidR="000E72AA" w:rsidRPr="000E72AA" w:rsidRDefault="000E72AA" w:rsidP="000E72AA">
            <w:pPr>
              <w:rPr>
                <w:sz w:val="22"/>
                <w:szCs w:val="22"/>
                <w:lang w:val="es-ES"/>
              </w:rPr>
            </w:pPr>
            <w:r w:rsidRPr="000E72AA">
              <w:rPr>
                <w:sz w:val="22"/>
                <w:szCs w:val="22"/>
                <w:lang w:val="es-ES"/>
              </w:rPr>
              <w:t>Sal Gema</w:t>
            </w:r>
          </w:p>
        </w:tc>
        <w:tc>
          <w:tcPr>
            <w:tcW w:w="2543" w:type="dxa"/>
            <w:vAlign w:val="center"/>
          </w:tcPr>
          <w:p w14:paraId="053E6B34" w14:textId="77777777" w:rsidR="000E72AA" w:rsidRPr="000E72AA" w:rsidRDefault="000E72AA" w:rsidP="000E72AA">
            <w:pPr>
              <w:rPr>
                <w:sz w:val="22"/>
                <w:szCs w:val="22"/>
                <w:lang w:val="es-ES"/>
              </w:rPr>
            </w:pPr>
            <w:r w:rsidRPr="000E72AA">
              <w:rPr>
                <w:sz w:val="22"/>
                <w:szCs w:val="22"/>
                <w:lang w:val="es-ES"/>
              </w:rPr>
              <w:t>Alta Verapaz, Huehuetenango</w:t>
            </w:r>
          </w:p>
        </w:tc>
        <w:tc>
          <w:tcPr>
            <w:tcW w:w="5147" w:type="dxa"/>
          </w:tcPr>
          <w:p w14:paraId="46A36263" w14:textId="77777777" w:rsidR="000E72AA" w:rsidRPr="000E72AA" w:rsidRDefault="000E72AA" w:rsidP="000E72AA">
            <w:pPr>
              <w:jc w:val="both"/>
              <w:rPr>
                <w:sz w:val="22"/>
                <w:szCs w:val="22"/>
                <w:lang w:val="es-ES"/>
              </w:rPr>
            </w:pPr>
            <w:r w:rsidRPr="000E72AA">
              <w:rPr>
                <w:sz w:val="22"/>
                <w:szCs w:val="22"/>
                <w:lang w:val="es-ES"/>
              </w:rPr>
              <w:t>Fabricación de cloro y blanqueadores, tintes y productos orgánicos, precipitador del jabón, elaboración de textiles, curtido de pieles, curado de pescado, refrigeración, ganadería, tratamiento del agua, productos químicos.</w:t>
            </w:r>
          </w:p>
        </w:tc>
      </w:tr>
      <w:tr w:rsidR="000E72AA" w:rsidRPr="000E72AA" w14:paraId="01D1EFC4" w14:textId="77777777" w:rsidTr="000E72AA">
        <w:tc>
          <w:tcPr>
            <w:tcW w:w="1138" w:type="dxa"/>
            <w:vAlign w:val="center"/>
          </w:tcPr>
          <w:p w14:paraId="4396F85A" w14:textId="77777777" w:rsidR="000E72AA" w:rsidRPr="000E72AA" w:rsidRDefault="000E72AA" w:rsidP="000E72AA">
            <w:pPr>
              <w:rPr>
                <w:sz w:val="22"/>
                <w:szCs w:val="22"/>
                <w:lang w:val="es-ES"/>
              </w:rPr>
            </w:pPr>
            <w:r w:rsidRPr="000E72AA">
              <w:rPr>
                <w:sz w:val="22"/>
                <w:szCs w:val="22"/>
                <w:lang w:val="es-ES"/>
              </w:rPr>
              <w:t>Serpentina</w:t>
            </w:r>
          </w:p>
        </w:tc>
        <w:tc>
          <w:tcPr>
            <w:tcW w:w="2543" w:type="dxa"/>
            <w:vAlign w:val="center"/>
          </w:tcPr>
          <w:p w14:paraId="11C27C06" w14:textId="77777777" w:rsidR="000E72AA" w:rsidRPr="000E72AA" w:rsidRDefault="000E72AA" w:rsidP="000E72AA">
            <w:pPr>
              <w:rPr>
                <w:sz w:val="22"/>
                <w:szCs w:val="22"/>
                <w:lang w:val="es-ES"/>
              </w:rPr>
            </w:pPr>
            <w:r w:rsidRPr="000E72AA">
              <w:rPr>
                <w:sz w:val="22"/>
                <w:szCs w:val="22"/>
                <w:lang w:val="es-ES"/>
              </w:rPr>
              <w:t xml:space="preserve">El Progreso, Huehuetenango, Alta Verapaz </w:t>
            </w:r>
          </w:p>
        </w:tc>
        <w:tc>
          <w:tcPr>
            <w:tcW w:w="5147" w:type="dxa"/>
          </w:tcPr>
          <w:p w14:paraId="6D1CB829" w14:textId="77777777" w:rsidR="000E72AA" w:rsidRPr="000E72AA" w:rsidRDefault="000E72AA" w:rsidP="000E72AA">
            <w:pPr>
              <w:jc w:val="both"/>
              <w:rPr>
                <w:sz w:val="22"/>
                <w:szCs w:val="22"/>
                <w:lang w:val="es-ES"/>
              </w:rPr>
            </w:pPr>
            <w:r w:rsidRPr="000E72AA">
              <w:rPr>
                <w:sz w:val="22"/>
                <w:szCs w:val="22"/>
                <w:lang w:val="es-ES"/>
              </w:rPr>
              <w:t>Piedra ornamental</w:t>
            </w:r>
          </w:p>
        </w:tc>
      </w:tr>
      <w:tr w:rsidR="000E72AA" w:rsidRPr="000E72AA" w14:paraId="0C24E7E0" w14:textId="77777777" w:rsidTr="000E72AA">
        <w:tc>
          <w:tcPr>
            <w:tcW w:w="1138" w:type="dxa"/>
            <w:vAlign w:val="center"/>
          </w:tcPr>
          <w:p w14:paraId="6DE7D0D9" w14:textId="77777777" w:rsidR="000E72AA" w:rsidRPr="000E72AA" w:rsidRDefault="000E72AA" w:rsidP="000E72AA">
            <w:pPr>
              <w:rPr>
                <w:sz w:val="22"/>
                <w:szCs w:val="22"/>
                <w:lang w:val="es-ES"/>
              </w:rPr>
            </w:pPr>
            <w:r w:rsidRPr="000E72AA">
              <w:rPr>
                <w:sz w:val="22"/>
                <w:szCs w:val="22"/>
                <w:lang w:val="es-ES"/>
              </w:rPr>
              <w:t>Talco</w:t>
            </w:r>
          </w:p>
        </w:tc>
        <w:tc>
          <w:tcPr>
            <w:tcW w:w="2543" w:type="dxa"/>
            <w:vAlign w:val="center"/>
          </w:tcPr>
          <w:p w14:paraId="7143F9D6" w14:textId="77777777" w:rsidR="000E72AA" w:rsidRPr="000E72AA" w:rsidRDefault="000E72AA" w:rsidP="000E72AA">
            <w:pPr>
              <w:rPr>
                <w:sz w:val="22"/>
                <w:szCs w:val="22"/>
                <w:lang w:val="es-ES"/>
              </w:rPr>
            </w:pPr>
            <w:r w:rsidRPr="000E72AA">
              <w:rPr>
                <w:sz w:val="22"/>
                <w:szCs w:val="22"/>
                <w:lang w:val="es-ES"/>
              </w:rPr>
              <w:t xml:space="preserve">El Progreso, Huehuetenango, Alta Verapaz </w:t>
            </w:r>
          </w:p>
        </w:tc>
        <w:tc>
          <w:tcPr>
            <w:tcW w:w="5147" w:type="dxa"/>
          </w:tcPr>
          <w:p w14:paraId="57D471F7" w14:textId="77777777" w:rsidR="000E72AA" w:rsidRPr="000E72AA" w:rsidRDefault="000E72AA" w:rsidP="000E72AA">
            <w:pPr>
              <w:jc w:val="both"/>
              <w:rPr>
                <w:sz w:val="22"/>
                <w:szCs w:val="22"/>
                <w:lang w:val="es-ES"/>
              </w:rPr>
            </w:pPr>
            <w:r w:rsidRPr="000E72AA">
              <w:rPr>
                <w:sz w:val="22"/>
                <w:szCs w:val="22"/>
                <w:lang w:val="es-ES"/>
              </w:rPr>
              <w:t>Uso cosmético, pinturas antideslumbrantes, fabricación de papel, jabón y lubricantes.</w:t>
            </w:r>
          </w:p>
        </w:tc>
      </w:tr>
      <w:tr w:rsidR="000E72AA" w:rsidRPr="000E72AA" w14:paraId="417D248E" w14:textId="77777777" w:rsidTr="000E72AA">
        <w:tc>
          <w:tcPr>
            <w:tcW w:w="1138" w:type="dxa"/>
            <w:vAlign w:val="center"/>
          </w:tcPr>
          <w:p w14:paraId="7EE0395D" w14:textId="77777777" w:rsidR="000E72AA" w:rsidRPr="000E72AA" w:rsidRDefault="000E72AA" w:rsidP="000E72AA">
            <w:pPr>
              <w:rPr>
                <w:sz w:val="22"/>
                <w:szCs w:val="22"/>
                <w:lang w:val="es-ES"/>
              </w:rPr>
            </w:pPr>
            <w:r w:rsidRPr="000E72AA">
              <w:rPr>
                <w:sz w:val="22"/>
                <w:szCs w:val="22"/>
                <w:lang w:val="es-ES"/>
              </w:rPr>
              <w:t>Turmalina</w:t>
            </w:r>
          </w:p>
        </w:tc>
        <w:tc>
          <w:tcPr>
            <w:tcW w:w="2543" w:type="dxa"/>
            <w:vAlign w:val="center"/>
          </w:tcPr>
          <w:p w14:paraId="7B059F71" w14:textId="77777777" w:rsidR="000E72AA" w:rsidRPr="000E72AA" w:rsidRDefault="000E72AA" w:rsidP="000E72AA">
            <w:pPr>
              <w:rPr>
                <w:sz w:val="22"/>
                <w:szCs w:val="22"/>
                <w:lang w:val="es-ES"/>
              </w:rPr>
            </w:pPr>
            <w:r w:rsidRPr="000E72AA">
              <w:rPr>
                <w:sz w:val="22"/>
                <w:szCs w:val="22"/>
                <w:lang w:val="es-ES"/>
              </w:rPr>
              <w:t xml:space="preserve">Guatemala, Baja Verapaz </w:t>
            </w:r>
          </w:p>
        </w:tc>
        <w:tc>
          <w:tcPr>
            <w:tcW w:w="5147" w:type="dxa"/>
          </w:tcPr>
          <w:p w14:paraId="21C2993B" w14:textId="77777777" w:rsidR="000E72AA" w:rsidRPr="000E72AA" w:rsidRDefault="000E72AA" w:rsidP="000E72AA">
            <w:pPr>
              <w:jc w:val="both"/>
              <w:rPr>
                <w:sz w:val="22"/>
                <w:szCs w:val="22"/>
                <w:lang w:val="es-ES"/>
              </w:rPr>
            </w:pPr>
            <w:r w:rsidRPr="000E72AA">
              <w:rPr>
                <w:sz w:val="22"/>
                <w:szCs w:val="22"/>
                <w:lang w:val="es-ES"/>
              </w:rPr>
              <w:t>Gema semipreciosa, propiedad piezoeléctrica (produce electricidad al golpe).</w:t>
            </w:r>
          </w:p>
        </w:tc>
      </w:tr>
      <w:tr w:rsidR="000E72AA" w:rsidRPr="000E72AA" w14:paraId="53E923AB" w14:textId="77777777" w:rsidTr="000E72AA">
        <w:tc>
          <w:tcPr>
            <w:tcW w:w="1138" w:type="dxa"/>
            <w:vAlign w:val="center"/>
          </w:tcPr>
          <w:p w14:paraId="78F0374C" w14:textId="77777777" w:rsidR="000E72AA" w:rsidRPr="000E72AA" w:rsidRDefault="000E72AA" w:rsidP="000E72AA">
            <w:pPr>
              <w:rPr>
                <w:sz w:val="22"/>
                <w:szCs w:val="22"/>
                <w:lang w:val="es-ES"/>
              </w:rPr>
            </w:pPr>
            <w:r w:rsidRPr="000E72AA">
              <w:rPr>
                <w:sz w:val="22"/>
                <w:szCs w:val="22"/>
                <w:lang w:val="es-ES"/>
              </w:rPr>
              <w:t>Yeso</w:t>
            </w:r>
          </w:p>
        </w:tc>
        <w:tc>
          <w:tcPr>
            <w:tcW w:w="2543" w:type="dxa"/>
            <w:vAlign w:val="center"/>
          </w:tcPr>
          <w:p w14:paraId="3286450A" w14:textId="77777777" w:rsidR="000E72AA" w:rsidRPr="000E72AA" w:rsidRDefault="000E72AA" w:rsidP="000E72AA">
            <w:pPr>
              <w:rPr>
                <w:sz w:val="22"/>
                <w:szCs w:val="22"/>
                <w:lang w:val="es-ES"/>
              </w:rPr>
            </w:pPr>
            <w:r w:rsidRPr="000E72AA">
              <w:rPr>
                <w:sz w:val="22"/>
                <w:szCs w:val="22"/>
                <w:lang w:val="es-ES"/>
              </w:rPr>
              <w:t>Alta Verapaz, Chiquimula, Quiché.</w:t>
            </w:r>
          </w:p>
        </w:tc>
        <w:tc>
          <w:tcPr>
            <w:tcW w:w="5147" w:type="dxa"/>
          </w:tcPr>
          <w:p w14:paraId="64134FCC" w14:textId="77777777" w:rsidR="000E72AA" w:rsidRPr="000E72AA" w:rsidRDefault="000E72AA" w:rsidP="000E72AA">
            <w:pPr>
              <w:jc w:val="both"/>
              <w:rPr>
                <w:sz w:val="22"/>
                <w:szCs w:val="22"/>
                <w:lang w:val="es-ES"/>
              </w:rPr>
            </w:pPr>
            <w:r w:rsidRPr="000E72AA">
              <w:rPr>
                <w:sz w:val="22"/>
                <w:szCs w:val="22"/>
                <w:lang w:val="es-ES"/>
              </w:rPr>
              <w:t>Abonos, retardador de cemento, fabricación de cerveza, satinado de papel, yeso de alfarería, uso ortopédico, estatuas, vaciados y moldeados industriales, enlucidos, láminas.</w:t>
            </w:r>
          </w:p>
        </w:tc>
      </w:tr>
    </w:tbl>
    <w:p w14:paraId="320A39CE" w14:textId="77777777" w:rsidR="000E72AA" w:rsidRPr="000E72AA" w:rsidRDefault="000E72AA" w:rsidP="000E72AA">
      <w:pPr>
        <w:jc w:val="both"/>
        <w:rPr>
          <w:rFonts w:eastAsia="Times New Roman"/>
          <w:sz w:val="16"/>
          <w:szCs w:val="16"/>
          <w:lang w:val="es-ES"/>
        </w:rPr>
      </w:pPr>
      <w:r w:rsidRPr="000E72AA">
        <w:rPr>
          <w:rFonts w:eastAsia="Times New Roman"/>
          <w:sz w:val="16"/>
          <w:szCs w:val="16"/>
          <w:lang w:val="es-ES"/>
        </w:rPr>
        <w:t>Fuente: Política Minera, MEM</w:t>
      </w:r>
    </w:p>
    <w:p w14:paraId="209CCC46" w14:textId="3A5560C3" w:rsidR="000E72AA" w:rsidRDefault="000E72AA" w:rsidP="000E72AA">
      <w:pPr>
        <w:jc w:val="both"/>
        <w:rPr>
          <w:rFonts w:eastAsia="Times New Roman"/>
          <w:lang w:val="es-ES"/>
        </w:rPr>
      </w:pPr>
    </w:p>
    <w:p w14:paraId="2210BC5A" w14:textId="77777777" w:rsidR="005E5C46" w:rsidRDefault="005E5C46" w:rsidP="005E5C46">
      <w:pPr>
        <w:jc w:val="both"/>
        <w:rPr>
          <w:rFonts w:eastAsia="Times New Roman"/>
          <w:lang w:val="es-ES"/>
        </w:rPr>
      </w:pPr>
      <w:r>
        <w:rPr>
          <w:rFonts w:eastAsia="Times New Roman"/>
          <w:lang w:val="es-ES"/>
        </w:rPr>
        <w:t xml:space="preserve">La </w:t>
      </w:r>
      <w:r w:rsidRPr="00063013">
        <w:rPr>
          <w:rFonts w:eastAsia="Times New Roman"/>
          <w:lang w:val="es-ES"/>
        </w:rPr>
        <w:t xml:space="preserve"> minería favorece a las finanzas públicas con regalías y otras contribuciones como</w:t>
      </w:r>
      <w:r>
        <w:rPr>
          <w:rFonts w:eastAsia="Times New Roman"/>
          <w:lang w:val="es-ES"/>
        </w:rPr>
        <w:t xml:space="preserve">: </w:t>
      </w:r>
      <w:r w:rsidRPr="00063013">
        <w:rPr>
          <w:rFonts w:eastAsia="Times New Roman"/>
          <w:lang w:val="es-ES"/>
        </w:rPr>
        <w:t>regalías voluntarias al Estado, regalías municipales, canon de otorgamiento, canon de explotación,</w:t>
      </w:r>
      <w:r>
        <w:rPr>
          <w:rFonts w:eastAsia="Times New Roman"/>
          <w:lang w:val="es-ES"/>
        </w:rPr>
        <w:t xml:space="preserve"> </w:t>
      </w:r>
      <w:r w:rsidRPr="00063013">
        <w:rPr>
          <w:rFonts w:eastAsia="Times New Roman"/>
          <w:lang w:val="es-ES"/>
        </w:rPr>
        <w:t xml:space="preserve">regalías obligatorias al Estado, </w:t>
      </w:r>
      <w:r>
        <w:rPr>
          <w:rFonts w:eastAsia="Times New Roman"/>
          <w:lang w:val="es-ES"/>
        </w:rPr>
        <w:t>I</w:t>
      </w:r>
      <w:r w:rsidRPr="00063013">
        <w:rPr>
          <w:rFonts w:eastAsia="Times New Roman"/>
          <w:lang w:val="es-ES"/>
        </w:rPr>
        <w:t xml:space="preserve">mpuesto </w:t>
      </w:r>
      <w:r>
        <w:rPr>
          <w:rFonts w:eastAsia="Times New Roman"/>
          <w:lang w:val="es-ES"/>
        </w:rPr>
        <w:t>S</w:t>
      </w:r>
      <w:r w:rsidRPr="00063013">
        <w:rPr>
          <w:rFonts w:eastAsia="Times New Roman"/>
          <w:lang w:val="es-ES"/>
        </w:rPr>
        <w:t xml:space="preserve">obre la </w:t>
      </w:r>
      <w:r>
        <w:rPr>
          <w:rFonts w:eastAsia="Times New Roman"/>
          <w:lang w:val="es-ES"/>
        </w:rPr>
        <w:t>R</w:t>
      </w:r>
      <w:r w:rsidRPr="00063013">
        <w:rPr>
          <w:rFonts w:eastAsia="Times New Roman"/>
          <w:lang w:val="es-ES"/>
        </w:rPr>
        <w:t xml:space="preserve">enta (ISR), </w:t>
      </w:r>
      <w:r>
        <w:rPr>
          <w:rFonts w:eastAsia="Times New Roman"/>
          <w:lang w:val="es-ES"/>
        </w:rPr>
        <w:t>I</w:t>
      </w:r>
      <w:r w:rsidRPr="00063013">
        <w:rPr>
          <w:rFonts w:eastAsia="Times New Roman"/>
          <w:lang w:val="es-ES"/>
        </w:rPr>
        <w:t xml:space="preserve">mpuesto </w:t>
      </w:r>
      <w:r>
        <w:rPr>
          <w:rFonts w:eastAsia="Times New Roman"/>
          <w:lang w:val="es-ES"/>
        </w:rPr>
        <w:t>Ú</w:t>
      </w:r>
      <w:r w:rsidRPr="00063013">
        <w:rPr>
          <w:rFonts w:eastAsia="Times New Roman"/>
          <w:lang w:val="es-ES"/>
        </w:rPr>
        <w:t xml:space="preserve">nico sobre Inmuebles (IUSI), licencias, </w:t>
      </w:r>
      <w:r>
        <w:rPr>
          <w:rFonts w:eastAsia="Times New Roman"/>
          <w:lang w:val="es-ES"/>
        </w:rPr>
        <w:t>I</w:t>
      </w:r>
      <w:r w:rsidRPr="00063013">
        <w:rPr>
          <w:rFonts w:eastAsia="Times New Roman"/>
          <w:lang w:val="es-ES"/>
        </w:rPr>
        <w:t xml:space="preserve">mpuesto al </w:t>
      </w:r>
      <w:r>
        <w:rPr>
          <w:rFonts w:eastAsia="Times New Roman"/>
          <w:lang w:val="es-ES"/>
        </w:rPr>
        <w:t>V</w:t>
      </w:r>
      <w:r w:rsidRPr="00063013">
        <w:rPr>
          <w:rFonts w:eastAsia="Times New Roman"/>
          <w:lang w:val="es-ES"/>
        </w:rPr>
        <w:t xml:space="preserve">alor </w:t>
      </w:r>
      <w:r>
        <w:rPr>
          <w:rFonts w:eastAsia="Times New Roman"/>
          <w:lang w:val="es-ES"/>
        </w:rPr>
        <w:t>A</w:t>
      </w:r>
      <w:r w:rsidRPr="00063013">
        <w:rPr>
          <w:rFonts w:eastAsia="Times New Roman"/>
          <w:lang w:val="es-ES"/>
        </w:rPr>
        <w:t>gregado (IVA), aportes al Ministerio de Ambiente y Recursos Naturales</w:t>
      </w:r>
      <w:r>
        <w:rPr>
          <w:rFonts w:eastAsia="Times New Roman"/>
          <w:lang w:val="es-ES"/>
        </w:rPr>
        <w:t xml:space="preserve"> por licencias ambientales</w:t>
      </w:r>
      <w:r w:rsidRPr="00063013">
        <w:rPr>
          <w:rFonts w:eastAsia="Times New Roman"/>
          <w:lang w:val="es-ES"/>
        </w:rPr>
        <w:t xml:space="preserve">, aportes al Instituto Nacional de Bosques, </w:t>
      </w:r>
      <w:r>
        <w:rPr>
          <w:rFonts w:eastAsia="Times New Roman"/>
          <w:lang w:val="es-ES"/>
        </w:rPr>
        <w:t>I</w:t>
      </w:r>
      <w:r w:rsidRPr="00063013">
        <w:rPr>
          <w:rFonts w:eastAsia="Times New Roman"/>
          <w:lang w:val="es-ES"/>
        </w:rPr>
        <w:t xml:space="preserve">mpuesto de </w:t>
      </w:r>
      <w:r>
        <w:rPr>
          <w:rFonts w:eastAsia="Times New Roman"/>
          <w:lang w:val="es-ES"/>
        </w:rPr>
        <w:t>S</w:t>
      </w:r>
      <w:r w:rsidRPr="00063013">
        <w:rPr>
          <w:rFonts w:eastAsia="Times New Roman"/>
          <w:lang w:val="es-ES"/>
        </w:rPr>
        <w:t xml:space="preserve">olidaridad, timbres, multas e intereses.  </w:t>
      </w:r>
    </w:p>
    <w:p w14:paraId="77167C3E" w14:textId="77777777" w:rsidR="005E5C46" w:rsidRDefault="005E5C46" w:rsidP="005E5C46">
      <w:pPr>
        <w:jc w:val="both"/>
        <w:rPr>
          <w:rFonts w:eastAsia="Times New Roman"/>
          <w:lang w:val="es-ES"/>
        </w:rPr>
      </w:pPr>
    </w:p>
    <w:p w14:paraId="34A95587" w14:textId="77777777" w:rsidR="005E5C46" w:rsidRDefault="005E5C46" w:rsidP="005E5C46">
      <w:pPr>
        <w:jc w:val="both"/>
        <w:rPr>
          <w:rFonts w:eastAsia="Times New Roman"/>
          <w:lang w:val="es-ES"/>
        </w:rPr>
      </w:pPr>
      <w:r w:rsidRPr="00243B95">
        <w:rPr>
          <w:rFonts w:eastAsia="Times New Roman"/>
          <w:lang w:val="es-ES"/>
        </w:rPr>
        <w:t xml:space="preserve">El sector minero extractivo del país se caracteriza por la producción minera especialmente de oro, plata, plomo, </w:t>
      </w:r>
      <w:r>
        <w:rPr>
          <w:rFonts w:eastAsia="Times New Roman"/>
          <w:lang w:val="es-ES"/>
        </w:rPr>
        <w:t>z</w:t>
      </w:r>
      <w:r w:rsidRPr="00243B95">
        <w:rPr>
          <w:rFonts w:eastAsia="Times New Roman"/>
          <w:lang w:val="es-ES"/>
        </w:rPr>
        <w:t>inc, óxidos de hierro, níquel, jade</w:t>
      </w:r>
      <w:r>
        <w:rPr>
          <w:rFonts w:eastAsia="Times New Roman"/>
          <w:lang w:val="es-ES"/>
        </w:rPr>
        <w:t>,</w:t>
      </w:r>
      <w:r w:rsidRPr="00243B95">
        <w:rPr>
          <w:rFonts w:eastAsia="Times New Roman"/>
          <w:lang w:val="es-ES"/>
        </w:rPr>
        <w:t xml:space="preserve"> mármol y materiales de construcción. En la actualidad la</w:t>
      </w:r>
      <w:r>
        <w:rPr>
          <w:rFonts w:eastAsia="Times New Roman"/>
          <w:lang w:val="es-ES"/>
        </w:rPr>
        <w:t xml:space="preserve">s regalías por actividad minera representan el </w:t>
      </w:r>
      <w:r w:rsidRPr="00243B95">
        <w:rPr>
          <w:rFonts w:eastAsia="Times New Roman"/>
          <w:lang w:val="es-ES"/>
        </w:rPr>
        <w:t>0.001</w:t>
      </w:r>
      <w:r>
        <w:rPr>
          <w:rFonts w:eastAsia="Times New Roman"/>
          <w:lang w:val="es-ES"/>
        </w:rPr>
        <w:t xml:space="preserve">2% del PIB. </w:t>
      </w:r>
    </w:p>
    <w:p w14:paraId="5F42F162" w14:textId="77777777" w:rsidR="005E5C46" w:rsidRDefault="005E5C46" w:rsidP="005E5C46">
      <w:pPr>
        <w:jc w:val="both"/>
        <w:rPr>
          <w:rFonts w:eastAsia="Times New Roman"/>
          <w:lang w:val="es-ES"/>
        </w:rPr>
      </w:pPr>
    </w:p>
    <w:p w14:paraId="26333889" w14:textId="60C30C13" w:rsidR="005E5C46" w:rsidRPr="004C0F54" w:rsidRDefault="004C0F54" w:rsidP="004C0F54">
      <w:pPr>
        <w:pStyle w:val="Descripcin"/>
        <w:keepNext/>
        <w:rPr>
          <w:color w:val="auto"/>
        </w:rPr>
      </w:pPr>
      <w:bookmarkStart w:id="391" w:name="_Toc114493921"/>
      <w:r w:rsidRPr="004C0F54">
        <w:rPr>
          <w:color w:val="auto"/>
        </w:rPr>
        <w:t xml:space="preserve">Gráfico </w:t>
      </w:r>
      <w:r w:rsidRPr="004C0F54">
        <w:rPr>
          <w:color w:val="auto"/>
        </w:rPr>
        <w:fldChar w:fldCharType="begin"/>
      </w:r>
      <w:r w:rsidRPr="004C0F54">
        <w:rPr>
          <w:color w:val="auto"/>
        </w:rPr>
        <w:instrText xml:space="preserve"> SEQ Gráfico \* ARABIC </w:instrText>
      </w:r>
      <w:r w:rsidRPr="004C0F54">
        <w:rPr>
          <w:color w:val="auto"/>
        </w:rPr>
        <w:fldChar w:fldCharType="separate"/>
      </w:r>
      <w:r w:rsidR="002E7809">
        <w:rPr>
          <w:noProof/>
          <w:color w:val="auto"/>
        </w:rPr>
        <w:t>79</w:t>
      </w:r>
      <w:r w:rsidRPr="004C0F54">
        <w:rPr>
          <w:color w:val="auto"/>
        </w:rPr>
        <w:fldChar w:fldCharType="end"/>
      </w:r>
      <w:r w:rsidRPr="004C0F54">
        <w:rPr>
          <w:color w:val="auto"/>
        </w:rPr>
        <w:t xml:space="preserve">.  </w:t>
      </w:r>
      <w:r w:rsidR="005E5C46" w:rsidRPr="004C0F54">
        <w:rPr>
          <w:rFonts w:eastAsia="Times New Roman"/>
          <w:bCs/>
          <w:color w:val="auto"/>
          <w:lang w:val="es-ES"/>
        </w:rPr>
        <w:t>Regalías Mineras como % del PIB 2008 a junio 2022</w:t>
      </w:r>
      <w:bookmarkEnd w:id="391"/>
    </w:p>
    <w:p w14:paraId="160CA3E2" w14:textId="77777777" w:rsidR="005E5C46" w:rsidRPr="00AF1D50" w:rsidRDefault="005E5C46" w:rsidP="005E5C46">
      <w:pPr>
        <w:jc w:val="both"/>
        <w:rPr>
          <w:rFonts w:eastAsia="Times New Roman"/>
          <w:sz w:val="16"/>
          <w:szCs w:val="16"/>
          <w:lang w:val="es-ES"/>
        </w:rPr>
      </w:pPr>
      <w:r w:rsidRPr="001A2727">
        <w:rPr>
          <w:noProof/>
          <w:lang w:eastAsia="es-GT"/>
        </w:rPr>
        <w:drawing>
          <wp:anchor distT="0" distB="0" distL="114300" distR="114300" simplePos="0" relativeHeight="251667456" behindDoc="0" locked="0" layoutInCell="1" allowOverlap="1" wp14:anchorId="09590F4C" wp14:editId="38AC884A">
            <wp:simplePos x="0" y="0"/>
            <wp:positionH relativeFrom="column">
              <wp:posOffset>520</wp:posOffset>
            </wp:positionH>
            <wp:positionV relativeFrom="paragraph">
              <wp:posOffset>1130</wp:posOffset>
            </wp:positionV>
            <wp:extent cx="5617028" cy="2154555"/>
            <wp:effectExtent l="0" t="0" r="3175" b="0"/>
            <wp:wrapSquare wrapText="bothSides"/>
            <wp:docPr id="66" name="Gráfico 66">
              <a:extLst xmlns:a="http://schemas.openxmlformats.org/drawingml/2006/main">
                <a:ext uri="{FF2B5EF4-FFF2-40B4-BE49-F238E27FC236}">
                  <a16:creationId xmlns:a16="http://schemas.microsoft.com/office/drawing/2014/main" id="{E5A4B87E-86A8-4C6B-ABE5-7822B5BAE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page">
              <wp14:pctWidth>0</wp14:pctWidth>
            </wp14:sizeRelH>
            <wp14:sizeRelV relativeFrom="page">
              <wp14:pctHeight>0</wp14:pctHeight>
            </wp14:sizeRelV>
          </wp:anchor>
        </w:drawing>
      </w:r>
      <w:r w:rsidRPr="00AF1D50">
        <w:rPr>
          <w:rFonts w:eastAsia="Times New Roman"/>
          <w:sz w:val="16"/>
          <w:szCs w:val="16"/>
          <w:lang w:val="es-ES"/>
        </w:rPr>
        <w:t xml:space="preserve">Fuente: SICON, 2022 </w:t>
      </w:r>
    </w:p>
    <w:p w14:paraId="7DF7CCD8" w14:textId="77777777" w:rsidR="005E5C46" w:rsidRDefault="005E5C46" w:rsidP="005E5C46">
      <w:pPr>
        <w:jc w:val="both"/>
        <w:rPr>
          <w:rFonts w:eastAsia="Times New Roman"/>
          <w:lang w:val="es-ES"/>
        </w:rPr>
      </w:pPr>
    </w:p>
    <w:p w14:paraId="267A8011" w14:textId="5940FBB3" w:rsidR="005E5C46" w:rsidRDefault="005E5C46" w:rsidP="005E5C46">
      <w:pPr>
        <w:jc w:val="both"/>
        <w:rPr>
          <w:rFonts w:eastAsia="Times New Roman"/>
          <w:lang w:val="es-ES"/>
        </w:rPr>
      </w:pPr>
      <w:r>
        <w:rPr>
          <w:rFonts w:eastAsia="Times New Roman"/>
          <w:lang w:val="es-ES"/>
        </w:rPr>
        <w:t xml:space="preserve">Se observa que en el período 2008 a junio del 2022 los </w:t>
      </w:r>
      <w:r w:rsidRPr="00C723C9">
        <w:rPr>
          <w:rFonts w:eastAsia="Times New Roman"/>
          <w:lang w:val="es-ES"/>
        </w:rPr>
        <w:t xml:space="preserve">ingresos por regalías por explotación minera han </w:t>
      </w:r>
      <w:r>
        <w:rPr>
          <w:rFonts w:eastAsia="Times New Roman"/>
          <w:lang w:val="es-ES"/>
        </w:rPr>
        <w:t>disminuido</w:t>
      </w:r>
      <w:r w:rsidRPr="007E56B8">
        <w:rPr>
          <w:rFonts w:eastAsia="Times New Roman"/>
          <w:lang w:val="es-ES"/>
        </w:rPr>
        <w:t xml:space="preserve"> derivado</w:t>
      </w:r>
      <w:r>
        <w:rPr>
          <w:rFonts w:eastAsia="Times New Roman"/>
          <w:lang w:val="es-ES"/>
        </w:rPr>
        <w:t xml:space="preserve"> de la suspensión de</w:t>
      </w:r>
      <w:r w:rsidRPr="007E56B8">
        <w:rPr>
          <w:rFonts w:eastAsia="Times New Roman"/>
          <w:lang w:val="es-ES"/>
        </w:rPr>
        <w:t xml:space="preserve"> </w:t>
      </w:r>
      <w:r>
        <w:rPr>
          <w:rFonts w:eastAsia="Times New Roman"/>
          <w:lang w:val="es-ES"/>
        </w:rPr>
        <w:t>l</w:t>
      </w:r>
      <w:r w:rsidRPr="002F00E5">
        <w:rPr>
          <w:rFonts w:eastAsia="Times New Roman"/>
          <w:lang w:val="es-ES"/>
        </w:rPr>
        <w:t>as principales minas de propiedad extranjera en Guatemala,</w:t>
      </w:r>
      <w:r>
        <w:rPr>
          <w:rFonts w:eastAsia="Times New Roman"/>
          <w:lang w:val="es-ES"/>
        </w:rPr>
        <w:t xml:space="preserve"> </w:t>
      </w:r>
      <w:r w:rsidRPr="002F00E5">
        <w:rPr>
          <w:rFonts w:eastAsia="Times New Roman"/>
          <w:lang w:val="es-ES"/>
        </w:rPr>
        <w:t xml:space="preserve">en parte debido a amparos presentados por </w:t>
      </w:r>
      <w:r>
        <w:rPr>
          <w:rFonts w:eastAsia="Times New Roman"/>
          <w:lang w:val="es-ES"/>
        </w:rPr>
        <w:t xml:space="preserve">algunas ONG’s y activistas </w:t>
      </w:r>
      <w:r w:rsidRPr="002F00E5">
        <w:rPr>
          <w:rFonts w:eastAsia="Times New Roman"/>
          <w:lang w:val="es-ES"/>
        </w:rPr>
        <w:t xml:space="preserve">con el argumento de que las comunidades indígenas locales no fueron consultadas por el Ministerio de Energía y Minas (MEM) en </w:t>
      </w:r>
      <w:r>
        <w:rPr>
          <w:rFonts w:eastAsia="Times New Roman"/>
          <w:lang w:val="es-ES"/>
        </w:rPr>
        <w:t xml:space="preserve">el </w:t>
      </w:r>
      <w:r w:rsidRPr="002F00E5">
        <w:rPr>
          <w:rFonts w:eastAsia="Times New Roman"/>
          <w:lang w:val="es-ES"/>
        </w:rPr>
        <w:t>proceso de concesión de licencias</w:t>
      </w:r>
      <w:r>
        <w:rPr>
          <w:rFonts w:eastAsia="Times New Roman"/>
          <w:lang w:val="es-ES"/>
        </w:rPr>
        <w:t xml:space="preserve">, contaminación en ríos, además de otros conflictos sociales. A ello se le suma el impacto causado a la industria por la pandemia del Covid-19, que afecto de forma directa los procesos de explotación y exploración, así como por las medidas de bioseguridad tomadas por el gobierno. </w:t>
      </w:r>
    </w:p>
    <w:p w14:paraId="2D04F45F" w14:textId="77777777" w:rsidR="004C0F54" w:rsidRDefault="004C0F54" w:rsidP="005E5C46">
      <w:pPr>
        <w:jc w:val="both"/>
        <w:rPr>
          <w:rFonts w:eastAsia="Times New Roman"/>
          <w:lang w:val="es-ES"/>
        </w:rPr>
      </w:pPr>
    </w:p>
    <w:p w14:paraId="448FE0EB" w14:textId="77777777" w:rsidR="005E5C46" w:rsidRDefault="005E5C46" w:rsidP="005E5C46">
      <w:pPr>
        <w:jc w:val="both"/>
        <w:rPr>
          <w:rFonts w:eastAsia="Times New Roman"/>
          <w:lang w:val="es-ES"/>
        </w:rPr>
      </w:pPr>
      <w:r w:rsidRPr="003C0F45">
        <w:rPr>
          <w:rFonts w:eastAsia="Times New Roman"/>
          <w:lang w:val="es-ES"/>
        </w:rPr>
        <w:t xml:space="preserve">La </w:t>
      </w:r>
      <w:r>
        <w:rPr>
          <w:rFonts w:eastAsia="Times New Roman"/>
          <w:lang w:val="es-ES"/>
        </w:rPr>
        <w:t>i</w:t>
      </w:r>
      <w:r w:rsidRPr="003C0F45">
        <w:rPr>
          <w:rFonts w:eastAsia="Times New Roman"/>
          <w:lang w:val="es-ES"/>
        </w:rPr>
        <w:t xml:space="preserve">ndustria </w:t>
      </w:r>
      <w:r>
        <w:rPr>
          <w:rFonts w:eastAsia="Times New Roman"/>
          <w:lang w:val="es-ES"/>
        </w:rPr>
        <w:t>p</w:t>
      </w:r>
      <w:r w:rsidRPr="003C0F45">
        <w:rPr>
          <w:rFonts w:eastAsia="Times New Roman"/>
          <w:lang w:val="es-ES"/>
        </w:rPr>
        <w:t xml:space="preserve">etrolera </w:t>
      </w:r>
      <w:r>
        <w:rPr>
          <w:rFonts w:eastAsia="Times New Roman"/>
          <w:lang w:val="es-ES"/>
        </w:rPr>
        <w:t>en Guatemala</w:t>
      </w:r>
      <w:r w:rsidRPr="003C0F45">
        <w:rPr>
          <w:rFonts w:eastAsia="Times New Roman"/>
          <w:lang w:val="es-ES"/>
        </w:rPr>
        <w:t xml:space="preserve"> comprende la exploración y explotación de hidrocarburos, su refinación y transformación, así como su transporte y comercialización.  La actividad petrolera juega un papel fundamental para el desarrollo de la economía nacional puesto que provee insumos y combustibles indispensables para la producción de energía, contribuye en la generación de divisas, proporciona transferencia de tecnología y contribuye como fuente generadora de empleos</w:t>
      </w:r>
      <w:r>
        <w:rPr>
          <w:rFonts w:eastAsia="Times New Roman"/>
          <w:lang w:val="es-ES"/>
        </w:rPr>
        <w:t xml:space="preserve">, sin embargo, también existen implicaciones ambientales que se hacen evidentes en los daños causados al suelo, agua, biodiversidad, paisaje y áreas naturales. </w:t>
      </w:r>
    </w:p>
    <w:p w14:paraId="5EB481EB" w14:textId="77777777" w:rsidR="005E5C46" w:rsidRDefault="005E5C46" w:rsidP="005E5C46">
      <w:pPr>
        <w:jc w:val="both"/>
        <w:rPr>
          <w:rFonts w:eastAsia="Times New Roman"/>
          <w:lang w:val="es-ES"/>
        </w:rPr>
      </w:pPr>
    </w:p>
    <w:p w14:paraId="4DE8F973" w14:textId="77777777" w:rsidR="005E5C46" w:rsidRDefault="005E5C46" w:rsidP="005E5C46">
      <w:pPr>
        <w:jc w:val="both"/>
        <w:rPr>
          <w:rFonts w:eastAsia="Times New Roman"/>
          <w:lang w:val="es-ES"/>
        </w:rPr>
      </w:pPr>
      <w:r w:rsidRPr="003C0F45">
        <w:rPr>
          <w:rFonts w:eastAsia="Times New Roman"/>
          <w:lang w:val="es-ES"/>
        </w:rPr>
        <w:t xml:space="preserve">En el país también se </w:t>
      </w:r>
      <w:r>
        <w:rPr>
          <w:rFonts w:eastAsia="Times New Roman"/>
          <w:lang w:val="es-ES"/>
        </w:rPr>
        <w:t>cuenta con</w:t>
      </w:r>
      <w:r w:rsidRPr="003C0F45">
        <w:rPr>
          <w:rFonts w:eastAsia="Times New Roman"/>
          <w:lang w:val="es-ES"/>
        </w:rPr>
        <w:t xml:space="preserve"> producción de petróleo crudo </w:t>
      </w:r>
      <w:r>
        <w:rPr>
          <w:rFonts w:eastAsia="Times New Roman"/>
          <w:lang w:val="es-ES"/>
        </w:rPr>
        <w:t xml:space="preserve">la cual, según el Informe Estadístico del subsector Hidrocarburos del Ministerio de Energía y Minas, </w:t>
      </w:r>
      <w:r w:rsidRPr="000A1630">
        <w:rPr>
          <w:rFonts w:eastAsia="Times New Roman"/>
          <w:lang w:val="es-ES"/>
        </w:rPr>
        <w:t>durante el período 2015 a 2021 m</w:t>
      </w:r>
      <w:r>
        <w:rPr>
          <w:rFonts w:eastAsia="Times New Roman"/>
          <w:lang w:val="es-ES"/>
        </w:rPr>
        <w:t>ostró</w:t>
      </w:r>
      <w:r w:rsidRPr="000A1630">
        <w:rPr>
          <w:rFonts w:eastAsia="Times New Roman"/>
          <w:lang w:val="es-ES"/>
        </w:rPr>
        <w:t xml:space="preserve"> una tendencia decreciente</w:t>
      </w:r>
      <w:r>
        <w:rPr>
          <w:rFonts w:eastAsia="Times New Roman"/>
          <w:lang w:val="es-ES"/>
        </w:rPr>
        <w:t xml:space="preserve"> esto debido por un lado </w:t>
      </w:r>
      <w:r w:rsidRPr="005B4182">
        <w:rPr>
          <w:rFonts w:eastAsia="Times New Roman"/>
          <w:lang w:val="es-ES"/>
        </w:rPr>
        <w:t xml:space="preserve">al impacto de la pandemia </w:t>
      </w:r>
      <w:r>
        <w:rPr>
          <w:rFonts w:eastAsia="Times New Roman"/>
          <w:lang w:val="es-ES"/>
        </w:rPr>
        <w:t>C</w:t>
      </w:r>
      <w:r w:rsidRPr="005B4182">
        <w:rPr>
          <w:rFonts w:eastAsia="Times New Roman"/>
          <w:lang w:val="es-ES"/>
        </w:rPr>
        <w:t xml:space="preserve">ovid-19 que generó bajas en los precios del petróleo, </w:t>
      </w:r>
      <w:r>
        <w:rPr>
          <w:rFonts w:eastAsia="Times New Roman"/>
          <w:lang w:val="es-ES"/>
        </w:rPr>
        <w:t>y también por</w:t>
      </w:r>
      <w:r w:rsidRPr="005B4182">
        <w:rPr>
          <w:rFonts w:eastAsia="Times New Roman"/>
          <w:lang w:val="es-ES"/>
        </w:rPr>
        <w:t xml:space="preserve"> la declinación natural de los pozos</w:t>
      </w:r>
      <w:r>
        <w:rPr>
          <w:rFonts w:eastAsia="Times New Roman"/>
          <w:lang w:val="es-ES"/>
        </w:rPr>
        <w:t xml:space="preserve"> lo cual afecta las zonas productoras</w:t>
      </w:r>
      <w:r w:rsidRPr="000A1630">
        <w:rPr>
          <w:rFonts w:eastAsia="Times New Roman"/>
          <w:lang w:val="es-ES"/>
        </w:rPr>
        <w:t xml:space="preserve">. La producción petrolera </w:t>
      </w:r>
      <w:r>
        <w:rPr>
          <w:rFonts w:eastAsia="Times New Roman"/>
          <w:lang w:val="es-ES"/>
        </w:rPr>
        <w:t>para el</w:t>
      </w:r>
      <w:r w:rsidRPr="000A1630">
        <w:rPr>
          <w:rFonts w:eastAsia="Times New Roman"/>
          <w:lang w:val="es-ES"/>
        </w:rPr>
        <w:t xml:space="preserve"> año 2021 fue 2.30 millones de barriles.</w:t>
      </w:r>
    </w:p>
    <w:p w14:paraId="7DB68BE3" w14:textId="77777777" w:rsidR="005E5C46" w:rsidRDefault="005E5C46" w:rsidP="005E5C46">
      <w:pPr>
        <w:jc w:val="both"/>
        <w:rPr>
          <w:rFonts w:eastAsia="Times New Roman"/>
          <w:lang w:val="es-ES"/>
        </w:rPr>
      </w:pPr>
    </w:p>
    <w:p w14:paraId="5F217EDF" w14:textId="41DD53D4" w:rsidR="005E5C46" w:rsidRPr="00733C4F" w:rsidRDefault="00733C4F" w:rsidP="00733C4F">
      <w:pPr>
        <w:pStyle w:val="Descripcin"/>
        <w:keepNext/>
      </w:pPr>
      <w:bookmarkStart w:id="392" w:name="_Toc114493922"/>
      <w:r w:rsidRPr="00733C4F">
        <w:rPr>
          <w:color w:val="auto"/>
        </w:rPr>
        <w:t xml:space="preserve">Gráfico </w:t>
      </w:r>
      <w:r w:rsidRPr="00733C4F">
        <w:rPr>
          <w:color w:val="auto"/>
        </w:rPr>
        <w:fldChar w:fldCharType="begin"/>
      </w:r>
      <w:r w:rsidRPr="00733C4F">
        <w:rPr>
          <w:color w:val="auto"/>
        </w:rPr>
        <w:instrText xml:space="preserve"> SEQ Gráfico \* ARABIC </w:instrText>
      </w:r>
      <w:r w:rsidRPr="00733C4F">
        <w:rPr>
          <w:color w:val="auto"/>
        </w:rPr>
        <w:fldChar w:fldCharType="separate"/>
      </w:r>
      <w:r w:rsidR="002E7809">
        <w:rPr>
          <w:noProof/>
          <w:color w:val="auto"/>
        </w:rPr>
        <w:t>80</w:t>
      </w:r>
      <w:r w:rsidRPr="00733C4F">
        <w:rPr>
          <w:color w:val="auto"/>
        </w:rPr>
        <w:fldChar w:fldCharType="end"/>
      </w:r>
      <w:r w:rsidRPr="00733C4F">
        <w:rPr>
          <w:color w:val="auto"/>
        </w:rPr>
        <w:t xml:space="preserve">.  </w:t>
      </w:r>
      <w:r w:rsidR="005E5C46" w:rsidRPr="00733C4F">
        <w:rPr>
          <w:rFonts w:eastAsia="Times New Roman"/>
          <w:bCs/>
          <w:color w:val="auto"/>
          <w:lang w:val="es-ES"/>
        </w:rPr>
        <w:t>Producción Petrolera Anual 2015-2021</w:t>
      </w:r>
      <w:bookmarkEnd w:id="392"/>
    </w:p>
    <w:p w14:paraId="230D1126" w14:textId="77777777" w:rsidR="005E5C46" w:rsidRDefault="005E5C46" w:rsidP="005E5C46">
      <w:pPr>
        <w:jc w:val="center"/>
        <w:rPr>
          <w:rFonts w:eastAsia="Times New Roman"/>
          <w:b/>
          <w:bCs/>
          <w:sz w:val="22"/>
          <w:szCs w:val="22"/>
          <w:lang w:val="es-ES"/>
        </w:rPr>
      </w:pPr>
      <w:r>
        <w:rPr>
          <w:rFonts w:eastAsia="Times New Roman"/>
          <w:b/>
          <w:bCs/>
          <w:noProof/>
          <w:sz w:val="22"/>
          <w:szCs w:val="22"/>
          <w:lang w:eastAsia="es-GT"/>
        </w:rPr>
        <w:drawing>
          <wp:inline distT="0" distB="0" distL="0" distR="0" wp14:anchorId="4DF542C4" wp14:editId="550F48C5">
            <wp:extent cx="5486400" cy="2157984"/>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bookmarkEnd w:id="389"/>
    <w:p w14:paraId="47579401" w14:textId="77777777" w:rsidR="005E5C46" w:rsidRPr="00AF1D50" w:rsidRDefault="005E5C46" w:rsidP="005E5C46">
      <w:pPr>
        <w:jc w:val="both"/>
        <w:rPr>
          <w:rFonts w:eastAsia="Times New Roman"/>
          <w:sz w:val="16"/>
          <w:szCs w:val="16"/>
          <w:lang w:val="es-ES"/>
        </w:rPr>
      </w:pPr>
      <w:r w:rsidRPr="00AF1D50">
        <w:rPr>
          <w:rFonts w:eastAsia="Times New Roman"/>
          <w:sz w:val="16"/>
          <w:szCs w:val="16"/>
          <w:lang w:val="es-ES"/>
        </w:rPr>
        <w:t>Fuente: Informe Estadístico subsector hidrocarburos, MEM 2021</w:t>
      </w:r>
    </w:p>
    <w:p w14:paraId="05D5C2DC" w14:textId="77777777" w:rsidR="005E5C46" w:rsidRDefault="005E5C46" w:rsidP="005E5C46">
      <w:pPr>
        <w:rPr>
          <w:rFonts w:eastAsia="Times New Roman"/>
          <w:sz w:val="22"/>
          <w:szCs w:val="22"/>
          <w:lang w:val="es-ES"/>
        </w:rPr>
      </w:pPr>
    </w:p>
    <w:p w14:paraId="74A112E3" w14:textId="77777777" w:rsidR="005E5C46" w:rsidRDefault="005E5C46" w:rsidP="005E5C46">
      <w:pPr>
        <w:rPr>
          <w:rFonts w:eastAsia="Times New Roman"/>
          <w:sz w:val="22"/>
          <w:szCs w:val="22"/>
          <w:lang w:val="es-ES"/>
        </w:rPr>
      </w:pPr>
    </w:p>
    <w:p w14:paraId="625E8BAB" w14:textId="77777777" w:rsidR="005E5C46" w:rsidRDefault="005E5C46" w:rsidP="005E5C46">
      <w:pPr>
        <w:jc w:val="both"/>
        <w:rPr>
          <w:rFonts w:eastAsia="Times New Roman"/>
          <w:lang w:val="es-ES"/>
        </w:rPr>
      </w:pPr>
      <w:r w:rsidRPr="00DD00EA">
        <w:rPr>
          <w:rFonts w:eastAsia="Times New Roman"/>
          <w:lang w:val="es-ES"/>
        </w:rPr>
        <w:t>Actualmente, los contratos de operaciones petroleras de exploración y explotación vigentes a junio de 202</w:t>
      </w:r>
      <w:r>
        <w:rPr>
          <w:rFonts w:eastAsia="Times New Roman"/>
          <w:lang w:val="es-ES"/>
        </w:rPr>
        <w:t>1 son los siguientes:</w:t>
      </w:r>
    </w:p>
    <w:p w14:paraId="6C72682E" w14:textId="51FE2A3F" w:rsidR="000E72AA" w:rsidRDefault="000E72AA" w:rsidP="005E5C46">
      <w:pPr>
        <w:jc w:val="both"/>
        <w:rPr>
          <w:rFonts w:eastAsia="Times New Roman"/>
          <w:lang w:val="es-ES"/>
        </w:rPr>
      </w:pPr>
    </w:p>
    <w:p w14:paraId="6EFE2461" w14:textId="0C68CCF7" w:rsidR="005E5C46" w:rsidRPr="00733C4F" w:rsidRDefault="00733C4F" w:rsidP="00733C4F">
      <w:pPr>
        <w:pStyle w:val="Descripcin"/>
        <w:keepNext/>
      </w:pPr>
      <w:bookmarkStart w:id="393" w:name="_Toc114493942"/>
      <w:r w:rsidRPr="00733C4F">
        <w:rPr>
          <w:color w:val="auto"/>
        </w:rPr>
        <w:t xml:space="preserve">Tabla </w:t>
      </w:r>
      <w:r w:rsidRPr="00733C4F">
        <w:rPr>
          <w:color w:val="auto"/>
        </w:rPr>
        <w:fldChar w:fldCharType="begin"/>
      </w:r>
      <w:r w:rsidRPr="00733C4F">
        <w:rPr>
          <w:color w:val="auto"/>
        </w:rPr>
        <w:instrText xml:space="preserve"> SEQ Tabla \* ARABIC </w:instrText>
      </w:r>
      <w:r w:rsidRPr="00733C4F">
        <w:rPr>
          <w:color w:val="auto"/>
        </w:rPr>
        <w:fldChar w:fldCharType="separate"/>
      </w:r>
      <w:r w:rsidR="002E7809">
        <w:rPr>
          <w:noProof/>
          <w:color w:val="auto"/>
        </w:rPr>
        <w:t>19</w:t>
      </w:r>
      <w:r w:rsidRPr="00733C4F">
        <w:rPr>
          <w:color w:val="auto"/>
        </w:rPr>
        <w:fldChar w:fldCharType="end"/>
      </w:r>
      <w:r w:rsidRPr="00733C4F">
        <w:rPr>
          <w:color w:val="auto"/>
        </w:rPr>
        <w:t xml:space="preserve">.  </w:t>
      </w:r>
      <w:r w:rsidR="005E5C46" w:rsidRPr="00733C4F">
        <w:rPr>
          <w:rFonts w:eastAsia="Times New Roman"/>
          <w:bCs/>
          <w:color w:val="auto"/>
          <w:lang w:val="es-ES"/>
        </w:rPr>
        <w:t>Los contratos de exploración de hidrocarburos vigentes a junio de 2021</w:t>
      </w:r>
      <w:bookmarkEnd w:id="393"/>
    </w:p>
    <w:tbl>
      <w:tblPr>
        <w:tblStyle w:val="Tablaconcuadrcula"/>
        <w:tblW w:w="9067" w:type="dxa"/>
        <w:tblLook w:val="04A0" w:firstRow="1" w:lastRow="0" w:firstColumn="1" w:lastColumn="0" w:noHBand="0" w:noVBand="1"/>
      </w:tblPr>
      <w:tblGrid>
        <w:gridCol w:w="5240"/>
        <w:gridCol w:w="1418"/>
        <w:gridCol w:w="1275"/>
        <w:gridCol w:w="1134"/>
      </w:tblGrid>
      <w:tr w:rsidR="005E5C46" w14:paraId="6585424A" w14:textId="77777777" w:rsidTr="00ED483A">
        <w:tc>
          <w:tcPr>
            <w:tcW w:w="5240" w:type="dxa"/>
          </w:tcPr>
          <w:p w14:paraId="27F83ED3" w14:textId="77777777" w:rsidR="005E5C46" w:rsidRPr="00877C04" w:rsidRDefault="005E5C46" w:rsidP="00ED483A">
            <w:pPr>
              <w:jc w:val="both"/>
              <w:rPr>
                <w:b/>
                <w:bCs/>
                <w:lang w:val="es-ES" w:eastAsia="en-US"/>
              </w:rPr>
            </w:pPr>
            <w:r w:rsidRPr="00877C04">
              <w:rPr>
                <w:b/>
                <w:bCs/>
                <w:lang w:val="es-ES" w:eastAsia="en-US"/>
              </w:rPr>
              <w:t xml:space="preserve">Contratista </w:t>
            </w:r>
          </w:p>
        </w:tc>
        <w:tc>
          <w:tcPr>
            <w:tcW w:w="1418" w:type="dxa"/>
          </w:tcPr>
          <w:p w14:paraId="798EE04B" w14:textId="77777777" w:rsidR="005E5C46" w:rsidRPr="00877C04" w:rsidRDefault="005E5C46" w:rsidP="00ED483A">
            <w:pPr>
              <w:jc w:val="both"/>
              <w:rPr>
                <w:b/>
                <w:bCs/>
                <w:lang w:val="es-ES" w:eastAsia="en-US"/>
              </w:rPr>
            </w:pPr>
            <w:r w:rsidRPr="00877C04">
              <w:rPr>
                <w:b/>
                <w:bCs/>
                <w:lang w:val="es-ES" w:eastAsia="en-US"/>
              </w:rPr>
              <w:t>Contrato</w:t>
            </w:r>
          </w:p>
        </w:tc>
        <w:tc>
          <w:tcPr>
            <w:tcW w:w="1275" w:type="dxa"/>
          </w:tcPr>
          <w:p w14:paraId="793F8D8F" w14:textId="77777777" w:rsidR="005E5C46" w:rsidRPr="00877C04" w:rsidRDefault="005E5C46" w:rsidP="00ED483A">
            <w:pPr>
              <w:jc w:val="both"/>
              <w:rPr>
                <w:b/>
                <w:bCs/>
                <w:lang w:val="es-ES" w:eastAsia="en-US"/>
              </w:rPr>
            </w:pPr>
            <w:r w:rsidRPr="00877C04">
              <w:rPr>
                <w:b/>
                <w:bCs/>
                <w:lang w:val="es-ES" w:eastAsia="en-US"/>
              </w:rPr>
              <w:t xml:space="preserve">Inicio </w:t>
            </w:r>
          </w:p>
        </w:tc>
        <w:tc>
          <w:tcPr>
            <w:tcW w:w="1134" w:type="dxa"/>
          </w:tcPr>
          <w:p w14:paraId="1626B1F2" w14:textId="77777777" w:rsidR="005E5C46" w:rsidRPr="00877C04" w:rsidRDefault="005E5C46" w:rsidP="00ED483A">
            <w:pPr>
              <w:jc w:val="both"/>
              <w:rPr>
                <w:b/>
                <w:bCs/>
                <w:lang w:val="es-ES" w:eastAsia="en-US"/>
              </w:rPr>
            </w:pPr>
            <w:r w:rsidRPr="00877C04">
              <w:rPr>
                <w:b/>
                <w:bCs/>
                <w:lang w:val="es-ES" w:eastAsia="en-US"/>
              </w:rPr>
              <w:t xml:space="preserve">Vigencia </w:t>
            </w:r>
          </w:p>
        </w:tc>
      </w:tr>
      <w:tr w:rsidR="005E5C46" w14:paraId="59DD7E73" w14:textId="77777777" w:rsidTr="00ED483A">
        <w:tc>
          <w:tcPr>
            <w:tcW w:w="9067" w:type="dxa"/>
            <w:gridSpan w:val="4"/>
          </w:tcPr>
          <w:p w14:paraId="444D059F" w14:textId="77777777" w:rsidR="005E5C46" w:rsidRPr="00877C04" w:rsidRDefault="005E5C46" w:rsidP="00ED483A">
            <w:pPr>
              <w:jc w:val="center"/>
              <w:rPr>
                <w:b/>
                <w:bCs/>
                <w:i/>
                <w:iCs/>
                <w:sz w:val="22"/>
                <w:szCs w:val="22"/>
                <w:lang w:val="es-ES" w:eastAsia="en-US"/>
              </w:rPr>
            </w:pPr>
            <w:r w:rsidRPr="00877C04">
              <w:rPr>
                <w:b/>
                <w:bCs/>
                <w:i/>
                <w:iCs/>
                <w:sz w:val="22"/>
                <w:szCs w:val="22"/>
                <w:lang w:val="es-ES" w:eastAsia="en-US"/>
              </w:rPr>
              <w:t>Contratos de exploración</w:t>
            </w:r>
          </w:p>
        </w:tc>
      </w:tr>
      <w:tr w:rsidR="005E5C46" w14:paraId="4E42BBC3" w14:textId="77777777" w:rsidTr="00ED483A">
        <w:tc>
          <w:tcPr>
            <w:tcW w:w="5240" w:type="dxa"/>
          </w:tcPr>
          <w:p w14:paraId="2148EBE1" w14:textId="77777777" w:rsidR="005E5C46" w:rsidRPr="00CD7C5E" w:rsidRDefault="005E5C46" w:rsidP="00ED483A">
            <w:pPr>
              <w:jc w:val="both"/>
              <w:rPr>
                <w:sz w:val="22"/>
                <w:szCs w:val="22"/>
                <w:lang w:val="es-ES" w:eastAsia="en-US"/>
              </w:rPr>
            </w:pPr>
            <w:r w:rsidRPr="00CD7C5E">
              <w:rPr>
                <w:sz w:val="22"/>
                <w:szCs w:val="22"/>
                <w:lang w:val="es-ES" w:eastAsia="en-US"/>
              </w:rPr>
              <w:t xml:space="preserve">Compañía Petrolera del Atlántico, Sociedad Anónima </w:t>
            </w:r>
          </w:p>
        </w:tc>
        <w:tc>
          <w:tcPr>
            <w:tcW w:w="1418" w:type="dxa"/>
          </w:tcPr>
          <w:p w14:paraId="058DD203" w14:textId="77777777" w:rsidR="005E5C46" w:rsidRPr="00CD7C5E" w:rsidRDefault="005E5C46" w:rsidP="00ED483A">
            <w:pPr>
              <w:jc w:val="center"/>
              <w:rPr>
                <w:sz w:val="22"/>
                <w:szCs w:val="22"/>
                <w:lang w:val="es-ES" w:eastAsia="en-US"/>
              </w:rPr>
            </w:pPr>
            <w:r w:rsidRPr="00CD7C5E">
              <w:rPr>
                <w:sz w:val="22"/>
                <w:szCs w:val="22"/>
                <w:lang w:val="es-ES" w:eastAsia="en-US"/>
              </w:rPr>
              <w:t>7-98</w:t>
            </w:r>
          </w:p>
        </w:tc>
        <w:tc>
          <w:tcPr>
            <w:tcW w:w="1275" w:type="dxa"/>
          </w:tcPr>
          <w:p w14:paraId="2CBE6434" w14:textId="77777777" w:rsidR="005E5C46" w:rsidRPr="00CD7C5E" w:rsidRDefault="005E5C46" w:rsidP="00ED483A">
            <w:pPr>
              <w:jc w:val="center"/>
              <w:rPr>
                <w:sz w:val="22"/>
                <w:szCs w:val="22"/>
                <w:lang w:val="es-ES" w:eastAsia="en-US"/>
              </w:rPr>
            </w:pPr>
            <w:r w:rsidRPr="00CD7C5E">
              <w:rPr>
                <w:sz w:val="22"/>
                <w:szCs w:val="22"/>
                <w:lang w:val="es-ES" w:eastAsia="en-US"/>
              </w:rPr>
              <w:t>20/7/2001</w:t>
            </w:r>
          </w:p>
        </w:tc>
        <w:tc>
          <w:tcPr>
            <w:tcW w:w="1134" w:type="dxa"/>
          </w:tcPr>
          <w:p w14:paraId="1F16F1B0" w14:textId="77777777" w:rsidR="005E5C46" w:rsidRPr="00CD7C5E" w:rsidRDefault="005E5C46" w:rsidP="00ED483A">
            <w:pPr>
              <w:jc w:val="center"/>
              <w:rPr>
                <w:sz w:val="22"/>
                <w:szCs w:val="22"/>
                <w:lang w:val="es-ES" w:eastAsia="en-US"/>
              </w:rPr>
            </w:pPr>
            <w:r w:rsidRPr="00CD7C5E">
              <w:rPr>
                <w:sz w:val="22"/>
                <w:szCs w:val="22"/>
                <w:lang w:val="es-ES" w:eastAsia="en-US"/>
              </w:rPr>
              <w:t>25 años</w:t>
            </w:r>
          </w:p>
        </w:tc>
      </w:tr>
      <w:tr w:rsidR="005E5C46" w14:paraId="474167A4" w14:textId="77777777" w:rsidTr="00ED483A">
        <w:tc>
          <w:tcPr>
            <w:tcW w:w="5240" w:type="dxa"/>
          </w:tcPr>
          <w:p w14:paraId="712A04F9" w14:textId="77777777" w:rsidR="005E5C46" w:rsidRPr="00CD7C5E" w:rsidRDefault="005E5C46" w:rsidP="00ED483A">
            <w:pPr>
              <w:jc w:val="both"/>
              <w:rPr>
                <w:sz w:val="22"/>
                <w:szCs w:val="22"/>
                <w:lang w:val="es-ES" w:eastAsia="en-US"/>
              </w:rPr>
            </w:pPr>
            <w:bookmarkStart w:id="394" w:name="_Hlk110340584"/>
            <w:r w:rsidRPr="00CD7C5E">
              <w:rPr>
                <w:sz w:val="22"/>
                <w:szCs w:val="22"/>
                <w:lang w:val="es-ES" w:eastAsia="en-US"/>
              </w:rPr>
              <w:t xml:space="preserve">Latin American Resources, </w:t>
            </w:r>
            <w:r>
              <w:rPr>
                <w:sz w:val="22"/>
                <w:szCs w:val="22"/>
                <w:lang w:val="es-ES" w:eastAsia="en-US"/>
              </w:rPr>
              <w:t>L</w:t>
            </w:r>
            <w:r w:rsidRPr="00CD7C5E">
              <w:rPr>
                <w:sz w:val="22"/>
                <w:szCs w:val="22"/>
                <w:lang w:val="es-ES" w:eastAsia="en-US"/>
              </w:rPr>
              <w:t>td</w:t>
            </w:r>
          </w:p>
        </w:tc>
        <w:tc>
          <w:tcPr>
            <w:tcW w:w="1418" w:type="dxa"/>
          </w:tcPr>
          <w:p w14:paraId="740DBC31" w14:textId="77777777" w:rsidR="005E5C46" w:rsidRPr="00CD7C5E" w:rsidRDefault="005E5C46" w:rsidP="00ED483A">
            <w:pPr>
              <w:jc w:val="center"/>
              <w:rPr>
                <w:sz w:val="22"/>
                <w:szCs w:val="22"/>
                <w:lang w:val="es-ES" w:eastAsia="en-US"/>
              </w:rPr>
            </w:pPr>
            <w:r w:rsidRPr="00CD7C5E">
              <w:rPr>
                <w:sz w:val="22"/>
                <w:szCs w:val="22"/>
                <w:lang w:val="es-ES" w:eastAsia="en-US"/>
              </w:rPr>
              <w:t>1-2005</w:t>
            </w:r>
          </w:p>
        </w:tc>
        <w:tc>
          <w:tcPr>
            <w:tcW w:w="1275" w:type="dxa"/>
          </w:tcPr>
          <w:p w14:paraId="4DF987D4" w14:textId="77777777" w:rsidR="005E5C46" w:rsidRPr="00CD7C5E" w:rsidRDefault="005E5C46" w:rsidP="00ED483A">
            <w:pPr>
              <w:jc w:val="center"/>
              <w:rPr>
                <w:sz w:val="22"/>
                <w:szCs w:val="22"/>
                <w:lang w:val="es-ES" w:eastAsia="en-US"/>
              </w:rPr>
            </w:pPr>
            <w:r w:rsidRPr="00CD7C5E">
              <w:rPr>
                <w:sz w:val="22"/>
                <w:szCs w:val="22"/>
                <w:lang w:val="es-ES" w:eastAsia="en-US"/>
              </w:rPr>
              <w:t>28/3/2006</w:t>
            </w:r>
          </w:p>
        </w:tc>
        <w:tc>
          <w:tcPr>
            <w:tcW w:w="1134" w:type="dxa"/>
          </w:tcPr>
          <w:p w14:paraId="78DCBCBC" w14:textId="77777777" w:rsidR="005E5C46" w:rsidRPr="00CD7C5E" w:rsidRDefault="005E5C46" w:rsidP="00ED483A">
            <w:pPr>
              <w:jc w:val="center"/>
              <w:rPr>
                <w:sz w:val="22"/>
                <w:szCs w:val="22"/>
                <w:lang w:val="es-ES" w:eastAsia="en-US"/>
              </w:rPr>
            </w:pPr>
            <w:r w:rsidRPr="00CD7C5E">
              <w:rPr>
                <w:sz w:val="22"/>
                <w:szCs w:val="22"/>
                <w:lang w:val="es-ES" w:eastAsia="en-US"/>
              </w:rPr>
              <w:t>25 años</w:t>
            </w:r>
          </w:p>
        </w:tc>
      </w:tr>
      <w:bookmarkEnd w:id="394"/>
      <w:tr w:rsidR="005E5C46" w14:paraId="3BD7644B" w14:textId="77777777" w:rsidTr="00ED483A">
        <w:tc>
          <w:tcPr>
            <w:tcW w:w="5240" w:type="dxa"/>
          </w:tcPr>
          <w:p w14:paraId="3331D56C" w14:textId="77777777" w:rsidR="005E5C46" w:rsidRPr="00CD7C5E" w:rsidRDefault="005E5C46" w:rsidP="00ED483A">
            <w:pPr>
              <w:jc w:val="both"/>
              <w:rPr>
                <w:sz w:val="22"/>
                <w:szCs w:val="22"/>
                <w:lang w:val="es-ES" w:eastAsia="en-US"/>
              </w:rPr>
            </w:pPr>
            <w:r w:rsidRPr="00CD7C5E">
              <w:rPr>
                <w:sz w:val="22"/>
                <w:szCs w:val="22"/>
                <w:lang w:val="es-ES" w:eastAsia="en-US"/>
              </w:rPr>
              <w:t>City Peten, Sociedad de responsabilidad limitada</w:t>
            </w:r>
          </w:p>
        </w:tc>
        <w:tc>
          <w:tcPr>
            <w:tcW w:w="1418" w:type="dxa"/>
          </w:tcPr>
          <w:p w14:paraId="19D557B8" w14:textId="77777777" w:rsidR="005E5C46" w:rsidRPr="00CD7C5E" w:rsidRDefault="005E5C46" w:rsidP="00ED483A">
            <w:pPr>
              <w:jc w:val="center"/>
              <w:rPr>
                <w:sz w:val="22"/>
                <w:szCs w:val="22"/>
                <w:lang w:val="es-ES" w:eastAsia="en-US"/>
              </w:rPr>
            </w:pPr>
            <w:r w:rsidRPr="00CD7C5E">
              <w:rPr>
                <w:sz w:val="22"/>
                <w:szCs w:val="22"/>
                <w:lang w:val="es-ES" w:eastAsia="en-US"/>
              </w:rPr>
              <w:t>1-2011</w:t>
            </w:r>
          </w:p>
        </w:tc>
        <w:tc>
          <w:tcPr>
            <w:tcW w:w="1275" w:type="dxa"/>
          </w:tcPr>
          <w:p w14:paraId="2892EC43" w14:textId="77777777" w:rsidR="005E5C46" w:rsidRPr="00CD7C5E" w:rsidRDefault="005E5C46" w:rsidP="00ED483A">
            <w:pPr>
              <w:jc w:val="center"/>
              <w:rPr>
                <w:sz w:val="22"/>
                <w:szCs w:val="22"/>
                <w:lang w:val="es-ES" w:eastAsia="en-US"/>
              </w:rPr>
            </w:pPr>
            <w:r w:rsidRPr="00CD7C5E">
              <w:rPr>
                <w:sz w:val="22"/>
                <w:szCs w:val="22"/>
                <w:lang w:val="es-ES" w:eastAsia="en-US"/>
              </w:rPr>
              <w:t>27/8/2013</w:t>
            </w:r>
          </w:p>
        </w:tc>
        <w:tc>
          <w:tcPr>
            <w:tcW w:w="1134" w:type="dxa"/>
          </w:tcPr>
          <w:p w14:paraId="277E8595" w14:textId="77777777" w:rsidR="005E5C46" w:rsidRPr="00CD7C5E" w:rsidRDefault="005E5C46" w:rsidP="00ED483A">
            <w:pPr>
              <w:jc w:val="center"/>
              <w:rPr>
                <w:sz w:val="22"/>
                <w:szCs w:val="22"/>
                <w:lang w:val="es-ES" w:eastAsia="en-US"/>
              </w:rPr>
            </w:pPr>
            <w:r w:rsidRPr="00CD7C5E">
              <w:rPr>
                <w:sz w:val="22"/>
                <w:szCs w:val="22"/>
                <w:lang w:val="es-ES" w:eastAsia="en-US"/>
              </w:rPr>
              <w:t>25 años</w:t>
            </w:r>
          </w:p>
        </w:tc>
      </w:tr>
      <w:tr w:rsidR="005E5C46" w14:paraId="1B7595E8" w14:textId="77777777" w:rsidTr="00ED483A">
        <w:tc>
          <w:tcPr>
            <w:tcW w:w="5240" w:type="dxa"/>
          </w:tcPr>
          <w:p w14:paraId="512F6FCE" w14:textId="77777777" w:rsidR="005E5C46" w:rsidRPr="00CD7C5E" w:rsidRDefault="005E5C46" w:rsidP="00ED483A">
            <w:pPr>
              <w:jc w:val="both"/>
              <w:rPr>
                <w:sz w:val="22"/>
                <w:szCs w:val="22"/>
                <w:lang w:val="es-ES" w:eastAsia="en-US"/>
              </w:rPr>
            </w:pPr>
            <w:r>
              <w:rPr>
                <w:sz w:val="22"/>
                <w:szCs w:val="22"/>
                <w:lang w:val="es-ES" w:eastAsia="en-US"/>
              </w:rPr>
              <w:t>G</w:t>
            </w:r>
            <w:r w:rsidRPr="00CD7C5E">
              <w:rPr>
                <w:sz w:val="22"/>
                <w:szCs w:val="22"/>
                <w:lang w:val="es-ES" w:eastAsia="en-US"/>
              </w:rPr>
              <w:t xml:space="preserve">reenfields </w:t>
            </w:r>
            <w:r>
              <w:rPr>
                <w:sz w:val="22"/>
                <w:szCs w:val="22"/>
                <w:lang w:val="es-ES" w:eastAsia="en-US"/>
              </w:rPr>
              <w:t>P</w:t>
            </w:r>
            <w:r w:rsidRPr="00CD7C5E">
              <w:rPr>
                <w:sz w:val="22"/>
                <w:szCs w:val="22"/>
                <w:lang w:val="es-ES" w:eastAsia="en-US"/>
              </w:rPr>
              <w:t>etroleum (</w:t>
            </w:r>
            <w:r>
              <w:rPr>
                <w:sz w:val="22"/>
                <w:szCs w:val="22"/>
                <w:lang w:val="es-ES" w:eastAsia="en-US"/>
              </w:rPr>
              <w:t>G</w:t>
            </w:r>
            <w:r w:rsidRPr="00CD7C5E">
              <w:rPr>
                <w:sz w:val="22"/>
                <w:szCs w:val="22"/>
                <w:lang w:val="es-ES" w:eastAsia="en-US"/>
              </w:rPr>
              <w:t xml:space="preserve">uatemala) </w:t>
            </w:r>
            <w:r>
              <w:rPr>
                <w:sz w:val="22"/>
                <w:szCs w:val="22"/>
                <w:lang w:val="es-ES" w:eastAsia="en-US"/>
              </w:rPr>
              <w:t>L</w:t>
            </w:r>
            <w:r w:rsidRPr="00CD7C5E">
              <w:rPr>
                <w:sz w:val="22"/>
                <w:szCs w:val="22"/>
                <w:lang w:val="es-ES" w:eastAsia="en-US"/>
              </w:rPr>
              <w:t>imited</w:t>
            </w:r>
          </w:p>
        </w:tc>
        <w:tc>
          <w:tcPr>
            <w:tcW w:w="1418" w:type="dxa"/>
          </w:tcPr>
          <w:p w14:paraId="23E11485" w14:textId="77777777" w:rsidR="005E5C46" w:rsidRPr="00CD7C5E" w:rsidRDefault="005E5C46" w:rsidP="00ED483A">
            <w:pPr>
              <w:jc w:val="center"/>
              <w:rPr>
                <w:sz w:val="22"/>
                <w:szCs w:val="22"/>
                <w:lang w:val="es-ES" w:eastAsia="en-US"/>
              </w:rPr>
            </w:pPr>
            <w:r w:rsidRPr="00CD7C5E">
              <w:rPr>
                <w:sz w:val="22"/>
                <w:szCs w:val="22"/>
                <w:lang w:val="es-ES" w:eastAsia="en-US"/>
              </w:rPr>
              <w:t>2-2014</w:t>
            </w:r>
          </w:p>
        </w:tc>
        <w:tc>
          <w:tcPr>
            <w:tcW w:w="1275" w:type="dxa"/>
          </w:tcPr>
          <w:p w14:paraId="0CDCEE43" w14:textId="77777777" w:rsidR="005E5C46" w:rsidRPr="00CD7C5E" w:rsidRDefault="005E5C46" w:rsidP="00ED483A">
            <w:pPr>
              <w:jc w:val="center"/>
              <w:rPr>
                <w:sz w:val="22"/>
                <w:szCs w:val="22"/>
                <w:lang w:val="es-ES" w:eastAsia="en-US"/>
              </w:rPr>
            </w:pPr>
            <w:r w:rsidRPr="00CD7C5E">
              <w:rPr>
                <w:sz w:val="22"/>
                <w:szCs w:val="22"/>
                <w:lang w:val="es-ES" w:eastAsia="en-US"/>
              </w:rPr>
              <w:t>2/1/2015</w:t>
            </w:r>
          </w:p>
        </w:tc>
        <w:tc>
          <w:tcPr>
            <w:tcW w:w="1134" w:type="dxa"/>
          </w:tcPr>
          <w:p w14:paraId="12AD3FCF" w14:textId="77777777" w:rsidR="005E5C46" w:rsidRPr="00CD7C5E" w:rsidRDefault="005E5C46" w:rsidP="00ED483A">
            <w:pPr>
              <w:jc w:val="center"/>
              <w:rPr>
                <w:sz w:val="22"/>
                <w:szCs w:val="22"/>
                <w:lang w:val="es-ES" w:eastAsia="en-US"/>
              </w:rPr>
            </w:pPr>
            <w:r w:rsidRPr="00CD7C5E">
              <w:rPr>
                <w:sz w:val="22"/>
                <w:szCs w:val="22"/>
                <w:lang w:val="es-ES" w:eastAsia="en-US"/>
              </w:rPr>
              <w:t>25 años</w:t>
            </w:r>
          </w:p>
        </w:tc>
      </w:tr>
      <w:tr w:rsidR="005E5C46" w14:paraId="1D64005F" w14:textId="77777777" w:rsidTr="00ED483A">
        <w:tc>
          <w:tcPr>
            <w:tcW w:w="5240" w:type="dxa"/>
          </w:tcPr>
          <w:p w14:paraId="0904B77B" w14:textId="77777777" w:rsidR="005E5C46" w:rsidRPr="00CD7C5E" w:rsidRDefault="005E5C46" w:rsidP="00ED483A">
            <w:pPr>
              <w:jc w:val="both"/>
              <w:rPr>
                <w:sz w:val="22"/>
                <w:szCs w:val="22"/>
                <w:lang w:val="es-ES" w:eastAsia="en-US"/>
              </w:rPr>
            </w:pPr>
            <w:r>
              <w:rPr>
                <w:sz w:val="22"/>
                <w:szCs w:val="22"/>
                <w:lang w:val="es-ES" w:eastAsia="en-US"/>
              </w:rPr>
              <w:t>I</w:t>
            </w:r>
            <w:r w:rsidRPr="00CD7C5E">
              <w:rPr>
                <w:sz w:val="22"/>
                <w:szCs w:val="22"/>
                <w:lang w:val="es-ES" w:eastAsia="en-US"/>
              </w:rPr>
              <w:t xml:space="preserve">sland </w:t>
            </w:r>
            <w:r>
              <w:rPr>
                <w:sz w:val="22"/>
                <w:szCs w:val="22"/>
                <w:lang w:val="es-ES" w:eastAsia="en-US"/>
              </w:rPr>
              <w:t>O</w:t>
            </w:r>
            <w:r w:rsidRPr="00CD7C5E">
              <w:rPr>
                <w:sz w:val="22"/>
                <w:szCs w:val="22"/>
                <w:lang w:val="es-ES" w:eastAsia="en-US"/>
              </w:rPr>
              <w:t xml:space="preserve">il </w:t>
            </w:r>
            <w:r>
              <w:rPr>
                <w:sz w:val="22"/>
                <w:szCs w:val="22"/>
                <w:lang w:val="es-ES" w:eastAsia="en-US"/>
              </w:rPr>
              <w:t>E</w:t>
            </w:r>
            <w:r w:rsidRPr="00CD7C5E">
              <w:rPr>
                <w:sz w:val="22"/>
                <w:szCs w:val="22"/>
                <w:lang w:val="es-ES" w:eastAsia="en-US"/>
              </w:rPr>
              <w:t xml:space="preserve">xploration </w:t>
            </w:r>
            <w:r>
              <w:rPr>
                <w:sz w:val="22"/>
                <w:szCs w:val="22"/>
                <w:lang w:val="es-ES" w:eastAsia="en-US"/>
              </w:rPr>
              <w:t>S</w:t>
            </w:r>
            <w:r w:rsidRPr="00CD7C5E">
              <w:rPr>
                <w:sz w:val="22"/>
                <w:szCs w:val="22"/>
                <w:lang w:val="es-ES" w:eastAsia="en-US"/>
              </w:rPr>
              <w:t xml:space="preserve">ervices, </w:t>
            </w:r>
            <w:r>
              <w:rPr>
                <w:sz w:val="22"/>
                <w:szCs w:val="22"/>
                <w:lang w:val="es-ES" w:eastAsia="en-US"/>
              </w:rPr>
              <w:t>S</w:t>
            </w:r>
            <w:r w:rsidRPr="00CD7C5E">
              <w:rPr>
                <w:sz w:val="22"/>
                <w:szCs w:val="22"/>
                <w:lang w:val="es-ES" w:eastAsia="en-US"/>
              </w:rPr>
              <w:t xml:space="preserve">ociedad </w:t>
            </w:r>
            <w:r>
              <w:rPr>
                <w:sz w:val="22"/>
                <w:szCs w:val="22"/>
                <w:lang w:val="es-ES" w:eastAsia="en-US"/>
              </w:rPr>
              <w:t>A</w:t>
            </w:r>
            <w:r w:rsidRPr="00CD7C5E">
              <w:rPr>
                <w:sz w:val="22"/>
                <w:szCs w:val="22"/>
                <w:lang w:val="es-ES" w:eastAsia="en-US"/>
              </w:rPr>
              <w:t>nónima</w:t>
            </w:r>
          </w:p>
        </w:tc>
        <w:tc>
          <w:tcPr>
            <w:tcW w:w="1418" w:type="dxa"/>
          </w:tcPr>
          <w:p w14:paraId="14FFA721" w14:textId="77777777" w:rsidR="005E5C46" w:rsidRPr="00CD7C5E" w:rsidRDefault="005E5C46" w:rsidP="00ED483A">
            <w:pPr>
              <w:jc w:val="center"/>
              <w:rPr>
                <w:sz w:val="22"/>
                <w:szCs w:val="22"/>
                <w:lang w:val="es-ES" w:eastAsia="en-US"/>
              </w:rPr>
            </w:pPr>
            <w:r w:rsidRPr="00CD7C5E">
              <w:rPr>
                <w:sz w:val="22"/>
                <w:szCs w:val="22"/>
                <w:lang w:val="es-ES" w:eastAsia="en-US"/>
              </w:rPr>
              <w:t>1-15</w:t>
            </w:r>
          </w:p>
        </w:tc>
        <w:tc>
          <w:tcPr>
            <w:tcW w:w="1275" w:type="dxa"/>
          </w:tcPr>
          <w:p w14:paraId="2EBB4E5E" w14:textId="77777777" w:rsidR="005E5C46" w:rsidRPr="00CD7C5E" w:rsidRDefault="005E5C46" w:rsidP="00ED483A">
            <w:pPr>
              <w:jc w:val="center"/>
              <w:rPr>
                <w:sz w:val="22"/>
                <w:szCs w:val="22"/>
                <w:lang w:val="es-ES" w:eastAsia="en-US"/>
              </w:rPr>
            </w:pPr>
            <w:r w:rsidRPr="00CD7C5E">
              <w:rPr>
                <w:sz w:val="22"/>
                <w:szCs w:val="22"/>
                <w:lang w:val="es-ES" w:eastAsia="en-US"/>
              </w:rPr>
              <w:t>12/6/2015</w:t>
            </w:r>
          </w:p>
        </w:tc>
        <w:tc>
          <w:tcPr>
            <w:tcW w:w="1134" w:type="dxa"/>
          </w:tcPr>
          <w:p w14:paraId="62BA3A86" w14:textId="77777777" w:rsidR="005E5C46" w:rsidRPr="00CD7C5E" w:rsidRDefault="005E5C46" w:rsidP="00ED483A">
            <w:pPr>
              <w:jc w:val="center"/>
              <w:rPr>
                <w:sz w:val="22"/>
                <w:szCs w:val="22"/>
                <w:lang w:val="es-ES" w:eastAsia="en-US"/>
              </w:rPr>
            </w:pPr>
            <w:r>
              <w:rPr>
                <w:sz w:val="22"/>
                <w:szCs w:val="22"/>
                <w:lang w:val="es-ES" w:eastAsia="en-US"/>
              </w:rPr>
              <w:t>25 años</w:t>
            </w:r>
          </w:p>
        </w:tc>
      </w:tr>
      <w:tr w:rsidR="005E5C46" w14:paraId="5D695284" w14:textId="77777777" w:rsidTr="00ED483A">
        <w:tc>
          <w:tcPr>
            <w:tcW w:w="9067" w:type="dxa"/>
            <w:gridSpan w:val="4"/>
          </w:tcPr>
          <w:p w14:paraId="206F0040" w14:textId="77777777" w:rsidR="005E5C46" w:rsidRPr="00877C04" w:rsidRDefault="005E5C46" w:rsidP="00ED483A">
            <w:pPr>
              <w:jc w:val="center"/>
              <w:rPr>
                <w:i/>
                <w:iCs/>
                <w:sz w:val="22"/>
                <w:szCs w:val="22"/>
                <w:lang w:val="es-ES" w:eastAsia="en-US"/>
              </w:rPr>
            </w:pPr>
            <w:r w:rsidRPr="00877C04">
              <w:rPr>
                <w:b/>
                <w:bCs/>
                <w:i/>
                <w:iCs/>
                <w:sz w:val="22"/>
                <w:szCs w:val="22"/>
                <w:lang w:val="es-ES" w:eastAsia="en-US"/>
              </w:rPr>
              <w:t>Contra de explotación</w:t>
            </w:r>
            <w:r w:rsidRPr="00877C04">
              <w:rPr>
                <w:i/>
                <w:iCs/>
                <w:sz w:val="22"/>
                <w:szCs w:val="22"/>
                <w:lang w:val="es-ES" w:eastAsia="en-US"/>
              </w:rPr>
              <w:t xml:space="preserve"> </w:t>
            </w:r>
          </w:p>
        </w:tc>
      </w:tr>
      <w:tr w:rsidR="005E5C46" w14:paraId="18ADE979" w14:textId="77777777" w:rsidTr="00ED483A">
        <w:tc>
          <w:tcPr>
            <w:tcW w:w="5240" w:type="dxa"/>
          </w:tcPr>
          <w:p w14:paraId="2C8F85CB" w14:textId="77777777" w:rsidR="005E5C46" w:rsidRPr="00877C04" w:rsidRDefault="005E5C46" w:rsidP="00ED483A">
            <w:pPr>
              <w:jc w:val="both"/>
              <w:rPr>
                <w:b/>
                <w:bCs/>
                <w:lang w:val="es-ES" w:eastAsia="en-US"/>
              </w:rPr>
            </w:pPr>
            <w:r w:rsidRPr="00877C04">
              <w:rPr>
                <w:b/>
                <w:bCs/>
                <w:lang w:val="es-ES" w:eastAsia="en-US"/>
              </w:rPr>
              <w:t>Contratista</w:t>
            </w:r>
          </w:p>
        </w:tc>
        <w:tc>
          <w:tcPr>
            <w:tcW w:w="1418" w:type="dxa"/>
          </w:tcPr>
          <w:p w14:paraId="190C8F8B" w14:textId="77777777" w:rsidR="005E5C46" w:rsidRPr="00877C04" w:rsidRDefault="005E5C46" w:rsidP="00ED483A">
            <w:pPr>
              <w:jc w:val="both"/>
              <w:rPr>
                <w:b/>
                <w:bCs/>
                <w:lang w:val="es-ES" w:eastAsia="en-US"/>
              </w:rPr>
            </w:pPr>
            <w:r>
              <w:rPr>
                <w:b/>
                <w:bCs/>
                <w:lang w:val="es-ES" w:eastAsia="en-US"/>
              </w:rPr>
              <w:t>C</w:t>
            </w:r>
            <w:r w:rsidRPr="00877C04">
              <w:rPr>
                <w:b/>
                <w:bCs/>
                <w:lang w:val="es-ES" w:eastAsia="en-US"/>
              </w:rPr>
              <w:t>ontrato</w:t>
            </w:r>
          </w:p>
        </w:tc>
        <w:tc>
          <w:tcPr>
            <w:tcW w:w="1275" w:type="dxa"/>
          </w:tcPr>
          <w:p w14:paraId="11EB9653" w14:textId="77777777" w:rsidR="005E5C46" w:rsidRPr="00877C04" w:rsidRDefault="005E5C46" w:rsidP="00ED483A">
            <w:pPr>
              <w:jc w:val="both"/>
              <w:rPr>
                <w:b/>
                <w:bCs/>
                <w:lang w:val="es-ES" w:eastAsia="en-US"/>
              </w:rPr>
            </w:pPr>
            <w:r w:rsidRPr="00877C04">
              <w:rPr>
                <w:b/>
                <w:bCs/>
                <w:lang w:val="es-ES" w:eastAsia="en-US"/>
              </w:rPr>
              <w:t xml:space="preserve">Inicio </w:t>
            </w:r>
          </w:p>
        </w:tc>
        <w:tc>
          <w:tcPr>
            <w:tcW w:w="1134" w:type="dxa"/>
          </w:tcPr>
          <w:p w14:paraId="15F2A4EE" w14:textId="77777777" w:rsidR="005E5C46" w:rsidRPr="00877C04" w:rsidRDefault="005E5C46" w:rsidP="00ED483A">
            <w:pPr>
              <w:jc w:val="both"/>
              <w:rPr>
                <w:b/>
                <w:bCs/>
                <w:lang w:val="es-ES" w:eastAsia="en-US"/>
              </w:rPr>
            </w:pPr>
            <w:r w:rsidRPr="00877C04">
              <w:rPr>
                <w:b/>
                <w:bCs/>
                <w:lang w:val="es-ES" w:eastAsia="en-US"/>
              </w:rPr>
              <w:t xml:space="preserve">Vigencia </w:t>
            </w:r>
          </w:p>
        </w:tc>
      </w:tr>
      <w:tr w:rsidR="005E5C46" w14:paraId="600DA7C3" w14:textId="77777777" w:rsidTr="00ED483A">
        <w:tc>
          <w:tcPr>
            <w:tcW w:w="5240" w:type="dxa"/>
          </w:tcPr>
          <w:p w14:paraId="62E28479" w14:textId="77777777" w:rsidR="005E5C46" w:rsidRDefault="005E5C46" w:rsidP="00ED483A">
            <w:pPr>
              <w:jc w:val="both"/>
              <w:rPr>
                <w:sz w:val="22"/>
                <w:szCs w:val="22"/>
                <w:lang w:val="es-ES" w:eastAsia="en-US"/>
              </w:rPr>
            </w:pPr>
            <w:r>
              <w:rPr>
                <w:sz w:val="22"/>
                <w:szCs w:val="22"/>
                <w:lang w:val="es-ES" w:eastAsia="en-US"/>
              </w:rPr>
              <w:t>L</w:t>
            </w:r>
            <w:r w:rsidRPr="00737391">
              <w:rPr>
                <w:sz w:val="22"/>
                <w:szCs w:val="22"/>
                <w:lang w:val="es-ES" w:eastAsia="en-US"/>
              </w:rPr>
              <w:t xml:space="preserve">atin </w:t>
            </w:r>
            <w:r>
              <w:rPr>
                <w:sz w:val="22"/>
                <w:szCs w:val="22"/>
                <w:lang w:val="es-ES" w:eastAsia="en-US"/>
              </w:rPr>
              <w:t>A</w:t>
            </w:r>
            <w:r w:rsidRPr="00737391">
              <w:rPr>
                <w:sz w:val="22"/>
                <w:szCs w:val="22"/>
                <w:lang w:val="es-ES" w:eastAsia="en-US"/>
              </w:rPr>
              <w:t xml:space="preserve">merican </w:t>
            </w:r>
            <w:r>
              <w:rPr>
                <w:sz w:val="22"/>
                <w:szCs w:val="22"/>
                <w:lang w:val="es-ES" w:eastAsia="en-US"/>
              </w:rPr>
              <w:t>R</w:t>
            </w:r>
            <w:r w:rsidRPr="00737391">
              <w:rPr>
                <w:sz w:val="22"/>
                <w:szCs w:val="22"/>
                <w:lang w:val="es-ES" w:eastAsia="en-US"/>
              </w:rPr>
              <w:t xml:space="preserve">esources, </w:t>
            </w:r>
            <w:r>
              <w:rPr>
                <w:sz w:val="22"/>
                <w:szCs w:val="22"/>
                <w:lang w:val="es-ES" w:eastAsia="en-US"/>
              </w:rPr>
              <w:t>L</w:t>
            </w:r>
            <w:r w:rsidRPr="00737391">
              <w:rPr>
                <w:sz w:val="22"/>
                <w:szCs w:val="22"/>
                <w:lang w:val="es-ES" w:eastAsia="en-US"/>
              </w:rPr>
              <w:t>td</w:t>
            </w:r>
          </w:p>
        </w:tc>
        <w:tc>
          <w:tcPr>
            <w:tcW w:w="1418" w:type="dxa"/>
          </w:tcPr>
          <w:p w14:paraId="2700F4AB" w14:textId="77777777" w:rsidR="005E5C46" w:rsidRPr="00CD7C5E" w:rsidRDefault="005E5C46" w:rsidP="00ED483A">
            <w:pPr>
              <w:jc w:val="center"/>
              <w:rPr>
                <w:sz w:val="22"/>
                <w:szCs w:val="22"/>
                <w:lang w:val="es-ES" w:eastAsia="en-US"/>
              </w:rPr>
            </w:pPr>
            <w:r w:rsidRPr="00CD7C5E">
              <w:rPr>
                <w:sz w:val="22"/>
                <w:szCs w:val="22"/>
                <w:lang w:val="es-ES" w:eastAsia="en-US"/>
              </w:rPr>
              <w:t>1-2005</w:t>
            </w:r>
          </w:p>
        </w:tc>
        <w:tc>
          <w:tcPr>
            <w:tcW w:w="1275" w:type="dxa"/>
          </w:tcPr>
          <w:p w14:paraId="6AB70E5F" w14:textId="77777777" w:rsidR="005E5C46" w:rsidRPr="00CD7C5E" w:rsidRDefault="005E5C46" w:rsidP="00ED483A">
            <w:pPr>
              <w:jc w:val="center"/>
              <w:rPr>
                <w:sz w:val="22"/>
                <w:szCs w:val="22"/>
                <w:lang w:val="es-ES" w:eastAsia="en-US"/>
              </w:rPr>
            </w:pPr>
            <w:r w:rsidRPr="00CD7C5E">
              <w:rPr>
                <w:sz w:val="22"/>
                <w:szCs w:val="22"/>
                <w:lang w:val="es-ES" w:eastAsia="en-US"/>
              </w:rPr>
              <w:t>28/3/2006</w:t>
            </w:r>
          </w:p>
        </w:tc>
        <w:tc>
          <w:tcPr>
            <w:tcW w:w="1134" w:type="dxa"/>
          </w:tcPr>
          <w:p w14:paraId="0BAF52F1" w14:textId="77777777" w:rsidR="005E5C46" w:rsidRDefault="005E5C46" w:rsidP="00ED483A">
            <w:pPr>
              <w:jc w:val="center"/>
              <w:rPr>
                <w:sz w:val="22"/>
                <w:szCs w:val="22"/>
                <w:lang w:val="es-ES" w:eastAsia="en-US"/>
              </w:rPr>
            </w:pPr>
            <w:r w:rsidRPr="00CD7C5E">
              <w:rPr>
                <w:sz w:val="22"/>
                <w:szCs w:val="22"/>
                <w:lang w:val="es-ES" w:eastAsia="en-US"/>
              </w:rPr>
              <w:t>25 años</w:t>
            </w:r>
          </w:p>
        </w:tc>
      </w:tr>
      <w:tr w:rsidR="005E5C46" w14:paraId="01780C96" w14:textId="77777777" w:rsidTr="00ED483A">
        <w:tc>
          <w:tcPr>
            <w:tcW w:w="5240" w:type="dxa"/>
          </w:tcPr>
          <w:p w14:paraId="06E9D73C" w14:textId="77777777" w:rsidR="005E5C46" w:rsidRDefault="005E5C46" w:rsidP="00ED483A">
            <w:pPr>
              <w:jc w:val="both"/>
              <w:rPr>
                <w:sz w:val="22"/>
                <w:szCs w:val="22"/>
                <w:lang w:val="es-ES" w:eastAsia="en-US"/>
              </w:rPr>
            </w:pPr>
            <w:r>
              <w:rPr>
                <w:sz w:val="22"/>
                <w:szCs w:val="22"/>
                <w:lang w:val="es-ES" w:eastAsia="en-US"/>
              </w:rPr>
              <w:t>C</w:t>
            </w:r>
            <w:r w:rsidRPr="00737391">
              <w:rPr>
                <w:sz w:val="22"/>
                <w:szCs w:val="22"/>
                <w:lang w:val="es-ES" w:eastAsia="en-US"/>
              </w:rPr>
              <w:t xml:space="preserve">ity </w:t>
            </w:r>
            <w:r>
              <w:rPr>
                <w:sz w:val="22"/>
                <w:szCs w:val="22"/>
                <w:lang w:val="es-ES" w:eastAsia="en-US"/>
              </w:rPr>
              <w:t>P</w:t>
            </w:r>
            <w:r w:rsidRPr="00737391">
              <w:rPr>
                <w:sz w:val="22"/>
                <w:szCs w:val="22"/>
                <w:lang w:val="es-ES" w:eastAsia="en-US"/>
              </w:rPr>
              <w:t xml:space="preserve">eten, </w:t>
            </w:r>
            <w:r>
              <w:rPr>
                <w:sz w:val="22"/>
                <w:szCs w:val="22"/>
                <w:lang w:val="es-ES" w:eastAsia="en-US"/>
              </w:rPr>
              <w:t>S</w:t>
            </w:r>
            <w:r w:rsidRPr="00737391">
              <w:rPr>
                <w:sz w:val="22"/>
                <w:szCs w:val="22"/>
                <w:lang w:val="es-ES" w:eastAsia="en-US"/>
              </w:rPr>
              <w:t xml:space="preserve">ociedad de </w:t>
            </w:r>
            <w:r>
              <w:rPr>
                <w:sz w:val="22"/>
                <w:szCs w:val="22"/>
                <w:lang w:val="es-ES" w:eastAsia="en-US"/>
              </w:rPr>
              <w:t>R</w:t>
            </w:r>
            <w:r w:rsidRPr="00737391">
              <w:rPr>
                <w:sz w:val="22"/>
                <w:szCs w:val="22"/>
                <w:lang w:val="es-ES" w:eastAsia="en-US"/>
              </w:rPr>
              <w:t>esponsabilidad limitada</w:t>
            </w:r>
          </w:p>
        </w:tc>
        <w:tc>
          <w:tcPr>
            <w:tcW w:w="1418" w:type="dxa"/>
          </w:tcPr>
          <w:p w14:paraId="53F2C1C8" w14:textId="77777777" w:rsidR="005E5C46" w:rsidRPr="00CD7C5E" w:rsidRDefault="005E5C46" w:rsidP="00ED483A">
            <w:pPr>
              <w:jc w:val="center"/>
              <w:rPr>
                <w:sz w:val="22"/>
                <w:szCs w:val="22"/>
                <w:lang w:val="es-ES" w:eastAsia="en-US"/>
              </w:rPr>
            </w:pPr>
            <w:r w:rsidRPr="00737391">
              <w:rPr>
                <w:sz w:val="22"/>
                <w:szCs w:val="22"/>
                <w:lang w:val="es-ES" w:eastAsia="en-US"/>
              </w:rPr>
              <w:t>1-2006</w:t>
            </w:r>
          </w:p>
        </w:tc>
        <w:tc>
          <w:tcPr>
            <w:tcW w:w="1275" w:type="dxa"/>
          </w:tcPr>
          <w:p w14:paraId="2300FD36" w14:textId="77777777" w:rsidR="005E5C46" w:rsidRPr="00CD7C5E" w:rsidRDefault="005E5C46" w:rsidP="00ED483A">
            <w:pPr>
              <w:jc w:val="center"/>
              <w:rPr>
                <w:sz w:val="22"/>
                <w:szCs w:val="22"/>
                <w:lang w:val="es-ES" w:eastAsia="en-US"/>
              </w:rPr>
            </w:pPr>
            <w:r w:rsidRPr="00737391">
              <w:rPr>
                <w:sz w:val="22"/>
                <w:szCs w:val="22"/>
                <w:lang w:val="es-ES" w:eastAsia="en-US"/>
              </w:rPr>
              <w:t>20/9/2006</w:t>
            </w:r>
          </w:p>
        </w:tc>
        <w:tc>
          <w:tcPr>
            <w:tcW w:w="1134" w:type="dxa"/>
          </w:tcPr>
          <w:p w14:paraId="77FEB524" w14:textId="77777777" w:rsidR="005E5C46" w:rsidRDefault="005E5C46" w:rsidP="00ED483A">
            <w:pPr>
              <w:jc w:val="center"/>
              <w:rPr>
                <w:sz w:val="22"/>
                <w:szCs w:val="22"/>
                <w:lang w:val="es-ES" w:eastAsia="en-US"/>
              </w:rPr>
            </w:pPr>
            <w:r>
              <w:rPr>
                <w:sz w:val="22"/>
                <w:szCs w:val="22"/>
                <w:lang w:val="es-ES" w:eastAsia="en-US"/>
              </w:rPr>
              <w:t>25 años</w:t>
            </w:r>
          </w:p>
        </w:tc>
      </w:tr>
      <w:tr w:rsidR="005E5C46" w14:paraId="17FC53EB" w14:textId="77777777" w:rsidTr="00ED483A">
        <w:tc>
          <w:tcPr>
            <w:tcW w:w="5240" w:type="dxa"/>
          </w:tcPr>
          <w:p w14:paraId="7587762F" w14:textId="77777777" w:rsidR="005E5C46" w:rsidRDefault="005E5C46" w:rsidP="00ED483A">
            <w:pPr>
              <w:jc w:val="both"/>
              <w:rPr>
                <w:sz w:val="22"/>
                <w:szCs w:val="22"/>
                <w:lang w:val="es-ES" w:eastAsia="en-US"/>
              </w:rPr>
            </w:pPr>
            <w:r>
              <w:rPr>
                <w:sz w:val="22"/>
                <w:szCs w:val="22"/>
                <w:lang w:val="es-ES" w:eastAsia="en-US"/>
              </w:rPr>
              <w:t>E</w:t>
            </w:r>
            <w:r w:rsidRPr="00737391">
              <w:rPr>
                <w:sz w:val="22"/>
                <w:szCs w:val="22"/>
                <w:lang w:val="es-ES" w:eastAsia="en-US"/>
              </w:rPr>
              <w:t xml:space="preserve">mpresa </w:t>
            </w:r>
            <w:r>
              <w:rPr>
                <w:sz w:val="22"/>
                <w:szCs w:val="22"/>
                <w:lang w:val="es-ES" w:eastAsia="en-US"/>
              </w:rPr>
              <w:t>P</w:t>
            </w:r>
            <w:r w:rsidRPr="00737391">
              <w:rPr>
                <w:sz w:val="22"/>
                <w:szCs w:val="22"/>
                <w:lang w:val="es-ES" w:eastAsia="en-US"/>
              </w:rPr>
              <w:t xml:space="preserve">etrolera del </w:t>
            </w:r>
            <w:r>
              <w:rPr>
                <w:sz w:val="22"/>
                <w:szCs w:val="22"/>
                <w:lang w:val="es-ES" w:eastAsia="en-US"/>
              </w:rPr>
              <w:t>I</w:t>
            </w:r>
            <w:r w:rsidRPr="00737391">
              <w:rPr>
                <w:sz w:val="22"/>
                <w:szCs w:val="22"/>
                <w:lang w:val="es-ES" w:eastAsia="en-US"/>
              </w:rPr>
              <w:t xml:space="preserve">tsmo, </w:t>
            </w:r>
            <w:r>
              <w:rPr>
                <w:sz w:val="22"/>
                <w:szCs w:val="22"/>
                <w:lang w:val="es-ES" w:eastAsia="en-US"/>
              </w:rPr>
              <w:t>S</w:t>
            </w:r>
            <w:r w:rsidRPr="00737391">
              <w:rPr>
                <w:sz w:val="22"/>
                <w:szCs w:val="22"/>
                <w:lang w:val="es-ES" w:eastAsia="en-US"/>
              </w:rPr>
              <w:t xml:space="preserve">ociedad </w:t>
            </w:r>
            <w:r>
              <w:rPr>
                <w:sz w:val="22"/>
                <w:szCs w:val="22"/>
                <w:lang w:val="es-ES" w:eastAsia="en-US"/>
              </w:rPr>
              <w:t>A</w:t>
            </w:r>
            <w:r w:rsidRPr="00737391">
              <w:rPr>
                <w:sz w:val="22"/>
                <w:szCs w:val="22"/>
                <w:lang w:val="es-ES" w:eastAsia="en-US"/>
              </w:rPr>
              <w:t>nónima</w:t>
            </w:r>
          </w:p>
        </w:tc>
        <w:tc>
          <w:tcPr>
            <w:tcW w:w="1418" w:type="dxa"/>
          </w:tcPr>
          <w:p w14:paraId="68CDE2E8" w14:textId="77777777" w:rsidR="005E5C46" w:rsidRPr="00CD7C5E" w:rsidRDefault="005E5C46" w:rsidP="00ED483A">
            <w:pPr>
              <w:jc w:val="center"/>
              <w:rPr>
                <w:sz w:val="22"/>
                <w:szCs w:val="22"/>
                <w:lang w:val="es-ES" w:eastAsia="en-US"/>
              </w:rPr>
            </w:pPr>
            <w:r>
              <w:rPr>
                <w:sz w:val="22"/>
                <w:szCs w:val="22"/>
                <w:lang w:val="es-ES" w:eastAsia="en-US"/>
              </w:rPr>
              <w:t>2-2009</w:t>
            </w:r>
          </w:p>
        </w:tc>
        <w:tc>
          <w:tcPr>
            <w:tcW w:w="1275" w:type="dxa"/>
          </w:tcPr>
          <w:p w14:paraId="3D86D0FF" w14:textId="77777777" w:rsidR="005E5C46" w:rsidRPr="00CD7C5E" w:rsidRDefault="005E5C46" w:rsidP="00ED483A">
            <w:pPr>
              <w:jc w:val="center"/>
              <w:rPr>
                <w:sz w:val="22"/>
                <w:szCs w:val="22"/>
                <w:lang w:val="es-ES" w:eastAsia="en-US"/>
              </w:rPr>
            </w:pPr>
            <w:r w:rsidRPr="00737391">
              <w:rPr>
                <w:sz w:val="22"/>
                <w:szCs w:val="22"/>
                <w:lang w:val="es-ES" w:eastAsia="en-US"/>
              </w:rPr>
              <w:t>28/7/20092</w:t>
            </w:r>
          </w:p>
        </w:tc>
        <w:tc>
          <w:tcPr>
            <w:tcW w:w="1134" w:type="dxa"/>
          </w:tcPr>
          <w:p w14:paraId="780CA3FF" w14:textId="77777777" w:rsidR="005E5C46" w:rsidRDefault="005E5C46" w:rsidP="00ED483A">
            <w:pPr>
              <w:jc w:val="center"/>
              <w:rPr>
                <w:sz w:val="22"/>
                <w:szCs w:val="22"/>
                <w:lang w:val="es-ES" w:eastAsia="en-US"/>
              </w:rPr>
            </w:pPr>
            <w:r>
              <w:rPr>
                <w:sz w:val="22"/>
                <w:szCs w:val="22"/>
                <w:lang w:val="es-ES" w:eastAsia="en-US"/>
              </w:rPr>
              <w:t>25 años</w:t>
            </w:r>
          </w:p>
        </w:tc>
      </w:tr>
      <w:tr w:rsidR="005E5C46" w14:paraId="5E43F2C9" w14:textId="77777777" w:rsidTr="00ED483A">
        <w:tc>
          <w:tcPr>
            <w:tcW w:w="5240" w:type="dxa"/>
          </w:tcPr>
          <w:p w14:paraId="462C0F99" w14:textId="77777777" w:rsidR="005E5C46" w:rsidRDefault="005E5C46" w:rsidP="00ED483A">
            <w:pPr>
              <w:jc w:val="both"/>
              <w:rPr>
                <w:sz w:val="22"/>
                <w:szCs w:val="22"/>
                <w:lang w:val="es-ES" w:eastAsia="en-US"/>
              </w:rPr>
            </w:pPr>
            <w:r>
              <w:rPr>
                <w:sz w:val="22"/>
                <w:szCs w:val="22"/>
                <w:lang w:val="es-ES" w:eastAsia="en-US"/>
              </w:rPr>
              <w:t>P</w:t>
            </w:r>
            <w:r w:rsidRPr="00737391">
              <w:rPr>
                <w:sz w:val="22"/>
                <w:szCs w:val="22"/>
                <w:lang w:val="es-ES" w:eastAsia="en-US"/>
              </w:rPr>
              <w:t xml:space="preserve">erenco </w:t>
            </w:r>
            <w:r>
              <w:rPr>
                <w:sz w:val="22"/>
                <w:szCs w:val="22"/>
                <w:lang w:val="es-ES" w:eastAsia="en-US"/>
              </w:rPr>
              <w:t>G</w:t>
            </w:r>
            <w:r w:rsidRPr="00737391">
              <w:rPr>
                <w:sz w:val="22"/>
                <w:szCs w:val="22"/>
                <w:lang w:val="es-ES" w:eastAsia="en-US"/>
              </w:rPr>
              <w:t xml:space="preserve">uatemala </w:t>
            </w:r>
            <w:r>
              <w:rPr>
                <w:sz w:val="22"/>
                <w:szCs w:val="22"/>
                <w:lang w:val="es-ES" w:eastAsia="en-US"/>
              </w:rPr>
              <w:t>L</w:t>
            </w:r>
            <w:r w:rsidRPr="00737391">
              <w:rPr>
                <w:sz w:val="22"/>
                <w:szCs w:val="22"/>
                <w:lang w:val="es-ES" w:eastAsia="en-US"/>
              </w:rPr>
              <w:t>imited</w:t>
            </w:r>
          </w:p>
        </w:tc>
        <w:tc>
          <w:tcPr>
            <w:tcW w:w="1418" w:type="dxa"/>
          </w:tcPr>
          <w:p w14:paraId="235F4763" w14:textId="77777777" w:rsidR="005E5C46" w:rsidRPr="00CD7C5E" w:rsidRDefault="005E5C46" w:rsidP="00ED483A">
            <w:pPr>
              <w:jc w:val="center"/>
              <w:rPr>
                <w:sz w:val="22"/>
                <w:szCs w:val="22"/>
                <w:lang w:val="es-ES" w:eastAsia="en-US"/>
              </w:rPr>
            </w:pPr>
            <w:r>
              <w:rPr>
                <w:sz w:val="22"/>
                <w:szCs w:val="22"/>
                <w:lang w:val="es-ES" w:eastAsia="en-US"/>
              </w:rPr>
              <w:t>2-85</w:t>
            </w:r>
          </w:p>
        </w:tc>
        <w:tc>
          <w:tcPr>
            <w:tcW w:w="1275" w:type="dxa"/>
          </w:tcPr>
          <w:p w14:paraId="19425C89" w14:textId="77777777" w:rsidR="005E5C46" w:rsidRPr="00CD7C5E" w:rsidRDefault="005E5C46" w:rsidP="00ED483A">
            <w:pPr>
              <w:jc w:val="center"/>
              <w:rPr>
                <w:sz w:val="22"/>
                <w:szCs w:val="22"/>
                <w:lang w:val="es-ES" w:eastAsia="en-US"/>
              </w:rPr>
            </w:pPr>
            <w:r w:rsidRPr="00737391">
              <w:rPr>
                <w:sz w:val="22"/>
                <w:szCs w:val="22"/>
                <w:lang w:val="es-ES" w:eastAsia="en-US"/>
              </w:rPr>
              <w:t>13/8/2010</w:t>
            </w:r>
          </w:p>
        </w:tc>
        <w:tc>
          <w:tcPr>
            <w:tcW w:w="1134" w:type="dxa"/>
          </w:tcPr>
          <w:p w14:paraId="21E4B6C2" w14:textId="77777777" w:rsidR="005E5C46" w:rsidRDefault="005E5C46" w:rsidP="00ED483A">
            <w:pPr>
              <w:jc w:val="center"/>
              <w:rPr>
                <w:sz w:val="22"/>
                <w:szCs w:val="22"/>
                <w:lang w:val="es-ES" w:eastAsia="en-US"/>
              </w:rPr>
            </w:pPr>
            <w:r>
              <w:rPr>
                <w:sz w:val="22"/>
                <w:szCs w:val="22"/>
                <w:lang w:val="es-ES" w:eastAsia="en-US"/>
              </w:rPr>
              <w:t>15 años</w:t>
            </w:r>
          </w:p>
        </w:tc>
      </w:tr>
      <w:tr w:rsidR="005E5C46" w14:paraId="4ED35743" w14:textId="77777777" w:rsidTr="00ED483A">
        <w:tc>
          <w:tcPr>
            <w:tcW w:w="5240" w:type="dxa"/>
          </w:tcPr>
          <w:p w14:paraId="6FC5FFB4" w14:textId="77777777" w:rsidR="005E5C46" w:rsidRDefault="005E5C46" w:rsidP="00ED483A">
            <w:pPr>
              <w:jc w:val="both"/>
              <w:rPr>
                <w:sz w:val="22"/>
                <w:szCs w:val="22"/>
                <w:lang w:val="es-ES" w:eastAsia="en-US"/>
              </w:rPr>
            </w:pPr>
            <w:r>
              <w:rPr>
                <w:sz w:val="22"/>
                <w:szCs w:val="22"/>
                <w:lang w:val="es-ES" w:eastAsia="en-US"/>
              </w:rPr>
              <w:t>P</w:t>
            </w:r>
            <w:r w:rsidRPr="00737391">
              <w:rPr>
                <w:sz w:val="22"/>
                <w:szCs w:val="22"/>
                <w:lang w:val="es-ES" w:eastAsia="en-US"/>
              </w:rPr>
              <w:t xml:space="preserve">etro </w:t>
            </w:r>
            <w:r>
              <w:rPr>
                <w:sz w:val="22"/>
                <w:szCs w:val="22"/>
                <w:lang w:val="es-ES" w:eastAsia="en-US"/>
              </w:rPr>
              <w:t>E</w:t>
            </w:r>
            <w:r w:rsidRPr="00737391">
              <w:rPr>
                <w:sz w:val="22"/>
                <w:szCs w:val="22"/>
                <w:lang w:val="es-ES" w:eastAsia="en-US"/>
              </w:rPr>
              <w:t xml:space="preserve">nergy, </w:t>
            </w:r>
            <w:r>
              <w:rPr>
                <w:sz w:val="22"/>
                <w:szCs w:val="22"/>
                <w:lang w:val="es-ES" w:eastAsia="en-US"/>
              </w:rPr>
              <w:t>S</w:t>
            </w:r>
            <w:r w:rsidRPr="00737391">
              <w:rPr>
                <w:sz w:val="22"/>
                <w:szCs w:val="22"/>
                <w:lang w:val="es-ES" w:eastAsia="en-US"/>
              </w:rPr>
              <w:t>ociedad</w:t>
            </w:r>
            <w:r>
              <w:rPr>
                <w:sz w:val="22"/>
                <w:szCs w:val="22"/>
                <w:lang w:val="es-ES" w:eastAsia="en-US"/>
              </w:rPr>
              <w:t xml:space="preserve"> </w:t>
            </w:r>
            <w:r w:rsidRPr="00737391">
              <w:rPr>
                <w:sz w:val="22"/>
                <w:szCs w:val="22"/>
                <w:lang w:val="es-ES" w:eastAsia="en-US"/>
              </w:rPr>
              <w:t>a</w:t>
            </w:r>
            <w:r>
              <w:rPr>
                <w:sz w:val="22"/>
                <w:szCs w:val="22"/>
                <w:lang w:val="es-ES" w:eastAsia="en-US"/>
              </w:rPr>
              <w:t>n</w:t>
            </w:r>
            <w:r w:rsidRPr="00737391">
              <w:rPr>
                <w:sz w:val="22"/>
                <w:szCs w:val="22"/>
                <w:lang w:val="es-ES" w:eastAsia="en-US"/>
              </w:rPr>
              <w:t>ónima</w:t>
            </w:r>
          </w:p>
        </w:tc>
        <w:tc>
          <w:tcPr>
            <w:tcW w:w="1418" w:type="dxa"/>
          </w:tcPr>
          <w:p w14:paraId="19EF91CE" w14:textId="77777777" w:rsidR="005E5C46" w:rsidRPr="00CD7C5E" w:rsidRDefault="005E5C46" w:rsidP="00ED483A">
            <w:pPr>
              <w:jc w:val="center"/>
              <w:rPr>
                <w:sz w:val="22"/>
                <w:szCs w:val="22"/>
                <w:lang w:val="es-ES" w:eastAsia="en-US"/>
              </w:rPr>
            </w:pPr>
            <w:r>
              <w:rPr>
                <w:sz w:val="22"/>
                <w:szCs w:val="22"/>
                <w:lang w:val="es-ES" w:eastAsia="en-US"/>
              </w:rPr>
              <w:t>1-91</w:t>
            </w:r>
          </w:p>
        </w:tc>
        <w:tc>
          <w:tcPr>
            <w:tcW w:w="1275" w:type="dxa"/>
          </w:tcPr>
          <w:p w14:paraId="16B95797" w14:textId="77777777" w:rsidR="005E5C46" w:rsidRPr="00CD7C5E" w:rsidRDefault="005E5C46" w:rsidP="00ED483A">
            <w:pPr>
              <w:jc w:val="center"/>
              <w:rPr>
                <w:sz w:val="22"/>
                <w:szCs w:val="22"/>
                <w:lang w:val="es-ES" w:eastAsia="en-US"/>
              </w:rPr>
            </w:pPr>
            <w:r w:rsidRPr="00737391">
              <w:rPr>
                <w:sz w:val="22"/>
                <w:szCs w:val="22"/>
                <w:lang w:val="es-ES" w:eastAsia="en-US"/>
              </w:rPr>
              <w:t>13/12/2013</w:t>
            </w:r>
          </w:p>
        </w:tc>
        <w:tc>
          <w:tcPr>
            <w:tcW w:w="1134" w:type="dxa"/>
          </w:tcPr>
          <w:p w14:paraId="5F6207D5" w14:textId="77777777" w:rsidR="005E5C46" w:rsidRDefault="005E5C46" w:rsidP="00ED483A">
            <w:pPr>
              <w:jc w:val="center"/>
              <w:rPr>
                <w:sz w:val="22"/>
                <w:szCs w:val="22"/>
                <w:lang w:val="es-ES" w:eastAsia="en-US"/>
              </w:rPr>
            </w:pPr>
            <w:r>
              <w:rPr>
                <w:sz w:val="22"/>
                <w:szCs w:val="22"/>
                <w:lang w:val="es-ES" w:eastAsia="en-US"/>
              </w:rPr>
              <w:t>15 años</w:t>
            </w:r>
          </w:p>
        </w:tc>
      </w:tr>
    </w:tbl>
    <w:p w14:paraId="1CC779DD" w14:textId="77777777" w:rsidR="005E5C46" w:rsidRDefault="005E5C46" w:rsidP="005E5C46">
      <w:pPr>
        <w:jc w:val="both"/>
        <w:rPr>
          <w:rFonts w:eastAsia="Times New Roman"/>
          <w:sz w:val="16"/>
          <w:szCs w:val="16"/>
          <w:lang w:val="es-ES"/>
        </w:rPr>
      </w:pPr>
      <w:r w:rsidRPr="00CD7C5E">
        <w:rPr>
          <w:rFonts w:eastAsia="Times New Roman"/>
          <w:sz w:val="16"/>
          <w:szCs w:val="16"/>
          <w:lang w:val="es-ES"/>
        </w:rPr>
        <w:t xml:space="preserve">Fuente: datos de Revista Hidrocarburos Segundo trimestre, MEM 2021 </w:t>
      </w:r>
    </w:p>
    <w:p w14:paraId="2B9AC291" w14:textId="77777777" w:rsidR="005E5C46" w:rsidRPr="00CD7C5E" w:rsidRDefault="005E5C46" w:rsidP="005E5C46">
      <w:pPr>
        <w:jc w:val="both"/>
        <w:rPr>
          <w:rFonts w:eastAsia="Times New Roman"/>
          <w:sz w:val="16"/>
          <w:szCs w:val="16"/>
          <w:lang w:val="es-ES"/>
        </w:rPr>
      </w:pPr>
    </w:p>
    <w:p w14:paraId="6B26FFC0" w14:textId="77777777" w:rsidR="005E5C46" w:rsidRDefault="005E5C46" w:rsidP="005E5C46">
      <w:pPr>
        <w:jc w:val="both"/>
        <w:rPr>
          <w:rFonts w:eastAsia="Times New Roman"/>
          <w:lang w:val="es-ES"/>
        </w:rPr>
      </w:pPr>
      <w:r>
        <w:rPr>
          <w:rFonts w:eastAsia="Times New Roman"/>
          <w:lang w:val="es-ES"/>
        </w:rPr>
        <w:t xml:space="preserve">Dichos contratos se encuentran ubicados específicamente en la </w:t>
      </w:r>
      <w:r w:rsidRPr="00CD7C5E">
        <w:rPr>
          <w:rFonts w:eastAsia="Times New Roman"/>
          <w:lang w:val="es-ES"/>
        </w:rPr>
        <w:t>región norte de Guatemala</w:t>
      </w:r>
      <w:r>
        <w:rPr>
          <w:rFonts w:eastAsia="Times New Roman"/>
          <w:lang w:val="es-ES"/>
        </w:rPr>
        <w:t xml:space="preserve">, en los </w:t>
      </w:r>
      <w:r w:rsidRPr="00CD7C5E">
        <w:rPr>
          <w:rFonts w:eastAsia="Times New Roman"/>
          <w:lang w:val="es-ES"/>
        </w:rPr>
        <w:t xml:space="preserve">departamentos de Petén, Alta Verapaz, Quiché </w:t>
      </w:r>
      <w:r>
        <w:rPr>
          <w:rFonts w:eastAsia="Times New Roman"/>
          <w:lang w:val="es-ES"/>
        </w:rPr>
        <w:t>e Izabal</w:t>
      </w:r>
      <w:r w:rsidRPr="00CD7C5E">
        <w:rPr>
          <w:rFonts w:eastAsia="Times New Roman"/>
          <w:lang w:val="es-ES"/>
        </w:rPr>
        <w:t>.</w:t>
      </w:r>
    </w:p>
    <w:p w14:paraId="522E691A" w14:textId="3613908F" w:rsidR="005E5C46" w:rsidRDefault="005E5C46" w:rsidP="005E5C46">
      <w:pPr>
        <w:jc w:val="both"/>
        <w:rPr>
          <w:rFonts w:eastAsia="Times New Roman"/>
          <w:lang w:val="es-ES"/>
        </w:rPr>
      </w:pPr>
    </w:p>
    <w:p w14:paraId="279D9458" w14:textId="38A5CD51" w:rsidR="003C6336" w:rsidRDefault="003C6336" w:rsidP="005E5C46">
      <w:pPr>
        <w:jc w:val="both"/>
        <w:rPr>
          <w:rFonts w:eastAsia="Times New Roman"/>
          <w:lang w:val="es-ES"/>
        </w:rPr>
      </w:pPr>
    </w:p>
    <w:p w14:paraId="4BC273DE" w14:textId="56F36ED7" w:rsidR="003C6336" w:rsidRDefault="003C6336" w:rsidP="005E5C46">
      <w:pPr>
        <w:jc w:val="both"/>
        <w:rPr>
          <w:rFonts w:eastAsia="Times New Roman"/>
          <w:lang w:val="es-ES"/>
        </w:rPr>
      </w:pPr>
    </w:p>
    <w:p w14:paraId="53F02025" w14:textId="09EB72D4" w:rsidR="003C6336" w:rsidRDefault="003C6336" w:rsidP="005E5C46">
      <w:pPr>
        <w:jc w:val="both"/>
        <w:rPr>
          <w:rFonts w:eastAsia="Times New Roman"/>
          <w:lang w:val="es-ES"/>
        </w:rPr>
      </w:pPr>
    </w:p>
    <w:p w14:paraId="28A0E0C5" w14:textId="0F1628CF" w:rsidR="003C6336" w:rsidRDefault="003C6336" w:rsidP="005E5C46">
      <w:pPr>
        <w:jc w:val="both"/>
        <w:rPr>
          <w:rFonts w:eastAsia="Times New Roman"/>
          <w:lang w:val="es-ES"/>
        </w:rPr>
      </w:pPr>
    </w:p>
    <w:p w14:paraId="602842FF" w14:textId="05C574CC" w:rsidR="003C6336" w:rsidRDefault="003C6336" w:rsidP="005E5C46">
      <w:pPr>
        <w:jc w:val="both"/>
        <w:rPr>
          <w:rFonts w:eastAsia="Times New Roman"/>
          <w:lang w:val="es-ES"/>
        </w:rPr>
      </w:pPr>
    </w:p>
    <w:p w14:paraId="031E6B03" w14:textId="630BE0FC" w:rsidR="003C6336" w:rsidRDefault="003C6336" w:rsidP="005E5C46">
      <w:pPr>
        <w:jc w:val="both"/>
        <w:rPr>
          <w:rFonts w:eastAsia="Times New Roman"/>
          <w:lang w:val="es-ES"/>
        </w:rPr>
      </w:pPr>
    </w:p>
    <w:p w14:paraId="59C2FDD6" w14:textId="16282D9C" w:rsidR="003C6336" w:rsidRDefault="003C6336" w:rsidP="005E5C46">
      <w:pPr>
        <w:jc w:val="both"/>
        <w:rPr>
          <w:rFonts w:eastAsia="Times New Roman"/>
          <w:lang w:val="es-ES"/>
        </w:rPr>
      </w:pPr>
    </w:p>
    <w:p w14:paraId="1E6A7EC2" w14:textId="20A0609A" w:rsidR="003C6336" w:rsidRDefault="003C6336" w:rsidP="005E5C46">
      <w:pPr>
        <w:jc w:val="both"/>
        <w:rPr>
          <w:rFonts w:eastAsia="Times New Roman"/>
          <w:lang w:val="es-ES"/>
        </w:rPr>
      </w:pPr>
    </w:p>
    <w:p w14:paraId="43A6B715" w14:textId="77777777" w:rsidR="003C6336" w:rsidRDefault="003C6336" w:rsidP="005E5C46">
      <w:pPr>
        <w:jc w:val="both"/>
        <w:rPr>
          <w:rFonts w:eastAsia="Times New Roman"/>
          <w:lang w:val="es-ES"/>
        </w:rPr>
      </w:pPr>
    </w:p>
    <w:p w14:paraId="5982EA21" w14:textId="0A01761D" w:rsidR="005E5C46" w:rsidRPr="00733C4F" w:rsidRDefault="00733C4F" w:rsidP="00733C4F">
      <w:pPr>
        <w:pStyle w:val="Descripcin"/>
        <w:keepNext/>
        <w:jc w:val="both"/>
      </w:pPr>
      <w:bookmarkStart w:id="395" w:name="_Toc114493923"/>
      <w:r w:rsidRPr="00733C4F">
        <w:rPr>
          <w:color w:val="auto"/>
        </w:rPr>
        <w:t xml:space="preserve">Gráfico </w:t>
      </w:r>
      <w:r w:rsidRPr="00733C4F">
        <w:rPr>
          <w:color w:val="auto"/>
        </w:rPr>
        <w:fldChar w:fldCharType="begin"/>
      </w:r>
      <w:r w:rsidRPr="00733C4F">
        <w:rPr>
          <w:color w:val="auto"/>
        </w:rPr>
        <w:instrText xml:space="preserve"> SEQ Gráfico \* ARABIC </w:instrText>
      </w:r>
      <w:r w:rsidRPr="00733C4F">
        <w:rPr>
          <w:color w:val="auto"/>
        </w:rPr>
        <w:fldChar w:fldCharType="separate"/>
      </w:r>
      <w:r w:rsidR="002E7809">
        <w:rPr>
          <w:noProof/>
          <w:color w:val="auto"/>
        </w:rPr>
        <w:t>81</w:t>
      </w:r>
      <w:r w:rsidRPr="00733C4F">
        <w:rPr>
          <w:color w:val="auto"/>
        </w:rPr>
        <w:fldChar w:fldCharType="end"/>
      </w:r>
      <w:r w:rsidRPr="00733C4F">
        <w:rPr>
          <w:color w:val="auto"/>
        </w:rPr>
        <w:t xml:space="preserve">.  </w:t>
      </w:r>
      <w:r w:rsidR="005E5C46" w:rsidRPr="00733C4F">
        <w:rPr>
          <w:rFonts w:eastAsia="Times New Roman"/>
          <w:bCs/>
          <w:color w:val="auto"/>
          <w:lang w:val="es-ES"/>
        </w:rPr>
        <w:t>Mapa de ubicación de los contratos de operaciones petroleras de exploración y explotación vigentes a junio de 2021.</w:t>
      </w:r>
      <w:bookmarkEnd w:id="395"/>
    </w:p>
    <w:p w14:paraId="0E5CCC1B" w14:textId="77777777" w:rsidR="005E5C46" w:rsidRPr="00CD7C5E" w:rsidRDefault="005E5C46" w:rsidP="005E5C46">
      <w:pPr>
        <w:jc w:val="both"/>
        <w:rPr>
          <w:rFonts w:eastAsia="Times New Roman"/>
          <w:lang w:val="es-ES"/>
        </w:rPr>
      </w:pPr>
    </w:p>
    <w:p w14:paraId="190EF2AA" w14:textId="77777777" w:rsidR="005E5C46" w:rsidRDefault="005E5C46" w:rsidP="005E5C46">
      <w:pPr>
        <w:jc w:val="center"/>
        <w:rPr>
          <w:rFonts w:eastAsia="Times New Roman"/>
          <w:sz w:val="22"/>
          <w:szCs w:val="22"/>
          <w:lang w:val="es-ES"/>
        </w:rPr>
      </w:pPr>
      <w:r>
        <w:rPr>
          <w:rFonts w:eastAsia="Times New Roman"/>
          <w:noProof/>
          <w:sz w:val="22"/>
          <w:szCs w:val="22"/>
          <w:lang w:eastAsia="es-GT"/>
        </w:rPr>
        <w:drawing>
          <wp:inline distT="0" distB="0" distL="0" distR="0" wp14:anchorId="4667992A" wp14:editId="0F6BB3CE">
            <wp:extent cx="5279666" cy="3657177"/>
            <wp:effectExtent l="0" t="0" r="0" b="635"/>
            <wp:docPr id="68" name="Imagen 6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Diagrama, Dibujo de ingeniería&#10;&#10;Descripción generada automáticament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89483" cy="3663977"/>
                    </a:xfrm>
                    <a:prstGeom prst="rect">
                      <a:avLst/>
                    </a:prstGeom>
                    <a:noFill/>
                    <a:ln>
                      <a:noFill/>
                    </a:ln>
                  </pic:spPr>
                </pic:pic>
              </a:graphicData>
            </a:graphic>
          </wp:inline>
        </w:drawing>
      </w:r>
    </w:p>
    <w:p w14:paraId="6D8028D7" w14:textId="77777777" w:rsidR="005E5C46" w:rsidRPr="00077D95" w:rsidRDefault="005E5C46" w:rsidP="005E5C46">
      <w:pPr>
        <w:rPr>
          <w:rFonts w:eastAsia="Times New Roman"/>
          <w:sz w:val="16"/>
          <w:szCs w:val="16"/>
          <w:lang w:val="es-ES"/>
        </w:rPr>
      </w:pPr>
      <w:r w:rsidRPr="00CD7C5E">
        <w:rPr>
          <w:rFonts w:eastAsia="Times New Roman"/>
          <w:sz w:val="16"/>
          <w:szCs w:val="16"/>
          <w:lang w:val="es-ES"/>
        </w:rPr>
        <w:t>Fuente: Fuente: datos de Revista Hidrocarburos Segundo trimestre, MEM 2021</w:t>
      </w:r>
    </w:p>
    <w:p w14:paraId="68ABAC13" w14:textId="77777777" w:rsidR="005E5C46" w:rsidRDefault="005E5C46" w:rsidP="005E5C46">
      <w:pPr>
        <w:rPr>
          <w:rFonts w:eastAsia="Times New Roman"/>
          <w:lang w:val="es-ES"/>
        </w:rPr>
      </w:pPr>
    </w:p>
    <w:p w14:paraId="1CF54B5E" w14:textId="4E382CC2" w:rsidR="005E5C46" w:rsidRPr="00D06328" w:rsidRDefault="005E5C46" w:rsidP="005E5C46">
      <w:pPr>
        <w:jc w:val="both"/>
        <w:rPr>
          <w:rFonts w:eastAsia="Times New Roman"/>
          <w:sz w:val="22"/>
          <w:szCs w:val="22"/>
          <w:lang w:val="es-ES"/>
        </w:rPr>
      </w:pPr>
      <w:r>
        <w:rPr>
          <w:rFonts w:eastAsia="Times New Roman"/>
          <w:lang w:val="es-ES"/>
        </w:rPr>
        <w:t xml:space="preserve">La importancia fiscal de la minería </w:t>
      </w:r>
      <w:r w:rsidRPr="00077D95">
        <w:rPr>
          <w:rFonts w:eastAsia="Times New Roman"/>
          <w:lang w:val="es-ES"/>
        </w:rPr>
        <w:t>es</w:t>
      </w:r>
      <w:r>
        <w:rPr>
          <w:rFonts w:eastAsia="Times New Roman"/>
          <w:lang w:val="es-ES"/>
        </w:rPr>
        <w:t>tá</w:t>
      </w:r>
      <w:r w:rsidRPr="00077D95">
        <w:rPr>
          <w:rFonts w:eastAsia="Times New Roman"/>
          <w:lang w:val="es-ES"/>
        </w:rPr>
        <w:t xml:space="preserve"> relacionada con los ingresos provenientes </w:t>
      </w:r>
      <w:r>
        <w:rPr>
          <w:rFonts w:eastAsia="Times New Roman"/>
          <w:lang w:val="es-ES"/>
        </w:rPr>
        <w:t>d</w:t>
      </w:r>
      <w:r w:rsidRPr="00077D95">
        <w:rPr>
          <w:rFonts w:eastAsia="Times New Roman"/>
          <w:lang w:val="es-ES"/>
        </w:rPr>
        <w:t xml:space="preserve">el pago </w:t>
      </w:r>
      <w:r>
        <w:rPr>
          <w:rFonts w:eastAsia="Times New Roman"/>
          <w:lang w:val="es-ES"/>
        </w:rPr>
        <w:t xml:space="preserve">de </w:t>
      </w:r>
      <w:r w:rsidRPr="00077D95">
        <w:rPr>
          <w:rFonts w:eastAsia="Times New Roman"/>
          <w:lang w:val="es-ES"/>
        </w:rPr>
        <w:t>regalías</w:t>
      </w:r>
      <w:r>
        <w:rPr>
          <w:rFonts w:eastAsia="Times New Roman"/>
          <w:lang w:val="es-ES"/>
        </w:rPr>
        <w:t xml:space="preserve">, la </w:t>
      </w:r>
      <w:r w:rsidRPr="00077D95">
        <w:rPr>
          <w:rFonts w:eastAsia="Times New Roman"/>
          <w:lang w:val="es-ES"/>
        </w:rPr>
        <w:t xml:space="preserve">participación </w:t>
      </w:r>
      <w:r>
        <w:rPr>
          <w:rFonts w:eastAsia="Times New Roman"/>
          <w:lang w:val="es-ES"/>
        </w:rPr>
        <w:t>del Estado</w:t>
      </w:r>
      <w:r w:rsidRPr="00077D95">
        <w:rPr>
          <w:rFonts w:eastAsia="Times New Roman"/>
          <w:lang w:val="es-ES"/>
        </w:rPr>
        <w:t xml:space="preserve"> en la producción petrolera</w:t>
      </w:r>
      <w:r>
        <w:rPr>
          <w:rFonts w:eastAsia="Times New Roman"/>
          <w:lang w:val="es-ES"/>
        </w:rPr>
        <w:t xml:space="preserve"> y </w:t>
      </w:r>
      <w:r w:rsidRPr="00077D95">
        <w:rPr>
          <w:rFonts w:eastAsia="Times New Roman"/>
          <w:lang w:val="es-ES"/>
        </w:rPr>
        <w:t xml:space="preserve">los demás ingresos </w:t>
      </w:r>
      <w:r>
        <w:rPr>
          <w:rFonts w:eastAsia="Times New Roman"/>
          <w:lang w:val="es-ES"/>
        </w:rPr>
        <w:t xml:space="preserve">que provienen de </w:t>
      </w:r>
      <w:r w:rsidRPr="00077D95">
        <w:rPr>
          <w:rFonts w:eastAsia="Times New Roman"/>
          <w:lang w:val="es-ES"/>
        </w:rPr>
        <w:t xml:space="preserve">contratos de operaciones petroleras y mineras </w:t>
      </w:r>
      <w:r>
        <w:rPr>
          <w:rFonts w:eastAsia="Times New Roman"/>
          <w:lang w:val="es-ES"/>
        </w:rPr>
        <w:t>que se ven reflejados</w:t>
      </w:r>
      <w:r w:rsidRPr="00077D95">
        <w:rPr>
          <w:rFonts w:eastAsia="Times New Roman"/>
          <w:lang w:val="es-ES"/>
        </w:rPr>
        <w:t xml:space="preserve"> en la Ley de Hidrocarburos y su reglamento</w:t>
      </w:r>
      <w:r>
        <w:rPr>
          <w:rFonts w:eastAsia="Times New Roman"/>
          <w:lang w:val="es-ES"/>
        </w:rPr>
        <w:t xml:space="preserve"> y la </w:t>
      </w:r>
      <w:r w:rsidRPr="00077D95">
        <w:rPr>
          <w:rFonts w:eastAsia="Times New Roman"/>
          <w:lang w:val="es-ES"/>
        </w:rPr>
        <w:t xml:space="preserve">Ley del Fondo para el Desarrollo Económico de la Nación (FONPETROL) y su reglamento. </w:t>
      </w:r>
      <w:r>
        <w:rPr>
          <w:rFonts w:eastAsia="Times New Roman"/>
          <w:lang w:val="es-ES"/>
        </w:rPr>
        <w:t xml:space="preserve">Tanto la actividad petrolera como minera en el país, impacta de forma directa a la economía nacional, por un lado, a la inversión que contribuye al dinamismo del crecimiento económico y favorece al desarrollo de las diferentes regiones del interior del país. Por otro lado, el uso de recursos naturales no renovables sufre de agotamiento, tomando en cuenta que los recursos no renovables son escasos, si no se tienen planes y estrategias sostenibles causará un incremento en la presión sobre dichos recursos impactando en los sectores que se benefician de ellos. </w:t>
      </w:r>
      <w:r w:rsidR="001E76F5" w:rsidRPr="001E76F5">
        <w:rPr>
          <w:rFonts w:eastAsia="Times New Roman"/>
          <w:lang w:val="es-ES"/>
        </w:rPr>
        <w:t xml:space="preserve">Además, la degradación medioambiental, está intensificando la competencia por utilizar recursos cada vez más escasos. Ya sea por separado o en conjunto, </w:t>
      </w:r>
      <w:r w:rsidR="001E76F5">
        <w:rPr>
          <w:rFonts w:eastAsia="Times New Roman"/>
          <w:lang w:val="es-ES"/>
        </w:rPr>
        <w:t xml:space="preserve">con </w:t>
      </w:r>
      <w:r w:rsidR="001E76F5" w:rsidRPr="001E76F5">
        <w:rPr>
          <w:rFonts w:eastAsia="Times New Roman"/>
          <w:lang w:val="es-ES"/>
        </w:rPr>
        <w:t>los factores políticos, económicos y sociales, el agotamiento de los recursos renovables puede desequilibrar los medios de subsistencia de la población y afectar de manera negativa a los ecosistemas.</w:t>
      </w:r>
    </w:p>
    <w:p w14:paraId="1F19A55C" w14:textId="77777777" w:rsidR="00265DBD" w:rsidRPr="005E5C46" w:rsidRDefault="00265DBD" w:rsidP="00265DBD">
      <w:pPr>
        <w:jc w:val="both"/>
        <w:rPr>
          <w:lang w:val="es-ES"/>
        </w:rPr>
      </w:pPr>
    </w:p>
    <w:sectPr w:rsidR="00265DBD" w:rsidRPr="005E5C46" w:rsidSect="00D76471">
      <w:footerReference w:type="default" r:id="rId123"/>
      <w:type w:val="continuous"/>
      <w:pgSz w:w="12240" w:h="15840" w:code="1"/>
      <w:pgMar w:top="1417" w:right="1701" w:bottom="1417" w:left="1701" w:header="397" w:footer="59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45BB1" w14:textId="77777777" w:rsidR="007F196D" w:rsidRDefault="007F196D">
      <w:r>
        <w:separator/>
      </w:r>
    </w:p>
  </w:endnote>
  <w:endnote w:type="continuationSeparator" w:id="0">
    <w:p w14:paraId="241E0B5C" w14:textId="77777777" w:rsidR="007F196D" w:rsidRDefault="007F1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dada">
    <w:altName w:val="Cambria"/>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OptimaLTStd">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192660"/>
      <w:docPartObj>
        <w:docPartGallery w:val="Page Numbers (Bottom of Page)"/>
        <w:docPartUnique/>
      </w:docPartObj>
    </w:sdtPr>
    <w:sdtEndPr/>
    <w:sdtContent>
      <w:p w14:paraId="23413EB8" w14:textId="2081BC58" w:rsidR="00E03465" w:rsidRDefault="00E03465">
        <w:pPr>
          <w:pStyle w:val="Piedepgina"/>
          <w:jc w:val="right"/>
        </w:pPr>
        <w:r>
          <w:fldChar w:fldCharType="begin"/>
        </w:r>
        <w:r>
          <w:instrText>PAGE   \* MERGEFORMAT</w:instrText>
        </w:r>
        <w:r>
          <w:fldChar w:fldCharType="separate"/>
        </w:r>
        <w:r w:rsidRPr="0046566D">
          <w:rPr>
            <w:noProof/>
            <w:lang w:val="es-ES"/>
          </w:rPr>
          <w:t>8</w:t>
        </w:r>
        <w:r>
          <w:fldChar w:fldCharType="end"/>
        </w:r>
      </w:p>
    </w:sdtContent>
  </w:sdt>
  <w:p w14:paraId="248D6EEB" w14:textId="77777777" w:rsidR="00E03465" w:rsidRDefault="00E03465">
    <w:pPr>
      <w:pStyle w:val="Piedepgina"/>
    </w:pPr>
  </w:p>
  <w:p w14:paraId="3E6EA87C" w14:textId="77777777" w:rsidR="00E03465" w:rsidRDefault="00E0346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948318"/>
      <w:docPartObj>
        <w:docPartGallery w:val="Page Numbers (Bottom of Page)"/>
        <w:docPartUnique/>
      </w:docPartObj>
    </w:sdtPr>
    <w:sdtEndPr>
      <w:rPr>
        <w:i/>
        <w:color w:val="7F7F7F" w:themeColor="background1" w:themeShade="7F"/>
        <w:spacing w:val="60"/>
        <w:sz w:val="20"/>
        <w:lang w:val="es-ES"/>
      </w:rPr>
    </w:sdtEndPr>
    <w:sdtContent>
      <w:p w14:paraId="2B836CAA" w14:textId="09ABF635" w:rsidR="00E03465" w:rsidRPr="0046566D" w:rsidRDefault="00E03465">
        <w:pPr>
          <w:pStyle w:val="Piedepgina"/>
          <w:pBdr>
            <w:top w:val="single" w:sz="4" w:space="1" w:color="D9D9D9" w:themeColor="background1" w:themeShade="D9"/>
          </w:pBdr>
          <w:jc w:val="right"/>
          <w:rPr>
            <w:i/>
            <w:sz w:val="20"/>
          </w:rPr>
        </w:pPr>
        <w:r w:rsidRPr="0046566D">
          <w:rPr>
            <w:i/>
            <w:sz w:val="20"/>
          </w:rPr>
          <w:fldChar w:fldCharType="begin"/>
        </w:r>
        <w:r w:rsidRPr="0046566D">
          <w:rPr>
            <w:i/>
            <w:sz w:val="20"/>
          </w:rPr>
          <w:instrText>PAGE   \* MERGEFORMAT</w:instrText>
        </w:r>
        <w:r w:rsidRPr="0046566D">
          <w:rPr>
            <w:i/>
            <w:sz w:val="20"/>
          </w:rPr>
          <w:fldChar w:fldCharType="separate"/>
        </w:r>
        <w:r w:rsidR="002E7809" w:rsidRPr="002E7809">
          <w:rPr>
            <w:i/>
            <w:noProof/>
            <w:sz w:val="20"/>
            <w:lang w:val="es-ES"/>
          </w:rPr>
          <w:t>21</w:t>
        </w:r>
        <w:r w:rsidRPr="0046566D">
          <w:rPr>
            <w:i/>
            <w:sz w:val="20"/>
          </w:rPr>
          <w:fldChar w:fldCharType="end"/>
        </w:r>
        <w:r w:rsidRPr="0046566D">
          <w:rPr>
            <w:i/>
            <w:sz w:val="20"/>
            <w:lang w:val="es-ES"/>
          </w:rPr>
          <w:t xml:space="preserve"> | </w:t>
        </w:r>
        <w:r w:rsidRPr="0046566D">
          <w:rPr>
            <w:i/>
            <w:color w:val="7F7F7F" w:themeColor="background1" w:themeShade="7F"/>
            <w:spacing w:val="60"/>
            <w:sz w:val="20"/>
            <w:lang w:val="es-ES"/>
          </w:rPr>
          <w:t>Página</w:t>
        </w:r>
      </w:p>
    </w:sdtContent>
  </w:sdt>
  <w:p w14:paraId="134580D1" w14:textId="77777777" w:rsidR="00E03465" w:rsidRPr="007242E5" w:rsidRDefault="00E03465" w:rsidP="00463517">
    <w:pPr>
      <w:ind w:left="476"/>
      <w:jc w:val="center"/>
      <w:rPr>
        <w:b/>
        <w:i/>
        <w:color w:val="003399"/>
        <w:sz w:val="18"/>
        <w:szCs w:val="22"/>
      </w:rPr>
    </w:pPr>
  </w:p>
  <w:p w14:paraId="431A64AA" w14:textId="77777777" w:rsidR="00E03465" w:rsidRDefault="00E0346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585460"/>
      <w:docPartObj>
        <w:docPartGallery w:val="Page Numbers (Bottom of Page)"/>
        <w:docPartUnique/>
      </w:docPartObj>
    </w:sdtPr>
    <w:sdtEndPr>
      <w:rPr>
        <w:color w:val="7F7F7F" w:themeColor="background1" w:themeShade="7F"/>
        <w:spacing w:val="60"/>
        <w:lang w:val="es-ES"/>
      </w:rPr>
    </w:sdtEndPr>
    <w:sdtContent>
      <w:p w14:paraId="68201094" w14:textId="6FF55751" w:rsidR="00E03465" w:rsidRDefault="00E03465">
        <w:pPr>
          <w:pStyle w:val="Piedepgina"/>
          <w:pBdr>
            <w:top w:val="single" w:sz="4" w:space="1" w:color="D9D9D9" w:themeColor="background1" w:themeShade="D9"/>
          </w:pBdr>
          <w:jc w:val="right"/>
        </w:pPr>
        <w:r>
          <w:fldChar w:fldCharType="begin"/>
        </w:r>
        <w:r>
          <w:instrText>PAGE   \* MERGEFORMAT</w:instrText>
        </w:r>
        <w:r>
          <w:fldChar w:fldCharType="separate"/>
        </w:r>
        <w:r w:rsidR="002E7809" w:rsidRPr="002E7809">
          <w:rPr>
            <w:noProof/>
            <w:lang w:val="es-ES"/>
          </w:rPr>
          <w:t>92</w:t>
        </w:r>
        <w:r>
          <w:fldChar w:fldCharType="end"/>
        </w:r>
        <w:r>
          <w:rPr>
            <w:lang w:val="es-ES"/>
          </w:rPr>
          <w:t xml:space="preserve"> | </w:t>
        </w:r>
        <w:r>
          <w:rPr>
            <w:color w:val="7F7F7F" w:themeColor="background1" w:themeShade="7F"/>
            <w:spacing w:val="60"/>
            <w:lang w:val="es-ES"/>
          </w:rPr>
          <w:t>Página</w:t>
        </w:r>
      </w:p>
    </w:sdtContent>
  </w:sdt>
  <w:p w14:paraId="78D7297C" w14:textId="77777777" w:rsidR="00E03465" w:rsidRPr="007242E5" w:rsidRDefault="00E03465" w:rsidP="00463517">
    <w:pPr>
      <w:ind w:left="476"/>
      <w:jc w:val="center"/>
      <w:rPr>
        <w:b/>
        <w:i/>
        <w:color w:val="003399"/>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D9339" w14:textId="77777777" w:rsidR="007F196D" w:rsidRDefault="007F196D">
      <w:r>
        <w:separator/>
      </w:r>
    </w:p>
  </w:footnote>
  <w:footnote w:type="continuationSeparator" w:id="0">
    <w:p w14:paraId="5064EEE9" w14:textId="77777777" w:rsidR="007F196D" w:rsidRDefault="007F196D">
      <w:r>
        <w:continuationSeparator/>
      </w:r>
    </w:p>
  </w:footnote>
  <w:footnote w:id="1">
    <w:sdt>
      <w:sdtPr>
        <w:rPr>
          <w:sz w:val="20"/>
          <w:szCs w:val="20"/>
        </w:rPr>
        <w:id w:val="-222987294"/>
        <w:bibliography/>
      </w:sdtPr>
      <w:sdtEndPr/>
      <w:sdtContent>
        <w:p w14:paraId="429E8390" w14:textId="77777777" w:rsidR="00E03465" w:rsidRPr="00861C02" w:rsidRDefault="00E03465" w:rsidP="00604B92">
          <w:pPr>
            <w:pStyle w:val="Bibliografa"/>
            <w:spacing w:after="0"/>
            <w:ind w:left="720" w:hanging="720"/>
            <w:rPr>
              <w:lang w:val="en-US"/>
            </w:rPr>
          </w:pPr>
          <w:r w:rsidRPr="00861C02">
            <w:rPr>
              <w:rStyle w:val="Refdenotaalpie"/>
              <w:sz w:val="18"/>
              <w:szCs w:val="18"/>
            </w:rPr>
            <w:footnoteRef/>
          </w:r>
          <w:r w:rsidRPr="002D6097">
            <w:rPr>
              <w:sz w:val="20"/>
              <w:szCs w:val="20"/>
            </w:rPr>
            <w:t xml:space="preserve"> </w:t>
          </w:r>
          <w:r w:rsidRPr="00861C02">
            <w:rPr>
              <w:rFonts w:ascii="Times New Roman" w:hAnsi="Times New Roman" w:cs="Times New Roman"/>
              <w:sz w:val="14"/>
              <w:szCs w:val="14"/>
            </w:rPr>
            <w:t xml:space="preserve">Labandeira, X., Labaega, J., &amp; Lopez, X. (2017). </w:t>
          </w:r>
          <w:r w:rsidRPr="00861C02">
            <w:rPr>
              <w:rFonts w:ascii="Times New Roman" w:hAnsi="Times New Roman" w:cs="Times New Roman"/>
              <w:sz w:val="14"/>
              <w:szCs w:val="14"/>
              <w:lang w:val="en-US"/>
            </w:rPr>
            <w:t>A Meta-Analisis on the Price Elasticity of Energy Demand. Energy Policy 102, 549 68.</w:t>
          </w:r>
        </w:p>
      </w:sdtContent>
    </w:sdt>
  </w:footnote>
  <w:footnote w:id="2">
    <w:p w14:paraId="562A0C32" w14:textId="77777777" w:rsidR="00E03465" w:rsidRPr="00861C02" w:rsidRDefault="00E03465" w:rsidP="00604B92">
      <w:pPr>
        <w:pStyle w:val="Bibliografa"/>
        <w:spacing w:after="0"/>
        <w:ind w:left="720" w:hanging="720"/>
        <w:rPr>
          <w:rFonts w:ascii="Times New Roman" w:hAnsi="Times New Roman" w:cs="Times New Roman"/>
          <w:sz w:val="14"/>
          <w:szCs w:val="14"/>
        </w:rPr>
      </w:pPr>
      <w:r w:rsidRPr="00861C02">
        <w:rPr>
          <w:rStyle w:val="Refdenotaalpie"/>
        </w:rPr>
        <w:footnoteRef/>
      </w:r>
      <w:r w:rsidRPr="00861C02">
        <w:rPr>
          <w:sz w:val="20"/>
          <w:szCs w:val="20"/>
          <w:lang w:val="en-US"/>
        </w:rPr>
        <w:t xml:space="preserve"> </w:t>
      </w:r>
      <w:r w:rsidRPr="00861C02">
        <w:rPr>
          <w:rFonts w:ascii="Times New Roman" w:hAnsi="Times New Roman" w:cs="Times New Roman"/>
          <w:sz w:val="14"/>
          <w:szCs w:val="14"/>
          <w:lang w:val="en-US"/>
        </w:rPr>
        <w:t xml:space="preserve">Uusitalo, L., &amp; Djerf, K. (1983). Determinants of Gasoline consumptio. </w:t>
      </w:r>
      <w:r w:rsidRPr="00861C02">
        <w:rPr>
          <w:rFonts w:ascii="Times New Roman" w:hAnsi="Times New Roman" w:cs="Times New Roman"/>
          <w:sz w:val="14"/>
          <w:szCs w:val="14"/>
        </w:rPr>
        <w:t>Journal of Economic Psychology, 149-165.</w:t>
      </w:r>
    </w:p>
    <w:p w14:paraId="2622AEAF" w14:textId="77777777" w:rsidR="00E03465" w:rsidRPr="00604B92" w:rsidRDefault="00E03465" w:rsidP="00604B92">
      <w:pPr>
        <w:pStyle w:val="Textonotapie"/>
        <w:rPr>
          <w:sz w:val="18"/>
          <w:szCs w:val="18"/>
        </w:rPr>
      </w:pPr>
    </w:p>
  </w:footnote>
  <w:footnote w:id="3">
    <w:p w14:paraId="74F6A20C" w14:textId="3A069E68" w:rsidR="00E03465" w:rsidRDefault="00E03465" w:rsidP="00764A62">
      <w:pPr>
        <w:pStyle w:val="Sinespaciado"/>
        <w:ind w:right="49"/>
        <w:jc w:val="both"/>
      </w:pPr>
      <w:r w:rsidRPr="00934738">
        <w:rPr>
          <w:sz w:val="18"/>
          <w:szCs w:val="18"/>
          <w:lang w:val="es-MX"/>
        </w:rPr>
        <w:footnoteRef/>
      </w:r>
      <w:r w:rsidRPr="00934738">
        <w:rPr>
          <w:sz w:val="18"/>
          <w:szCs w:val="18"/>
          <w:lang w:val="es-MX"/>
        </w:rPr>
        <w:t xml:space="preserve"> </w:t>
      </w:r>
      <w:r w:rsidRPr="00EC5462">
        <w:rPr>
          <w:sz w:val="18"/>
          <w:szCs w:val="18"/>
          <w:lang w:val="es-MX"/>
        </w:rPr>
        <w:t>Las estimaciones fiscales de mediano plazo (</w:t>
      </w:r>
      <w:r w:rsidRPr="006E12F6">
        <w:rPr>
          <w:noProof/>
          <w:sz w:val="18"/>
          <w:szCs w:val="18"/>
          <w:lang w:val="es-MX"/>
        </w:rPr>
        <w:t>2023</w:t>
      </w:r>
      <w:r w:rsidRPr="00EC5462">
        <w:rPr>
          <w:sz w:val="18"/>
          <w:szCs w:val="18"/>
          <w:lang w:val="es-MX"/>
        </w:rPr>
        <w:t>-</w:t>
      </w:r>
      <w:r w:rsidRPr="006E12F6">
        <w:rPr>
          <w:noProof/>
          <w:sz w:val="18"/>
          <w:szCs w:val="18"/>
          <w:lang w:val="es-MX"/>
        </w:rPr>
        <w:t>2027</w:t>
      </w:r>
      <w:r w:rsidRPr="00EC5462">
        <w:rPr>
          <w:sz w:val="18"/>
          <w:szCs w:val="18"/>
          <w:lang w:val="es-MX"/>
        </w:rPr>
        <w:t>)</w:t>
      </w:r>
      <w:r>
        <w:rPr>
          <w:sz w:val="18"/>
          <w:szCs w:val="18"/>
          <w:lang w:val="es-MX"/>
        </w:rPr>
        <w:t xml:space="preserve"> contenidas en la separata de riesgos fiscales en el Proyecto de Presupuesto General de Ingresos y Egresos del Ejercicio Fiscal 2023,</w:t>
      </w:r>
      <w:r w:rsidRPr="00EC5462">
        <w:rPr>
          <w:sz w:val="18"/>
          <w:szCs w:val="18"/>
          <w:lang w:val="es-MX"/>
        </w:rPr>
        <w:t xml:space="preserve"> se hicieron sobre la base de información que se tuvo hasta el </w:t>
      </w:r>
      <w:r>
        <w:rPr>
          <w:sz w:val="18"/>
          <w:szCs w:val="18"/>
          <w:lang w:val="es-MX"/>
        </w:rPr>
        <w:t>26</w:t>
      </w:r>
      <w:r w:rsidRPr="00EC5462">
        <w:rPr>
          <w:sz w:val="18"/>
          <w:szCs w:val="18"/>
          <w:lang w:val="es-MX"/>
        </w:rPr>
        <w:t xml:space="preserve"> de </w:t>
      </w:r>
      <w:r>
        <w:rPr>
          <w:sz w:val="18"/>
          <w:szCs w:val="18"/>
          <w:lang w:val="es-MX"/>
        </w:rPr>
        <w:t>agosto</w:t>
      </w:r>
      <w:r w:rsidRPr="00EC5462">
        <w:rPr>
          <w:sz w:val="18"/>
          <w:szCs w:val="18"/>
          <w:lang w:val="es-MX"/>
        </w:rPr>
        <w:t xml:space="preserve">.  Sin embargo, </w:t>
      </w:r>
      <w:r>
        <w:rPr>
          <w:sz w:val="18"/>
          <w:szCs w:val="18"/>
          <w:lang w:val="es-MX"/>
        </w:rPr>
        <w:t xml:space="preserve">posteriormente a la fecha indicada se realizaron cambios en la composición del gasto, por lo que se actualizaron las proyecciones del análisis de sostenibilidad fiscal, tal y como se muestra en este documento. </w:t>
      </w:r>
    </w:p>
  </w:footnote>
  <w:footnote w:id="4">
    <w:p w14:paraId="476396A4" w14:textId="77777777" w:rsidR="00E03465" w:rsidRDefault="00E03465" w:rsidP="00846C3D">
      <w:pPr>
        <w:pStyle w:val="Textonotapie"/>
        <w:ind w:left="540"/>
      </w:pPr>
      <w:r>
        <w:rPr>
          <w:rStyle w:val="Refdenotaalpie"/>
        </w:rPr>
        <w:footnoteRef/>
      </w:r>
      <w:r>
        <w:t xml:space="preserve"> </w:t>
      </w:r>
      <w:r w:rsidRPr="00C32AA5">
        <w:rPr>
          <w:sz w:val="18"/>
          <w:szCs w:val="18"/>
        </w:rPr>
        <w:t>La contribución no ha sido efectiva en su totalidad al IGSS</w:t>
      </w:r>
      <w:r>
        <w:t>.</w:t>
      </w:r>
    </w:p>
  </w:footnote>
  <w:footnote w:id="5">
    <w:p w14:paraId="5296E8B8" w14:textId="77777777" w:rsidR="00E03465" w:rsidRPr="00EB61E3" w:rsidRDefault="00E03465" w:rsidP="00846C3D">
      <w:pPr>
        <w:pStyle w:val="Textonotapie"/>
        <w:ind w:left="540"/>
      </w:pPr>
      <w:r>
        <w:rPr>
          <w:rStyle w:val="Refdenotaalpie"/>
        </w:rPr>
        <w:footnoteRef/>
      </w:r>
      <w:r>
        <w:t xml:space="preserve"> </w:t>
      </w:r>
      <w:r w:rsidRPr="00890231">
        <w:rPr>
          <w:sz w:val="18"/>
          <w:szCs w:val="18"/>
        </w:rPr>
        <w:t>Reformas al Acuerdo 1124 “Reglamento sobre Protección relativa a Invalidez, Vejez y Sobrevivencia”, según Acuerdo 1492 del 12 de enero del 2,021.</w:t>
      </w:r>
      <w:r>
        <w:t xml:space="preserve">  </w:t>
      </w:r>
    </w:p>
  </w:footnote>
  <w:footnote w:id="6">
    <w:p w14:paraId="026ABE34" w14:textId="77777777" w:rsidR="00E03465" w:rsidRPr="00E70BB3" w:rsidRDefault="00E03465" w:rsidP="00846C3D">
      <w:pPr>
        <w:pStyle w:val="Textonotapie"/>
        <w:ind w:left="540"/>
        <w:rPr>
          <w:color w:val="C00000"/>
        </w:rPr>
      </w:pPr>
      <w:r>
        <w:rPr>
          <w:rStyle w:val="Refdenotaalpie"/>
        </w:rPr>
        <w:footnoteRef/>
      </w:r>
      <w:r>
        <w:t xml:space="preserve"> </w:t>
      </w:r>
      <w:r w:rsidRPr="00C32AA5">
        <w:rPr>
          <w:sz w:val="18"/>
          <w:szCs w:val="18"/>
        </w:rPr>
        <w:t>El monto máximo base que se utiliza para el otorgamiento de las pensiones de invalidez o vejez se sitúa en Q9,000.</w:t>
      </w:r>
      <w:r>
        <w:rPr>
          <w:sz w:val="18"/>
          <w:szCs w:val="18"/>
        </w:rPr>
        <w:t>00</w:t>
      </w:r>
    </w:p>
  </w:footnote>
  <w:footnote w:id="7">
    <w:p w14:paraId="540F7ED2" w14:textId="77777777" w:rsidR="00E03465" w:rsidRDefault="00E03465" w:rsidP="00846C3D">
      <w:pPr>
        <w:pStyle w:val="Textonotapie"/>
        <w:ind w:left="450"/>
        <w:jc w:val="both"/>
      </w:pPr>
      <w:r w:rsidRPr="00D76471">
        <w:rPr>
          <w:rStyle w:val="Refdenotaalpie"/>
          <w:sz w:val="20"/>
        </w:rPr>
        <w:footnoteRef/>
      </w:r>
      <w:r w:rsidRPr="00D76471">
        <w:rPr>
          <w:sz w:val="20"/>
        </w:rPr>
        <w:t xml:space="preserve"> Acuerdo 1472 de la Junta Directiva del IGSS que autorizó el primer diferimiento de las cuotas patronales del sector privado a la seguridad social para los meses de marzo a mayo del 2020, el segundo diferimiento fue para los meses de junio a agosto por medio del acuerdo 1481.</w:t>
      </w:r>
    </w:p>
  </w:footnote>
  <w:footnote w:id="8">
    <w:p w14:paraId="003F90EF" w14:textId="0D8EEC74" w:rsidR="00E03465" w:rsidRPr="00683652" w:rsidRDefault="00E03465" w:rsidP="00DE6510">
      <w:pPr>
        <w:pStyle w:val="Textonotapie"/>
        <w:ind w:left="708" w:firstLine="108"/>
        <w:jc w:val="both"/>
        <w:rPr>
          <w:sz w:val="14"/>
          <w:szCs w:val="14"/>
          <w:lang w:val="es-MX"/>
        </w:rPr>
      </w:pPr>
      <w:r>
        <w:rPr>
          <w:sz w:val="18"/>
          <w:szCs w:val="18"/>
          <w:vertAlign w:val="superscript"/>
        </w:rPr>
        <w:t>8</w:t>
      </w:r>
      <w:r>
        <w:rPr>
          <w:sz w:val="18"/>
          <w:szCs w:val="18"/>
        </w:rPr>
        <w:t xml:space="preserve"> </w:t>
      </w:r>
      <w:r w:rsidRPr="00683652">
        <w:rPr>
          <w:sz w:val="14"/>
          <w:szCs w:val="14"/>
        </w:rPr>
        <w:t>Convenio CIADI “Artículo 53 (1) El laudo será obligatorio para las partes y no podrá ser objeto de apelación ni de cualquier otro recurso, excepto en los casos previstos en este Convenio. Las partes lo acatarán y cumplirán en todos sus términos, salvo en la medida en que se suspenda su ejecución, de acuerdo con lo establecido en las correspondientes cláusulas de este Convenio”. (P.28).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DCB50" w14:textId="76FDA11F" w:rsidR="00E03465" w:rsidRPr="0046566D" w:rsidRDefault="00E03465" w:rsidP="0046566D">
    <w:pPr>
      <w:pStyle w:val="Encabezado"/>
      <w:jc w:val="right"/>
      <w:rPr>
        <w:i/>
        <w:sz w:val="20"/>
      </w:rPr>
    </w:pPr>
    <w:r w:rsidRPr="0046566D">
      <w:rPr>
        <w:i/>
        <w:sz w:val="20"/>
      </w:rPr>
      <w:t>Informe de Riesgos Fiscales 2023-2027</w:t>
    </w:r>
  </w:p>
  <w:p w14:paraId="7B1B0803" w14:textId="1A886D1E" w:rsidR="00E03465" w:rsidRPr="0046566D" w:rsidRDefault="00E03465" w:rsidP="0046566D">
    <w:pPr>
      <w:pStyle w:val="Encabezado"/>
      <w:jc w:val="right"/>
      <w:rPr>
        <w:i/>
        <w:sz w:val="20"/>
      </w:rPr>
    </w:pPr>
    <w:r w:rsidRPr="0046566D">
      <w:rPr>
        <w:i/>
        <w:noProof/>
        <w:sz w:val="20"/>
        <w:lang w:eastAsia="es-GT"/>
      </w:rPr>
      <mc:AlternateContent>
        <mc:Choice Requires="wps">
          <w:drawing>
            <wp:anchor distT="0" distB="0" distL="114300" distR="114300" simplePos="0" relativeHeight="251661312" behindDoc="0" locked="0" layoutInCell="1" allowOverlap="1" wp14:anchorId="75877E80" wp14:editId="61C10D9C">
              <wp:simplePos x="0" y="0"/>
              <wp:positionH relativeFrom="column">
                <wp:posOffset>709930</wp:posOffset>
              </wp:positionH>
              <wp:positionV relativeFrom="paragraph">
                <wp:posOffset>144145</wp:posOffset>
              </wp:positionV>
              <wp:extent cx="5991225" cy="0"/>
              <wp:effectExtent l="19050" t="38100" r="66675" b="114300"/>
              <wp:wrapNone/>
              <wp:docPr id="226" name="Conector recto 226"/>
              <wp:cNvGraphicFramePr/>
              <a:graphic xmlns:a="http://schemas.openxmlformats.org/drawingml/2006/main">
                <a:graphicData uri="http://schemas.microsoft.com/office/word/2010/wordprocessingShape">
                  <wps:wsp>
                    <wps:cNvCnPr/>
                    <wps:spPr>
                      <a:xfrm>
                        <a:off x="0" y="0"/>
                        <a:ext cx="5991225" cy="0"/>
                      </a:xfrm>
                      <a:prstGeom prst="line">
                        <a:avLst/>
                      </a:prstGeom>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9F4FAC" id="Conector recto 22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5.9pt,11.35pt" to="527.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" strokecolor="#3c6abe [3044]">
              <v:shadow on="t" color="black" opacity="26214f" origin="-.5,-.5" offset=".74836mm,.74836mm"/>
            </v:line>
          </w:pict>
        </mc:Fallback>
      </mc:AlternateContent>
    </w:r>
  </w:p>
  <w:p w14:paraId="0949A7A4" w14:textId="77777777" w:rsidR="00E03465" w:rsidRDefault="00E0346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9"/>
    <w:multiLevelType w:val="singleLevel"/>
    <w:tmpl w:val="DA709A6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5A6C8F"/>
    <w:multiLevelType w:val="hybridMultilevel"/>
    <w:tmpl w:val="0F8CC4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2C180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1">
    <w:nsid w:val="0976285B"/>
    <w:multiLevelType w:val="hybridMultilevel"/>
    <w:tmpl w:val="BF3049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1">
    <w:nsid w:val="0C3E67EA"/>
    <w:multiLevelType w:val="multilevel"/>
    <w:tmpl w:val="100A001F"/>
    <w:styleLink w:val="Estilo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CF6EAC"/>
    <w:multiLevelType w:val="multilevel"/>
    <w:tmpl w:val="D8BAF88C"/>
    <w:lvl w:ilvl="0">
      <w:start w:val="1"/>
      <w:numFmt w:val="decimal"/>
      <w:lvlText w:val="%1."/>
      <w:lvlJc w:val="left"/>
      <w:pPr>
        <w:ind w:left="720" w:hanging="360"/>
      </w:pPr>
      <w:rPr>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b/>
        <w:bCs w:val="0"/>
        <w:sz w:val="24"/>
        <w:szCs w:val="4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 w15:restartNumberingAfterBreak="0">
    <w:nsid w:val="0ED23DD4"/>
    <w:multiLevelType w:val="multilevel"/>
    <w:tmpl w:val="DAEE5F4A"/>
    <w:lvl w:ilvl="0">
      <w:start w:val="1"/>
      <w:numFmt w:val="decimal"/>
      <w:lvlText w:val="%1."/>
      <w:lvlJc w:val="left"/>
      <w:pPr>
        <w:ind w:left="785" w:hanging="360"/>
      </w:pPr>
      <w:rPr>
        <w:b/>
        <w:bCs/>
        <w:color w:val="1F3864" w:themeColor="accent1" w:themeShade="80"/>
      </w:rPr>
    </w:lvl>
    <w:lvl w:ilvl="1">
      <w:start w:val="1"/>
      <w:numFmt w:val="decimal"/>
      <w:lvlText w:val="%1.%2."/>
      <w:lvlJc w:val="left"/>
      <w:pPr>
        <w:ind w:left="1140" w:hanging="432"/>
      </w:pPr>
      <w:rPr>
        <w:b/>
        <w:bCs/>
        <w:color w:val="auto"/>
      </w:rPr>
    </w:lvl>
    <w:lvl w:ilvl="2">
      <w:start w:val="1"/>
      <w:numFmt w:val="decimal"/>
      <w:lvlText w:val="%1.%2.%3."/>
      <w:lvlJc w:val="left"/>
      <w:pPr>
        <w:ind w:left="1071" w:hanging="504"/>
      </w:pPr>
      <w:rPr>
        <w:color w:val="auto"/>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A404BA"/>
    <w:multiLevelType w:val="hybridMultilevel"/>
    <w:tmpl w:val="1D5CA5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1">
    <w:nsid w:val="14FF30EA"/>
    <w:multiLevelType w:val="hybridMultilevel"/>
    <w:tmpl w:val="4FF02E52"/>
    <w:lvl w:ilvl="0" w:tplc="88E4FDB2">
      <w:start w:val="1"/>
      <w:numFmt w:val="lowerLetter"/>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5EA69C0"/>
    <w:multiLevelType w:val="hybridMultilevel"/>
    <w:tmpl w:val="9C70E7E8"/>
    <w:lvl w:ilvl="0" w:tplc="100A0001">
      <w:start w:val="1"/>
      <w:numFmt w:val="bullet"/>
      <w:lvlText w:val=""/>
      <w:lvlJc w:val="left"/>
      <w:pPr>
        <w:ind w:left="1146" w:hanging="360"/>
      </w:pPr>
      <w:rPr>
        <w:rFonts w:ascii="Symbol" w:hAnsi="Symbol" w:hint="default"/>
      </w:rPr>
    </w:lvl>
    <w:lvl w:ilvl="1" w:tplc="100A0003" w:tentative="1">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10" w15:restartNumberingAfterBreak="0">
    <w:nsid w:val="16323359"/>
    <w:multiLevelType w:val="multilevel"/>
    <w:tmpl w:val="A3B4D222"/>
    <w:lvl w:ilvl="0">
      <w:start w:val="1"/>
      <w:numFmt w:val="decimal"/>
      <w:lvlText w:val="%1"/>
      <w:lvlJc w:val="left"/>
      <w:pPr>
        <w:ind w:left="360" w:hanging="360"/>
      </w:pPr>
      <w:rPr>
        <w:rFonts w:hint="default"/>
        <w:b/>
        <w:sz w:val="24"/>
      </w:rPr>
    </w:lvl>
    <w:lvl w:ilvl="1">
      <w:start w:val="1"/>
      <w:numFmt w:val="bullet"/>
      <w:lvlText w:val=""/>
      <w:lvlJc w:val="left"/>
      <w:pPr>
        <w:ind w:left="360" w:hanging="360"/>
      </w:pPr>
      <w:rPr>
        <w:rFonts w:ascii="Symbol" w:hAnsi="Symbol"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11" w15:restartNumberingAfterBreak="1">
    <w:nsid w:val="25531925"/>
    <w:multiLevelType w:val="multilevel"/>
    <w:tmpl w:val="13002434"/>
    <w:lvl w:ilvl="0">
      <w:start w:val="1"/>
      <w:numFmt w:val="decimal"/>
      <w:lvlText w:val="%1."/>
      <w:lvlJc w:val="left"/>
      <w:pPr>
        <w:ind w:left="360" w:hanging="360"/>
      </w:pPr>
      <w:rPr>
        <w:b/>
        <w:bCs/>
        <w:color w:val="1F3864" w:themeColor="accent1" w:themeShade="80"/>
      </w:rPr>
    </w:lvl>
    <w:lvl w:ilvl="1">
      <w:start w:val="1"/>
      <w:numFmt w:val="decimal"/>
      <w:lvlText w:val="%1.%2."/>
      <w:lvlJc w:val="left"/>
      <w:pPr>
        <w:ind w:left="715" w:hanging="432"/>
      </w:pPr>
      <w:rPr>
        <w:b/>
        <w:bCs/>
        <w:color w:val="auto"/>
      </w:rPr>
    </w:lvl>
    <w:lvl w:ilvl="2">
      <w:start w:val="1"/>
      <w:numFmt w:val="decimal"/>
      <w:lvlText w:val="%1.%2.%3."/>
      <w:lvlJc w:val="left"/>
      <w:pPr>
        <w:ind w:left="646" w:hanging="504"/>
      </w:pPr>
      <w:rPr>
        <w:color w:val="1F3864" w:themeColor="accent1" w:themeShade="80"/>
        <w:sz w:val="24"/>
        <w:szCs w:val="24"/>
      </w:rPr>
    </w:lvl>
    <w:lvl w:ilvl="3">
      <w:start w:val="1"/>
      <w:numFmt w:val="decimal"/>
      <w:lvlText w:val="%1.%2.%3.%4."/>
      <w:lvlJc w:val="left"/>
      <w:pPr>
        <w:ind w:left="931" w:hanging="648"/>
      </w:pPr>
      <w:rPr>
        <w:b/>
        <w:bCs w:val="0"/>
      </w:r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12" w15:restartNumberingAfterBreak="0">
    <w:nsid w:val="29892DDE"/>
    <w:multiLevelType w:val="multilevel"/>
    <w:tmpl w:val="B120CA38"/>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1">
    <w:nsid w:val="298A454B"/>
    <w:multiLevelType w:val="hybridMultilevel"/>
    <w:tmpl w:val="530C6A6C"/>
    <w:lvl w:ilvl="0" w:tplc="100A0019">
      <w:start w:val="1"/>
      <w:numFmt w:val="lowerLetter"/>
      <w:lvlText w:val="%1."/>
      <w:lvlJc w:val="left"/>
      <w:pPr>
        <w:ind w:left="1287" w:hanging="360"/>
      </w:pPr>
    </w:lvl>
    <w:lvl w:ilvl="1" w:tplc="100A001B">
      <w:start w:val="1"/>
      <w:numFmt w:val="lowerRoman"/>
      <w:lvlText w:val="%2."/>
      <w:lvlJc w:val="right"/>
      <w:pPr>
        <w:ind w:left="2007" w:hanging="360"/>
      </w:pPr>
    </w:lvl>
    <w:lvl w:ilvl="2" w:tplc="100A001B">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14" w15:restartNumberingAfterBreak="0">
    <w:nsid w:val="2AB93945"/>
    <w:multiLevelType w:val="multilevel"/>
    <w:tmpl w:val="C158F676"/>
    <w:lvl w:ilvl="0">
      <w:start w:val="1"/>
      <w:numFmt w:val="decimal"/>
      <w:lvlText w:val="%1."/>
      <w:lvlJc w:val="left"/>
      <w:pPr>
        <w:ind w:left="785" w:hanging="360"/>
      </w:pPr>
      <w:rPr>
        <w:b/>
        <w:bCs/>
        <w:color w:val="auto"/>
      </w:rPr>
    </w:lvl>
    <w:lvl w:ilvl="1">
      <w:start w:val="1"/>
      <w:numFmt w:val="decimal"/>
      <w:lvlText w:val="%1.%2."/>
      <w:lvlJc w:val="left"/>
      <w:pPr>
        <w:ind w:left="1140" w:hanging="432"/>
      </w:pPr>
      <w:rPr>
        <w:b/>
        <w:bCs/>
        <w:color w:val="auto"/>
      </w:rPr>
    </w:lvl>
    <w:lvl w:ilvl="2">
      <w:start w:val="1"/>
      <w:numFmt w:val="decimal"/>
      <w:lvlText w:val="%1.%2.%3."/>
      <w:lvlJc w:val="left"/>
      <w:pPr>
        <w:ind w:left="1071" w:hanging="504"/>
      </w:pPr>
      <w:rPr>
        <w:color w:val="auto"/>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1">
    <w:nsid w:val="2E44211A"/>
    <w:multiLevelType w:val="hybridMultilevel"/>
    <w:tmpl w:val="4A52BF2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0E62B28"/>
    <w:multiLevelType w:val="multilevel"/>
    <w:tmpl w:val="35F0A56A"/>
    <w:lvl w:ilvl="0">
      <w:start w:val="1"/>
      <w:numFmt w:val="decimal"/>
      <w:lvlText w:val="%1."/>
      <w:lvlJc w:val="left"/>
      <w:pPr>
        <w:ind w:left="785" w:hanging="360"/>
      </w:pPr>
      <w:rPr>
        <w:b/>
        <w:bCs/>
        <w:color w:val="1F3864" w:themeColor="accent1" w:themeShade="80"/>
      </w:rPr>
    </w:lvl>
    <w:lvl w:ilvl="1">
      <w:start w:val="1"/>
      <w:numFmt w:val="decimal"/>
      <w:lvlText w:val="%1.%2."/>
      <w:lvlJc w:val="left"/>
      <w:pPr>
        <w:ind w:left="1140" w:hanging="432"/>
      </w:pPr>
      <w:rPr>
        <w:b/>
        <w:bCs/>
        <w:color w:val="1F3864" w:themeColor="accent1" w:themeShade="80"/>
      </w:rPr>
    </w:lvl>
    <w:lvl w:ilvl="2">
      <w:start w:val="1"/>
      <w:numFmt w:val="decimal"/>
      <w:lvlText w:val="%1.%2.%3."/>
      <w:lvlJc w:val="left"/>
      <w:pPr>
        <w:ind w:left="1071" w:hanging="504"/>
      </w:pPr>
      <w:rPr>
        <w:color w:val="1F3864" w:themeColor="accent1" w:themeShade="80"/>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466D32"/>
    <w:multiLevelType w:val="hybridMultilevel"/>
    <w:tmpl w:val="A83CB50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1">
    <w:nsid w:val="348356A7"/>
    <w:multiLevelType w:val="hybridMultilevel"/>
    <w:tmpl w:val="26B43C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D760FEF"/>
    <w:multiLevelType w:val="hybridMultilevel"/>
    <w:tmpl w:val="C972BC6A"/>
    <w:lvl w:ilvl="0" w:tplc="998AC166">
      <w:start w:val="1"/>
      <w:numFmt w:val="decimal"/>
      <w:lvlText w:val="%1.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552171A"/>
    <w:multiLevelType w:val="multilevel"/>
    <w:tmpl w:val="0C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6D7FBC"/>
    <w:multiLevelType w:val="hybridMultilevel"/>
    <w:tmpl w:val="2DB624FC"/>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 w15:restartNumberingAfterBreak="1">
    <w:nsid w:val="58BC7BC0"/>
    <w:multiLevelType w:val="hybridMultilevel"/>
    <w:tmpl w:val="CC5C7D76"/>
    <w:lvl w:ilvl="0" w:tplc="97F4D164">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1">
    <w:nsid w:val="60183E67"/>
    <w:multiLevelType w:val="multilevel"/>
    <w:tmpl w:val="100A0025"/>
    <w:styleLink w:val="Estilo1"/>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1">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4262"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25" w15:restartNumberingAfterBreak="1">
    <w:nsid w:val="62702BF2"/>
    <w:multiLevelType w:val="hybridMultilevel"/>
    <w:tmpl w:val="2B00EC86"/>
    <w:lvl w:ilvl="0" w:tplc="100A0001">
      <w:start w:val="1"/>
      <w:numFmt w:val="bullet"/>
      <w:lvlText w:val=""/>
      <w:lvlJc w:val="left"/>
      <w:pPr>
        <w:ind w:left="720" w:hanging="360"/>
      </w:pPr>
      <w:rPr>
        <w:rFonts w:ascii="Symbol" w:hAnsi="Symbol" w:hint="default"/>
      </w:rPr>
    </w:lvl>
    <w:lvl w:ilvl="1" w:tplc="971A3666">
      <w:numFmt w:val="bullet"/>
      <w:lvlText w:val="•"/>
      <w:lvlJc w:val="left"/>
      <w:pPr>
        <w:ind w:left="1440" w:hanging="360"/>
      </w:pPr>
      <w:rPr>
        <w:rFonts w:ascii="Times New Roman" w:eastAsia="Times New Roman" w:hAnsi="Times New Roman" w:cs="Times New Roman"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6D1D530C"/>
    <w:multiLevelType w:val="hybridMultilevel"/>
    <w:tmpl w:val="174AC5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D2318DA"/>
    <w:multiLevelType w:val="multilevel"/>
    <w:tmpl w:val="54A25B2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1">
    <w:nsid w:val="6D424B82"/>
    <w:multiLevelType w:val="hybridMultilevel"/>
    <w:tmpl w:val="030661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1">
    <w:nsid w:val="6F2F32C7"/>
    <w:multiLevelType w:val="hybridMultilevel"/>
    <w:tmpl w:val="4FF02E52"/>
    <w:lvl w:ilvl="0" w:tplc="88E4FDB2">
      <w:start w:val="1"/>
      <w:numFmt w:val="lowerLetter"/>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1">
    <w:nsid w:val="6FBA76CE"/>
    <w:multiLevelType w:val="hybridMultilevel"/>
    <w:tmpl w:val="3634F778"/>
    <w:lvl w:ilvl="0" w:tplc="47D072F2">
      <w:start w:val="1"/>
      <w:numFmt w:val="bullet"/>
      <w:lvlText w:val=""/>
      <w:lvlJc w:val="left"/>
      <w:pPr>
        <w:ind w:left="720" w:hanging="360"/>
      </w:pPr>
      <w:rPr>
        <w:rFonts w:ascii="Symbol" w:hAnsi="Symbol" w:hint="default"/>
        <w:sz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1">
    <w:nsid w:val="773458F9"/>
    <w:multiLevelType w:val="hybridMultilevel"/>
    <w:tmpl w:val="26643D18"/>
    <w:lvl w:ilvl="0" w:tplc="100A0001">
      <w:start w:val="1"/>
      <w:numFmt w:val="bullet"/>
      <w:lvlText w:val=""/>
      <w:lvlJc w:val="left"/>
      <w:pPr>
        <w:ind w:left="1281" w:hanging="360"/>
      </w:pPr>
      <w:rPr>
        <w:rFonts w:ascii="Symbol" w:hAnsi="Symbol" w:hint="default"/>
      </w:rPr>
    </w:lvl>
    <w:lvl w:ilvl="1" w:tplc="100A0003" w:tentative="1">
      <w:start w:val="1"/>
      <w:numFmt w:val="bullet"/>
      <w:lvlText w:val="o"/>
      <w:lvlJc w:val="left"/>
      <w:pPr>
        <w:ind w:left="2001" w:hanging="360"/>
      </w:pPr>
      <w:rPr>
        <w:rFonts w:ascii="Courier New" w:hAnsi="Courier New" w:cs="Courier New" w:hint="default"/>
      </w:rPr>
    </w:lvl>
    <w:lvl w:ilvl="2" w:tplc="100A0005" w:tentative="1">
      <w:start w:val="1"/>
      <w:numFmt w:val="bullet"/>
      <w:lvlText w:val=""/>
      <w:lvlJc w:val="left"/>
      <w:pPr>
        <w:ind w:left="2721" w:hanging="360"/>
      </w:pPr>
      <w:rPr>
        <w:rFonts w:ascii="Wingdings" w:hAnsi="Wingdings" w:hint="default"/>
      </w:rPr>
    </w:lvl>
    <w:lvl w:ilvl="3" w:tplc="100A0001" w:tentative="1">
      <w:start w:val="1"/>
      <w:numFmt w:val="bullet"/>
      <w:lvlText w:val=""/>
      <w:lvlJc w:val="left"/>
      <w:pPr>
        <w:ind w:left="3441" w:hanging="360"/>
      </w:pPr>
      <w:rPr>
        <w:rFonts w:ascii="Symbol" w:hAnsi="Symbol" w:hint="default"/>
      </w:rPr>
    </w:lvl>
    <w:lvl w:ilvl="4" w:tplc="100A0003" w:tentative="1">
      <w:start w:val="1"/>
      <w:numFmt w:val="bullet"/>
      <w:lvlText w:val="o"/>
      <w:lvlJc w:val="left"/>
      <w:pPr>
        <w:ind w:left="4161" w:hanging="360"/>
      </w:pPr>
      <w:rPr>
        <w:rFonts w:ascii="Courier New" w:hAnsi="Courier New" w:cs="Courier New" w:hint="default"/>
      </w:rPr>
    </w:lvl>
    <w:lvl w:ilvl="5" w:tplc="100A0005" w:tentative="1">
      <w:start w:val="1"/>
      <w:numFmt w:val="bullet"/>
      <w:lvlText w:val=""/>
      <w:lvlJc w:val="left"/>
      <w:pPr>
        <w:ind w:left="4881" w:hanging="360"/>
      </w:pPr>
      <w:rPr>
        <w:rFonts w:ascii="Wingdings" w:hAnsi="Wingdings" w:hint="default"/>
      </w:rPr>
    </w:lvl>
    <w:lvl w:ilvl="6" w:tplc="100A0001" w:tentative="1">
      <w:start w:val="1"/>
      <w:numFmt w:val="bullet"/>
      <w:lvlText w:val=""/>
      <w:lvlJc w:val="left"/>
      <w:pPr>
        <w:ind w:left="5601" w:hanging="360"/>
      </w:pPr>
      <w:rPr>
        <w:rFonts w:ascii="Symbol" w:hAnsi="Symbol" w:hint="default"/>
      </w:rPr>
    </w:lvl>
    <w:lvl w:ilvl="7" w:tplc="100A0003" w:tentative="1">
      <w:start w:val="1"/>
      <w:numFmt w:val="bullet"/>
      <w:lvlText w:val="o"/>
      <w:lvlJc w:val="left"/>
      <w:pPr>
        <w:ind w:left="6321" w:hanging="360"/>
      </w:pPr>
      <w:rPr>
        <w:rFonts w:ascii="Courier New" w:hAnsi="Courier New" w:cs="Courier New" w:hint="default"/>
      </w:rPr>
    </w:lvl>
    <w:lvl w:ilvl="8" w:tplc="100A0005" w:tentative="1">
      <w:start w:val="1"/>
      <w:numFmt w:val="bullet"/>
      <w:lvlText w:val=""/>
      <w:lvlJc w:val="left"/>
      <w:pPr>
        <w:ind w:left="7041" w:hanging="360"/>
      </w:pPr>
      <w:rPr>
        <w:rFonts w:ascii="Wingdings" w:hAnsi="Wingdings" w:hint="default"/>
      </w:rPr>
    </w:lvl>
  </w:abstractNum>
  <w:abstractNum w:abstractNumId="32" w15:restartNumberingAfterBreak="1">
    <w:nsid w:val="77A00702"/>
    <w:multiLevelType w:val="hybridMultilevel"/>
    <w:tmpl w:val="8CF652B4"/>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3" w15:restartNumberingAfterBreak="0">
    <w:nsid w:val="77EA0B60"/>
    <w:multiLevelType w:val="hybridMultilevel"/>
    <w:tmpl w:val="0F8CC44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79AC137F"/>
    <w:multiLevelType w:val="multilevel"/>
    <w:tmpl w:val="DAEE5F4A"/>
    <w:lvl w:ilvl="0">
      <w:start w:val="1"/>
      <w:numFmt w:val="decimal"/>
      <w:lvlText w:val="%1."/>
      <w:lvlJc w:val="left"/>
      <w:pPr>
        <w:ind w:left="785" w:hanging="360"/>
      </w:pPr>
      <w:rPr>
        <w:b/>
        <w:bCs/>
        <w:color w:val="1F3864" w:themeColor="accent1" w:themeShade="80"/>
      </w:rPr>
    </w:lvl>
    <w:lvl w:ilvl="1">
      <w:start w:val="1"/>
      <w:numFmt w:val="decimal"/>
      <w:lvlText w:val="%1.%2."/>
      <w:lvlJc w:val="left"/>
      <w:pPr>
        <w:ind w:left="1140" w:hanging="432"/>
      </w:pPr>
      <w:rPr>
        <w:b/>
        <w:bCs/>
        <w:color w:val="auto"/>
      </w:rPr>
    </w:lvl>
    <w:lvl w:ilvl="2">
      <w:start w:val="1"/>
      <w:numFmt w:val="decimal"/>
      <w:lvlText w:val="%1.%2.%3."/>
      <w:lvlJc w:val="left"/>
      <w:pPr>
        <w:ind w:left="1071" w:hanging="504"/>
      </w:pPr>
      <w:rPr>
        <w:color w:val="auto"/>
        <w:sz w:val="24"/>
        <w:szCs w:val="24"/>
      </w:rPr>
    </w:lvl>
    <w:lvl w:ilvl="3">
      <w:start w:val="1"/>
      <w:numFmt w:val="decimal"/>
      <w:lvlText w:val="%1.%2.%3.%4."/>
      <w:lvlJc w:val="left"/>
      <w:pPr>
        <w:ind w:left="1356"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433155"/>
    <w:multiLevelType w:val="hybridMultilevel"/>
    <w:tmpl w:val="AFBC3FAA"/>
    <w:lvl w:ilvl="0" w:tplc="1ED665B0">
      <w:start w:val="1"/>
      <w:numFmt w:val="decimal"/>
      <w:lvlText w:val="%1."/>
      <w:lvlJc w:val="left"/>
      <w:pPr>
        <w:ind w:left="921" w:hanging="360"/>
      </w:pPr>
      <w:rPr>
        <w:rFonts w:hint="default"/>
      </w:rPr>
    </w:lvl>
    <w:lvl w:ilvl="1" w:tplc="100A0019" w:tentative="1">
      <w:start w:val="1"/>
      <w:numFmt w:val="lowerLetter"/>
      <w:lvlText w:val="%2."/>
      <w:lvlJc w:val="left"/>
      <w:pPr>
        <w:ind w:left="1641" w:hanging="360"/>
      </w:pPr>
    </w:lvl>
    <w:lvl w:ilvl="2" w:tplc="100A001B" w:tentative="1">
      <w:start w:val="1"/>
      <w:numFmt w:val="lowerRoman"/>
      <w:lvlText w:val="%3."/>
      <w:lvlJc w:val="right"/>
      <w:pPr>
        <w:ind w:left="2361" w:hanging="180"/>
      </w:pPr>
    </w:lvl>
    <w:lvl w:ilvl="3" w:tplc="100A000F" w:tentative="1">
      <w:start w:val="1"/>
      <w:numFmt w:val="decimal"/>
      <w:lvlText w:val="%4."/>
      <w:lvlJc w:val="left"/>
      <w:pPr>
        <w:ind w:left="3081" w:hanging="360"/>
      </w:pPr>
    </w:lvl>
    <w:lvl w:ilvl="4" w:tplc="100A0019" w:tentative="1">
      <w:start w:val="1"/>
      <w:numFmt w:val="lowerLetter"/>
      <w:lvlText w:val="%5."/>
      <w:lvlJc w:val="left"/>
      <w:pPr>
        <w:ind w:left="3801" w:hanging="360"/>
      </w:pPr>
    </w:lvl>
    <w:lvl w:ilvl="5" w:tplc="100A001B" w:tentative="1">
      <w:start w:val="1"/>
      <w:numFmt w:val="lowerRoman"/>
      <w:lvlText w:val="%6."/>
      <w:lvlJc w:val="right"/>
      <w:pPr>
        <w:ind w:left="4521" w:hanging="180"/>
      </w:pPr>
    </w:lvl>
    <w:lvl w:ilvl="6" w:tplc="100A000F" w:tentative="1">
      <w:start w:val="1"/>
      <w:numFmt w:val="decimal"/>
      <w:lvlText w:val="%7."/>
      <w:lvlJc w:val="left"/>
      <w:pPr>
        <w:ind w:left="5241" w:hanging="360"/>
      </w:pPr>
    </w:lvl>
    <w:lvl w:ilvl="7" w:tplc="100A0019" w:tentative="1">
      <w:start w:val="1"/>
      <w:numFmt w:val="lowerLetter"/>
      <w:lvlText w:val="%8."/>
      <w:lvlJc w:val="left"/>
      <w:pPr>
        <w:ind w:left="5961" w:hanging="360"/>
      </w:pPr>
    </w:lvl>
    <w:lvl w:ilvl="8" w:tplc="100A001B" w:tentative="1">
      <w:start w:val="1"/>
      <w:numFmt w:val="lowerRoman"/>
      <w:lvlText w:val="%9."/>
      <w:lvlJc w:val="right"/>
      <w:pPr>
        <w:ind w:left="6681" w:hanging="180"/>
      </w:pPr>
    </w:lvl>
  </w:abstractNum>
  <w:abstractNum w:abstractNumId="36" w15:restartNumberingAfterBreak="1">
    <w:nsid w:val="7B2221AF"/>
    <w:multiLevelType w:val="hybridMultilevel"/>
    <w:tmpl w:val="B7FE1960"/>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0"/>
  </w:num>
  <w:num w:numId="4">
    <w:abstractNumId w:val="24"/>
  </w:num>
  <w:num w:numId="5">
    <w:abstractNumId w:val="14"/>
  </w:num>
  <w:num w:numId="6">
    <w:abstractNumId w:val="36"/>
  </w:num>
  <w:num w:numId="7">
    <w:abstractNumId w:val="25"/>
  </w:num>
  <w:num w:numId="8">
    <w:abstractNumId w:val="3"/>
  </w:num>
  <w:num w:numId="9">
    <w:abstractNumId w:val="13"/>
  </w:num>
  <w:num w:numId="10">
    <w:abstractNumId w:val="18"/>
  </w:num>
  <w:num w:numId="11">
    <w:abstractNumId w:val="31"/>
  </w:num>
  <w:num w:numId="12">
    <w:abstractNumId w:val="29"/>
  </w:num>
  <w:num w:numId="13">
    <w:abstractNumId w:val="8"/>
  </w:num>
  <w:num w:numId="14">
    <w:abstractNumId w:val="30"/>
  </w:num>
  <w:num w:numId="15">
    <w:abstractNumId w:val="32"/>
  </w:num>
  <w:num w:numId="16">
    <w:abstractNumId w:val="28"/>
  </w:num>
  <w:num w:numId="17">
    <w:abstractNumId w:val="15"/>
  </w:num>
  <w:num w:numId="18">
    <w:abstractNumId w:val="22"/>
  </w:num>
  <w:num w:numId="19">
    <w:abstractNumId w:val="35"/>
  </w:num>
  <w:num w:numId="20">
    <w:abstractNumId w:val="33"/>
  </w:num>
  <w:num w:numId="21">
    <w:abstractNumId w:val="1"/>
  </w:num>
  <w:num w:numId="22">
    <w:abstractNumId w:val="16"/>
  </w:num>
  <w:num w:numId="23">
    <w:abstractNumId w:val="11"/>
  </w:num>
  <w:num w:numId="24">
    <w:abstractNumId w:val="21"/>
  </w:num>
  <w:num w:numId="25">
    <w:abstractNumId w:val="10"/>
  </w:num>
  <w:num w:numId="26">
    <w:abstractNumId w:val="9"/>
  </w:num>
  <w:num w:numId="27">
    <w:abstractNumId w:val="26"/>
  </w:num>
  <w:num w:numId="28">
    <w:abstractNumId w:val="5"/>
  </w:num>
  <w:num w:numId="29">
    <w:abstractNumId w:val="2"/>
  </w:num>
  <w:num w:numId="30">
    <w:abstractNumId w:val="19"/>
  </w:num>
  <w:num w:numId="31">
    <w:abstractNumId w:val="20"/>
  </w:num>
  <w:num w:numId="32">
    <w:abstractNumId w:val="34"/>
  </w:num>
  <w:num w:numId="33">
    <w:abstractNumId w:val="6"/>
  </w:num>
  <w:num w:numId="34">
    <w:abstractNumId w:val="27"/>
  </w:num>
  <w:num w:numId="35">
    <w:abstractNumId w:val="7"/>
  </w:num>
  <w:num w:numId="36">
    <w:abstractNumId w:val="17"/>
  </w:num>
  <w:num w:numId="3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GT"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5EF"/>
    <w:rsid w:val="0000013D"/>
    <w:rsid w:val="000009EC"/>
    <w:rsid w:val="00000B24"/>
    <w:rsid w:val="00000CC0"/>
    <w:rsid w:val="00000FE6"/>
    <w:rsid w:val="000011D2"/>
    <w:rsid w:val="0000199E"/>
    <w:rsid w:val="00001E6E"/>
    <w:rsid w:val="00001FC8"/>
    <w:rsid w:val="00002212"/>
    <w:rsid w:val="00002D39"/>
    <w:rsid w:val="00002F38"/>
    <w:rsid w:val="000030EE"/>
    <w:rsid w:val="0000315F"/>
    <w:rsid w:val="00003212"/>
    <w:rsid w:val="00003F5D"/>
    <w:rsid w:val="000041B6"/>
    <w:rsid w:val="000045D4"/>
    <w:rsid w:val="000045E9"/>
    <w:rsid w:val="00004655"/>
    <w:rsid w:val="00004D50"/>
    <w:rsid w:val="00004F81"/>
    <w:rsid w:val="00004FD5"/>
    <w:rsid w:val="000051D8"/>
    <w:rsid w:val="0000577B"/>
    <w:rsid w:val="000057EA"/>
    <w:rsid w:val="00006888"/>
    <w:rsid w:val="000075D1"/>
    <w:rsid w:val="000076B6"/>
    <w:rsid w:val="000079F8"/>
    <w:rsid w:val="00007BB4"/>
    <w:rsid w:val="00007D77"/>
    <w:rsid w:val="00007E1D"/>
    <w:rsid w:val="000106CD"/>
    <w:rsid w:val="00010919"/>
    <w:rsid w:val="00010BFE"/>
    <w:rsid w:val="0001142F"/>
    <w:rsid w:val="0001167A"/>
    <w:rsid w:val="000116C3"/>
    <w:rsid w:val="00011ED1"/>
    <w:rsid w:val="00011FA3"/>
    <w:rsid w:val="000121AA"/>
    <w:rsid w:val="00012579"/>
    <w:rsid w:val="00012C3D"/>
    <w:rsid w:val="00012E75"/>
    <w:rsid w:val="00012EC6"/>
    <w:rsid w:val="0001337F"/>
    <w:rsid w:val="00013D51"/>
    <w:rsid w:val="000144B3"/>
    <w:rsid w:val="000144C5"/>
    <w:rsid w:val="0001462B"/>
    <w:rsid w:val="00014D8A"/>
    <w:rsid w:val="00014EF4"/>
    <w:rsid w:val="00014F35"/>
    <w:rsid w:val="0001526A"/>
    <w:rsid w:val="000155E3"/>
    <w:rsid w:val="00016142"/>
    <w:rsid w:val="00016DAB"/>
    <w:rsid w:val="00016E7A"/>
    <w:rsid w:val="000173FB"/>
    <w:rsid w:val="00017590"/>
    <w:rsid w:val="0001768C"/>
    <w:rsid w:val="00020018"/>
    <w:rsid w:val="000203CF"/>
    <w:rsid w:val="00020569"/>
    <w:rsid w:val="0002076B"/>
    <w:rsid w:val="0002081B"/>
    <w:rsid w:val="00020FF6"/>
    <w:rsid w:val="0002128E"/>
    <w:rsid w:val="000214EB"/>
    <w:rsid w:val="00021897"/>
    <w:rsid w:val="00021940"/>
    <w:rsid w:val="00021A28"/>
    <w:rsid w:val="00021BC6"/>
    <w:rsid w:val="00021C43"/>
    <w:rsid w:val="0002257D"/>
    <w:rsid w:val="000226B3"/>
    <w:rsid w:val="00022705"/>
    <w:rsid w:val="00022DEC"/>
    <w:rsid w:val="00022EA2"/>
    <w:rsid w:val="00022EF4"/>
    <w:rsid w:val="00023051"/>
    <w:rsid w:val="000234E6"/>
    <w:rsid w:val="00023CAE"/>
    <w:rsid w:val="00023E05"/>
    <w:rsid w:val="0002423D"/>
    <w:rsid w:val="0002454E"/>
    <w:rsid w:val="000247C0"/>
    <w:rsid w:val="00024B38"/>
    <w:rsid w:val="00024CB8"/>
    <w:rsid w:val="0002546E"/>
    <w:rsid w:val="00025544"/>
    <w:rsid w:val="00025564"/>
    <w:rsid w:val="00025972"/>
    <w:rsid w:val="00026089"/>
    <w:rsid w:val="00026D0D"/>
    <w:rsid w:val="00027187"/>
    <w:rsid w:val="00027364"/>
    <w:rsid w:val="00027677"/>
    <w:rsid w:val="00027AFD"/>
    <w:rsid w:val="00027B98"/>
    <w:rsid w:val="0003000B"/>
    <w:rsid w:val="00030099"/>
    <w:rsid w:val="0003033F"/>
    <w:rsid w:val="0003055A"/>
    <w:rsid w:val="00031D61"/>
    <w:rsid w:val="00032129"/>
    <w:rsid w:val="0003265F"/>
    <w:rsid w:val="00032760"/>
    <w:rsid w:val="0003283F"/>
    <w:rsid w:val="00032E59"/>
    <w:rsid w:val="000332EA"/>
    <w:rsid w:val="00033EDC"/>
    <w:rsid w:val="000340B8"/>
    <w:rsid w:val="0003443A"/>
    <w:rsid w:val="00034789"/>
    <w:rsid w:val="00034C4B"/>
    <w:rsid w:val="00034E64"/>
    <w:rsid w:val="00035ED3"/>
    <w:rsid w:val="00035F05"/>
    <w:rsid w:val="00035F15"/>
    <w:rsid w:val="000361B0"/>
    <w:rsid w:val="0003640F"/>
    <w:rsid w:val="0003652A"/>
    <w:rsid w:val="000367DA"/>
    <w:rsid w:val="00036939"/>
    <w:rsid w:val="00036D21"/>
    <w:rsid w:val="00036D41"/>
    <w:rsid w:val="00036FAF"/>
    <w:rsid w:val="000373D5"/>
    <w:rsid w:val="00037ADC"/>
    <w:rsid w:val="0004035D"/>
    <w:rsid w:val="00040BDF"/>
    <w:rsid w:val="000414C6"/>
    <w:rsid w:val="0004155B"/>
    <w:rsid w:val="000417A8"/>
    <w:rsid w:val="000423A9"/>
    <w:rsid w:val="000427BC"/>
    <w:rsid w:val="00042D85"/>
    <w:rsid w:val="00043A56"/>
    <w:rsid w:val="00043F55"/>
    <w:rsid w:val="00044788"/>
    <w:rsid w:val="000448A9"/>
    <w:rsid w:val="0004593C"/>
    <w:rsid w:val="0004608A"/>
    <w:rsid w:val="000468DF"/>
    <w:rsid w:val="00046ADB"/>
    <w:rsid w:val="0004721B"/>
    <w:rsid w:val="000479B6"/>
    <w:rsid w:val="00047C71"/>
    <w:rsid w:val="00047DDB"/>
    <w:rsid w:val="000509FD"/>
    <w:rsid w:val="00050A36"/>
    <w:rsid w:val="00050A8A"/>
    <w:rsid w:val="00050F19"/>
    <w:rsid w:val="000513CD"/>
    <w:rsid w:val="00051C9B"/>
    <w:rsid w:val="00051F4C"/>
    <w:rsid w:val="0005238F"/>
    <w:rsid w:val="000526B5"/>
    <w:rsid w:val="000528D5"/>
    <w:rsid w:val="0005381B"/>
    <w:rsid w:val="00053A16"/>
    <w:rsid w:val="00053C58"/>
    <w:rsid w:val="000540E1"/>
    <w:rsid w:val="0005432D"/>
    <w:rsid w:val="00054931"/>
    <w:rsid w:val="00054D25"/>
    <w:rsid w:val="00054FD7"/>
    <w:rsid w:val="00055051"/>
    <w:rsid w:val="000551E2"/>
    <w:rsid w:val="0005597F"/>
    <w:rsid w:val="000561FB"/>
    <w:rsid w:val="00056555"/>
    <w:rsid w:val="0005667E"/>
    <w:rsid w:val="000572AF"/>
    <w:rsid w:val="00057717"/>
    <w:rsid w:val="0006017B"/>
    <w:rsid w:val="000605CB"/>
    <w:rsid w:val="00060655"/>
    <w:rsid w:val="00060743"/>
    <w:rsid w:val="000610F9"/>
    <w:rsid w:val="000611CF"/>
    <w:rsid w:val="00061D52"/>
    <w:rsid w:val="00061DBE"/>
    <w:rsid w:val="000630A2"/>
    <w:rsid w:val="0006386A"/>
    <w:rsid w:val="000640AB"/>
    <w:rsid w:val="00064444"/>
    <w:rsid w:val="00064BB6"/>
    <w:rsid w:val="00064F26"/>
    <w:rsid w:val="00065C3E"/>
    <w:rsid w:val="00065DDE"/>
    <w:rsid w:val="00065FC5"/>
    <w:rsid w:val="000661B1"/>
    <w:rsid w:val="000667E0"/>
    <w:rsid w:val="00066C27"/>
    <w:rsid w:val="00066D96"/>
    <w:rsid w:val="000671B5"/>
    <w:rsid w:val="00067456"/>
    <w:rsid w:val="000679FC"/>
    <w:rsid w:val="00067F55"/>
    <w:rsid w:val="00070035"/>
    <w:rsid w:val="00070266"/>
    <w:rsid w:val="000702E1"/>
    <w:rsid w:val="00070381"/>
    <w:rsid w:val="00070B60"/>
    <w:rsid w:val="0007175B"/>
    <w:rsid w:val="000723DC"/>
    <w:rsid w:val="000727F8"/>
    <w:rsid w:val="0007441B"/>
    <w:rsid w:val="0007442B"/>
    <w:rsid w:val="00074491"/>
    <w:rsid w:val="00075478"/>
    <w:rsid w:val="00075770"/>
    <w:rsid w:val="00075A92"/>
    <w:rsid w:val="00075E4E"/>
    <w:rsid w:val="00075F75"/>
    <w:rsid w:val="00076261"/>
    <w:rsid w:val="000763FA"/>
    <w:rsid w:val="00076575"/>
    <w:rsid w:val="00076AA3"/>
    <w:rsid w:val="000776E4"/>
    <w:rsid w:val="000776F4"/>
    <w:rsid w:val="00077A05"/>
    <w:rsid w:val="0008000D"/>
    <w:rsid w:val="0008052B"/>
    <w:rsid w:val="00080884"/>
    <w:rsid w:val="00080B01"/>
    <w:rsid w:val="00080DFD"/>
    <w:rsid w:val="00081744"/>
    <w:rsid w:val="00082331"/>
    <w:rsid w:val="000824B9"/>
    <w:rsid w:val="00082934"/>
    <w:rsid w:val="00082FDB"/>
    <w:rsid w:val="000834F0"/>
    <w:rsid w:val="00083950"/>
    <w:rsid w:val="00084388"/>
    <w:rsid w:val="000848C9"/>
    <w:rsid w:val="00084EC7"/>
    <w:rsid w:val="000854D1"/>
    <w:rsid w:val="000857DA"/>
    <w:rsid w:val="00085BC9"/>
    <w:rsid w:val="0008660C"/>
    <w:rsid w:val="0008660F"/>
    <w:rsid w:val="00086CDE"/>
    <w:rsid w:val="00086EE0"/>
    <w:rsid w:val="00086F02"/>
    <w:rsid w:val="0008743F"/>
    <w:rsid w:val="0008751B"/>
    <w:rsid w:val="000875C8"/>
    <w:rsid w:val="0008761F"/>
    <w:rsid w:val="00087787"/>
    <w:rsid w:val="00087968"/>
    <w:rsid w:val="000879C2"/>
    <w:rsid w:val="000902C0"/>
    <w:rsid w:val="000902C5"/>
    <w:rsid w:val="000906B6"/>
    <w:rsid w:val="0009156C"/>
    <w:rsid w:val="00091BD8"/>
    <w:rsid w:val="0009225C"/>
    <w:rsid w:val="000924CD"/>
    <w:rsid w:val="00092C79"/>
    <w:rsid w:val="00093D69"/>
    <w:rsid w:val="00093D78"/>
    <w:rsid w:val="00094120"/>
    <w:rsid w:val="000944FD"/>
    <w:rsid w:val="0009450B"/>
    <w:rsid w:val="0009454C"/>
    <w:rsid w:val="000945B9"/>
    <w:rsid w:val="000948A9"/>
    <w:rsid w:val="0009533B"/>
    <w:rsid w:val="00095566"/>
    <w:rsid w:val="00095A03"/>
    <w:rsid w:val="00095C8B"/>
    <w:rsid w:val="00096E7E"/>
    <w:rsid w:val="00097062"/>
    <w:rsid w:val="0009707C"/>
    <w:rsid w:val="0009743A"/>
    <w:rsid w:val="0009749C"/>
    <w:rsid w:val="00097F1F"/>
    <w:rsid w:val="000A06E5"/>
    <w:rsid w:val="000A08F4"/>
    <w:rsid w:val="000A0D02"/>
    <w:rsid w:val="000A0F33"/>
    <w:rsid w:val="000A1F93"/>
    <w:rsid w:val="000A2360"/>
    <w:rsid w:val="000A2DEF"/>
    <w:rsid w:val="000A31BA"/>
    <w:rsid w:val="000A3565"/>
    <w:rsid w:val="000A36AF"/>
    <w:rsid w:val="000A3834"/>
    <w:rsid w:val="000A3D77"/>
    <w:rsid w:val="000A3EEE"/>
    <w:rsid w:val="000A43FF"/>
    <w:rsid w:val="000A4B17"/>
    <w:rsid w:val="000A4D5B"/>
    <w:rsid w:val="000A4F0D"/>
    <w:rsid w:val="000A52B4"/>
    <w:rsid w:val="000A52E8"/>
    <w:rsid w:val="000A5457"/>
    <w:rsid w:val="000A56DD"/>
    <w:rsid w:val="000A5B08"/>
    <w:rsid w:val="000A5C2B"/>
    <w:rsid w:val="000A62AF"/>
    <w:rsid w:val="000A6681"/>
    <w:rsid w:val="000A6B2A"/>
    <w:rsid w:val="000A7ACC"/>
    <w:rsid w:val="000A7DDB"/>
    <w:rsid w:val="000B00E5"/>
    <w:rsid w:val="000B07AF"/>
    <w:rsid w:val="000B09C4"/>
    <w:rsid w:val="000B0AB4"/>
    <w:rsid w:val="000B1000"/>
    <w:rsid w:val="000B1597"/>
    <w:rsid w:val="000B1C61"/>
    <w:rsid w:val="000B1F4B"/>
    <w:rsid w:val="000B1FB3"/>
    <w:rsid w:val="000B22FB"/>
    <w:rsid w:val="000B2300"/>
    <w:rsid w:val="000B3952"/>
    <w:rsid w:val="000B3CF9"/>
    <w:rsid w:val="000B4375"/>
    <w:rsid w:val="000B52F4"/>
    <w:rsid w:val="000B5320"/>
    <w:rsid w:val="000B56AA"/>
    <w:rsid w:val="000B5898"/>
    <w:rsid w:val="000B5DA9"/>
    <w:rsid w:val="000B610C"/>
    <w:rsid w:val="000B69B8"/>
    <w:rsid w:val="000B7854"/>
    <w:rsid w:val="000B7A3F"/>
    <w:rsid w:val="000C09CE"/>
    <w:rsid w:val="000C0C40"/>
    <w:rsid w:val="000C1087"/>
    <w:rsid w:val="000C218B"/>
    <w:rsid w:val="000C21A6"/>
    <w:rsid w:val="000C26A3"/>
    <w:rsid w:val="000C2785"/>
    <w:rsid w:val="000C29D9"/>
    <w:rsid w:val="000C3042"/>
    <w:rsid w:val="000C33AF"/>
    <w:rsid w:val="000C3469"/>
    <w:rsid w:val="000C354F"/>
    <w:rsid w:val="000C366E"/>
    <w:rsid w:val="000C3E91"/>
    <w:rsid w:val="000C4777"/>
    <w:rsid w:val="000C48B6"/>
    <w:rsid w:val="000C4F8F"/>
    <w:rsid w:val="000C507A"/>
    <w:rsid w:val="000C525D"/>
    <w:rsid w:val="000C545D"/>
    <w:rsid w:val="000C57A7"/>
    <w:rsid w:val="000C5987"/>
    <w:rsid w:val="000C59FE"/>
    <w:rsid w:val="000C5B06"/>
    <w:rsid w:val="000C65AE"/>
    <w:rsid w:val="000C6805"/>
    <w:rsid w:val="000C6A6C"/>
    <w:rsid w:val="000C6B2B"/>
    <w:rsid w:val="000C702A"/>
    <w:rsid w:val="000C7734"/>
    <w:rsid w:val="000C78A7"/>
    <w:rsid w:val="000C7EBD"/>
    <w:rsid w:val="000C7FAD"/>
    <w:rsid w:val="000D06FE"/>
    <w:rsid w:val="000D0C0D"/>
    <w:rsid w:val="000D1357"/>
    <w:rsid w:val="000D1611"/>
    <w:rsid w:val="000D16DA"/>
    <w:rsid w:val="000D1DF0"/>
    <w:rsid w:val="000D224F"/>
    <w:rsid w:val="000D257A"/>
    <w:rsid w:val="000D2AB7"/>
    <w:rsid w:val="000D31D5"/>
    <w:rsid w:val="000D418B"/>
    <w:rsid w:val="000D4554"/>
    <w:rsid w:val="000D47F3"/>
    <w:rsid w:val="000D4D6B"/>
    <w:rsid w:val="000D55F2"/>
    <w:rsid w:val="000D5657"/>
    <w:rsid w:val="000D5A35"/>
    <w:rsid w:val="000D6DB6"/>
    <w:rsid w:val="000D6E1E"/>
    <w:rsid w:val="000D75BD"/>
    <w:rsid w:val="000D7638"/>
    <w:rsid w:val="000D7A8C"/>
    <w:rsid w:val="000D7F67"/>
    <w:rsid w:val="000E00BF"/>
    <w:rsid w:val="000E0447"/>
    <w:rsid w:val="000E144A"/>
    <w:rsid w:val="000E164B"/>
    <w:rsid w:val="000E17C6"/>
    <w:rsid w:val="000E1BF1"/>
    <w:rsid w:val="000E1E62"/>
    <w:rsid w:val="000E217E"/>
    <w:rsid w:val="000E228C"/>
    <w:rsid w:val="000E22E7"/>
    <w:rsid w:val="000E2A67"/>
    <w:rsid w:val="000E2BC1"/>
    <w:rsid w:val="000E2DE7"/>
    <w:rsid w:val="000E2E50"/>
    <w:rsid w:val="000E35D2"/>
    <w:rsid w:val="000E385A"/>
    <w:rsid w:val="000E3A47"/>
    <w:rsid w:val="000E3CD6"/>
    <w:rsid w:val="000E3EAD"/>
    <w:rsid w:val="000E4200"/>
    <w:rsid w:val="000E4980"/>
    <w:rsid w:val="000E4B9F"/>
    <w:rsid w:val="000E4D7A"/>
    <w:rsid w:val="000E5249"/>
    <w:rsid w:val="000E57FE"/>
    <w:rsid w:val="000E5857"/>
    <w:rsid w:val="000E5CDF"/>
    <w:rsid w:val="000E60ED"/>
    <w:rsid w:val="000E633A"/>
    <w:rsid w:val="000E7116"/>
    <w:rsid w:val="000E72AA"/>
    <w:rsid w:val="000F0284"/>
    <w:rsid w:val="000F0434"/>
    <w:rsid w:val="000F085C"/>
    <w:rsid w:val="000F1054"/>
    <w:rsid w:val="000F11BF"/>
    <w:rsid w:val="000F1541"/>
    <w:rsid w:val="000F1C5F"/>
    <w:rsid w:val="000F1DFC"/>
    <w:rsid w:val="000F1EBB"/>
    <w:rsid w:val="000F24CC"/>
    <w:rsid w:val="000F2AE3"/>
    <w:rsid w:val="000F2C9F"/>
    <w:rsid w:val="000F2D0C"/>
    <w:rsid w:val="000F2D6D"/>
    <w:rsid w:val="000F2F66"/>
    <w:rsid w:val="000F3273"/>
    <w:rsid w:val="000F36FD"/>
    <w:rsid w:val="000F3ACD"/>
    <w:rsid w:val="000F3C45"/>
    <w:rsid w:val="000F4087"/>
    <w:rsid w:val="000F412E"/>
    <w:rsid w:val="000F4944"/>
    <w:rsid w:val="000F4A60"/>
    <w:rsid w:val="000F4AB6"/>
    <w:rsid w:val="000F4BCF"/>
    <w:rsid w:val="000F4F48"/>
    <w:rsid w:val="000F5139"/>
    <w:rsid w:val="000F57E2"/>
    <w:rsid w:val="000F592F"/>
    <w:rsid w:val="000F5CF1"/>
    <w:rsid w:val="000F5DC3"/>
    <w:rsid w:val="000F5E9F"/>
    <w:rsid w:val="000F7261"/>
    <w:rsid w:val="000F7518"/>
    <w:rsid w:val="000F775D"/>
    <w:rsid w:val="0010033C"/>
    <w:rsid w:val="00100605"/>
    <w:rsid w:val="00100DA3"/>
    <w:rsid w:val="001017DD"/>
    <w:rsid w:val="00101E77"/>
    <w:rsid w:val="001021E5"/>
    <w:rsid w:val="00103541"/>
    <w:rsid w:val="00103683"/>
    <w:rsid w:val="001038D7"/>
    <w:rsid w:val="00103AB3"/>
    <w:rsid w:val="0010590D"/>
    <w:rsid w:val="00105D3B"/>
    <w:rsid w:val="00105DC9"/>
    <w:rsid w:val="001061B8"/>
    <w:rsid w:val="0010663A"/>
    <w:rsid w:val="001069C7"/>
    <w:rsid w:val="00106C2E"/>
    <w:rsid w:val="00107545"/>
    <w:rsid w:val="00107735"/>
    <w:rsid w:val="0010797E"/>
    <w:rsid w:val="00107FAE"/>
    <w:rsid w:val="00110069"/>
    <w:rsid w:val="001105BC"/>
    <w:rsid w:val="00110DDE"/>
    <w:rsid w:val="00110FF6"/>
    <w:rsid w:val="0011105C"/>
    <w:rsid w:val="00111114"/>
    <w:rsid w:val="00112080"/>
    <w:rsid w:val="001120A2"/>
    <w:rsid w:val="00112282"/>
    <w:rsid w:val="001123CC"/>
    <w:rsid w:val="00112EA4"/>
    <w:rsid w:val="001130CC"/>
    <w:rsid w:val="00113298"/>
    <w:rsid w:val="001135E6"/>
    <w:rsid w:val="001137ED"/>
    <w:rsid w:val="001138B2"/>
    <w:rsid w:val="00113EBC"/>
    <w:rsid w:val="00113F85"/>
    <w:rsid w:val="00113FC5"/>
    <w:rsid w:val="00114C29"/>
    <w:rsid w:val="00114DF7"/>
    <w:rsid w:val="00114F11"/>
    <w:rsid w:val="00115D23"/>
    <w:rsid w:val="00115F29"/>
    <w:rsid w:val="00116347"/>
    <w:rsid w:val="00116980"/>
    <w:rsid w:val="001175B9"/>
    <w:rsid w:val="0011762B"/>
    <w:rsid w:val="00117722"/>
    <w:rsid w:val="001203DD"/>
    <w:rsid w:val="0012076B"/>
    <w:rsid w:val="001208FB"/>
    <w:rsid w:val="00120CFD"/>
    <w:rsid w:val="00121567"/>
    <w:rsid w:val="001215DB"/>
    <w:rsid w:val="00121A90"/>
    <w:rsid w:val="00121F28"/>
    <w:rsid w:val="0012287F"/>
    <w:rsid w:val="00122D95"/>
    <w:rsid w:val="00122EB8"/>
    <w:rsid w:val="00122EC5"/>
    <w:rsid w:val="00122ECB"/>
    <w:rsid w:val="001230A7"/>
    <w:rsid w:val="0012339C"/>
    <w:rsid w:val="00123601"/>
    <w:rsid w:val="001242A1"/>
    <w:rsid w:val="0012431B"/>
    <w:rsid w:val="0012463C"/>
    <w:rsid w:val="00124656"/>
    <w:rsid w:val="00124C04"/>
    <w:rsid w:val="00124FB5"/>
    <w:rsid w:val="0012514F"/>
    <w:rsid w:val="0012591C"/>
    <w:rsid w:val="0012615C"/>
    <w:rsid w:val="0012695F"/>
    <w:rsid w:val="001269FF"/>
    <w:rsid w:val="00127A73"/>
    <w:rsid w:val="00130886"/>
    <w:rsid w:val="001311E1"/>
    <w:rsid w:val="0013165C"/>
    <w:rsid w:val="001316B1"/>
    <w:rsid w:val="00131E10"/>
    <w:rsid w:val="00131E86"/>
    <w:rsid w:val="0013226A"/>
    <w:rsid w:val="00132539"/>
    <w:rsid w:val="00132B91"/>
    <w:rsid w:val="00132D42"/>
    <w:rsid w:val="00132D4D"/>
    <w:rsid w:val="00132F96"/>
    <w:rsid w:val="001335F8"/>
    <w:rsid w:val="001337D3"/>
    <w:rsid w:val="001338B8"/>
    <w:rsid w:val="00133BA3"/>
    <w:rsid w:val="00133BFB"/>
    <w:rsid w:val="00134262"/>
    <w:rsid w:val="0013447A"/>
    <w:rsid w:val="001349EE"/>
    <w:rsid w:val="00134B35"/>
    <w:rsid w:val="00134BF5"/>
    <w:rsid w:val="00135A5F"/>
    <w:rsid w:val="00135BD5"/>
    <w:rsid w:val="00135F87"/>
    <w:rsid w:val="001361CF"/>
    <w:rsid w:val="0013680F"/>
    <w:rsid w:val="00136E46"/>
    <w:rsid w:val="00137121"/>
    <w:rsid w:val="001376EA"/>
    <w:rsid w:val="00137A51"/>
    <w:rsid w:val="00137D3A"/>
    <w:rsid w:val="00137E38"/>
    <w:rsid w:val="00140276"/>
    <w:rsid w:val="00140640"/>
    <w:rsid w:val="00140657"/>
    <w:rsid w:val="001407EC"/>
    <w:rsid w:val="00140DD7"/>
    <w:rsid w:val="00140F41"/>
    <w:rsid w:val="001411B0"/>
    <w:rsid w:val="0014169E"/>
    <w:rsid w:val="00141969"/>
    <w:rsid w:val="00141CB3"/>
    <w:rsid w:val="0014204B"/>
    <w:rsid w:val="00142200"/>
    <w:rsid w:val="00142B91"/>
    <w:rsid w:val="00142BF2"/>
    <w:rsid w:val="00144016"/>
    <w:rsid w:val="00144874"/>
    <w:rsid w:val="00145030"/>
    <w:rsid w:val="001455DF"/>
    <w:rsid w:val="0014561E"/>
    <w:rsid w:val="00146518"/>
    <w:rsid w:val="0014674A"/>
    <w:rsid w:val="001468A2"/>
    <w:rsid w:val="00146F07"/>
    <w:rsid w:val="00147492"/>
    <w:rsid w:val="001474F4"/>
    <w:rsid w:val="00147932"/>
    <w:rsid w:val="00147CF8"/>
    <w:rsid w:val="00151506"/>
    <w:rsid w:val="00151ABA"/>
    <w:rsid w:val="00151C8A"/>
    <w:rsid w:val="00152001"/>
    <w:rsid w:val="001522E8"/>
    <w:rsid w:val="00152697"/>
    <w:rsid w:val="001526BF"/>
    <w:rsid w:val="00152A14"/>
    <w:rsid w:val="00152C30"/>
    <w:rsid w:val="00153037"/>
    <w:rsid w:val="001530E3"/>
    <w:rsid w:val="00153379"/>
    <w:rsid w:val="001536A0"/>
    <w:rsid w:val="0015427E"/>
    <w:rsid w:val="00154291"/>
    <w:rsid w:val="00154516"/>
    <w:rsid w:val="001547E8"/>
    <w:rsid w:val="001549E4"/>
    <w:rsid w:val="00154F72"/>
    <w:rsid w:val="001551F7"/>
    <w:rsid w:val="00155231"/>
    <w:rsid w:val="001554A0"/>
    <w:rsid w:val="00156000"/>
    <w:rsid w:val="00156048"/>
    <w:rsid w:val="00156215"/>
    <w:rsid w:val="001566FA"/>
    <w:rsid w:val="00156F2D"/>
    <w:rsid w:val="00156FFC"/>
    <w:rsid w:val="001573DF"/>
    <w:rsid w:val="001575E8"/>
    <w:rsid w:val="0015770E"/>
    <w:rsid w:val="00157BEF"/>
    <w:rsid w:val="00157CAE"/>
    <w:rsid w:val="00160097"/>
    <w:rsid w:val="00161F9B"/>
    <w:rsid w:val="00162E6E"/>
    <w:rsid w:val="00163084"/>
    <w:rsid w:val="001632A4"/>
    <w:rsid w:val="00163831"/>
    <w:rsid w:val="00163CC2"/>
    <w:rsid w:val="00164106"/>
    <w:rsid w:val="001642B8"/>
    <w:rsid w:val="001642EE"/>
    <w:rsid w:val="0016443A"/>
    <w:rsid w:val="00164F1B"/>
    <w:rsid w:val="00165474"/>
    <w:rsid w:val="00165718"/>
    <w:rsid w:val="00165936"/>
    <w:rsid w:val="00165B82"/>
    <w:rsid w:val="001661F3"/>
    <w:rsid w:val="00166460"/>
    <w:rsid w:val="00166A77"/>
    <w:rsid w:val="00167D0A"/>
    <w:rsid w:val="00167EB3"/>
    <w:rsid w:val="001711AD"/>
    <w:rsid w:val="001713BC"/>
    <w:rsid w:val="00171A97"/>
    <w:rsid w:val="00172179"/>
    <w:rsid w:val="00172FE7"/>
    <w:rsid w:val="00173A21"/>
    <w:rsid w:val="001740A8"/>
    <w:rsid w:val="00174214"/>
    <w:rsid w:val="00174970"/>
    <w:rsid w:val="001749DD"/>
    <w:rsid w:val="00174BC6"/>
    <w:rsid w:val="00174C9E"/>
    <w:rsid w:val="00174D4F"/>
    <w:rsid w:val="00175195"/>
    <w:rsid w:val="0017565C"/>
    <w:rsid w:val="001757AD"/>
    <w:rsid w:val="0017608C"/>
    <w:rsid w:val="001766F6"/>
    <w:rsid w:val="00176CA7"/>
    <w:rsid w:val="00177057"/>
    <w:rsid w:val="0017727B"/>
    <w:rsid w:val="00180C38"/>
    <w:rsid w:val="00180E81"/>
    <w:rsid w:val="00180F22"/>
    <w:rsid w:val="0018236D"/>
    <w:rsid w:val="0018263E"/>
    <w:rsid w:val="0018272A"/>
    <w:rsid w:val="00182C72"/>
    <w:rsid w:val="00183590"/>
    <w:rsid w:val="00183A5F"/>
    <w:rsid w:val="00183EB5"/>
    <w:rsid w:val="00183F5F"/>
    <w:rsid w:val="00183F78"/>
    <w:rsid w:val="00184D16"/>
    <w:rsid w:val="001868E0"/>
    <w:rsid w:val="001871E2"/>
    <w:rsid w:val="00187B93"/>
    <w:rsid w:val="00187DBB"/>
    <w:rsid w:val="00187F62"/>
    <w:rsid w:val="00187FC9"/>
    <w:rsid w:val="00190320"/>
    <w:rsid w:val="001907D7"/>
    <w:rsid w:val="00190B60"/>
    <w:rsid w:val="00190C67"/>
    <w:rsid w:val="001911ED"/>
    <w:rsid w:val="00191617"/>
    <w:rsid w:val="001921EA"/>
    <w:rsid w:val="0019220F"/>
    <w:rsid w:val="00192FBD"/>
    <w:rsid w:val="0019382F"/>
    <w:rsid w:val="00193DFD"/>
    <w:rsid w:val="00194C35"/>
    <w:rsid w:val="00195CDE"/>
    <w:rsid w:val="001967AA"/>
    <w:rsid w:val="001968D0"/>
    <w:rsid w:val="001969FF"/>
    <w:rsid w:val="00196C78"/>
    <w:rsid w:val="00196C9F"/>
    <w:rsid w:val="00196EFA"/>
    <w:rsid w:val="001975BA"/>
    <w:rsid w:val="00197946"/>
    <w:rsid w:val="00197DD8"/>
    <w:rsid w:val="00197E56"/>
    <w:rsid w:val="00197F59"/>
    <w:rsid w:val="001A011C"/>
    <w:rsid w:val="001A1EF1"/>
    <w:rsid w:val="001A255B"/>
    <w:rsid w:val="001A31D7"/>
    <w:rsid w:val="001A37CA"/>
    <w:rsid w:val="001A39F5"/>
    <w:rsid w:val="001A3B94"/>
    <w:rsid w:val="001A3FAE"/>
    <w:rsid w:val="001A42C8"/>
    <w:rsid w:val="001A445E"/>
    <w:rsid w:val="001A462F"/>
    <w:rsid w:val="001A538D"/>
    <w:rsid w:val="001A542C"/>
    <w:rsid w:val="001A57C7"/>
    <w:rsid w:val="001A5D16"/>
    <w:rsid w:val="001A5EA3"/>
    <w:rsid w:val="001A5F59"/>
    <w:rsid w:val="001A637D"/>
    <w:rsid w:val="001A638F"/>
    <w:rsid w:val="001A6BEE"/>
    <w:rsid w:val="001A6D09"/>
    <w:rsid w:val="001A778B"/>
    <w:rsid w:val="001A7DC6"/>
    <w:rsid w:val="001B02FB"/>
    <w:rsid w:val="001B0394"/>
    <w:rsid w:val="001B03CA"/>
    <w:rsid w:val="001B06B8"/>
    <w:rsid w:val="001B0BBD"/>
    <w:rsid w:val="001B0DE0"/>
    <w:rsid w:val="001B1C79"/>
    <w:rsid w:val="001B1E4D"/>
    <w:rsid w:val="001B2CD0"/>
    <w:rsid w:val="001B2FE0"/>
    <w:rsid w:val="001B30EA"/>
    <w:rsid w:val="001B3449"/>
    <w:rsid w:val="001B37A8"/>
    <w:rsid w:val="001B43E8"/>
    <w:rsid w:val="001B45C1"/>
    <w:rsid w:val="001B4605"/>
    <w:rsid w:val="001B4835"/>
    <w:rsid w:val="001B4934"/>
    <w:rsid w:val="001B508D"/>
    <w:rsid w:val="001B5245"/>
    <w:rsid w:val="001B5AEA"/>
    <w:rsid w:val="001B5E47"/>
    <w:rsid w:val="001B5F3A"/>
    <w:rsid w:val="001B604B"/>
    <w:rsid w:val="001B621E"/>
    <w:rsid w:val="001B6608"/>
    <w:rsid w:val="001B674B"/>
    <w:rsid w:val="001B69E9"/>
    <w:rsid w:val="001B6F56"/>
    <w:rsid w:val="001B7200"/>
    <w:rsid w:val="001B7290"/>
    <w:rsid w:val="001B7C67"/>
    <w:rsid w:val="001C029C"/>
    <w:rsid w:val="001C068D"/>
    <w:rsid w:val="001C0BBF"/>
    <w:rsid w:val="001C0F42"/>
    <w:rsid w:val="001C10E6"/>
    <w:rsid w:val="001C13E6"/>
    <w:rsid w:val="001C22FF"/>
    <w:rsid w:val="001C241A"/>
    <w:rsid w:val="001C24E9"/>
    <w:rsid w:val="001C262B"/>
    <w:rsid w:val="001C2AB9"/>
    <w:rsid w:val="001C3619"/>
    <w:rsid w:val="001C3B87"/>
    <w:rsid w:val="001C3BCF"/>
    <w:rsid w:val="001C46BE"/>
    <w:rsid w:val="001C476B"/>
    <w:rsid w:val="001C4E2C"/>
    <w:rsid w:val="001C560F"/>
    <w:rsid w:val="001C5A8E"/>
    <w:rsid w:val="001C610F"/>
    <w:rsid w:val="001C626F"/>
    <w:rsid w:val="001C6493"/>
    <w:rsid w:val="001C64B8"/>
    <w:rsid w:val="001C7208"/>
    <w:rsid w:val="001D0528"/>
    <w:rsid w:val="001D0696"/>
    <w:rsid w:val="001D06EB"/>
    <w:rsid w:val="001D0729"/>
    <w:rsid w:val="001D0C7C"/>
    <w:rsid w:val="001D18D0"/>
    <w:rsid w:val="001D230C"/>
    <w:rsid w:val="001D308E"/>
    <w:rsid w:val="001D33EB"/>
    <w:rsid w:val="001D36DD"/>
    <w:rsid w:val="001D3F34"/>
    <w:rsid w:val="001D43AF"/>
    <w:rsid w:val="001D495E"/>
    <w:rsid w:val="001D4CD3"/>
    <w:rsid w:val="001D4FF0"/>
    <w:rsid w:val="001D5501"/>
    <w:rsid w:val="001D62A3"/>
    <w:rsid w:val="001D65EB"/>
    <w:rsid w:val="001D6751"/>
    <w:rsid w:val="001D67D3"/>
    <w:rsid w:val="001D6EFF"/>
    <w:rsid w:val="001D7A4D"/>
    <w:rsid w:val="001D7C1C"/>
    <w:rsid w:val="001D7E7B"/>
    <w:rsid w:val="001E083D"/>
    <w:rsid w:val="001E0C1F"/>
    <w:rsid w:val="001E1674"/>
    <w:rsid w:val="001E1B03"/>
    <w:rsid w:val="001E204C"/>
    <w:rsid w:val="001E2061"/>
    <w:rsid w:val="001E2828"/>
    <w:rsid w:val="001E2FD5"/>
    <w:rsid w:val="001E43A9"/>
    <w:rsid w:val="001E4696"/>
    <w:rsid w:val="001E5904"/>
    <w:rsid w:val="001E64E4"/>
    <w:rsid w:val="001E67FF"/>
    <w:rsid w:val="001E7148"/>
    <w:rsid w:val="001E72BA"/>
    <w:rsid w:val="001E76F5"/>
    <w:rsid w:val="001E7AE2"/>
    <w:rsid w:val="001F0405"/>
    <w:rsid w:val="001F050B"/>
    <w:rsid w:val="001F0B2D"/>
    <w:rsid w:val="001F1327"/>
    <w:rsid w:val="001F1356"/>
    <w:rsid w:val="001F1901"/>
    <w:rsid w:val="001F234C"/>
    <w:rsid w:val="001F264F"/>
    <w:rsid w:val="001F26EE"/>
    <w:rsid w:val="001F2E12"/>
    <w:rsid w:val="001F366D"/>
    <w:rsid w:val="001F4004"/>
    <w:rsid w:val="001F48BC"/>
    <w:rsid w:val="001F48E8"/>
    <w:rsid w:val="001F4C37"/>
    <w:rsid w:val="001F5615"/>
    <w:rsid w:val="001F5873"/>
    <w:rsid w:val="001F59EA"/>
    <w:rsid w:val="001F5F2C"/>
    <w:rsid w:val="001F5FD7"/>
    <w:rsid w:val="001F67A1"/>
    <w:rsid w:val="001F79C2"/>
    <w:rsid w:val="00201109"/>
    <w:rsid w:val="00201267"/>
    <w:rsid w:val="00201635"/>
    <w:rsid w:val="002016CF"/>
    <w:rsid w:val="00201841"/>
    <w:rsid w:val="00201A76"/>
    <w:rsid w:val="00201F3A"/>
    <w:rsid w:val="002025FF"/>
    <w:rsid w:val="00202CC1"/>
    <w:rsid w:val="00203D69"/>
    <w:rsid w:val="0020424E"/>
    <w:rsid w:val="002042E1"/>
    <w:rsid w:val="0020459F"/>
    <w:rsid w:val="0020492F"/>
    <w:rsid w:val="00204C03"/>
    <w:rsid w:val="002053BB"/>
    <w:rsid w:val="00205CAB"/>
    <w:rsid w:val="00205E75"/>
    <w:rsid w:val="002065BB"/>
    <w:rsid w:val="00206638"/>
    <w:rsid w:val="00206FF2"/>
    <w:rsid w:val="00207874"/>
    <w:rsid w:val="00207D97"/>
    <w:rsid w:val="002101DF"/>
    <w:rsid w:val="00211686"/>
    <w:rsid w:val="002119F3"/>
    <w:rsid w:val="00211DAF"/>
    <w:rsid w:val="00211F3C"/>
    <w:rsid w:val="00211FB9"/>
    <w:rsid w:val="002125D4"/>
    <w:rsid w:val="00213495"/>
    <w:rsid w:val="00213CA6"/>
    <w:rsid w:val="00213E21"/>
    <w:rsid w:val="00214614"/>
    <w:rsid w:val="0021483A"/>
    <w:rsid w:val="00214E28"/>
    <w:rsid w:val="00215011"/>
    <w:rsid w:val="00215B5A"/>
    <w:rsid w:val="00216381"/>
    <w:rsid w:val="00216911"/>
    <w:rsid w:val="00217046"/>
    <w:rsid w:val="002174C1"/>
    <w:rsid w:val="00217AA0"/>
    <w:rsid w:val="0022008E"/>
    <w:rsid w:val="00220485"/>
    <w:rsid w:val="00220645"/>
    <w:rsid w:val="00220C95"/>
    <w:rsid w:val="0022143F"/>
    <w:rsid w:val="00221F0D"/>
    <w:rsid w:val="00222328"/>
    <w:rsid w:val="00222463"/>
    <w:rsid w:val="00222798"/>
    <w:rsid w:val="00222A64"/>
    <w:rsid w:val="00222E0A"/>
    <w:rsid w:val="002233DF"/>
    <w:rsid w:val="00223410"/>
    <w:rsid w:val="00223CD6"/>
    <w:rsid w:val="002243B1"/>
    <w:rsid w:val="002244F7"/>
    <w:rsid w:val="002249E1"/>
    <w:rsid w:val="00224C1E"/>
    <w:rsid w:val="00224F34"/>
    <w:rsid w:val="002256FC"/>
    <w:rsid w:val="0022585C"/>
    <w:rsid w:val="00225B68"/>
    <w:rsid w:val="00226395"/>
    <w:rsid w:val="002263F2"/>
    <w:rsid w:val="002266E7"/>
    <w:rsid w:val="00226A2D"/>
    <w:rsid w:val="002271CE"/>
    <w:rsid w:val="00227461"/>
    <w:rsid w:val="002276F9"/>
    <w:rsid w:val="0022774B"/>
    <w:rsid w:val="00227855"/>
    <w:rsid w:val="00227DC4"/>
    <w:rsid w:val="002303EC"/>
    <w:rsid w:val="0023092D"/>
    <w:rsid w:val="00230D32"/>
    <w:rsid w:val="00231261"/>
    <w:rsid w:val="00232AB9"/>
    <w:rsid w:val="002333A9"/>
    <w:rsid w:val="002334C6"/>
    <w:rsid w:val="0023385F"/>
    <w:rsid w:val="00233AAD"/>
    <w:rsid w:val="002341A2"/>
    <w:rsid w:val="00234399"/>
    <w:rsid w:val="00234546"/>
    <w:rsid w:val="00234727"/>
    <w:rsid w:val="002347BD"/>
    <w:rsid w:val="002347E9"/>
    <w:rsid w:val="002349E7"/>
    <w:rsid w:val="00234A63"/>
    <w:rsid w:val="00235F16"/>
    <w:rsid w:val="00236492"/>
    <w:rsid w:val="00236659"/>
    <w:rsid w:val="002366FD"/>
    <w:rsid w:val="00236779"/>
    <w:rsid w:val="00236C48"/>
    <w:rsid w:val="00236E95"/>
    <w:rsid w:val="00237338"/>
    <w:rsid w:val="0023743A"/>
    <w:rsid w:val="002374BF"/>
    <w:rsid w:val="00237F0F"/>
    <w:rsid w:val="002400DB"/>
    <w:rsid w:val="00240300"/>
    <w:rsid w:val="00240A78"/>
    <w:rsid w:val="00240E3C"/>
    <w:rsid w:val="00241449"/>
    <w:rsid w:val="00241B3F"/>
    <w:rsid w:val="00241BB3"/>
    <w:rsid w:val="002426C8"/>
    <w:rsid w:val="002426E4"/>
    <w:rsid w:val="002427F0"/>
    <w:rsid w:val="0024291A"/>
    <w:rsid w:val="00242FB3"/>
    <w:rsid w:val="0024353F"/>
    <w:rsid w:val="00243994"/>
    <w:rsid w:val="002445F1"/>
    <w:rsid w:val="002448F8"/>
    <w:rsid w:val="002449EC"/>
    <w:rsid w:val="00244D65"/>
    <w:rsid w:val="0024502A"/>
    <w:rsid w:val="002452CC"/>
    <w:rsid w:val="0024547E"/>
    <w:rsid w:val="002458EE"/>
    <w:rsid w:val="0024635E"/>
    <w:rsid w:val="00246696"/>
    <w:rsid w:val="0024685A"/>
    <w:rsid w:val="00246901"/>
    <w:rsid w:val="00246A61"/>
    <w:rsid w:val="00246D06"/>
    <w:rsid w:val="00246E0E"/>
    <w:rsid w:val="00247497"/>
    <w:rsid w:val="002476D8"/>
    <w:rsid w:val="00247AC7"/>
    <w:rsid w:val="00250258"/>
    <w:rsid w:val="002504FC"/>
    <w:rsid w:val="00250F2B"/>
    <w:rsid w:val="002511F9"/>
    <w:rsid w:val="00251CDC"/>
    <w:rsid w:val="0025250B"/>
    <w:rsid w:val="00252792"/>
    <w:rsid w:val="00252CBD"/>
    <w:rsid w:val="00252FBF"/>
    <w:rsid w:val="002534C6"/>
    <w:rsid w:val="0025365A"/>
    <w:rsid w:val="00253898"/>
    <w:rsid w:val="00253C36"/>
    <w:rsid w:val="00254827"/>
    <w:rsid w:val="002548E2"/>
    <w:rsid w:val="002559E5"/>
    <w:rsid w:val="00255F05"/>
    <w:rsid w:val="00256129"/>
    <w:rsid w:val="002565D3"/>
    <w:rsid w:val="00256C16"/>
    <w:rsid w:val="002577A7"/>
    <w:rsid w:val="0026009E"/>
    <w:rsid w:val="002602FD"/>
    <w:rsid w:val="002615FB"/>
    <w:rsid w:val="002617B6"/>
    <w:rsid w:val="0026193C"/>
    <w:rsid w:val="00262460"/>
    <w:rsid w:val="00262BEF"/>
    <w:rsid w:val="00262D89"/>
    <w:rsid w:val="002639D3"/>
    <w:rsid w:val="00263BF4"/>
    <w:rsid w:val="00263C37"/>
    <w:rsid w:val="00263FDB"/>
    <w:rsid w:val="002640AE"/>
    <w:rsid w:val="002643F9"/>
    <w:rsid w:val="00264EED"/>
    <w:rsid w:val="0026523E"/>
    <w:rsid w:val="002652F6"/>
    <w:rsid w:val="0026532E"/>
    <w:rsid w:val="002653CA"/>
    <w:rsid w:val="00265894"/>
    <w:rsid w:val="00265DBD"/>
    <w:rsid w:val="00266201"/>
    <w:rsid w:val="00266287"/>
    <w:rsid w:val="00266935"/>
    <w:rsid w:val="00266A5F"/>
    <w:rsid w:val="0026723F"/>
    <w:rsid w:val="002672F8"/>
    <w:rsid w:val="00267504"/>
    <w:rsid w:val="002675E1"/>
    <w:rsid w:val="00267BE2"/>
    <w:rsid w:val="00267F06"/>
    <w:rsid w:val="00267F3A"/>
    <w:rsid w:val="002705D3"/>
    <w:rsid w:val="0027087E"/>
    <w:rsid w:val="00270BB1"/>
    <w:rsid w:val="00270CA4"/>
    <w:rsid w:val="00270ED2"/>
    <w:rsid w:val="002716AF"/>
    <w:rsid w:val="002716DF"/>
    <w:rsid w:val="002717DF"/>
    <w:rsid w:val="00271CA9"/>
    <w:rsid w:val="00271EBD"/>
    <w:rsid w:val="00272736"/>
    <w:rsid w:val="00272A4B"/>
    <w:rsid w:val="00272B14"/>
    <w:rsid w:val="00272DBC"/>
    <w:rsid w:val="00273131"/>
    <w:rsid w:val="00274F32"/>
    <w:rsid w:val="00275209"/>
    <w:rsid w:val="00275AD4"/>
    <w:rsid w:val="00275E87"/>
    <w:rsid w:val="002768D9"/>
    <w:rsid w:val="00276CB0"/>
    <w:rsid w:val="00277390"/>
    <w:rsid w:val="002779B2"/>
    <w:rsid w:val="00277E72"/>
    <w:rsid w:val="00277EF3"/>
    <w:rsid w:val="00277F11"/>
    <w:rsid w:val="00280BB2"/>
    <w:rsid w:val="00281675"/>
    <w:rsid w:val="002818A0"/>
    <w:rsid w:val="0028207D"/>
    <w:rsid w:val="002821C7"/>
    <w:rsid w:val="002821D3"/>
    <w:rsid w:val="00282882"/>
    <w:rsid w:val="00283496"/>
    <w:rsid w:val="00283605"/>
    <w:rsid w:val="00283841"/>
    <w:rsid w:val="00284240"/>
    <w:rsid w:val="002846D1"/>
    <w:rsid w:val="00284BBB"/>
    <w:rsid w:val="002850FD"/>
    <w:rsid w:val="002855E7"/>
    <w:rsid w:val="00285C45"/>
    <w:rsid w:val="00285D9D"/>
    <w:rsid w:val="00285FFE"/>
    <w:rsid w:val="00286141"/>
    <w:rsid w:val="00286441"/>
    <w:rsid w:val="00286E33"/>
    <w:rsid w:val="00287224"/>
    <w:rsid w:val="00287546"/>
    <w:rsid w:val="002875D1"/>
    <w:rsid w:val="00287864"/>
    <w:rsid w:val="00287E30"/>
    <w:rsid w:val="00287EFF"/>
    <w:rsid w:val="00290DF2"/>
    <w:rsid w:val="0029154A"/>
    <w:rsid w:val="00291A99"/>
    <w:rsid w:val="00291F17"/>
    <w:rsid w:val="00291FC6"/>
    <w:rsid w:val="00292269"/>
    <w:rsid w:val="002922BF"/>
    <w:rsid w:val="0029246F"/>
    <w:rsid w:val="00292CD0"/>
    <w:rsid w:val="0029322F"/>
    <w:rsid w:val="002933C8"/>
    <w:rsid w:val="002936DB"/>
    <w:rsid w:val="00293707"/>
    <w:rsid w:val="00293C4E"/>
    <w:rsid w:val="00294D8F"/>
    <w:rsid w:val="00294DF6"/>
    <w:rsid w:val="00295683"/>
    <w:rsid w:val="002958A8"/>
    <w:rsid w:val="00295A53"/>
    <w:rsid w:val="00295F23"/>
    <w:rsid w:val="00296B58"/>
    <w:rsid w:val="00296E12"/>
    <w:rsid w:val="00297DEB"/>
    <w:rsid w:val="002A025E"/>
    <w:rsid w:val="002A0DAA"/>
    <w:rsid w:val="002A1069"/>
    <w:rsid w:val="002A11B9"/>
    <w:rsid w:val="002A12C5"/>
    <w:rsid w:val="002A17C7"/>
    <w:rsid w:val="002A26F6"/>
    <w:rsid w:val="002A3CFF"/>
    <w:rsid w:val="002A3E0A"/>
    <w:rsid w:val="002A45E2"/>
    <w:rsid w:val="002A47FD"/>
    <w:rsid w:val="002A4859"/>
    <w:rsid w:val="002A4B5F"/>
    <w:rsid w:val="002A4B6C"/>
    <w:rsid w:val="002A5136"/>
    <w:rsid w:val="002A51C8"/>
    <w:rsid w:val="002A5D37"/>
    <w:rsid w:val="002A61E6"/>
    <w:rsid w:val="002A621C"/>
    <w:rsid w:val="002A6397"/>
    <w:rsid w:val="002A66F9"/>
    <w:rsid w:val="002A6893"/>
    <w:rsid w:val="002A6AAC"/>
    <w:rsid w:val="002A75B9"/>
    <w:rsid w:val="002A7C23"/>
    <w:rsid w:val="002B0010"/>
    <w:rsid w:val="002B03D8"/>
    <w:rsid w:val="002B0B2B"/>
    <w:rsid w:val="002B1D61"/>
    <w:rsid w:val="002B2244"/>
    <w:rsid w:val="002B2DB0"/>
    <w:rsid w:val="002B3253"/>
    <w:rsid w:val="002B383A"/>
    <w:rsid w:val="002B38E5"/>
    <w:rsid w:val="002B390F"/>
    <w:rsid w:val="002B3F66"/>
    <w:rsid w:val="002B49D8"/>
    <w:rsid w:val="002B4B70"/>
    <w:rsid w:val="002B4D01"/>
    <w:rsid w:val="002B4D67"/>
    <w:rsid w:val="002B4EF9"/>
    <w:rsid w:val="002B55CC"/>
    <w:rsid w:val="002B616F"/>
    <w:rsid w:val="002B6921"/>
    <w:rsid w:val="002B6AC4"/>
    <w:rsid w:val="002B78AD"/>
    <w:rsid w:val="002B7978"/>
    <w:rsid w:val="002B7A5B"/>
    <w:rsid w:val="002B7FDE"/>
    <w:rsid w:val="002C0107"/>
    <w:rsid w:val="002C03CA"/>
    <w:rsid w:val="002C08EA"/>
    <w:rsid w:val="002C09F2"/>
    <w:rsid w:val="002C0FCE"/>
    <w:rsid w:val="002C12FE"/>
    <w:rsid w:val="002C157D"/>
    <w:rsid w:val="002C18B3"/>
    <w:rsid w:val="002C1E34"/>
    <w:rsid w:val="002C1FE5"/>
    <w:rsid w:val="002C2150"/>
    <w:rsid w:val="002C2682"/>
    <w:rsid w:val="002C36B8"/>
    <w:rsid w:val="002C3B29"/>
    <w:rsid w:val="002C3B8B"/>
    <w:rsid w:val="002C3D84"/>
    <w:rsid w:val="002C44D9"/>
    <w:rsid w:val="002C4612"/>
    <w:rsid w:val="002C4761"/>
    <w:rsid w:val="002C56CF"/>
    <w:rsid w:val="002C5FCC"/>
    <w:rsid w:val="002C6107"/>
    <w:rsid w:val="002C6264"/>
    <w:rsid w:val="002C64E4"/>
    <w:rsid w:val="002C66F4"/>
    <w:rsid w:val="002C7378"/>
    <w:rsid w:val="002C752A"/>
    <w:rsid w:val="002C7998"/>
    <w:rsid w:val="002C7C2B"/>
    <w:rsid w:val="002D0120"/>
    <w:rsid w:val="002D0475"/>
    <w:rsid w:val="002D0DE8"/>
    <w:rsid w:val="002D163A"/>
    <w:rsid w:val="002D167F"/>
    <w:rsid w:val="002D26B5"/>
    <w:rsid w:val="002D3456"/>
    <w:rsid w:val="002D4F9D"/>
    <w:rsid w:val="002D50C9"/>
    <w:rsid w:val="002D63E6"/>
    <w:rsid w:val="002D653F"/>
    <w:rsid w:val="002D6BBE"/>
    <w:rsid w:val="002D74EF"/>
    <w:rsid w:val="002D76CD"/>
    <w:rsid w:val="002D7711"/>
    <w:rsid w:val="002D778D"/>
    <w:rsid w:val="002D7B7D"/>
    <w:rsid w:val="002E016C"/>
    <w:rsid w:val="002E0816"/>
    <w:rsid w:val="002E0C58"/>
    <w:rsid w:val="002E10A9"/>
    <w:rsid w:val="002E1668"/>
    <w:rsid w:val="002E1C66"/>
    <w:rsid w:val="002E2063"/>
    <w:rsid w:val="002E31E8"/>
    <w:rsid w:val="002E390A"/>
    <w:rsid w:val="002E3CE4"/>
    <w:rsid w:val="002E42B5"/>
    <w:rsid w:val="002E4536"/>
    <w:rsid w:val="002E4558"/>
    <w:rsid w:val="002E4652"/>
    <w:rsid w:val="002E4C8E"/>
    <w:rsid w:val="002E4E8B"/>
    <w:rsid w:val="002E52D7"/>
    <w:rsid w:val="002E5572"/>
    <w:rsid w:val="002E57C7"/>
    <w:rsid w:val="002E5952"/>
    <w:rsid w:val="002E5ACE"/>
    <w:rsid w:val="002E65BB"/>
    <w:rsid w:val="002E6752"/>
    <w:rsid w:val="002E6786"/>
    <w:rsid w:val="002E6ADA"/>
    <w:rsid w:val="002E728D"/>
    <w:rsid w:val="002E758E"/>
    <w:rsid w:val="002E7809"/>
    <w:rsid w:val="002F071F"/>
    <w:rsid w:val="002F075D"/>
    <w:rsid w:val="002F0C29"/>
    <w:rsid w:val="002F14DE"/>
    <w:rsid w:val="002F15C9"/>
    <w:rsid w:val="002F2377"/>
    <w:rsid w:val="002F2453"/>
    <w:rsid w:val="002F245A"/>
    <w:rsid w:val="002F2A0B"/>
    <w:rsid w:val="002F2C98"/>
    <w:rsid w:val="002F2CFD"/>
    <w:rsid w:val="002F327A"/>
    <w:rsid w:val="002F3E40"/>
    <w:rsid w:val="002F3EDF"/>
    <w:rsid w:val="002F49C6"/>
    <w:rsid w:val="002F4D81"/>
    <w:rsid w:val="002F4E75"/>
    <w:rsid w:val="002F520E"/>
    <w:rsid w:val="002F59B1"/>
    <w:rsid w:val="002F612C"/>
    <w:rsid w:val="002F69DD"/>
    <w:rsid w:val="002F6A91"/>
    <w:rsid w:val="002F7080"/>
    <w:rsid w:val="002F74D6"/>
    <w:rsid w:val="002F79F1"/>
    <w:rsid w:val="002F7E52"/>
    <w:rsid w:val="00300001"/>
    <w:rsid w:val="003002A3"/>
    <w:rsid w:val="00300381"/>
    <w:rsid w:val="00300A1A"/>
    <w:rsid w:val="0030104E"/>
    <w:rsid w:val="00301194"/>
    <w:rsid w:val="003017E5"/>
    <w:rsid w:val="00301CD4"/>
    <w:rsid w:val="003020ED"/>
    <w:rsid w:val="00302568"/>
    <w:rsid w:val="00302A0D"/>
    <w:rsid w:val="00302B10"/>
    <w:rsid w:val="00303331"/>
    <w:rsid w:val="003036AD"/>
    <w:rsid w:val="00303BB4"/>
    <w:rsid w:val="00303F1D"/>
    <w:rsid w:val="00303F46"/>
    <w:rsid w:val="003045FA"/>
    <w:rsid w:val="0030502F"/>
    <w:rsid w:val="0030562F"/>
    <w:rsid w:val="00305BEC"/>
    <w:rsid w:val="00305C7A"/>
    <w:rsid w:val="00305D6F"/>
    <w:rsid w:val="00306886"/>
    <w:rsid w:val="00306A8A"/>
    <w:rsid w:val="00306AB3"/>
    <w:rsid w:val="00306F57"/>
    <w:rsid w:val="00307315"/>
    <w:rsid w:val="00307DC7"/>
    <w:rsid w:val="00310C60"/>
    <w:rsid w:val="00310FF9"/>
    <w:rsid w:val="00311031"/>
    <w:rsid w:val="00311489"/>
    <w:rsid w:val="00312139"/>
    <w:rsid w:val="003126A5"/>
    <w:rsid w:val="00312AF1"/>
    <w:rsid w:val="00313897"/>
    <w:rsid w:val="003143FB"/>
    <w:rsid w:val="00314940"/>
    <w:rsid w:val="00314A49"/>
    <w:rsid w:val="00314DEC"/>
    <w:rsid w:val="00314E90"/>
    <w:rsid w:val="00314EDB"/>
    <w:rsid w:val="00314F00"/>
    <w:rsid w:val="00315129"/>
    <w:rsid w:val="00315485"/>
    <w:rsid w:val="003156C0"/>
    <w:rsid w:val="003157D5"/>
    <w:rsid w:val="00315B77"/>
    <w:rsid w:val="003163A7"/>
    <w:rsid w:val="003168CE"/>
    <w:rsid w:val="00316905"/>
    <w:rsid w:val="00317201"/>
    <w:rsid w:val="0031726F"/>
    <w:rsid w:val="00317AE6"/>
    <w:rsid w:val="00317D1D"/>
    <w:rsid w:val="00317F2F"/>
    <w:rsid w:val="00317FF9"/>
    <w:rsid w:val="003203FB"/>
    <w:rsid w:val="00320B91"/>
    <w:rsid w:val="00320BBB"/>
    <w:rsid w:val="00320F7C"/>
    <w:rsid w:val="003211A8"/>
    <w:rsid w:val="00321911"/>
    <w:rsid w:val="00321C90"/>
    <w:rsid w:val="00321D7F"/>
    <w:rsid w:val="00322FA2"/>
    <w:rsid w:val="00323BBE"/>
    <w:rsid w:val="0032460F"/>
    <w:rsid w:val="0032538C"/>
    <w:rsid w:val="003259E6"/>
    <w:rsid w:val="00325D00"/>
    <w:rsid w:val="00326283"/>
    <w:rsid w:val="00327BAB"/>
    <w:rsid w:val="00327D95"/>
    <w:rsid w:val="00327EA8"/>
    <w:rsid w:val="00327F99"/>
    <w:rsid w:val="003302BC"/>
    <w:rsid w:val="003302C6"/>
    <w:rsid w:val="0033063D"/>
    <w:rsid w:val="00330B9C"/>
    <w:rsid w:val="00330E94"/>
    <w:rsid w:val="00331239"/>
    <w:rsid w:val="00331B2C"/>
    <w:rsid w:val="00331F5B"/>
    <w:rsid w:val="0033398A"/>
    <w:rsid w:val="00333D54"/>
    <w:rsid w:val="003347A1"/>
    <w:rsid w:val="00334B4E"/>
    <w:rsid w:val="00334C18"/>
    <w:rsid w:val="00334EB6"/>
    <w:rsid w:val="0033537E"/>
    <w:rsid w:val="00335566"/>
    <w:rsid w:val="00335572"/>
    <w:rsid w:val="00335734"/>
    <w:rsid w:val="00335915"/>
    <w:rsid w:val="00335C6E"/>
    <w:rsid w:val="00335E2B"/>
    <w:rsid w:val="0033611E"/>
    <w:rsid w:val="00336A12"/>
    <w:rsid w:val="003370D3"/>
    <w:rsid w:val="00337194"/>
    <w:rsid w:val="0033754D"/>
    <w:rsid w:val="0033794E"/>
    <w:rsid w:val="00337E21"/>
    <w:rsid w:val="00337EBF"/>
    <w:rsid w:val="0034021C"/>
    <w:rsid w:val="00340279"/>
    <w:rsid w:val="00340FBA"/>
    <w:rsid w:val="0034109F"/>
    <w:rsid w:val="00341308"/>
    <w:rsid w:val="003419E0"/>
    <w:rsid w:val="00341EBF"/>
    <w:rsid w:val="00342DE4"/>
    <w:rsid w:val="00342EDB"/>
    <w:rsid w:val="00342FDD"/>
    <w:rsid w:val="0034342E"/>
    <w:rsid w:val="003438B8"/>
    <w:rsid w:val="00343C7A"/>
    <w:rsid w:val="00343DF3"/>
    <w:rsid w:val="00343E4F"/>
    <w:rsid w:val="003441F1"/>
    <w:rsid w:val="003442B6"/>
    <w:rsid w:val="00344301"/>
    <w:rsid w:val="003447E8"/>
    <w:rsid w:val="00345299"/>
    <w:rsid w:val="003453C7"/>
    <w:rsid w:val="00345CC9"/>
    <w:rsid w:val="00345DED"/>
    <w:rsid w:val="0034679E"/>
    <w:rsid w:val="00346976"/>
    <w:rsid w:val="00346C34"/>
    <w:rsid w:val="0034724D"/>
    <w:rsid w:val="00347283"/>
    <w:rsid w:val="003477B6"/>
    <w:rsid w:val="00347A5E"/>
    <w:rsid w:val="00347D24"/>
    <w:rsid w:val="00350060"/>
    <w:rsid w:val="0035071D"/>
    <w:rsid w:val="00350B94"/>
    <w:rsid w:val="00351940"/>
    <w:rsid w:val="00353DCD"/>
    <w:rsid w:val="003548C7"/>
    <w:rsid w:val="00354D5C"/>
    <w:rsid w:val="00354D8E"/>
    <w:rsid w:val="00354E76"/>
    <w:rsid w:val="00355AE7"/>
    <w:rsid w:val="00355D90"/>
    <w:rsid w:val="00355F51"/>
    <w:rsid w:val="00356904"/>
    <w:rsid w:val="00357471"/>
    <w:rsid w:val="003574A6"/>
    <w:rsid w:val="00357818"/>
    <w:rsid w:val="003605F4"/>
    <w:rsid w:val="0036077E"/>
    <w:rsid w:val="00360F71"/>
    <w:rsid w:val="0036154F"/>
    <w:rsid w:val="00361592"/>
    <w:rsid w:val="00361E8E"/>
    <w:rsid w:val="003621BC"/>
    <w:rsid w:val="00362872"/>
    <w:rsid w:val="003628D4"/>
    <w:rsid w:val="00363206"/>
    <w:rsid w:val="003640B2"/>
    <w:rsid w:val="00364191"/>
    <w:rsid w:val="003642E4"/>
    <w:rsid w:val="003644AF"/>
    <w:rsid w:val="0036469D"/>
    <w:rsid w:val="003648F1"/>
    <w:rsid w:val="00364C59"/>
    <w:rsid w:val="00364D58"/>
    <w:rsid w:val="00365E11"/>
    <w:rsid w:val="003663E5"/>
    <w:rsid w:val="0036691C"/>
    <w:rsid w:val="00367CCE"/>
    <w:rsid w:val="00367FDE"/>
    <w:rsid w:val="00370876"/>
    <w:rsid w:val="00371049"/>
    <w:rsid w:val="0037105D"/>
    <w:rsid w:val="0037125E"/>
    <w:rsid w:val="0037192F"/>
    <w:rsid w:val="0037203B"/>
    <w:rsid w:val="00372751"/>
    <w:rsid w:val="00372E1B"/>
    <w:rsid w:val="003736B8"/>
    <w:rsid w:val="00373897"/>
    <w:rsid w:val="00373F05"/>
    <w:rsid w:val="00374190"/>
    <w:rsid w:val="003741FA"/>
    <w:rsid w:val="00374597"/>
    <w:rsid w:val="00374E1C"/>
    <w:rsid w:val="00375DAD"/>
    <w:rsid w:val="00376BBD"/>
    <w:rsid w:val="0037707C"/>
    <w:rsid w:val="00377219"/>
    <w:rsid w:val="00377667"/>
    <w:rsid w:val="00377763"/>
    <w:rsid w:val="00377BF0"/>
    <w:rsid w:val="00380A65"/>
    <w:rsid w:val="00380A94"/>
    <w:rsid w:val="00380D92"/>
    <w:rsid w:val="00381CE5"/>
    <w:rsid w:val="00382191"/>
    <w:rsid w:val="0038245D"/>
    <w:rsid w:val="00382841"/>
    <w:rsid w:val="00382B86"/>
    <w:rsid w:val="003832A2"/>
    <w:rsid w:val="003835B7"/>
    <w:rsid w:val="003835CD"/>
    <w:rsid w:val="00383A75"/>
    <w:rsid w:val="00383BB0"/>
    <w:rsid w:val="00383F32"/>
    <w:rsid w:val="0038438B"/>
    <w:rsid w:val="00384486"/>
    <w:rsid w:val="00384D67"/>
    <w:rsid w:val="00385A7E"/>
    <w:rsid w:val="00386708"/>
    <w:rsid w:val="00386796"/>
    <w:rsid w:val="00387E6D"/>
    <w:rsid w:val="003906E3"/>
    <w:rsid w:val="003908D2"/>
    <w:rsid w:val="003909D1"/>
    <w:rsid w:val="0039179B"/>
    <w:rsid w:val="00391EB2"/>
    <w:rsid w:val="00391ECD"/>
    <w:rsid w:val="00392449"/>
    <w:rsid w:val="00392C97"/>
    <w:rsid w:val="0039300A"/>
    <w:rsid w:val="00393202"/>
    <w:rsid w:val="003933CF"/>
    <w:rsid w:val="00393ADE"/>
    <w:rsid w:val="00394243"/>
    <w:rsid w:val="003945EE"/>
    <w:rsid w:val="0039535D"/>
    <w:rsid w:val="00395546"/>
    <w:rsid w:val="003957D2"/>
    <w:rsid w:val="00395947"/>
    <w:rsid w:val="00395B52"/>
    <w:rsid w:val="00395E5F"/>
    <w:rsid w:val="00395E8F"/>
    <w:rsid w:val="0039621B"/>
    <w:rsid w:val="003968D1"/>
    <w:rsid w:val="00396D2F"/>
    <w:rsid w:val="00396EB4"/>
    <w:rsid w:val="003973EC"/>
    <w:rsid w:val="00397876"/>
    <w:rsid w:val="003A0211"/>
    <w:rsid w:val="003A0696"/>
    <w:rsid w:val="003A101A"/>
    <w:rsid w:val="003A16E7"/>
    <w:rsid w:val="003A19FB"/>
    <w:rsid w:val="003A1B17"/>
    <w:rsid w:val="003A2000"/>
    <w:rsid w:val="003A21FA"/>
    <w:rsid w:val="003A27BC"/>
    <w:rsid w:val="003A3632"/>
    <w:rsid w:val="003A36E4"/>
    <w:rsid w:val="003A381B"/>
    <w:rsid w:val="003A394D"/>
    <w:rsid w:val="003A3CA3"/>
    <w:rsid w:val="003A432C"/>
    <w:rsid w:val="003A4D07"/>
    <w:rsid w:val="003A5ABA"/>
    <w:rsid w:val="003A5DBA"/>
    <w:rsid w:val="003A5E19"/>
    <w:rsid w:val="003A6118"/>
    <w:rsid w:val="003A6CA2"/>
    <w:rsid w:val="003A733C"/>
    <w:rsid w:val="003B0BD2"/>
    <w:rsid w:val="003B147C"/>
    <w:rsid w:val="003B1E5F"/>
    <w:rsid w:val="003B254D"/>
    <w:rsid w:val="003B2867"/>
    <w:rsid w:val="003B2C5E"/>
    <w:rsid w:val="003B2D31"/>
    <w:rsid w:val="003B2ED5"/>
    <w:rsid w:val="003B3282"/>
    <w:rsid w:val="003B37A1"/>
    <w:rsid w:val="003B3C51"/>
    <w:rsid w:val="003B4A08"/>
    <w:rsid w:val="003B4B2E"/>
    <w:rsid w:val="003B4DA0"/>
    <w:rsid w:val="003B511A"/>
    <w:rsid w:val="003B549F"/>
    <w:rsid w:val="003B5936"/>
    <w:rsid w:val="003B5E2E"/>
    <w:rsid w:val="003B5F2E"/>
    <w:rsid w:val="003B648C"/>
    <w:rsid w:val="003B6AB2"/>
    <w:rsid w:val="003B7246"/>
    <w:rsid w:val="003B7D21"/>
    <w:rsid w:val="003C08CE"/>
    <w:rsid w:val="003C1097"/>
    <w:rsid w:val="003C1535"/>
    <w:rsid w:val="003C1F6B"/>
    <w:rsid w:val="003C29A2"/>
    <w:rsid w:val="003C2C98"/>
    <w:rsid w:val="003C2F1C"/>
    <w:rsid w:val="003C36A6"/>
    <w:rsid w:val="003C3E1B"/>
    <w:rsid w:val="003C4105"/>
    <w:rsid w:val="003C4718"/>
    <w:rsid w:val="003C4DE4"/>
    <w:rsid w:val="003C51C9"/>
    <w:rsid w:val="003C5B8F"/>
    <w:rsid w:val="003C60DB"/>
    <w:rsid w:val="003C617F"/>
    <w:rsid w:val="003C6228"/>
    <w:rsid w:val="003C6336"/>
    <w:rsid w:val="003C6575"/>
    <w:rsid w:val="003C65BF"/>
    <w:rsid w:val="003C6C96"/>
    <w:rsid w:val="003C6E6C"/>
    <w:rsid w:val="003C6FA1"/>
    <w:rsid w:val="003C72FE"/>
    <w:rsid w:val="003C74C1"/>
    <w:rsid w:val="003C766D"/>
    <w:rsid w:val="003C79EF"/>
    <w:rsid w:val="003C7A52"/>
    <w:rsid w:val="003D0211"/>
    <w:rsid w:val="003D0EE1"/>
    <w:rsid w:val="003D139D"/>
    <w:rsid w:val="003D1651"/>
    <w:rsid w:val="003D188B"/>
    <w:rsid w:val="003D1F59"/>
    <w:rsid w:val="003D260D"/>
    <w:rsid w:val="003D2741"/>
    <w:rsid w:val="003D2C49"/>
    <w:rsid w:val="003D32C0"/>
    <w:rsid w:val="003D3C32"/>
    <w:rsid w:val="003D4049"/>
    <w:rsid w:val="003D4D79"/>
    <w:rsid w:val="003D5087"/>
    <w:rsid w:val="003D55BB"/>
    <w:rsid w:val="003D643D"/>
    <w:rsid w:val="003D6A4F"/>
    <w:rsid w:val="003D6AC1"/>
    <w:rsid w:val="003D6F55"/>
    <w:rsid w:val="003D6FD0"/>
    <w:rsid w:val="003D73F3"/>
    <w:rsid w:val="003D7975"/>
    <w:rsid w:val="003D7A45"/>
    <w:rsid w:val="003D7E23"/>
    <w:rsid w:val="003D7F18"/>
    <w:rsid w:val="003D7F5D"/>
    <w:rsid w:val="003E03BF"/>
    <w:rsid w:val="003E0476"/>
    <w:rsid w:val="003E129B"/>
    <w:rsid w:val="003E1CC4"/>
    <w:rsid w:val="003E2197"/>
    <w:rsid w:val="003E2240"/>
    <w:rsid w:val="003E2F18"/>
    <w:rsid w:val="003E2F84"/>
    <w:rsid w:val="003E2FB3"/>
    <w:rsid w:val="003E4E2C"/>
    <w:rsid w:val="003E4F77"/>
    <w:rsid w:val="003E5B50"/>
    <w:rsid w:val="003E6587"/>
    <w:rsid w:val="003E6623"/>
    <w:rsid w:val="003E68CD"/>
    <w:rsid w:val="003E7033"/>
    <w:rsid w:val="003E732A"/>
    <w:rsid w:val="003E73C7"/>
    <w:rsid w:val="003E7657"/>
    <w:rsid w:val="003E7CC9"/>
    <w:rsid w:val="003F024C"/>
    <w:rsid w:val="003F0435"/>
    <w:rsid w:val="003F074F"/>
    <w:rsid w:val="003F0792"/>
    <w:rsid w:val="003F0A7D"/>
    <w:rsid w:val="003F1984"/>
    <w:rsid w:val="003F233A"/>
    <w:rsid w:val="003F2A10"/>
    <w:rsid w:val="003F2A3D"/>
    <w:rsid w:val="003F2E89"/>
    <w:rsid w:val="003F2ED4"/>
    <w:rsid w:val="003F33B3"/>
    <w:rsid w:val="003F3539"/>
    <w:rsid w:val="003F3842"/>
    <w:rsid w:val="003F3B36"/>
    <w:rsid w:val="003F3C37"/>
    <w:rsid w:val="003F3E0B"/>
    <w:rsid w:val="003F3FD0"/>
    <w:rsid w:val="003F4839"/>
    <w:rsid w:val="003F5027"/>
    <w:rsid w:val="003F5297"/>
    <w:rsid w:val="003F5596"/>
    <w:rsid w:val="003F5AC5"/>
    <w:rsid w:val="003F5C92"/>
    <w:rsid w:val="003F6253"/>
    <w:rsid w:val="003F65D9"/>
    <w:rsid w:val="003F6CF4"/>
    <w:rsid w:val="003F758D"/>
    <w:rsid w:val="003F765A"/>
    <w:rsid w:val="003F7872"/>
    <w:rsid w:val="003F7B9A"/>
    <w:rsid w:val="004006A3"/>
    <w:rsid w:val="0040070E"/>
    <w:rsid w:val="0040082B"/>
    <w:rsid w:val="00400B3F"/>
    <w:rsid w:val="00400DFD"/>
    <w:rsid w:val="00400E15"/>
    <w:rsid w:val="00402218"/>
    <w:rsid w:val="0040301A"/>
    <w:rsid w:val="004042F3"/>
    <w:rsid w:val="00404497"/>
    <w:rsid w:val="00404849"/>
    <w:rsid w:val="004048FA"/>
    <w:rsid w:val="0040501A"/>
    <w:rsid w:val="00405859"/>
    <w:rsid w:val="0040616D"/>
    <w:rsid w:val="004061B1"/>
    <w:rsid w:val="004062CF"/>
    <w:rsid w:val="004066D1"/>
    <w:rsid w:val="00406AE5"/>
    <w:rsid w:val="00407377"/>
    <w:rsid w:val="0040785A"/>
    <w:rsid w:val="004079E0"/>
    <w:rsid w:val="00407A64"/>
    <w:rsid w:val="0041003D"/>
    <w:rsid w:val="0041101F"/>
    <w:rsid w:val="0041196A"/>
    <w:rsid w:val="004124D7"/>
    <w:rsid w:val="004125E1"/>
    <w:rsid w:val="0041267B"/>
    <w:rsid w:val="00412D0D"/>
    <w:rsid w:val="0041328B"/>
    <w:rsid w:val="004133F9"/>
    <w:rsid w:val="00413745"/>
    <w:rsid w:val="00413D4B"/>
    <w:rsid w:val="00413DE8"/>
    <w:rsid w:val="00414268"/>
    <w:rsid w:val="0041445D"/>
    <w:rsid w:val="004148ED"/>
    <w:rsid w:val="00414B0C"/>
    <w:rsid w:val="00414CF9"/>
    <w:rsid w:val="00415B30"/>
    <w:rsid w:val="00415C04"/>
    <w:rsid w:val="00416190"/>
    <w:rsid w:val="00416A49"/>
    <w:rsid w:val="00416D1A"/>
    <w:rsid w:val="00417EE3"/>
    <w:rsid w:val="004202E9"/>
    <w:rsid w:val="004209C5"/>
    <w:rsid w:val="004211EE"/>
    <w:rsid w:val="004212F0"/>
    <w:rsid w:val="00421A29"/>
    <w:rsid w:val="00421CD7"/>
    <w:rsid w:val="00421F62"/>
    <w:rsid w:val="0042347F"/>
    <w:rsid w:val="00423598"/>
    <w:rsid w:val="00423DDE"/>
    <w:rsid w:val="00424272"/>
    <w:rsid w:val="0042429D"/>
    <w:rsid w:val="0042458D"/>
    <w:rsid w:val="0042466C"/>
    <w:rsid w:val="00424AA9"/>
    <w:rsid w:val="00424B1C"/>
    <w:rsid w:val="00424B73"/>
    <w:rsid w:val="00424D26"/>
    <w:rsid w:val="00425787"/>
    <w:rsid w:val="00425BBE"/>
    <w:rsid w:val="00425DD0"/>
    <w:rsid w:val="00425F55"/>
    <w:rsid w:val="00426472"/>
    <w:rsid w:val="00426695"/>
    <w:rsid w:val="00426CF7"/>
    <w:rsid w:val="00427052"/>
    <w:rsid w:val="0042734D"/>
    <w:rsid w:val="0043006F"/>
    <w:rsid w:val="004303C9"/>
    <w:rsid w:val="004308D6"/>
    <w:rsid w:val="00430A79"/>
    <w:rsid w:val="0043115B"/>
    <w:rsid w:val="00431550"/>
    <w:rsid w:val="00431DBA"/>
    <w:rsid w:val="00431DDC"/>
    <w:rsid w:val="004320BF"/>
    <w:rsid w:val="004321CB"/>
    <w:rsid w:val="00432268"/>
    <w:rsid w:val="004328A7"/>
    <w:rsid w:val="0043296F"/>
    <w:rsid w:val="00432A2F"/>
    <w:rsid w:val="004330D5"/>
    <w:rsid w:val="004330E5"/>
    <w:rsid w:val="0043442B"/>
    <w:rsid w:val="00434456"/>
    <w:rsid w:val="0043486E"/>
    <w:rsid w:val="00435039"/>
    <w:rsid w:val="004355FB"/>
    <w:rsid w:val="004356C5"/>
    <w:rsid w:val="00435B5F"/>
    <w:rsid w:val="00435BF1"/>
    <w:rsid w:val="004360A2"/>
    <w:rsid w:val="004364C3"/>
    <w:rsid w:val="00436562"/>
    <w:rsid w:val="00436E82"/>
    <w:rsid w:val="00436EA7"/>
    <w:rsid w:val="004371E9"/>
    <w:rsid w:val="004374C7"/>
    <w:rsid w:val="0043761A"/>
    <w:rsid w:val="00437926"/>
    <w:rsid w:val="004379A8"/>
    <w:rsid w:val="00437A3B"/>
    <w:rsid w:val="00437D77"/>
    <w:rsid w:val="00437D9C"/>
    <w:rsid w:val="00440405"/>
    <w:rsid w:val="00440A45"/>
    <w:rsid w:val="00440D80"/>
    <w:rsid w:val="00440E9B"/>
    <w:rsid w:val="00441D14"/>
    <w:rsid w:val="00441F73"/>
    <w:rsid w:val="004421B4"/>
    <w:rsid w:val="00442610"/>
    <w:rsid w:val="00442A3E"/>
    <w:rsid w:val="00442BF1"/>
    <w:rsid w:val="00442C39"/>
    <w:rsid w:val="00442F7F"/>
    <w:rsid w:val="004435EF"/>
    <w:rsid w:val="0044373D"/>
    <w:rsid w:val="00443AD1"/>
    <w:rsid w:val="00443AD4"/>
    <w:rsid w:val="00443CB8"/>
    <w:rsid w:val="00443ED0"/>
    <w:rsid w:val="00444492"/>
    <w:rsid w:val="00444ECF"/>
    <w:rsid w:val="0044536D"/>
    <w:rsid w:val="00445504"/>
    <w:rsid w:val="00445770"/>
    <w:rsid w:val="00446433"/>
    <w:rsid w:val="00446845"/>
    <w:rsid w:val="00446CA4"/>
    <w:rsid w:val="004470FB"/>
    <w:rsid w:val="004473E4"/>
    <w:rsid w:val="004504F7"/>
    <w:rsid w:val="00450B90"/>
    <w:rsid w:val="00450C23"/>
    <w:rsid w:val="004510A7"/>
    <w:rsid w:val="00451595"/>
    <w:rsid w:val="004518A8"/>
    <w:rsid w:val="00452369"/>
    <w:rsid w:val="00452454"/>
    <w:rsid w:val="00452488"/>
    <w:rsid w:val="00453760"/>
    <w:rsid w:val="00453ABD"/>
    <w:rsid w:val="00453E29"/>
    <w:rsid w:val="00453FF5"/>
    <w:rsid w:val="0045419F"/>
    <w:rsid w:val="00454230"/>
    <w:rsid w:val="004542BF"/>
    <w:rsid w:val="00454635"/>
    <w:rsid w:val="00454752"/>
    <w:rsid w:val="00454DBD"/>
    <w:rsid w:val="004550BC"/>
    <w:rsid w:val="00455155"/>
    <w:rsid w:val="0045561C"/>
    <w:rsid w:val="00455DDC"/>
    <w:rsid w:val="00456E8F"/>
    <w:rsid w:val="00457074"/>
    <w:rsid w:val="00460373"/>
    <w:rsid w:val="0046108F"/>
    <w:rsid w:val="0046177D"/>
    <w:rsid w:val="00461B2A"/>
    <w:rsid w:val="0046218E"/>
    <w:rsid w:val="0046235C"/>
    <w:rsid w:val="00462538"/>
    <w:rsid w:val="00462915"/>
    <w:rsid w:val="00462A0A"/>
    <w:rsid w:val="00462B5B"/>
    <w:rsid w:val="00462F28"/>
    <w:rsid w:val="00462F4E"/>
    <w:rsid w:val="00462FE4"/>
    <w:rsid w:val="00463517"/>
    <w:rsid w:val="004637D6"/>
    <w:rsid w:val="00463B8A"/>
    <w:rsid w:val="004642DB"/>
    <w:rsid w:val="00464509"/>
    <w:rsid w:val="004647ED"/>
    <w:rsid w:val="00464D89"/>
    <w:rsid w:val="00465438"/>
    <w:rsid w:val="0046556F"/>
    <w:rsid w:val="0046566D"/>
    <w:rsid w:val="00465C2B"/>
    <w:rsid w:val="00465E93"/>
    <w:rsid w:val="00466629"/>
    <w:rsid w:val="00466A3B"/>
    <w:rsid w:val="00467228"/>
    <w:rsid w:val="0046766F"/>
    <w:rsid w:val="00467BED"/>
    <w:rsid w:val="00467D08"/>
    <w:rsid w:val="00470358"/>
    <w:rsid w:val="004706E4"/>
    <w:rsid w:val="004707AB"/>
    <w:rsid w:val="00470D63"/>
    <w:rsid w:val="00472552"/>
    <w:rsid w:val="00472BEE"/>
    <w:rsid w:val="00472FCB"/>
    <w:rsid w:val="00473467"/>
    <w:rsid w:val="00473959"/>
    <w:rsid w:val="00473E66"/>
    <w:rsid w:val="004747B1"/>
    <w:rsid w:val="00474830"/>
    <w:rsid w:val="00474A0E"/>
    <w:rsid w:val="00475878"/>
    <w:rsid w:val="00475FFF"/>
    <w:rsid w:val="0047606F"/>
    <w:rsid w:val="0047608F"/>
    <w:rsid w:val="00476255"/>
    <w:rsid w:val="00476850"/>
    <w:rsid w:val="00476925"/>
    <w:rsid w:val="00476C79"/>
    <w:rsid w:val="00480CAA"/>
    <w:rsid w:val="00480E2C"/>
    <w:rsid w:val="00480FB3"/>
    <w:rsid w:val="004811DB"/>
    <w:rsid w:val="00481337"/>
    <w:rsid w:val="00481792"/>
    <w:rsid w:val="00481FAF"/>
    <w:rsid w:val="004821FF"/>
    <w:rsid w:val="00482670"/>
    <w:rsid w:val="004827DE"/>
    <w:rsid w:val="00482832"/>
    <w:rsid w:val="00482D91"/>
    <w:rsid w:val="00482ED2"/>
    <w:rsid w:val="00483063"/>
    <w:rsid w:val="00483667"/>
    <w:rsid w:val="00483F36"/>
    <w:rsid w:val="004846E3"/>
    <w:rsid w:val="004848A5"/>
    <w:rsid w:val="00485200"/>
    <w:rsid w:val="00485A91"/>
    <w:rsid w:val="00485D30"/>
    <w:rsid w:val="00486185"/>
    <w:rsid w:val="00486531"/>
    <w:rsid w:val="004865EB"/>
    <w:rsid w:val="00486C00"/>
    <w:rsid w:val="00486DDE"/>
    <w:rsid w:val="004877AD"/>
    <w:rsid w:val="00487A11"/>
    <w:rsid w:val="00487BE0"/>
    <w:rsid w:val="0049047E"/>
    <w:rsid w:val="00490994"/>
    <w:rsid w:val="00490EBA"/>
    <w:rsid w:val="004911C3"/>
    <w:rsid w:val="004914E1"/>
    <w:rsid w:val="004918A0"/>
    <w:rsid w:val="0049195A"/>
    <w:rsid w:val="00491FAA"/>
    <w:rsid w:val="0049237D"/>
    <w:rsid w:val="00492A22"/>
    <w:rsid w:val="00492BB1"/>
    <w:rsid w:val="00492F43"/>
    <w:rsid w:val="00493093"/>
    <w:rsid w:val="00493320"/>
    <w:rsid w:val="004938F3"/>
    <w:rsid w:val="004938F8"/>
    <w:rsid w:val="00493B39"/>
    <w:rsid w:val="004948BE"/>
    <w:rsid w:val="00494C4D"/>
    <w:rsid w:val="00494C5A"/>
    <w:rsid w:val="00495053"/>
    <w:rsid w:val="004953EE"/>
    <w:rsid w:val="0049574F"/>
    <w:rsid w:val="00495B74"/>
    <w:rsid w:val="00495C21"/>
    <w:rsid w:val="00495C36"/>
    <w:rsid w:val="00495CB4"/>
    <w:rsid w:val="0049668F"/>
    <w:rsid w:val="00496761"/>
    <w:rsid w:val="00496F22"/>
    <w:rsid w:val="00496F95"/>
    <w:rsid w:val="0049729D"/>
    <w:rsid w:val="00497F7D"/>
    <w:rsid w:val="004A1975"/>
    <w:rsid w:val="004A19C5"/>
    <w:rsid w:val="004A2AED"/>
    <w:rsid w:val="004A2C91"/>
    <w:rsid w:val="004A2F3F"/>
    <w:rsid w:val="004A3A35"/>
    <w:rsid w:val="004A3AEE"/>
    <w:rsid w:val="004A3D25"/>
    <w:rsid w:val="004A3F75"/>
    <w:rsid w:val="004A40E4"/>
    <w:rsid w:val="004A4E43"/>
    <w:rsid w:val="004A5352"/>
    <w:rsid w:val="004A58FD"/>
    <w:rsid w:val="004A5C64"/>
    <w:rsid w:val="004A5F6A"/>
    <w:rsid w:val="004A6A0C"/>
    <w:rsid w:val="004A6ED9"/>
    <w:rsid w:val="004A6EFF"/>
    <w:rsid w:val="004A74B5"/>
    <w:rsid w:val="004A784A"/>
    <w:rsid w:val="004B07C6"/>
    <w:rsid w:val="004B08C2"/>
    <w:rsid w:val="004B123A"/>
    <w:rsid w:val="004B124A"/>
    <w:rsid w:val="004B15B3"/>
    <w:rsid w:val="004B19DF"/>
    <w:rsid w:val="004B22D4"/>
    <w:rsid w:val="004B235A"/>
    <w:rsid w:val="004B23E2"/>
    <w:rsid w:val="004B2693"/>
    <w:rsid w:val="004B2A7A"/>
    <w:rsid w:val="004B2B00"/>
    <w:rsid w:val="004B2CFD"/>
    <w:rsid w:val="004B2DA1"/>
    <w:rsid w:val="004B2F1E"/>
    <w:rsid w:val="004B3BB9"/>
    <w:rsid w:val="004B439C"/>
    <w:rsid w:val="004B4B8E"/>
    <w:rsid w:val="004B55B9"/>
    <w:rsid w:val="004B5BAE"/>
    <w:rsid w:val="004B5EBF"/>
    <w:rsid w:val="004B6330"/>
    <w:rsid w:val="004B65AC"/>
    <w:rsid w:val="004B6782"/>
    <w:rsid w:val="004B6A73"/>
    <w:rsid w:val="004B6D5F"/>
    <w:rsid w:val="004B70CE"/>
    <w:rsid w:val="004B7337"/>
    <w:rsid w:val="004B7468"/>
    <w:rsid w:val="004B77B3"/>
    <w:rsid w:val="004C012B"/>
    <w:rsid w:val="004C0430"/>
    <w:rsid w:val="004C0B3E"/>
    <w:rsid w:val="004C0F54"/>
    <w:rsid w:val="004C1C4F"/>
    <w:rsid w:val="004C27A4"/>
    <w:rsid w:val="004C314C"/>
    <w:rsid w:val="004C37AE"/>
    <w:rsid w:val="004C3A57"/>
    <w:rsid w:val="004C3D79"/>
    <w:rsid w:val="004C44BD"/>
    <w:rsid w:val="004C48DA"/>
    <w:rsid w:val="004C4D10"/>
    <w:rsid w:val="004C4F6F"/>
    <w:rsid w:val="004C503B"/>
    <w:rsid w:val="004C587D"/>
    <w:rsid w:val="004C5FE3"/>
    <w:rsid w:val="004C60C7"/>
    <w:rsid w:val="004C672F"/>
    <w:rsid w:val="004C6D66"/>
    <w:rsid w:val="004C7951"/>
    <w:rsid w:val="004C79D5"/>
    <w:rsid w:val="004C7C08"/>
    <w:rsid w:val="004D0C6B"/>
    <w:rsid w:val="004D0D8E"/>
    <w:rsid w:val="004D0F12"/>
    <w:rsid w:val="004D0F8A"/>
    <w:rsid w:val="004D11E3"/>
    <w:rsid w:val="004D12AF"/>
    <w:rsid w:val="004D1870"/>
    <w:rsid w:val="004D1D9B"/>
    <w:rsid w:val="004D1FE5"/>
    <w:rsid w:val="004D207B"/>
    <w:rsid w:val="004D23AD"/>
    <w:rsid w:val="004D2A4B"/>
    <w:rsid w:val="004D2AC9"/>
    <w:rsid w:val="004D2B74"/>
    <w:rsid w:val="004D3400"/>
    <w:rsid w:val="004D37CD"/>
    <w:rsid w:val="004D38F8"/>
    <w:rsid w:val="004D3C1B"/>
    <w:rsid w:val="004D3CC8"/>
    <w:rsid w:val="004D42A4"/>
    <w:rsid w:val="004D4C77"/>
    <w:rsid w:val="004D55D0"/>
    <w:rsid w:val="004D594D"/>
    <w:rsid w:val="004D59A1"/>
    <w:rsid w:val="004D68BF"/>
    <w:rsid w:val="004D7460"/>
    <w:rsid w:val="004D7D3E"/>
    <w:rsid w:val="004D7F91"/>
    <w:rsid w:val="004D7FDD"/>
    <w:rsid w:val="004E02D0"/>
    <w:rsid w:val="004E03BC"/>
    <w:rsid w:val="004E2000"/>
    <w:rsid w:val="004E24B2"/>
    <w:rsid w:val="004E2FF1"/>
    <w:rsid w:val="004E30CA"/>
    <w:rsid w:val="004E3C27"/>
    <w:rsid w:val="004E400F"/>
    <w:rsid w:val="004E4DAA"/>
    <w:rsid w:val="004E5570"/>
    <w:rsid w:val="004E55B2"/>
    <w:rsid w:val="004E5778"/>
    <w:rsid w:val="004E5C12"/>
    <w:rsid w:val="004E5E4A"/>
    <w:rsid w:val="004E6424"/>
    <w:rsid w:val="004E7060"/>
    <w:rsid w:val="004E71C9"/>
    <w:rsid w:val="004E74FA"/>
    <w:rsid w:val="004E7647"/>
    <w:rsid w:val="004E7CBF"/>
    <w:rsid w:val="004F0222"/>
    <w:rsid w:val="004F02F6"/>
    <w:rsid w:val="004F108B"/>
    <w:rsid w:val="004F122B"/>
    <w:rsid w:val="004F1CEA"/>
    <w:rsid w:val="004F2215"/>
    <w:rsid w:val="004F22E4"/>
    <w:rsid w:val="004F2562"/>
    <w:rsid w:val="004F2615"/>
    <w:rsid w:val="004F2E20"/>
    <w:rsid w:val="004F30E0"/>
    <w:rsid w:val="004F345F"/>
    <w:rsid w:val="004F3595"/>
    <w:rsid w:val="004F3997"/>
    <w:rsid w:val="004F3E26"/>
    <w:rsid w:val="004F428C"/>
    <w:rsid w:val="004F4875"/>
    <w:rsid w:val="004F50E4"/>
    <w:rsid w:val="004F51BA"/>
    <w:rsid w:val="004F677C"/>
    <w:rsid w:val="004F6F74"/>
    <w:rsid w:val="004F7077"/>
    <w:rsid w:val="004F7AAA"/>
    <w:rsid w:val="005000E5"/>
    <w:rsid w:val="00500593"/>
    <w:rsid w:val="0050075B"/>
    <w:rsid w:val="00501B98"/>
    <w:rsid w:val="0050210C"/>
    <w:rsid w:val="00502283"/>
    <w:rsid w:val="0050231A"/>
    <w:rsid w:val="0050339F"/>
    <w:rsid w:val="005034C1"/>
    <w:rsid w:val="005035CA"/>
    <w:rsid w:val="0050377D"/>
    <w:rsid w:val="00505691"/>
    <w:rsid w:val="005058F4"/>
    <w:rsid w:val="00505D17"/>
    <w:rsid w:val="00505F4F"/>
    <w:rsid w:val="0050611F"/>
    <w:rsid w:val="005062EF"/>
    <w:rsid w:val="00506462"/>
    <w:rsid w:val="00506672"/>
    <w:rsid w:val="0050696C"/>
    <w:rsid w:val="00506983"/>
    <w:rsid w:val="00506B8B"/>
    <w:rsid w:val="00506BDE"/>
    <w:rsid w:val="00506C12"/>
    <w:rsid w:val="00506C79"/>
    <w:rsid w:val="00506D84"/>
    <w:rsid w:val="00506EA0"/>
    <w:rsid w:val="00507684"/>
    <w:rsid w:val="00507798"/>
    <w:rsid w:val="00507A80"/>
    <w:rsid w:val="00507E51"/>
    <w:rsid w:val="0051003B"/>
    <w:rsid w:val="005104F1"/>
    <w:rsid w:val="0051075A"/>
    <w:rsid w:val="00510D22"/>
    <w:rsid w:val="0051114C"/>
    <w:rsid w:val="005112A8"/>
    <w:rsid w:val="0051244C"/>
    <w:rsid w:val="00512ABD"/>
    <w:rsid w:val="00513573"/>
    <w:rsid w:val="00513A04"/>
    <w:rsid w:val="00513BE8"/>
    <w:rsid w:val="00513E04"/>
    <w:rsid w:val="00514051"/>
    <w:rsid w:val="0051413A"/>
    <w:rsid w:val="005141CF"/>
    <w:rsid w:val="0051510D"/>
    <w:rsid w:val="005151FC"/>
    <w:rsid w:val="005154A4"/>
    <w:rsid w:val="00515857"/>
    <w:rsid w:val="00515926"/>
    <w:rsid w:val="00515F11"/>
    <w:rsid w:val="00515F4D"/>
    <w:rsid w:val="005160C7"/>
    <w:rsid w:val="00516325"/>
    <w:rsid w:val="00516354"/>
    <w:rsid w:val="00516383"/>
    <w:rsid w:val="00516F8D"/>
    <w:rsid w:val="00517363"/>
    <w:rsid w:val="005202E6"/>
    <w:rsid w:val="005204A6"/>
    <w:rsid w:val="00520891"/>
    <w:rsid w:val="005211F5"/>
    <w:rsid w:val="00522226"/>
    <w:rsid w:val="00522915"/>
    <w:rsid w:val="00522BBE"/>
    <w:rsid w:val="00522F10"/>
    <w:rsid w:val="00523331"/>
    <w:rsid w:val="00523F33"/>
    <w:rsid w:val="0052443D"/>
    <w:rsid w:val="00524805"/>
    <w:rsid w:val="0052484A"/>
    <w:rsid w:val="00525015"/>
    <w:rsid w:val="00525482"/>
    <w:rsid w:val="005254D1"/>
    <w:rsid w:val="00525A81"/>
    <w:rsid w:val="00525B6D"/>
    <w:rsid w:val="00525FFE"/>
    <w:rsid w:val="0052603D"/>
    <w:rsid w:val="0052604A"/>
    <w:rsid w:val="005264A9"/>
    <w:rsid w:val="00526847"/>
    <w:rsid w:val="00526880"/>
    <w:rsid w:val="00526B42"/>
    <w:rsid w:val="005272D7"/>
    <w:rsid w:val="00527673"/>
    <w:rsid w:val="00527C27"/>
    <w:rsid w:val="00530254"/>
    <w:rsid w:val="00530C72"/>
    <w:rsid w:val="0053105A"/>
    <w:rsid w:val="005316E1"/>
    <w:rsid w:val="00531D83"/>
    <w:rsid w:val="00532318"/>
    <w:rsid w:val="00532656"/>
    <w:rsid w:val="0053269D"/>
    <w:rsid w:val="00532DAD"/>
    <w:rsid w:val="00532E14"/>
    <w:rsid w:val="00533115"/>
    <w:rsid w:val="005333C3"/>
    <w:rsid w:val="00533762"/>
    <w:rsid w:val="00533872"/>
    <w:rsid w:val="00534288"/>
    <w:rsid w:val="005346BB"/>
    <w:rsid w:val="00534876"/>
    <w:rsid w:val="00535648"/>
    <w:rsid w:val="00535AE9"/>
    <w:rsid w:val="00535E3B"/>
    <w:rsid w:val="00535E4C"/>
    <w:rsid w:val="005360D9"/>
    <w:rsid w:val="005360DD"/>
    <w:rsid w:val="0053623D"/>
    <w:rsid w:val="0053708E"/>
    <w:rsid w:val="00537305"/>
    <w:rsid w:val="0053790F"/>
    <w:rsid w:val="00537A16"/>
    <w:rsid w:val="00537A9D"/>
    <w:rsid w:val="00540526"/>
    <w:rsid w:val="00540AC3"/>
    <w:rsid w:val="005412A0"/>
    <w:rsid w:val="005417F4"/>
    <w:rsid w:val="005422E0"/>
    <w:rsid w:val="00542BBA"/>
    <w:rsid w:val="00543185"/>
    <w:rsid w:val="005432CF"/>
    <w:rsid w:val="0054331D"/>
    <w:rsid w:val="0054353D"/>
    <w:rsid w:val="00543954"/>
    <w:rsid w:val="00543B48"/>
    <w:rsid w:val="00543D9E"/>
    <w:rsid w:val="005444BE"/>
    <w:rsid w:val="0054472E"/>
    <w:rsid w:val="00544AD7"/>
    <w:rsid w:val="00544C8A"/>
    <w:rsid w:val="00545AAA"/>
    <w:rsid w:val="0054625A"/>
    <w:rsid w:val="00546717"/>
    <w:rsid w:val="00546B39"/>
    <w:rsid w:val="00546C0F"/>
    <w:rsid w:val="00546D9C"/>
    <w:rsid w:val="005472AB"/>
    <w:rsid w:val="005473E6"/>
    <w:rsid w:val="00547DEA"/>
    <w:rsid w:val="0055096A"/>
    <w:rsid w:val="00550DC5"/>
    <w:rsid w:val="00551547"/>
    <w:rsid w:val="00551571"/>
    <w:rsid w:val="005519ED"/>
    <w:rsid w:val="005519F6"/>
    <w:rsid w:val="00551AE3"/>
    <w:rsid w:val="00551C20"/>
    <w:rsid w:val="00551D64"/>
    <w:rsid w:val="00551FD4"/>
    <w:rsid w:val="00552326"/>
    <w:rsid w:val="005524AA"/>
    <w:rsid w:val="00552543"/>
    <w:rsid w:val="00552D05"/>
    <w:rsid w:val="00552DFF"/>
    <w:rsid w:val="00552FB9"/>
    <w:rsid w:val="005533C0"/>
    <w:rsid w:val="00554149"/>
    <w:rsid w:val="00554C4F"/>
    <w:rsid w:val="00554CF1"/>
    <w:rsid w:val="0055506D"/>
    <w:rsid w:val="00555124"/>
    <w:rsid w:val="005553DB"/>
    <w:rsid w:val="0055553B"/>
    <w:rsid w:val="0055570D"/>
    <w:rsid w:val="00555B41"/>
    <w:rsid w:val="00555D54"/>
    <w:rsid w:val="005563F5"/>
    <w:rsid w:val="005569D6"/>
    <w:rsid w:val="00556AD4"/>
    <w:rsid w:val="00556BA1"/>
    <w:rsid w:val="00557739"/>
    <w:rsid w:val="0055782C"/>
    <w:rsid w:val="0055782F"/>
    <w:rsid w:val="00557F39"/>
    <w:rsid w:val="005601AC"/>
    <w:rsid w:val="00560268"/>
    <w:rsid w:val="005605EA"/>
    <w:rsid w:val="00560B84"/>
    <w:rsid w:val="00560C87"/>
    <w:rsid w:val="00560D57"/>
    <w:rsid w:val="00561963"/>
    <w:rsid w:val="00562F1C"/>
    <w:rsid w:val="005633CB"/>
    <w:rsid w:val="005635C6"/>
    <w:rsid w:val="005638AA"/>
    <w:rsid w:val="00563982"/>
    <w:rsid w:val="00563CCE"/>
    <w:rsid w:val="0056435C"/>
    <w:rsid w:val="0056467D"/>
    <w:rsid w:val="00564F19"/>
    <w:rsid w:val="005659D2"/>
    <w:rsid w:val="00565BC8"/>
    <w:rsid w:val="00565DAF"/>
    <w:rsid w:val="0056611A"/>
    <w:rsid w:val="0056691F"/>
    <w:rsid w:val="005676F5"/>
    <w:rsid w:val="00567749"/>
    <w:rsid w:val="00567A94"/>
    <w:rsid w:val="00567D2F"/>
    <w:rsid w:val="00570C84"/>
    <w:rsid w:val="00570EFC"/>
    <w:rsid w:val="005713EE"/>
    <w:rsid w:val="0057240C"/>
    <w:rsid w:val="00572809"/>
    <w:rsid w:val="00573459"/>
    <w:rsid w:val="00573BDF"/>
    <w:rsid w:val="00573EF1"/>
    <w:rsid w:val="005742D5"/>
    <w:rsid w:val="00574BA5"/>
    <w:rsid w:val="00574E4A"/>
    <w:rsid w:val="00574FA5"/>
    <w:rsid w:val="00575B5F"/>
    <w:rsid w:val="00575D25"/>
    <w:rsid w:val="005761A5"/>
    <w:rsid w:val="0057642A"/>
    <w:rsid w:val="00576784"/>
    <w:rsid w:val="0057687E"/>
    <w:rsid w:val="00576CDE"/>
    <w:rsid w:val="005772D0"/>
    <w:rsid w:val="005773FE"/>
    <w:rsid w:val="00577733"/>
    <w:rsid w:val="005777E7"/>
    <w:rsid w:val="00577AF0"/>
    <w:rsid w:val="0058041F"/>
    <w:rsid w:val="00580C4F"/>
    <w:rsid w:val="0058138E"/>
    <w:rsid w:val="0058202E"/>
    <w:rsid w:val="00582E56"/>
    <w:rsid w:val="00582EB4"/>
    <w:rsid w:val="00582F11"/>
    <w:rsid w:val="005838BC"/>
    <w:rsid w:val="00583932"/>
    <w:rsid w:val="00583D11"/>
    <w:rsid w:val="00584229"/>
    <w:rsid w:val="00584A97"/>
    <w:rsid w:val="005852F8"/>
    <w:rsid w:val="00585539"/>
    <w:rsid w:val="00585FA3"/>
    <w:rsid w:val="00585FD0"/>
    <w:rsid w:val="00586084"/>
    <w:rsid w:val="0058662C"/>
    <w:rsid w:val="00586E94"/>
    <w:rsid w:val="005870BD"/>
    <w:rsid w:val="005873CE"/>
    <w:rsid w:val="0058767E"/>
    <w:rsid w:val="0058794F"/>
    <w:rsid w:val="0059033A"/>
    <w:rsid w:val="00590DF2"/>
    <w:rsid w:val="00590E8B"/>
    <w:rsid w:val="00591791"/>
    <w:rsid w:val="005918F7"/>
    <w:rsid w:val="00591DA0"/>
    <w:rsid w:val="00591ED0"/>
    <w:rsid w:val="00591FAC"/>
    <w:rsid w:val="00592E9E"/>
    <w:rsid w:val="00592EB4"/>
    <w:rsid w:val="00593672"/>
    <w:rsid w:val="0059376D"/>
    <w:rsid w:val="00594389"/>
    <w:rsid w:val="00594525"/>
    <w:rsid w:val="0059469B"/>
    <w:rsid w:val="005951B4"/>
    <w:rsid w:val="00595203"/>
    <w:rsid w:val="005952A9"/>
    <w:rsid w:val="00595B42"/>
    <w:rsid w:val="00595C75"/>
    <w:rsid w:val="00596007"/>
    <w:rsid w:val="005966AF"/>
    <w:rsid w:val="00596799"/>
    <w:rsid w:val="00597152"/>
    <w:rsid w:val="00597748"/>
    <w:rsid w:val="0059780F"/>
    <w:rsid w:val="00597BC0"/>
    <w:rsid w:val="00597C3C"/>
    <w:rsid w:val="005A05F5"/>
    <w:rsid w:val="005A0665"/>
    <w:rsid w:val="005A150E"/>
    <w:rsid w:val="005A16EF"/>
    <w:rsid w:val="005A1864"/>
    <w:rsid w:val="005A1913"/>
    <w:rsid w:val="005A1AE9"/>
    <w:rsid w:val="005A1C5D"/>
    <w:rsid w:val="005A1C88"/>
    <w:rsid w:val="005A26BE"/>
    <w:rsid w:val="005A28E5"/>
    <w:rsid w:val="005A2A8C"/>
    <w:rsid w:val="005A2E02"/>
    <w:rsid w:val="005A2F36"/>
    <w:rsid w:val="005A4BBD"/>
    <w:rsid w:val="005A515D"/>
    <w:rsid w:val="005A5806"/>
    <w:rsid w:val="005A5880"/>
    <w:rsid w:val="005A59F3"/>
    <w:rsid w:val="005A61C7"/>
    <w:rsid w:val="005A6322"/>
    <w:rsid w:val="005A6392"/>
    <w:rsid w:val="005A7057"/>
    <w:rsid w:val="005A7218"/>
    <w:rsid w:val="005A788E"/>
    <w:rsid w:val="005B06A9"/>
    <w:rsid w:val="005B08EC"/>
    <w:rsid w:val="005B0984"/>
    <w:rsid w:val="005B0B13"/>
    <w:rsid w:val="005B0CDF"/>
    <w:rsid w:val="005B0D41"/>
    <w:rsid w:val="005B1076"/>
    <w:rsid w:val="005B1A61"/>
    <w:rsid w:val="005B1D9F"/>
    <w:rsid w:val="005B1DD8"/>
    <w:rsid w:val="005B228B"/>
    <w:rsid w:val="005B2595"/>
    <w:rsid w:val="005B2D59"/>
    <w:rsid w:val="005B2D6F"/>
    <w:rsid w:val="005B2DB9"/>
    <w:rsid w:val="005B322B"/>
    <w:rsid w:val="005B3267"/>
    <w:rsid w:val="005B32CC"/>
    <w:rsid w:val="005B34A4"/>
    <w:rsid w:val="005B3D54"/>
    <w:rsid w:val="005B443D"/>
    <w:rsid w:val="005B4A58"/>
    <w:rsid w:val="005B4CAE"/>
    <w:rsid w:val="005B50B4"/>
    <w:rsid w:val="005B5618"/>
    <w:rsid w:val="005B6135"/>
    <w:rsid w:val="005B6E69"/>
    <w:rsid w:val="005B7FB1"/>
    <w:rsid w:val="005C0000"/>
    <w:rsid w:val="005C022E"/>
    <w:rsid w:val="005C02B2"/>
    <w:rsid w:val="005C03EF"/>
    <w:rsid w:val="005C0476"/>
    <w:rsid w:val="005C0650"/>
    <w:rsid w:val="005C1A30"/>
    <w:rsid w:val="005C1D97"/>
    <w:rsid w:val="005C20BF"/>
    <w:rsid w:val="005C2347"/>
    <w:rsid w:val="005C2B37"/>
    <w:rsid w:val="005C2F32"/>
    <w:rsid w:val="005C336F"/>
    <w:rsid w:val="005C344B"/>
    <w:rsid w:val="005C3654"/>
    <w:rsid w:val="005C3BDE"/>
    <w:rsid w:val="005C3C43"/>
    <w:rsid w:val="005C4019"/>
    <w:rsid w:val="005C40F2"/>
    <w:rsid w:val="005C4801"/>
    <w:rsid w:val="005C49BB"/>
    <w:rsid w:val="005C4DEF"/>
    <w:rsid w:val="005C7AFA"/>
    <w:rsid w:val="005C7F9F"/>
    <w:rsid w:val="005D0BC8"/>
    <w:rsid w:val="005D0FC6"/>
    <w:rsid w:val="005D1695"/>
    <w:rsid w:val="005D194C"/>
    <w:rsid w:val="005D1F69"/>
    <w:rsid w:val="005D2198"/>
    <w:rsid w:val="005D289B"/>
    <w:rsid w:val="005D2D21"/>
    <w:rsid w:val="005D2FA3"/>
    <w:rsid w:val="005D331D"/>
    <w:rsid w:val="005D3652"/>
    <w:rsid w:val="005D3F62"/>
    <w:rsid w:val="005D413E"/>
    <w:rsid w:val="005D460F"/>
    <w:rsid w:val="005D4A6B"/>
    <w:rsid w:val="005D575E"/>
    <w:rsid w:val="005D5BB7"/>
    <w:rsid w:val="005D66F5"/>
    <w:rsid w:val="005E0470"/>
    <w:rsid w:val="005E0CAA"/>
    <w:rsid w:val="005E0F72"/>
    <w:rsid w:val="005E1EB9"/>
    <w:rsid w:val="005E20E1"/>
    <w:rsid w:val="005E2905"/>
    <w:rsid w:val="005E2937"/>
    <w:rsid w:val="005E2B63"/>
    <w:rsid w:val="005E2D07"/>
    <w:rsid w:val="005E304E"/>
    <w:rsid w:val="005E51BA"/>
    <w:rsid w:val="005E5205"/>
    <w:rsid w:val="005E5566"/>
    <w:rsid w:val="005E5C46"/>
    <w:rsid w:val="005E600B"/>
    <w:rsid w:val="005E61B0"/>
    <w:rsid w:val="005E63CF"/>
    <w:rsid w:val="005E6641"/>
    <w:rsid w:val="005E67F9"/>
    <w:rsid w:val="005E68C3"/>
    <w:rsid w:val="005E6999"/>
    <w:rsid w:val="005E69AF"/>
    <w:rsid w:val="005E7459"/>
    <w:rsid w:val="005E7714"/>
    <w:rsid w:val="005E7D43"/>
    <w:rsid w:val="005F01F2"/>
    <w:rsid w:val="005F0524"/>
    <w:rsid w:val="005F0A1D"/>
    <w:rsid w:val="005F0D74"/>
    <w:rsid w:val="005F28A1"/>
    <w:rsid w:val="005F29ED"/>
    <w:rsid w:val="005F2C5B"/>
    <w:rsid w:val="005F2C95"/>
    <w:rsid w:val="005F2DB8"/>
    <w:rsid w:val="005F2FCA"/>
    <w:rsid w:val="005F2FF7"/>
    <w:rsid w:val="005F331D"/>
    <w:rsid w:val="005F3F39"/>
    <w:rsid w:val="005F4089"/>
    <w:rsid w:val="005F4376"/>
    <w:rsid w:val="005F48FE"/>
    <w:rsid w:val="005F4934"/>
    <w:rsid w:val="005F56DB"/>
    <w:rsid w:val="005F5A02"/>
    <w:rsid w:val="005F5E9F"/>
    <w:rsid w:val="005F64A1"/>
    <w:rsid w:val="005F668E"/>
    <w:rsid w:val="005F672B"/>
    <w:rsid w:val="005F6BC7"/>
    <w:rsid w:val="005F6ED5"/>
    <w:rsid w:val="005F6F46"/>
    <w:rsid w:val="005F707F"/>
    <w:rsid w:val="005F726D"/>
    <w:rsid w:val="005F73EB"/>
    <w:rsid w:val="005F7569"/>
    <w:rsid w:val="005F7CC2"/>
    <w:rsid w:val="005F7F39"/>
    <w:rsid w:val="00600616"/>
    <w:rsid w:val="006008B2"/>
    <w:rsid w:val="00600AB0"/>
    <w:rsid w:val="00601185"/>
    <w:rsid w:val="0060165A"/>
    <w:rsid w:val="00601743"/>
    <w:rsid w:val="00601AED"/>
    <w:rsid w:val="00601B32"/>
    <w:rsid w:val="00601D48"/>
    <w:rsid w:val="00601F6A"/>
    <w:rsid w:val="0060284B"/>
    <w:rsid w:val="00602E2F"/>
    <w:rsid w:val="00603077"/>
    <w:rsid w:val="006034DF"/>
    <w:rsid w:val="006038F9"/>
    <w:rsid w:val="00603AEE"/>
    <w:rsid w:val="00603B64"/>
    <w:rsid w:val="00604B92"/>
    <w:rsid w:val="00604CAD"/>
    <w:rsid w:val="00605650"/>
    <w:rsid w:val="0060579E"/>
    <w:rsid w:val="00605D03"/>
    <w:rsid w:val="00605FD5"/>
    <w:rsid w:val="006062BD"/>
    <w:rsid w:val="0060657F"/>
    <w:rsid w:val="00606D43"/>
    <w:rsid w:val="00606EA2"/>
    <w:rsid w:val="006072CA"/>
    <w:rsid w:val="006076BD"/>
    <w:rsid w:val="00607E79"/>
    <w:rsid w:val="00607EBF"/>
    <w:rsid w:val="006101A9"/>
    <w:rsid w:val="00610309"/>
    <w:rsid w:val="00611706"/>
    <w:rsid w:val="006117CB"/>
    <w:rsid w:val="00611915"/>
    <w:rsid w:val="00611F17"/>
    <w:rsid w:val="00612274"/>
    <w:rsid w:val="00612275"/>
    <w:rsid w:val="006129DD"/>
    <w:rsid w:val="00612C33"/>
    <w:rsid w:val="006134B6"/>
    <w:rsid w:val="00613F31"/>
    <w:rsid w:val="00614445"/>
    <w:rsid w:val="00614449"/>
    <w:rsid w:val="0061454E"/>
    <w:rsid w:val="0061492C"/>
    <w:rsid w:val="006150C5"/>
    <w:rsid w:val="006154BF"/>
    <w:rsid w:val="00615EDC"/>
    <w:rsid w:val="00616839"/>
    <w:rsid w:val="00616ADD"/>
    <w:rsid w:val="00616F0D"/>
    <w:rsid w:val="006170AA"/>
    <w:rsid w:val="0061756A"/>
    <w:rsid w:val="0061778B"/>
    <w:rsid w:val="00620002"/>
    <w:rsid w:val="006206AA"/>
    <w:rsid w:val="00620BBF"/>
    <w:rsid w:val="00621133"/>
    <w:rsid w:val="006215EB"/>
    <w:rsid w:val="00622764"/>
    <w:rsid w:val="00622C10"/>
    <w:rsid w:val="006235D4"/>
    <w:rsid w:val="00623D5B"/>
    <w:rsid w:val="00624569"/>
    <w:rsid w:val="00624AD6"/>
    <w:rsid w:val="00625BB9"/>
    <w:rsid w:val="00625CF1"/>
    <w:rsid w:val="00626443"/>
    <w:rsid w:val="006269D4"/>
    <w:rsid w:val="00627137"/>
    <w:rsid w:val="006275DC"/>
    <w:rsid w:val="00627C46"/>
    <w:rsid w:val="006300D9"/>
    <w:rsid w:val="00630144"/>
    <w:rsid w:val="00630532"/>
    <w:rsid w:val="00630577"/>
    <w:rsid w:val="00630FA1"/>
    <w:rsid w:val="00630FE6"/>
    <w:rsid w:val="006317CE"/>
    <w:rsid w:val="0063198C"/>
    <w:rsid w:val="00631CCD"/>
    <w:rsid w:val="00631D8A"/>
    <w:rsid w:val="00632B4B"/>
    <w:rsid w:val="00633259"/>
    <w:rsid w:val="006334A2"/>
    <w:rsid w:val="00633869"/>
    <w:rsid w:val="006338B2"/>
    <w:rsid w:val="006339A4"/>
    <w:rsid w:val="00633AC9"/>
    <w:rsid w:val="00634035"/>
    <w:rsid w:val="00636187"/>
    <w:rsid w:val="00636211"/>
    <w:rsid w:val="006364E1"/>
    <w:rsid w:val="0063660B"/>
    <w:rsid w:val="00636743"/>
    <w:rsid w:val="00636B09"/>
    <w:rsid w:val="00636D1A"/>
    <w:rsid w:val="0063717F"/>
    <w:rsid w:val="00637425"/>
    <w:rsid w:val="00640235"/>
    <w:rsid w:val="00641059"/>
    <w:rsid w:val="00641B5F"/>
    <w:rsid w:val="00642C44"/>
    <w:rsid w:val="00642DF1"/>
    <w:rsid w:val="006433FF"/>
    <w:rsid w:val="00643957"/>
    <w:rsid w:val="00643F07"/>
    <w:rsid w:val="00643FEE"/>
    <w:rsid w:val="006444BA"/>
    <w:rsid w:val="00644694"/>
    <w:rsid w:val="0064522B"/>
    <w:rsid w:val="00645990"/>
    <w:rsid w:val="006462EF"/>
    <w:rsid w:val="0064634C"/>
    <w:rsid w:val="006465FC"/>
    <w:rsid w:val="00646E2C"/>
    <w:rsid w:val="006470EA"/>
    <w:rsid w:val="006471BE"/>
    <w:rsid w:val="006474E6"/>
    <w:rsid w:val="006475EF"/>
    <w:rsid w:val="00647F8C"/>
    <w:rsid w:val="00650A51"/>
    <w:rsid w:val="00652682"/>
    <w:rsid w:val="00652B21"/>
    <w:rsid w:val="006530BF"/>
    <w:rsid w:val="006558A3"/>
    <w:rsid w:val="00656279"/>
    <w:rsid w:val="006566D2"/>
    <w:rsid w:val="00656B9F"/>
    <w:rsid w:val="00656C48"/>
    <w:rsid w:val="00656CB8"/>
    <w:rsid w:val="00656E1D"/>
    <w:rsid w:val="00657547"/>
    <w:rsid w:val="00657ADB"/>
    <w:rsid w:val="00657DE2"/>
    <w:rsid w:val="00657E40"/>
    <w:rsid w:val="00660115"/>
    <w:rsid w:val="006606D1"/>
    <w:rsid w:val="00660956"/>
    <w:rsid w:val="0066096F"/>
    <w:rsid w:val="00660F90"/>
    <w:rsid w:val="00661906"/>
    <w:rsid w:val="0066195E"/>
    <w:rsid w:val="00662071"/>
    <w:rsid w:val="00662568"/>
    <w:rsid w:val="00662606"/>
    <w:rsid w:val="00662971"/>
    <w:rsid w:val="00662F4C"/>
    <w:rsid w:val="00663555"/>
    <w:rsid w:val="00663786"/>
    <w:rsid w:val="00663C44"/>
    <w:rsid w:val="00663EA4"/>
    <w:rsid w:val="006642A6"/>
    <w:rsid w:val="006649A2"/>
    <w:rsid w:val="00664E26"/>
    <w:rsid w:val="00666B98"/>
    <w:rsid w:val="00666C7D"/>
    <w:rsid w:val="00666CC6"/>
    <w:rsid w:val="00666D0A"/>
    <w:rsid w:val="0066706E"/>
    <w:rsid w:val="00667336"/>
    <w:rsid w:val="006673C7"/>
    <w:rsid w:val="00667609"/>
    <w:rsid w:val="0066760E"/>
    <w:rsid w:val="00667CF1"/>
    <w:rsid w:val="006700FE"/>
    <w:rsid w:val="00670A96"/>
    <w:rsid w:val="00671132"/>
    <w:rsid w:val="0067165B"/>
    <w:rsid w:val="00671EFB"/>
    <w:rsid w:val="00672553"/>
    <w:rsid w:val="00672907"/>
    <w:rsid w:val="006733F9"/>
    <w:rsid w:val="0067370D"/>
    <w:rsid w:val="00673B03"/>
    <w:rsid w:val="00674684"/>
    <w:rsid w:val="006746CB"/>
    <w:rsid w:val="00674BC5"/>
    <w:rsid w:val="00674FAF"/>
    <w:rsid w:val="0067507D"/>
    <w:rsid w:val="006751B7"/>
    <w:rsid w:val="006757BC"/>
    <w:rsid w:val="00675B74"/>
    <w:rsid w:val="0067693D"/>
    <w:rsid w:val="00676D27"/>
    <w:rsid w:val="00676E0E"/>
    <w:rsid w:val="00677019"/>
    <w:rsid w:val="00677B41"/>
    <w:rsid w:val="00680650"/>
    <w:rsid w:val="00681725"/>
    <w:rsid w:val="00682695"/>
    <w:rsid w:val="006826F0"/>
    <w:rsid w:val="00682A89"/>
    <w:rsid w:val="00682D1B"/>
    <w:rsid w:val="006833F7"/>
    <w:rsid w:val="00683B7A"/>
    <w:rsid w:val="00683B9C"/>
    <w:rsid w:val="00683CBA"/>
    <w:rsid w:val="00683FD6"/>
    <w:rsid w:val="00684495"/>
    <w:rsid w:val="00684E5E"/>
    <w:rsid w:val="00685493"/>
    <w:rsid w:val="006854A4"/>
    <w:rsid w:val="0068552A"/>
    <w:rsid w:val="00685953"/>
    <w:rsid w:val="00685991"/>
    <w:rsid w:val="00685EEB"/>
    <w:rsid w:val="00687769"/>
    <w:rsid w:val="006878AB"/>
    <w:rsid w:val="00687CD1"/>
    <w:rsid w:val="00690175"/>
    <w:rsid w:val="006902BB"/>
    <w:rsid w:val="006908B2"/>
    <w:rsid w:val="0069110F"/>
    <w:rsid w:val="006913CA"/>
    <w:rsid w:val="0069163A"/>
    <w:rsid w:val="00691B54"/>
    <w:rsid w:val="00691CD8"/>
    <w:rsid w:val="006926F7"/>
    <w:rsid w:val="00692A60"/>
    <w:rsid w:val="00692C36"/>
    <w:rsid w:val="00692CA1"/>
    <w:rsid w:val="00692CDD"/>
    <w:rsid w:val="00692D73"/>
    <w:rsid w:val="00693669"/>
    <w:rsid w:val="00693876"/>
    <w:rsid w:val="00693935"/>
    <w:rsid w:val="00693BF9"/>
    <w:rsid w:val="00694301"/>
    <w:rsid w:val="006944B2"/>
    <w:rsid w:val="00694537"/>
    <w:rsid w:val="00694866"/>
    <w:rsid w:val="00694FC3"/>
    <w:rsid w:val="00695391"/>
    <w:rsid w:val="006955F8"/>
    <w:rsid w:val="00695DFE"/>
    <w:rsid w:val="00695F89"/>
    <w:rsid w:val="00696B0A"/>
    <w:rsid w:val="00696CB7"/>
    <w:rsid w:val="00696D0D"/>
    <w:rsid w:val="00696E7D"/>
    <w:rsid w:val="006975B4"/>
    <w:rsid w:val="00697AF3"/>
    <w:rsid w:val="006A0512"/>
    <w:rsid w:val="006A1A3C"/>
    <w:rsid w:val="006A1B2A"/>
    <w:rsid w:val="006A2C20"/>
    <w:rsid w:val="006A2C3E"/>
    <w:rsid w:val="006A2D92"/>
    <w:rsid w:val="006A3480"/>
    <w:rsid w:val="006A34C0"/>
    <w:rsid w:val="006A35F4"/>
    <w:rsid w:val="006A3615"/>
    <w:rsid w:val="006A3860"/>
    <w:rsid w:val="006A3A04"/>
    <w:rsid w:val="006A3A38"/>
    <w:rsid w:val="006A477D"/>
    <w:rsid w:val="006A48C0"/>
    <w:rsid w:val="006A5220"/>
    <w:rsid w:val="006A523E"/>
    <w:rsid w:val="006A52B4"/>
    <w:rsid w:val="006A57E7"/>
    <w:rsid w:val="006A580B"/>
    <w:rsid w:val="006A6218"/>
    <w:rsid w:val="006A64BC"/>
    <w:rsid w:val="006A6545"/>
    <w:rsid w:val="006A6557"/>
    <w:rsid w:val="006A69A9"/>
    <w:rsid w:val="006A79F9"/>
    <w:rsid w:val="006A7BD6"/>
    <w:rsid w:val="006A7DA8"/>
    <w:rsid w:val="006B009F"/>
    <w:rsid w:val="006B02A4"/>
    <w:rsid w:val="006B0491"/>
    <w:rsid w:val="006B0EBA"/>
    <w:rsid w:val="006B16EF"/>
    <w:rsid w:val="006B210A"/>
    <w:rsid w:val="006B23A9"/>
    <w:rsid w:val="006B2503"/>
    <w:rsid w:val="006B27F3"/>
    <w:rsid w:val="006B29AA"/>
    <w:rsid w:val="006B29D5"/>
    <w:rsid w:val="006B2D4D"/>
    <w:rsid w:val="006B3037"/>
    <w:rsid w:val="006B3122"/>
    <w:rsid w:val="006B316F"/>
    <w:rsid w:val="006B3FE9"/>
    <w:rsid w:val="006B43B4"/>
    <w:rsid w:val="006B574C"/>
    <w:rsid w:val="006B58B7"/>
    <w:rsid w:val="006B642A"/>
    <w:rsid w:val="006B65F1"/>
    <w:rsid w:val="006B6E11"/>
    <w:rsid w:val="006C00B0"/>
    <w:rsid w:val="006C023C"/>
    <w:rsid w:val="006C0B23"/>
    <w:rsid w:val="006C12AD"/>
    <w:rsid w:val="006C12C6"/>
    <w:rsid w:val="006C1A4B"/>
    <w:rsid w:val="006C1C84"/>
    <w:rsid w:val="006C1FA1"/>
    <w:rsid w:val="006C2141"/>
    <w:rsid w:val="006C2615"/>
    <w:rsid w:val="006C2A00"/>
    <w:rsid w:val="006C2D79"/>
    <w:rsid w:val="006C336F"/>
    <w:rsid w:val="006C3903"/>
    <w:rsid w:val="006C3E08"/>
    <w:rsid w:val="006C4466"/>
    <w:rsid w:val="006C469A"/>
    <w:rsid w:val="006C492E"/>
    <w:rsid w:val="006C4C7E"/>
    <w:rsid w:val="006C5623"/>
    <w:rsid w:val="006C56F4"/>
    <w:rsid w:val="006C5E55"/>
    <w:rsid w:val="006C670E"/>
    <w:rsid w:val="006C6D43"/>
    <w:rsid w:val="006C6DEE"/>
    <w:rsid w:val="006C6E66"/>
    <w:rsid w:val="006C7172"/>
    <w:rsid w:val="006D0CCE"/>
    <w:rsid w:val="006D129F"/>
    <w:rsid w:val="006D150C"/>
    <w:rsid w:val="006D1734"/>
    <w:rsid w:val="006D2211"/>
    <w:rsid w:val="006D26FA"/>
    <w:rsid w:val="006D28C4"/>
    <w:rsid w:val="006D2CC1"/>
    <w:rsid w:val="006D2ED9"/>
    <w:rsid w:val="006D3029"/>
    <w:rsid w:val="006D32A8"/>
    <w:rsid w:val="006D348F"/>
    <w:rsid w:val="006D3F96"/>
    <w:rsid w:val="006D4039"/>
    <w:rsid w:val="006D4144"/>
    <w:rsid w:val="006D48E8"/>
    <w:rsid w:val="006D51F8"/>
    <w:rsid w:val="006D52BD"/>
    <w:rsid w:val="006D58E4"/>
    <w:rsid w:val="006D5BD1"/>
    <w:rsid w:val="006D618D"/>
    <w:rsid w:val="006D6239"/>
    <w:rsid w:val="006D6B65"/>
    <w:rsid w:val="006D7ECE"/>
    <w:rsid w:val="006E0261"/>
    <w:rsid w:val="006E0801"/>
    <w:rsid w:val="006E0BBE"/>
    <w:rsid w:val="006E0F6E"/>
    <w:rsid w:val="006E1074"/>
    <w:rsid w:val="006E1C2E"/>
    <w:rsid w:val="006E1D9A"/>
    <w:rsid w:val="006E22EF"/>
    <w:rsid w:val="006E2393"/>
    <w:rsid w:val="006E2ED6"/>
    <w:rsid w:val="006E362A"/>
    <w:rsid w:val="006E378E"/>
    <w:rsid w:val="006E3BCC"/>
    <w:rsid w:val="006E3BE4"/>
    <w:rsid w:val="006E3C71"/>
    <w:rsid w:val="006E3DF5"/>
    <w:rsid w:val="006E4435"/>
    <w:rsid w:val="006E443B"/>
    <w:rsid w:val="006E46AB"/>
    <w:rsid w:val="006E4727"/>
    <w:rsid w:val="006E4F53"/>
    <w:rsid w:val="006E5252"/>
    <w:rsid w:val="006E5377"/>
    <w:rsid w:val="006E548C"/>
    <w:rsid w:val="006E54AA"/>
    <w:rsid w:val="006E54F8"/>
    <w:rsid w:val="006E5CF6"/>
    <w:rsid w:val="006E6102"/>
    <w:rsid w:val="006E6647"/>
    <w:rsid w:val="006E6CF6"/>
    <w:rsid w:val="006E7179"/>
    <w:rsid w:val="006E7180"/>
    <w:rsid w:val="006E7DFB"/>
    <w:rsid w:val="006F0779"/>
    <w:rsid w:val="006F08DF"/>
    <w:rsid w:val="006F0C9D"/>
    <w:rsid w:val="006F1649"/>
    <w:rsid w:val="006F2141"/>
    <w:rsid w:val="006F29CE"/>
    <w:rsid w:val="006F2BCB"/>
    <w:rsid w:val="006F2F76"/>
    <w:rsid w:val="006F3647"/>
    <w:rsid w:val="006F4059"/>
    <w:rsid w:val="006F4200"/>
    <w:rsid w:val="006F420D"/>
    <w:rsid w:val="006F46B8"/>
    <w:rsid w:val="006F4B1B"/>
    <w:rsid w:val="006F4EAD"/>
    <w:rsid w:val="006F5587"/>
    <w:rsid w:val="006F5A47"/>
    <w:rsid w:val="006F67F1"/>
    <w:rsid w:val="006F697B"/>
    <w:rsid w:val="006F6E08"/>
    <w:rsid w:val="006F7392"/>
    <w:rsid w:val="006F77B1"/>
    <w:rsid w:val="006F7897"/>
    <w:rsid w:val="00700071"/>
    <w:rsid w:val="007003FC"/>
    <w:rsid w:val="0070094E"/>
    <w:rsid w:val="007009EA"/>
    <w:rsid w:val="00700A54"/>
    <w:rsid w:val="00700B65"/>
    <w:rsid w:val="00700CC9"/>
    <w:rsid w:val="00700F4E"/>
    <w:rsid w:val="00701005"/>
    <w:rsid w:val="007014F0"/>
    <w:rsid w:val="00701787"/>
    <w:rsid w:val="00702A3B"/>
    <w:rsid w:val="00702E08"/>
    <w:rsid w:val="007032E7"/>
    <w:rsid w:val="007034F1"/>
    <w:rsid w:val="007038F0"/>
    <w:rsid w:val="00703D52"/>
    <w:rsid w:val="007049B8"/>
    <w:rsid w:val="00704D39"/>
    <w:rsid w:val="007069E2"/>
    <w:rsid w:val="00706D47"/>
    <w:rsid w:val="00706DBC"/>
    <w:rsid w:val="00707177"/>
    <w:rsid w:val="0070740F"/>
    <w:rsid w:val="00707C7A"/>
    <w:rsid w:val="00707EDD"/>
    <w:rsid w:val="007103A2"/>
    <w:rsid w:val="007105F3"/>
    <w:rsid w:val="00710AE0"/>
    <w:rsid w:val="00710BAA"/>
    <w:rsid w:val="00711BCD"/>
    <w:rsid w:val="00712058"/>
    <w:rsid w:val="00712060"/>
    <w:rsid w:val="007123CC"/>
    <w:rsid w:val="007124A2"/>
    <w:rsid w:val="00712A43"/>
    <w:rsid w:val="00712C06"/>
    <w:rsid w:val="00712F76"/>
    <w:rsid w:val="00713531"/>
    <w:rsid w:val="0071370D"/>
    <w:rsid w:val="00713B72"/>
    <w:rsid w:val="00713B84"/>
    <w:rsid w:val="00713D35"/>
    <w:rsid w:val="00714112"/>
    <w:rsid w:val="007144FD"/>
    <w:rsid w:val="00714889"/>
    <w:rsid w:val="007148F2"/>
    <w:rsid w:val="00716135"/>
    <w:rsid w:val="00716F8C"/>
    <w:rsid w:val="00717078"/>
    <w:rsid w:val="007172BB"/>
    <w:rsid w:val="007178CD"/>
    <w:rsid w:val="00720607"/>
    <w:rsid w:val="00720B8C"/>
    <w:rsid w:val="0072105E"/>
    <w:rsid w:val="007210F6"/>
    <w:rsid w:val="0072128E"/>
    <w:rsid w:val="007214D6"/>
    <w:rsid w:val="007215CA"/>
    <w:rsid w:val="00722467"/>
    <w:rsid w:val="0072249C"/>
    <w:rsid w:val="0072334A"/>
    <w:rsid w:val="00723450"/>
    <w:rsid w:val="00723E16"/>
    <w:rsid w:val="007242BF"/>
    <w:rsid w:val="007242E5"/>
    <w:rsid w:val="00724D70"/>
    <w:rsid w:val="0072511B"/>
    <w:rsid w:val="007251B7"/>
    <w:rsid w:val="007252C8"/>
    <w:rsid w:val="00725513"/>
    <w:rsid w:val="0072592E"/>
    <w:rsid w:val="00726BE2"/>
    <w:rsid w:val="00726CA1"/>
    <w:rsid w:val="007270A6"/>
    <w:rsid w:val="00727162"/>
    <w:rsid w:val="007302E0"/>
    <w:rsid w:val="00730E3D"/>
    <w:rsid w:val="00730E89"/>
    <w:rsid w:val="00731DF2"/>
    <w:rsid w:val="00731ED1"/>
    <w:rsid w:val="007325F5"/>
    <w:rsid w:val="00732A5C"/>
    <w:rsid w:val="00732C1B"/>
    <w:rsid w:val="00732EDF"/>
    <w:rsid w:val="007330D0"/>
    <w:rsid w:val="0073334F"/>
    <w:rsid w:val="00733535"/>
    <w:rsid w:val="007335A2"/>
    <w:rsid w:val="00733C1B"/>
    <w:rsid w:val="00733C4F"/>
    <w:rsid w:val="00734162"/>
    <w:rsid w:val="00734EDB"/>
    <w:rsid w:val="00735370"/>
    <w:rsid w:val="007354D3"/>
    <w:rsid w:val="00735BE4"/>
    <w:rsid w:val="00736013"/>
    <w:rsid w:val="00736ADD"/>
    <w:rsid w:val="00736DE7"/>
    <w:rsid w:val="00736E66"/>
    <w:rsid w:val="00737215"/>
    <w:rsid w:val="007377DA"/>
    <w:rsid w:val="00737A77"/>
    <w:rsid w:val="0074002F"/>
    <w:rsid w:val="00740E33"/>
    <w:rsid w:val="00741558"/>
    <w:rsid w:val="00741D24"/>
    <w:rsid w:val="00742BC9"/>
    <w:rsid w:val="00744591"/>
    <w:rsid w:val="00744755"/>
    <w:rsid w:val="0074491C"/>
    <w:rsid w:val="00744996"/>
    <w:rsid w:val="00744FEB"/>
    <w:rsid w:val="00745273"/>
    <w:rsid w:val="007456AF"/>
    <w:rsid w:val="00745BEF"/>
    <w:rsid w:val="00745C3F"/>
    <w:rsid w:val="007460A9"/>
    <w:rsid w:val="007462D9"/>
    <w:rsid w:val="00746EC0"/>
    <w:rsid w:val="00746F9C"/>
    <w:rsid w:val="007472EF"/>
    <w:rsid w:val="0074769F"/>
    <w:rsid w:val="00747A44"/>
    <w:rsid w:val="00747C10"/>
    <w:rsid w:val="00747CC0"/>
    <w:rsid w:val="00747FF7"/>
    <w:rsid w:val="007500E7"/>
    <w:rsid w:val="007507C1"/>
    <w:rsid w:val="00750BEB"/>
    <w:rsid w:val="00751099"/>
    <w:rsid w:val="00751341"/>
    <w:rsid w:val="00751BC7"/>
    <w:rsid w:val="00751D5B"/>
    <w:rsid w:val="00752074"/>
    <w:rsid w:val="0075239B"/>
    <w:rsid w:val="007528E2"/>
    <w:rsid w:val="0075298E"/>
    <w:rsid w:val="00752A01"/>
    <w:rsid w:val="00752BFD"/>
    <w:rsid w:val="00752DA0"/>
    <w:rsid w:val="00753225"/>
    <w:rsid w:val="00753322"/>
    <w:rsid w:val="00753771"/>
    <w:rsid w:val="00753D5A"/>
    <w:rsid w:val="00754172"/>
    <w:rsid w:val="00754589"/>
    <w:rsid w:val="00754C10"/>
    <w:rsid w:val="0075525F"/>
    <w:rsid w:val="00755BF1"/>
    <w:rsid w:val="00755D85"/>
    <w:rsid w:val="007563A6"/>
    <w:rsid w:val="007563FC"/>
    <w:rsid w:val="007565D9"/>
    <w:rsid w:val="00756857"/>
    <w:rsid w:val="0075720D"/>
    <w:rsid w:val="007577EA"/>
    <w:rsid w:val="0076013A"/>
    <w:rsid w:val="0076021D"/>
    <w:rsid w:val="007602C5"/>
    <w:rsid w:val="007614B5"/>
    <w:rsid w:val="0076166A"/>
    <w:rsid w:val="007616AD"/>
    <w:rsid w:val="0076198D"/>
    <w:rsid w:val="00762095"/>
    <w:rsid w:val="007630E1"/>
    <w:rsid w:val="007632C6"/>
    <w:rsid w:val="00763939"/>
    <w:rsid w:val="00763DB4"/>
    <w:rsid w:val="00764472"/>
    <w:rsid w:val="00764714"/>
    <w:rsid w:val="00764A62"/>
    <w:rsid w:val="0076521C"/>
    <w:rsid w:val="00765E35"/>
    <w:rsid w:val="007662BB"/>
    <w:rsid w:val="007667C3"/>
    <w:rsid w:val="00766F0B"/>
    <w:rsid w:val="0076751A"/>
    <w:rsid w:val="0076753D"/>
    <w:rsid w:val="00767809"/>
    <w:rsid w:val="00767EC7"/>
    <w:rsid w:val="00767FFD"/>
    <w:rsid w:val="00770B19"/>
    <w:rsid w:val="00771A80"/>
    <w:rsid w:val="00771E89"/>
    <w:rsid w:val="0077209C"/>
    <w:rsid w:val="00772328"/>
    <w:rsid w:val="00772B46"/>
    <w:rsid w:val="00773597"/>
    <w:rsid w:val="00773AB4"/>
    <w:rsid w:val="00773C6E"/>
    <w:rsid w:val="00773C91"/>
    <w:rsid w:val="0077404F"/>
    <w:rsid w:val="00774050"/>
    <w:rsid w:val="007743A8"/>
    <w:rsid w:val="007749A8"/>
    <w:rsid w:val="00774B1E"/>
    <w:rsid w:val="00774E44"/>
    <w:rsid w:val="00775AC5"/>
    <w:rsid w:val="0077603B"/>
    <w:rsid w:val="007765B2"/>
    <w:rsid w:val="00777764"/>
    <w:rsid w:val="0077786C"/>
    <w:rsid w:val="00777DA9"/>
    <w:rsid w:val="007806B5"/>
    <w:rsid w:val="00782032"/>
    <w:rsid w:val="00782192"/>
    <w:rsid w:val="00782290"/>
    <w:rsid w:val="0078257F"/>
    <w:rsid w:val="0078310B"/>
    <w:rsid w:val="00783918"/>
    <w:rsid w:val="00783A7A"/>
    <w:rsid w:val="00783CB3"/>
    <w:rsid w:val="00783D4B"/>
    <w:rsid w:val="007843F1"/>
    <w:rsid w:val="00784B4B"/>
    <w:rsid w:val="00784E7F"/>
    <w:rsid w:val="0078508B"/>
    <w:rsid w:val="0078568B"/>
    <w:rsid w:val="007858E5"/>
    <w:rsid w:val="007859A9"/>
    <w:rsid w:val="0078614B"/>
    <w:rsid w:val="00786440"/>
    <w:rsid w:val="0078665D"/>
    <w:rsid w:val="007867B0"/>
    <w:rsid w:val="00786EBE"/>
    <w:rsid w:val="0078751D"/>
    <w:rsid w:val="00787D33"/>
    <w:rsid w:val="00787E38"/>
    <w:rsid w:val="00790104"/>
    <w:rsid w:val="00790121"/>
    <w:rsid w:val="00790779"/>
    <w:rsid w:val="0079080C"/>
    <w:rsid w:val="00791A0A"/>
    <w:rsid w:val="00792696"/>
    <w:rsid w:val="00792C55"/>
    <w:rsid w:val="00792F6D"/>
    <w:rsid w:val="007934CC"/>
    <w:rsid w:val="007936C4"/>
    <w:rsid w:val="0079374B"/>
    <w:rsid w:val="00793B18"/>
    <w:rsid w:val="007941D1"/>
    <w:rsid w:val="007943B3"/>
    <w:rsid w:val="0079476C"/>
    <w:rsid w:val="0079539E"/>
    <w:rsid w:val="0079595A"/>
    <w:rsid w:val="007966A6"/>
    <w:rsid w:val="00797435"/>
    <w:rsid w:val="007974BD"/>
    <w:rsid w:val="007974BF"/>
    <w:rsid w:val="0079798B"/>
    <w:rsid w:val="007979DD"/>
    <w:rsid w:val="00797C45"/>
    <w:rsid w:val="00797CA0"/>
    <w:rsid w:val="00797D18"/>
    <w:rsid w:val="00797F92"/>
    <w:rsid w:val="007A1017"/>
    <w:rsid w:val="007A20A6"/>
    <w:rsid w:val="007A2B32"/>
    <w:rsid w:val="007A3DF5"/>
    <w:rsid w:val="007A3F56"/>
    <w:rsid w:val="007A402A"/>
    <w:rsid w:val="007A40DB"/>
    <w:rsid w:val="007A4912"/>
    <w:rsid w:val="007A4C5E"/>
    <w:rsid w:val="007A4E4A"/>
    <w:rsid w:val="007A4FB6"/>
    <w:rsid w:val="007A518B"/>
    <w:rsid w:val="007A56B8"/>
    <w:rsid w:val="007A59EA"/>
    <w:rsid w:val="007A5DB4"/>
    <w:rsid w:val="007A5FCC"/>
    <w:rsid w:val="007A70FE"/>
    <w:rsid w:val="007A7929"/>
    <w:rsid w:val="007A7F12"/>
    <w:rsid w:val="007B0ADB"/>
    <w:rsid w:val="007B1299"/>
    <w:rsid w:val="007B13CC"/>
    <w:rsid w:val="007B14FC"/>
    <w:rsid w:val="007B16A3"/>
    <w:rsid w:val="007B1B64"/>
    <w:rsid w:val="007B1CA6"/>
    <w:rsid w:val="007B2083"/>
    <w:rsid w:val="007B22FB"/>
    <w:rsid w:val="007B24EA"/>
    <w:rsid w:val="007B2547"/>
    <w:rsid w:val="007B2729"/>
    <w:rsid w:val="007B2BE6"/>
    <w:rsid w:val="007B2D50"/>
    <w:rsid w:val="007B31B9"/>
    <w:rsid w:val="007B38A3"/>
    <w:rsid w:val="007B39D5"/>
    <w:rsid w:val="007B4511"/>
    <w:rsid w:val="007B4719"/>
    <w:rsid w:val="007B47EB"/>
    <w:rsid w:val="007B4DAC"/>
    <w:rsid w:val="007B54E8"/>
    <w:rsid w:val="007B5B7D"/>
    <w:rsid w:val="007B71A0"/>
    <w:rsid w:val="007B7432"/>
    <w:rsid w:val="007B782A"/>
    <w:rsid w:val="007B7B71"/>
    <w:rsid w:val="007B7F33"/>
    <w:rsid w:val="007C0137"/>
    <w:rsid w:val="007C0379"/>
    <w:rsid w:val="007C04D0"/>
    <w:rsid w:val="007C1325"/>
    <w:rsid w:val="007C18FA"/>
    <w:rsid w:val="007C1F91"/>
    <w:rsid w:val="007C229C"/>
    <w:rsid w:val="007C284E"/>
    <w:rsid w:val="007C36B5"/>
    <w:rsid w:val="007C3C41"/>
    <w:rsid w:val="007C4536"/>
    <w:rsid w:val="007C474C"/>
    <w:rsid w:val="007C588C"/>
    <w:rsid w:val="007C6107"/>
    <w:rsid w:val="007C663C"/>
    <w:rsid w:val="007C670C"/>
    <w:rsid w:val="007C6C9C"/>
    <w:rsid w:val="007C7226"/>
    <w:rsid w:val="007C7885"/>
    <w:rsid w:val="007C7AC4"/>
    <w:rsid w:val="007D0615"/>
    <w:rsid w:val="007D0D65"/>
    <w:rsid w:val="007D0E06"/>
    <w:rsid w:val="007D0E0F"/>
    <w:rsid w:val="007D139F"/>
    <w:rsid w:val="007D13CD"/>
    <w:rsid w:val="007D16E8"/>
    <w:rsid w:val="007D26E3"/>
    <w:rsid w:val="007D30E4"/>
    <w:rsid w:val="007D3102"/>
    <w:rsid w:val="007D37B8"/>
    <w:rsid w:val="007D3A46"/>
    <w:rsid w:val="007D407E"/>
    <w:rsid w:val="007D4173"/>
    <w:rsid w:val="007D42EC"/>
    <w:rsid w:val="007D4380"/>
    <w:rsid w:val="007D46AF"/>
    <w:rsid w:val="007D4BE8"/>
    <w:rsid w:val="007D4FDE"/>
    <w:rsid w:val="007D5634"/>
    <w:rsid w:val="007D646E"/>
    <w:rsid w:val="007D76E0"/>
    <w:rsid w:val="007D7F8B"/>
    <w:rsid w:val="007E025F"/>
    <w:rsid w:val="007E051D"/>
    <w:rsid w:val="007E0988"/>
    <w:rsid w:val="007E09B5"/>
    <w:rsid w:val="007E0CF5"/>
    <w:rsid w:val="007E0E47"/>
    <w:rsid w:val="007E10F9"/>
    <w:rsid w:val="007E11C2"/>
    <w:rsid w:val="007E192E"/>
    <w:rsid w:val="007E1A81"/>
    <w:rsid w:val="007E1EFB"/>
    <w:rsid w:val="007E2DE4"/>
    <w:rsid w:val="007E31FA"/>
    <w:rsid w:val="007E3439"/>
    <w:rsid w:val="007E3F2D"/>
    <w:rsid w:val="007E4038"/>
    <w:rsid w:val="007E406C"/>
    <w:rsid w:val="007E43E7"/>
    <w:rsid w:val="007E450C"/>
    <w:rsid w:val="007E4BE9"/>
    <w:rsid w:val="007E4FD8"/>
    <w:rsid w:val="007E4FDC"/>
    <w:rsid w:val="007E529F"/>
    <w:rsid w:val="007E552B"/>
    <w:rsid w:val="007E5599"/>
    <w:rsid w:val="007E5C99"/>
    <w:rsid w:val="007E5D3B"/>
    <w:rsid w:val="007E6B74"/>
    <w:rsid w:val="007E7172"/>
    <w:rsid w:val="007E73A4"/>
    <w:rsid w:val="007E7779"/>
    <w:rsid w:val="007F0249"/>
    <w:rsid w:val="007F041E"/>
    <w:rsid w:val="007F196D"/>
    <w:rsid w:val="007F1AF2"/>
    <w:rsid w:val="007F1D3E"/>
    <w:rsid w:val="007F2728"/>
    <w:rsid w:val="007F2A15"/>
    <w:rsid w:val="007F2A16"/>
    <w:rsid w:val="007F2B97"/>
    <w:rsid w:val="007F2C8F"/>
    <w:rsid w:val="007F2DEB"/>
    <w:rsid w:val="007F3E91"/>
    <w:rsid w:val="007F4066"/>
    <w:rsid w:val="007F4460"/>
    <w:rsid w:val="007F45EF"/>
    <w:rsid w:val="007F45FB"/>
    <w:rsid w:val="007F47C0"/>
    <w:rsid w:val="007F4804"/>
    <w:rsid w:val="007F55B5"/>
    <w:rsid w:val="007F5C85"/>
    <w:rsid w:val="007F5EC4"/>
    <w:rsid w:val="007F651A"/>
    <w:rsid w:val="007F6F9C"/>
    <w:rsid w:val="007F79C6"/>
    <w:rsid w:val="007F7AB2"/>
    <w:rsid w:val="007F7BF2"/>
    <w:rsid w:val="007F7CAC"/>
    <w:rsid w:val="008001C9"/>
    <w:rsid w:val="00800658"/>
    <w:rsid w:val="008008EE"/>
    <w:rsid w:val="00801494"/>
    <w:rsid w:val="00801B15"/>
    <w:rsid w:val="00801C84"/>
    <w:rsid w:val="00801FC6"/>
    <w:rsid w:val="008024C1"/>
    <w:rsid w:val="00802BD8"/>
    <w:rsid w:val="00802E98"/>
    <w:rsid w:val="0080311F"/>
    <w:rsid w:val="008033D8"/>
    <w:rsid w:val="00803B78"/>
    <w:rsid w:val="00804256"/>
    <w:rsid w:val="00804517"/>
    <w:rsid w:val="008046C7"/>
    <w:rsid w:val="008049E3"/>
    <w:rsid w:val="00805784"/>
    <w:rsid w:val="00805F6B"/>
    <w:rsid w:val="00806503"/>
    <w:rsid w:val="00807056"/>
    <w:rsid w:val="00807E74"/>
    <w:rsid w:val="00810037"/>
    <w:rsid w:val="00810452"/>
    <w:rsid w:val="0081091E"/>
    <w:rsid w:val="00811018"/>
    <w:rsid w:val="008110FB"/>
    <w:rsid w:val="00811EDC"/>
    <w:rsid w:val="00812156"/>
    <w:rsid w:val="00812CFA"/>
    <w:rsid w:val="0081333F"/>
    <w:rsid w:val="0081346C"/>
    <w:rsid w:val="0081351C"/>
    <w:rsid w:val="00813B26"/>
    <w:rsid w:val="00813FD8"/>
    <w:rsid w:val="00813FF9"/>
    <w:rsid w:val="0081424B"/>
    <w:rsid w:val="008146A1"/>
    <w:rsid w:val="00814706"/>
    <w:rsid w:val="008151F3"/>
    <w:rsid w:val="00815360"/>
    <w:rsid w:val="00816BBB"/>
    <w:rsid w:val="00816D35"/>
    <w:rsid w:val="008173FA"/>
    <w:rsid w:val="008175FD"/>
    <w:rsid w:val="008177C1"/>
    <w:rsid w:val="00817B0C"/>
    <w:rsid w:val="0082099D"/>
    <w:rsid w:val="00820CCA"/>
    <w:rsid w:val="00820E2B"/>
    <w:rsid w:val="008214CE"/>
    <w:rsid w:val="008218C0"/>
    <w:rsid w:val="00822086"/>
    <w:rsid w:val="008220AF"/>
    <w:rsid w:val="00822494"/>
    <w:rsid w:val="00822568"/>
    <w:rsid w:val="00822C14"/>
    <w:rsid w:val="00823686"/>
    <w:rsid w:val="008238A4"/>
    <w:rsid w:val="00823F48"/>
    <w:rsid w:val="008250CF"/>
    <w:rsid w:val="00825EA5"/>
    <w:rsid w:val="00825EF7"/>
    <w:rsid w:val="00825F99"/>
    <w:rsid w:val="008262FB"/>
    <w:rsid w:val="00826683"/>
    <w:rsid w:val="0082681E"/>
    <w:rsid w:val="00826A33"/>
    <w:rsid w:val="00827014"/>
    <w:rsid w:val="0082758F"/>
    <w:rsid w:val="00827855"/>
    <w:rsid w:val="0082793A"/>
    <w:rsid w:val="00827A7B"/>
    <w:rsid w:val="00827BA7"/>
    <w:rsid w:val="00827E80"/>
    <w:rsid w:val="0083041C"/>
    <w:rsid w:val="008307E0"/>
    <w:rsid w:val="00830F69"/>
    <w:rsid w:val="0083117C"/>
    <w:rsid w:val="0083128A"/>
    <w:rsid w:val="008315E3"/>
    <w:rsid w:val="00831C16"/>
    <w:rsid w:val="0083272C"/>
    <w:rsid w:val="008328E0"/>
    <w:rsid w:val="0083370D"/>
    <w:rsid w:val="0083383A"/>
    <w:rsid w:val="00834047"/>
    <w:rsid w:val="0083441F"/>
    <w:rsid w:val="00834863"/>
    <w:rsid w:val="00834876"/>
    <w:rsid w:val="0083488F"/>
    <w:rsid w:val="008348D2"/>
    <w:rsid w:val="00834A5D"/>
    <w:rsid w:val="00834AE5"/>
    <w:rsid w:val="00834BC7"/>
    <w:rsid w:val="00834F59"/>
    <w:rsid w:val="008351AE"/>
    <w:rsid w:val="008359EA"/>
    <w:rsid w:val="00835C00"/>
    <w:rsid w:val="00835FD6"/>
    <w:rsid w:val="00836255"/>
    <w:rsid w:val="0083630B"/>
    <w:rsid w:val="00836698"/>
    <w:rsid w:val="0083671D"/>
    <w:rsid w:val="00836CF0"/>
    <w:rsid w:val="00837372"/>
    <w:rsid w:val="008374AD"/>
    <w:rsid w:val="0083752F"/>
    <w:rsid w:val="0083768D"/>
    <w:rsid w:val="008377CE"/>
    <w:rsid w:val="008378DE"/>
    <w:rsid w:val="00837DF3"/>
    <w:rsid w:val="00837F1A"/>
    <w:rsid w:val="0084003D"/>
    <w:rsid w:val="0084009B"/>
    <w:rsid w:val="008404F1"/>
    <w:rsid w:val="00840BC3"/>
    <w:rsid w:val="00840CE6"/>
    <w:rsid w:val="008417DB"/>
    <w:rsid w:val="00841EC8"/>
    <w:rsid w:val="00841FD7"/>
    <w:rsid w:val="0084237C"/>
    <w:rsid w:val="00842664"/>
    <w:rsid w:val="00842DF6"/>
    <w:rsid w:val="00843F0E"/>
    <w:rsid w:val="008444D7"/>
    <w:rsid w:val="00844849"/>
    <w:rsid w:val="00844D70"/>
    <w:rsid w:val="00845034"/>
    <w:rsid w:val="00845101"/>
    <w:rsid w:val="008451A2"/>
    <w:rsid w:val="00845F11"/>
    <w:rsid w:val="008460E7"/>
    <w:rsid w:val="00846180"/>
    <w:rsid w:val="008466C6"/>
    <w:rsid w:val="00846C3D"/>
    <w:rsid w:val="00846E8E"/>
    <w:rsid w:val="008477B3"/>
    <w:rsid w:val="00847818"/>
    <w:rsid w:val="00847846"/>
    <w:rsid w:val="00847C90"/>
    <w:rsid w:val="008501CF"/>
    <w:rsid w:val="00850294"/>
    <w:rsid w:val="008508A0"/>
    <w:rsid w:val="00850B9E"/>
    <w:rsid w:val="00850D6F"/>
    <w:rsid w:val="008515BA"/>
    <w:rsid w:val="00851B3D"/>
    <w:rsid w:val="00852568"/>
    <w:rsid w:val="00852938"/>
    <w:rsid w:val="00852A98"/>
    <w:rsid w:val="00852C55"/>
    <w:rsid w:val="00852CF2"/>
    <w:rsid w:val="00853238"/>
    <w:rsid w:val="00853245"/>
    <w:rsid w:val="008532FB"/>
    <w:rsid w:val="00853F23"/>
    <w:rsid w:val="0085434D"/>
    <w:rsid w:val="008544A1"/>
    <w:rsid w:val="008549F9"/>
    <w:rsid w:val="00854A62"/>
    <w:rsid w:val="00854D9A"/>
    <w:rsid w:val="00854F0E"/>
    <w:rsid w:val="008552E0"/>
    <w:rsid w:val="0085538B"/>
    <w:rsid w:val="00855391"/>
    <w:rsid w:val="008555C5"/>
    <w:rsid w:val="00855AC7"/>
    <w:rsid w:val="00855B0A"/>
    <w:rsid w:val="00855B75"/>
    <w:rsid w:val="0085644B"/>
    <w:rsid w:val="0085662C"/>
    <w:rsid w:val="008568B4"/>
    <w:rsid w:val="008568B6"/>
    <w:rsid w:val="00856F75"/>
    <w:rsid w:val="008575F2"/>
    <w:rsid w:val="008576EC"/>
    <w:rsid w:val="00860CF2"/>
    <w:rsid w:val="00860E6A"/>
    <w:rsid w:val="00860EFD"/>
    <w:rsid w:val="0086108D"/>
    <w:rsid w:val="008614D9"/>
    <w:rsid w:val="00861B07"/>
    <w:rsid w:val="0086256E"/>
    <w:rsid w:val="008628A8"/>
    <w:rsid w:val="00863603"/>
    <w:rsid w:val="0086367B"/>
    <w:rsid w:val="0086376B"/>
    <w:rsid w:val="00863790"/>
    <w:rsid w:val="008637C5"/>
    <w:rsid w:val="00863BDF"/>
    <w:rsid w:val="00864157"/>
    <w:rsid w:val="00864327"/>
    <w:rsid w:val="00864E07"/>
    <w:rsid w:val="008653E4"/>
    <w:rsid w:val="00865676"/>
    <w:rsid w:val="00865886"/>
    <w:rsid w:val="00866634"/>
    <w:rsid w:val="00866DF5"/>
    <w:rsid w:val="008671C2"/>
    <w:rsid w:val="00867437"/>
    <w:rsid w:val="00867C70"/>
    <w:rsid w:val="00870575"/>
    <w:rsid w:val="00870588"/>
    <w:rsid w:val="00870A78"/>
    <w:rsid w:val="00871311"/>
    <w:rsid w:val="00871325"/>
    <w:rsid w:val="008713B7"/>
    <w:rsid w:val="0087177C"/>
    <w:rsid w:val="00871840"/>
    <w:rsid w:val="00871963"/>
    <w:rsid w:val="00871C3A"/>
    <w:rsid w:val="00871FAE"/>
    <w:rsid w:val="0087283D"/>
    <w:rsid w:val="00872AF7"/>
    <w:rsid w:val="00872EA3"/>
    <w:rsid w:val="00873203"/>
    <w:rsid w:val="008748F3"/>
    <w:rsid w:val="008752E5"/>
    <w:rsid w:val="008759C7"/>
    <w:rsid w:val="00875E9C"/>
    <w:rsid w:val="008764A0"/>
    <w:rsid w:val="00876B01"/>
    <w:rsid w:val="00877837"/>
    <w:rsid w:val="00877973"/>
    <w:rsid w:val="00877A58"/>
    <w:rsid w:val="00877BFB"/>
    <w:rsid w:val="00877E68"/>
    <w:rsid w:val="00880A3B"/>
    <w:rsid w:val="00880B3F"/>
    <w:rsid w:val="008813A6"/>
    <w:rsid w:val="00882728"/>
    <w:rsid w:val="00882A56"/>
    <w:rsid w:val="00882FB4"/>
    <w:rsid w:val="008836EC"/>
    <w:rsid w:val="00883877"/>
    <w:rsid w:val="00884A22"/>
    <w:rsid w:val="00885067"/>
    <w:rsid w:val="008851A7"/>
    <w:rsid w:val="008858CE"/>
    <w:rsid w:val="00885CDB"/>
    <w:rsid w:val="00886527"/>
    <w:rsid w:val="008870AD"/>
    <w:rsid w:val="0088715A"/>
    <w:rsid w:val="008871D2"/>
    <w:rsid w:val="0089041E"/>
    <w:rsid w:val="00890E6A"/>
    <w:rsid w:val="00890EA6"/>
    <w:rsid w:val="008910D8"/>
    <w:rsid w:val="0089164B"/>
    <w:rsid w:val="0089178C"/>
    <w:rsid w:val="00891893"/>
    <w:rsid w:val="008919BF"/>
    <w:rsid w:val="0089245A"/>
    <w:rsid w:val="0089257F"/>
    <w:rsid w:val="0089278A"/>
    <w:rsid w:val="008928E5"/>
    <w:rsid w:val="00893124"/>
    <w:rsid w:val="008932BE"/>
    <w:rsid w:val="008935C2"/>
    <w:rsid w:val="008937CB"/>
    <w:rsid w:val="00893B29"/>
    <w:rsid w:val="00893DBC"/>
    <w:rsid w:val="00894FA2"/>
    <w:rsid w:val="008960E9"/>
    <w:rsid w:val="00896889"/>
    <w:rsid w:val="00896BDD"/>
    <w:rsid w:val="00896CFD"/>
    <w:rsid w:val="00897196"/>
    <w:rsid w:val="008975E6"/>
    <w:rsid w:val="008A00EA"/>
    <w:rsid w:val="008A0110"/>
    <w:rsid w:val="008A02B3"/>
    <w:rsid w:val="008A0CCB"/>
    <w:rsid w:val="008A101D"/>
    <w:rsid w:val="008A1498"/>
    <w:rsid w:val="008A15AF"/>
    <w:rsid w:val="008A1F72"/>
    <w:rsid w:val="008A3A43"/>
    <w:rsid w:val="008A3A4D"/>
    <w:rsid w:val="008A413C"/>
    <w:rsid w:val="008A4964"/>
    <w:rsid w:val="008A4DE2"/>
    <w:rsid w:val="008A5373"/>
    <w:rsid w:val="008A589B"/>
    <w:rsid w:val="008A5924"/>
    <w:rsid w:val="008A599D"/>
    <w:rsid w:val="008A623F"/>
    <w:rsid w:val="008A639C"/>
    <w:rsid w:val="008A6B3A"/>
    <w:rsid w:val="008A6B7A"/>
    <w:rsid w:val="008A6E56"/>
    <w:rsid w:val="008A700C"/>
    <w:rsid w:val="008A7C7F"/>
    <w:rsid w:val="008A7E13"/>
    <w:rsid w:val="008A7F19"/>
    <w:rsid w:val="008B002E"/>
    <w:rsid w:val="008B015A"/>
    <w:rsid w:val="008B0813"/>
    <w:rsid w:val="008B0963"/>
    <w:rsid w:val="008B10C0"/>
    <w:rsid w:val="008B1718"/>
    <w:rsid w:val="008B174F"/>
    <w:rsid w:val="008B1BE0"/>
    <w:rsid w:val="008B270D"/>
    <w:rsid w:val="008B2CA4"/>
    <w:rsid w:val="008B300D"/>
    <w:rsid w:val="008B3437"/>
    <w:rsid w:val="008B363A"/>
    <w:rsid w:val="008B392A"/>
    <w:rsid w:val="008B3AE1"/>
    <w:rsid w:val="008B3DED"/>
    <w:rsid w:val="008B4398"/>
    <w:rsid w:val="008B4420"/>
    <w:rsid w:val="008B4A34"/>
    <w:rsid w:val="008B4A7F"/>
    <w:rsid w:val="008B5B25"/>
    <w:rsid w:val="008B5DC8"/>
    <w:rsid w:val="008B6818"/>
    <w:rsid w:val="008B6CEF"/>
    <w:rsid w:val="008B760D"/>
    <w:rsid w:val="008B7814"/>
    <w:rsid w:val="008B784B"/>
    <w:rsid w:val="008B7964"/>
    <w:rsid w:val="008C0625"/>
    <w:rsid w:val="008C0DF8"/>
    <w:rsid w:val="008C0E47"/>
    <w:rsid w:val="008C102B"/>
    <w:rsid w:val="008C1804"/>
    <w:rsid w:val="008C19A9"/>
    <w:rsid w:val="008C1BD1"/>
    <w:rsid w:val="008C1E48"/>
    <w:rsid w:val="008C200C"/>
    <w:rsid w:val="008C2269"/>
    <w:rsid w:val="008C25AF"/>
    <w:rsid w:val="008C2AB0"/>
    <w:rsid w:val="008C3BDB"/>
    <w:rsid w:val="008C3C01"/>
    <w:rsid w:val="008C3E3B"/>
    <w:rsid w:val="008C46B8"/>
    <w:rsid w:val="008C46F0"/>
    <w:rsid w:val="008C4F0E"/>
    <w:rsid w:val="008C5B2B"/>
    <w:rsid w:val="008C668B"/>
    <w:rsid w:val="008C67A7"/>
    <w:rsid w:val="008C682C"/>
    <w:rsid w:val="008C6F65"/>
    <w:rsid w:val="008C72DD"/>
    <w:rsid w:val="008C7F79"/>
    <w:rsid w:val="008D03AD"/>
    <w:rsid w:val="008D03C3"/>
    <w:rsid w:val="008D04A2"/>
    <w:rsid w:val="008D1265"/>
    <w:rsid w:val="008D1502"/>
    <w:rsid w:val="008D1822"/>
    <w:rsid w:val="008D1A4E"/>
    <w:rsid w:val="008D1CCD"/>
    <w:rsid w:val="008D1D05"/>
    <w:rsid w:val="008D2857"/>
    <w:rsid w:val="008D307C"/>
    <w:rsid w:val="008D37E8"/>
    <w:rsid w:val="008D39BA"/>
    <w:rsid w:val="008D3CC1"/>
    <w:rsid w:val="008D502D"/>
    <w:rsid w:val="008D5D6E"/>
    <w:rsid w:val="008D6217"/>
    <w:rsid w:val="008D6EA8"/>
    <w:rsid w:val="008D7DE4"/>
    <w:rsid w:val="008E03EA"/>
    <w:rsid w:val="008E0463"/>
    <w:rsid w:val="008E0926"/>
    <w:rsid w:val="008E0D88"/>
    <w:rsid w:val="008E131B"/>
    <w:rsid w:val="008E1C06"/>
    <w:rsid w:val="008E220E"/>
    <w:rsid w:val="008E29F1"/>
    <w:rsid w:val="008E2A28"/>
    <w:rsid w:val="008E2BF8"/>
    <w:rsid w:val="008E2E68"/>
    <w:rsid w:val="008E34E8"/>
    <w:rsid w:val="008E35CA"/>
    <w:rsid w:val="008E391E"/>
    <w:rsid w:val="008E39FA"/>
    <w:rsid w:val="008E3AA7"/>
    <w:rsid w:val="008E3C66"/>
    <w:rsid w:val="008E40E1"/>
    <w:rsid w:val="008E4133"/>
    <w:rsid w:val="008E4FBD"/>
    <w:rsid w:val="008E5392"/>
    <w:rsid w:val="008E59B9"/>
    <w:rsid w:val="008E5DBD"/>
    <w:rsid w:val="008E5DCA"/>
    <w:rsid w:val="008E60F2"/>
    <w:rsid w:val="008E64AD"/>
    <w:rsid w:val="008E71DE"/>
    <w:rsid w:val="008F03D2"/>
    <w:rsid w:val="008F0C4E"/>
    <w:rsid w:val="008F0FD0"/>
    <w:rsid w:val="008F1524"/>
    <w:rsid w:val="008F1675"/>
    <w:rsid w:val="008F3902"/>
    <w:rsid w:val="008F3B0A"/>
    <w:rsid w:val="008F3CB7"/>
    <w:rsid w:val="008F3FE5"/>
    <w:rsid w:val="008F48D5"/>
    <w:rsid w:val="008F4CD6"/>
    <w:rsid w:val="008F4FEA"/>
    <w:rsid w:val="008F541B"/>
    <w:rsid w:val="008F5631"/>
    <w:rsid w:val="008F5F55"/>
    <w:rsid w:val="008F660D"/>
    <w:rsid w:val="008F6DC1"/>
    <w:rsid w:val="008F6FA2"/>
    <w:rsid w:val="008F7342"/>
    <w:rsid w:val="008F7484"/>
    <w:rsid w:val="008F7A9D"/>
    <w:rsid w:val="00900254"/>
    <w:rsid w:val="00900596"/>
    <w:rsid w:val="009006FD"/>
    <w:rsid w:val="0090080A"/>
    <w:rsid w:val="00900CE7"/>
    <w:rsid w:val="00900F07"/>
    <w:rsid w:val="009013A6"/>
    <w:rsid w:val="009034D4"/>
    <w:rsid w:val="00903FD9"/>
    <w:rsid w:val="009043FA"/>
    <w:rsid w:val="00904401"/>
    <w:rsid w:val="0090449B"/>
    <w:rsid w:val="009044C2"/>
    <w:rsid w:val="00904541"/>
    <w:rsid w:val="00904AF6"/>
    <w:rsid w:val="00905370"/>
    <w:rsid w:val="009055C5"/>
    <w:rsid w:val="0090564C"/>
    <w:rsid w:val="00905CE5"/>
    <w:rsid w:val="00905CF7"/>
    <w:rsid w:val="00906003"/>
    <w:rsid w:val="009060C8"/>
    <w:rsid w:val="00906FF6"/>
    <w:rsid w:val="00907BC4"/>
    <w:rsid w:val="0091034C"/>
    <w:rsid w:val="00910661"/>
    <w:rsid w:val="009106BE"/>
    <w:rsid w:val="00910B29"/>
    <w:rsid w:val="00910D12"/>
    <w:rsid w:val="00910D4C"/>
    <w:rsid w:val="00911825"/>
    <w:rsid w:val="00911B55"/>
    <w:rsid w:val="009122EA"/>
    <w:rsid w:val="009125B8"/>
    <w:rsid w:val="00912A76"/>
    <w:rsid w:val="00912DB4"/>
    <w:rsid w:val="0091360C"/>
    <w:rsid w:val="00913900"/>
    <w:rsid w:val="00914079"/>
    <w:rsid w:val="00914235"/>
    <w:rsid w:val="0091471E"/>
    <w:rsid w:val="009147EA"/>
    <w:rsid w:val="00914B27"/>
    <w:rsid w:val="00915708"/>
    <w:rsid w:val="00915760"/>
    <w:rsid w:val="009159AE"/>
    <w:rsid w:val="00915C30"/>
    <w:rsid w:val="009161F7"/>
    <w:rsid w:val="009164B0"/>
    <w:rsid w:val="009170EF"/>
    <w:rsid w:val="0091758B"/>
    <w:rsid w:val="009202C9"/>
    <w:rsid w:val="00920572"/>
    <w:rsid w:val="0092085A"/>
    <w:rsid w:val="00921686"/>
    <w:rsid w:val="009217D3"/>
    <w:rsid w:val="00921E0D"/>
    <w:rsid w:val="00922241"/>
    <w:rsid w:val="00922817"/>
    <w:rsid w:val="00922FAF"/>
    <w:rsid w:val="00923726"/>
    <w:rsid w:val="00923778"/>
    <w:rsid w:val="009243DD"/>
    <w:rsid w:val="00924BA7"/>
    <w:rsid w:val="00924F37"/>
    <w:rsid w:val="00924F82"/>
    <w:rsid w:val="0092503E"/>
    <w:rsid w:val="0092530C"/>
    <w:rsid w:val="009255D0"/>
    <w:rsid w:val="00925830"/>
    <w:rsid w:val="00925D2C"/>
    <w:rsid w:val="009260FB"/>
    <w:rsid w:val="009261A5"/>
    <w:rsid w:val="009265C7"/>
    <w:rsid w:val="00926B32"/>
    <w:rsid w:val="00926E18"/>
    <w:rsid w:val="00927441"/>
    <w:rsid w:val="00927517"/>
    <w:rsid w:val="00927BF6"/>
    <w:rsid w:val="00927CEA"/>
    <w:rsid w:val="00927DEC"/>
    <w:rsid w:val="009302EC"/>
    <w:rsid w:val="009305E3"/>
    <w:rsid w:val="009307F5"/>
    <w:rsid w:val="00931622"/>
    <w:rsid w:val="00931FDD"/>
    <w:rsid w:val="00932235"/>
    <w:rsid w:val="00932494"/>
    <w:rsid w:val="00932AEF"/>
    <w:rsid w:val="00932D30"/>
    <w:rsid w:val="00933C7B"/>
    <w:rsid w:val="00933DA2"/>
    <w:rsid w:val="00934472"/>
    <w:rsid w:val="009345A7"/>
    <w:rsid w:val="00934ACF"/>
    <w:rsid w:val="00936536"/>
    <w:rsid w:val="0093653A"/>
    <w:rsid w:val="00936AF0"/>
    <w:rsid w:val="0093711A"/>
    <w:rsid w:val="0094024F"/>
    <w:rsid w:val="0094040C"/>
    <w:rsid w:val="00940543"/>
    <w:rsid w:val="009411EA"/>
    <w:rsid w:val="00941737"/>
    <w:rsid w:val="00941BE9"/>
    <w:rsid w:val="00941CE4"/>
    <w:rsid w:val="00942099"/>
    <w:rsid w:val="009436E9"/>
    <w:rsid w:val="0094379A"/>
    <w:rsid w:val="00943B20"/>
    <w:rsid w:val="00943D70"/>
    <w:rsid w:val="00944C4E"/>
    <w:rsid w:val="009454C7"/>
    <w:rsid w:val="00945C1B"/>
    <w:rsid w:val="009472A8"/>
    <w:rsid w:val="00947480"/>
    <w:rsid w:val="00947CB2"/>
    <w:rsid w:val="00947FA5"/>
    <w:rsid w:val="009502FB"/>
    <w:rsid w:val="0095070D"/>
    <w:rsid w:val="00950E48"/>
    <w:rsid w:val="00951632"/>
    <w:rsid w:val="00951758"/>
    <w:rsid w:val="00951CD8"/>
    <w:rsid w:val="0095221D"/>
    <w:rsid w:val="009524AD"/>
    <w:rsid w:val="00952B00"/>
    <w:rsid w:val="00952B82"/>
    <w:rsid w:val="00952F21"/>
    <w:rsid w:val="00953123"/>
    <w:rsid w:val="009533E8"/>
    <w:rsid w:val="009536B2"/>
    <w:rsid w:val="009538E2"/>
    <w:rsid w:val="00953D88"/>
    <w:rsid w:val="009549CE"/>
    <w:rsid w:val="00954A63"/>
    <w:rsid w:val="00954CB5"/>
    <w:rsid w:val="00954D3C"/>
    <w:rsid w:val="009551F7"/>
    <w:rsid w:val="009553BE"/>
    <w:rsid w:val="009554EB"/>
    <w:rsid w:val="00955921"/>
    <w:rsid w:val="00955BE1"/>
    <w:rsid w:val="009561D3"/>
    <w:rsid w:val="009562D6"/>
    <w:rsid w:val="00956CE1"/>
    <w:rsid w:val="00956D37"/>
    <w:rsid w:val="00956F2F"/>
    <w:rsid w:val="009572D6"/>
    <w:rsid w:val="00957BC4"/>
    <w:rsid w:val="00957ED6"/>
    <w:rsid w:val="0096002C"/>
    <w:rsid w:val="0096021C"/>
    <w:rsid w:val="00960298"/>
    <w:rsid w:val="00960311"/>
    <w:rsid w:val="0096093C"/>
    <w:rsid w:val="00960BE4"/>
    <w:rsid w:val="00960CD1"/>
    <w:rsid w:val="00960FE9"/>
    <w:rsid w:val="00960FFD"/>
    <w:rsid w:val="00961EC1"/>
    <w:rsid w:val="009620CB"/>
    <w:rsid w:val="00962AF8"/>
    <w:rsid w:val="00962C60"/>
    <w:rsid w:val="009632E2"/>
    <w:rsid w:val="00963B9C"/>
    <w:rsid w:val="00963C96"/>
    <w:rsid w:val="009640CC"/>
    <w:rsid w:val="009641B7"/>
    <w:rsid w:val="009645A3"/>
    <w:rsid w:val="009645EE"/>
    <w:rsid w:val="0096469D"/>
    <w:rsid w:val="009646CB"/>
    <w:rsid w:val="00965603"/>
    <w:rsid w:val="00965EE2"/>
    <w:rsid w:val="00966016"/>
    <w:rsid w:val="009660DB"/>
    <w:rsid w:val="009660E8"/>
    <w:rsid w:val="00966241"/>
    <w:rsid w:val="00966515"/>
    <w:rsid w:val="009666B4"/>
    <w:rsid w:val="0096674C"/>
    <w:rsid w:val="00967F17"/>
    <w:rsid w:val="00967FA0"/>
    <w:rsid w:val="009701B8"/>
    <w:rsid w:val="009707DF"/>
    <w:rsid w:val="00970B59"/>
    <w:rsid w:val="00971BCB"/>
    <w:rsid w:val="00971D9F"/>
    <w:rsid w:val="009722E0"/>
    <w:rsid w:val="00973118"/>
    <w:rsid w:val="00973361"/>
    <w:rsid w:val="00973720"/>
    <w:rsid w:val="00973EF9"/>
    <w:rsid w:val="009744AC"/>
    <w:rsid w:val="0097469D"/>
    <w:rsid w:val="0097480B"/>
    <w:rsid w:val="00974BFF"/>
    <w:rsid w:val="00974CE7"/>
    <w:rsid w:val="00974DBD"/>
    <w:rsid w:val="00974F8E"/>
    <w:rsid w:val="0097500D"/>
    <w:rsid w:val="009773A3"/>
    <w:rsid w:val="00977A89"/>
    <w:rsid w:val="00977BA3"/>
    <w:rsid w:val="00977CB8"/>
    <w:rsid w:val="00977F59"/>
    <w:rsid w:val="009801D5"/>
    <w:rsid w:val="0098078E"/>
    <w:rsid w:val="00980B53"/>
    <w:rsid w:val="00980F7C"/>
    <w:rsid w:val="009812B2"/>
    <w:rsid w:val="00981A03"/>
    <w:rsid w:val="00981EFF"/>
    <w:rsid w:val="0098224E"/>
    <w:rsid w:val="009822EA"/>
    <w:rsid w:val="0098262A"/>
    <w:rsid w:val="009826C7"/>
    <w:rsid w:val="00982A23"/>
    <w:rsid w:val="00982A7D"/>
    <w:rsid w:val="00982F25"/>
    <w:rsid w:val="00982F36"/>
    <w:rsid w:val="00982F98"/>
    <w:rsid w:val="009835A0"/>
    <w:rsid w:val="009837E4"/>
    <w:rsid w:val="00983F0F"/>
    <w:rsid w:val="0098405A"/>
    <w:rsid w:val="009840C0"/>
    <w:rsid w:val="0098431A"/>
    <w:rsid w:val="00984AD7"/>
    <w:rsid w:val="00985B91"/>
    <w:rsid w:val="009861BE"/>
    <w:rsid w:val="009863CE"/>
    <w:rsid w:val="00986740"/>
    <w:rsid w:val="00986806"/>
    <w:rsid w:val="0098686D"/>
    <w:rsid w:val="009869F5"/>
    <w:rsid w:val="00986AC1"/>
    <w:rsid w:val="0098725F"/>
    <w:rsid w:val="009877DB"/>
    <w:rsid w:val="00987B91"/>
    <w:rsid w:val="00987E14"/>
    <w:rsid w:val="00990B80"/>
    <w:rsid w:val="00990CBA"/>
    <w:rsid w:val="00990CE0"/>
    <w:rsid w:val="0099125D"/>
    <w:rsid w:val="009912D6"/>
    <w:rsid w:val="009914BD"/>
    <w:rsid w:val="0099184E"/>
    <w:rsid w:val="009918E3"/>
    <w:rsid w:val="00991C79"/>
    <w:rsid w:val="00991DAD"/>
    <w:rsid w:val="009920B8"/>
    <w:rsid w:val="009922F2"/>
    <w:rsid w:val="009925C9"/>
    <w:rsid w:val="00992E14"/>
    <w:rsid w:val="009930D5"/>
    <w:rsid w:val="0099319B"/>
    <w:rsid w:val="00993414"/>
    <w:rsid w:val="00993B59"/>
    <w:rsid w:val="00993EAD"/>
    <w:rsid w:val="00994DF6"/>
    <w:rsid w:val="009954EE"/>
    <w:rsid w:val="009957C4"/>
    <w:rsid w:val="00995EE8"/>
    <w:rsid w:val="00996268"/>
    <w:rsid w:val="009962B6"/>
    <w:rsid w:val="00997052"/>
    <w:rsid w:val="0099727E"/>
    <w:rsid w:val="009976D0"/>
    <w:rsid w:val="00997794"/>
    <w:rsid w:val="009A007C"/>
    <w:rsid w:val="009A0484"/>
    <w:rsid w:val="009A0A68"/>
    <w:rsid w:val="009A0E1B"/>
    <w:rsid w:val="009A124B"/>
    <w:rsid w:val="009A140B"/>
    <w:rsid w:val="009A150D"/>
    <w:rsid w:val="009A1962"/>
    <w:rsid w:val="009A1B2D"/>
    <w:rsid w:val="009A1CEA"/>
    <w:rsid w:val="009A2A0D"/>
    <w:rsid w:val="009A2E42"/>
    <w:rsid w:val="009A2FDC"/>
    <w:rsid w:val="009A3308"/>
    <w:rsid w:val="009A3609"/>
    <w:rsid w:val="009A3C47"/>
    <w:rsid w:val="009A3C58"/>
    <w:rsid w:val="009A3EB2"/>
    <w:rsid w:val="009A3ECF"/>
    <w:rsid w:val="009A4457"/>
    <w:rsid w:val="009A44C6"/>
    <w:rsid w:val="009A4911"/>
    <w:rsid w:val="009A4A70"/>
    <w:rsid w:val="009A5723"/>
    <w:rsid w:val="009A5960"/>
    <w:rsid w:val="009A5CB0"/>
    <w:rsid w:val="009A60F3"/>
    <w:rsid w:val="009A62D8"/>
    <w:rsid w:val="009A6881"/>
    <w:rsid w:val="009A7088"/>
    <w:rsid w:val="009A7090"/>
    <w:rsid w:val="009A73F2"/>
    <w:rsid w:val="009A745B"/>
    <w:rsid w:val="009A7E29"/>
    <w:rsid w:val="009A7E84"/>
    <w:rsid w:val="009B01BA"/>
    <w:rsid w:val="009B03BF"/>
    <w:rsid w:val="009B0A74"/>
    <w:rsid w:val="009B0DB4"/>
    <w:rsid w:val="009B10FB"/>
    <w:rsid w:val="009B131E"/>
    <w:rsid w:val="009B18EB"/>
    <w:rsid w:val="009B1EAD"/>
    <w:rsid w:val="009B2173"/>
    <w:rsid w:val="009B21B7"/>
    <w:rsid w:val="009B2211"/>
    <w:rsid w:val="009B29EE"/>
    <w:rsid w:val="009B2E8B"/>
    <w:rsid w:val="009B30C8"/>
    <w:rsid w:val="009B316D"/>
    <w:rsid w:val="009B31A4"/>
    <w:rsid w:val="009B3474"/>
    <w:rsid w:val="009B37A2"/>
    <w:rsid w:val="009B3985"/>
    <w:rsid w:val="009B3D38"/>
    <w:rsid w:val="009B4209"/>
    <w:rsid w:val="009B4BB2"/>
    <w:rsid w:val="009B4CCA"/>
    <w:rsid w:val="009B55FF"/>
    <w:rsid w:val="009B5783"/>
    <w:rsid w:val="009B60E7"/>
    <w:rsid w:val="009B6151"/>
    <w:rsid w:val="009B6183"/>
    <w:rsid w:val="009B63C8"/>
    <w:rsid w:val="009B6755"/>
    <w:rsid w:val="009B6F08"/>
    <w:rsid w:val="009B7523"/>
    <w:rsid w:val="009B7527"/>
    <w:rsid w:val="009B7770"/>
    <w:rsid w:val="009B7AA9"/>
    <w:rsid w:val="009B7D65"/>
    <w:rsid w:val="009C0008"/>
    <w:rsid w:val="009C068F"/>
    <w:rsid w:val="009C06BB"/>
    <w:rsid w:val="009C0860"/>
    <w:rsid w:val="009C0ABD"/>
    <w:rsid w:val="009C0BFE"/>
    <w:rsid w:val="009C0D6D"/>
    <w:rsid w:val="009C111D"/>
    <w:rsid w:val="009C1215"/>
    <w:rsid w:val="009C168B"/>
    <w:rsid w:val="009C17FA"/>
    <w:rsid w:val="009C1B82"/>
    <w:rsid w:val="009C267E"/>
    <w:rsid w:val="009C2D46"/>
    <w:rsid w:val="009C2E8B"/>
    <w:rsid w:val="009C3CAA"/>
    <w:rsid w:val="009C4181"/>
    <w:rsid w:val="009C4EAA"/>
    <w:rsid w:val="009C5191"/>
    <w:rsid w:val="009C53DE"/>
    <w:rsid w:val="009C567B"/>
    <w:rsid w:val="009C5F26"/>
    <w:rsid w:val="009C65E2"/>
    <w:rsid w:val="009C7DF1"/>
    <w:rsid w:val="009D0B38"/>
    <w:rsid w:val="009D1306"/>
    <w:rsid w:val="009D2143"/>
    <w:rsid w:val="009D218D"/>
    <w:rsid w:val="009D2B75"/>
    <w:rsid w:val="009D31D7"/>
    <w:rsid w:val="009D3A5A"/>
    <w:rsid w:val="009D3AED"/>
    <w:rsid w:val="009D3AF4"/>
    <w:rsid w:val="009D4767"/>
    <w:rsid w:val="009D4DD9"/>
    <w:rsid w:val="009D4FF7"/>
    <w:rsid w:val="009D536A"/>
    <w:rsid w:val="009D5B8E"/>
    <w:rsid w:val="009D60E9"/>
    <w:rsid w:val="009D62DE"/>
    <w:rsid w:val="009D64DF"/>
    <w:rsid w:val="009D6A71"/>
    <w:rsid w:val="009D6B82"/>
    <w:rsid w:val="009D6EBC"/>
    <w:rsid w:val="009D7908"/>
    <w:rsid w:val="009D7B61"/>
    <w:rsid w:val="009E19ED"/>
    <w:rsid w:val="009E1AB0"/>
    <w:rsid w:val="009E2229"/>
    <w:rsid w:val="009E2389"/>
    <w:rsid w:val="009E2710"/>
    <w:rsid w:val="009E2A5D"/>
    <w:rsid w:val="009E2DF2"/>
    <w:rsid w:val="009E2E87"/>
    <w:rsid w:val="009E300B"/>
    <w:rsid w:val="009E335A"/>
    <w:rsid w:val="009E3468"/>
    <w:rsid w:val="009E3633"/>
    <w:rsid w:val="009E3682"/>
    <w:rsid w:val="009E375F"/>
    <w:rsid w:val="009E39F9"/>
    <w:rsid w:val="009E3D33"/>
    <w:rsid w:val="009E3DA8"/>
    <w:rsid w:val="009E47A0"/>
    <w:rsid w:val="009E47EB"/>
    <w:rsid w:val="009E48C6"/>
    <w:rsid w:val="009E51CB"/>
    <w:rsid w:val="009E5245"/>
    <w:rsid w:val="009E55F8"/>
    <w:rsid w:val="009E5C14"/>
    <w:rsid w:val="009E5DFC"/>
    <w:rsid w:val="009E64F0"/>
    <w:rsid w:val="009E6C88"/>
    <w:rsid w:val="009E7585"/>
    <w:rsid w:val="009E7EB9"/>
    <w:rsid w:val="009E7FC9"/>
    <w:rsid w:val="009F0043"/>
    <w:rsid w:val="009F065F"/>
    <w:rsid w:val="009F0C1E"/>
    <w:rsid w:val="009F0C40"/>
    <w:rsid w:val="009F0FB2"/>
    <w:rsid w:val="009F1670"/>
    <w:rsid w:val="009F19C1"/>
    <w:rsid w:val="009F1AA4"/>
    <w:rsid w:val="009F1B79"/>
    <w:rsid w:val="009F1BCF"/>
    <w:rsid w:val="009F2885"/>
    <w:rsid w:val="009F2C45"/>
    <w:rsid w:val="009F3822"/>
    <w:rsid w:val="009F389A"/>
    <w:rsid w:val="009F4BD1"/>
    <w:rsid w:val="009F50F2"/>
    <w:rsid w:val="009F5437"/>
    <w:rsid w:val="009F54D0"/>
    <w:rsid w:val="009F59C3"/>
    <w:rsid w:val="009F61D3"/>
    <w:rsid w:val="009F6205"/>
    <w:rsid w:val="009F627A"/>
    <w:rsid w:val="009F652A"/>
    <w:rsid w:val="009F6703"/>
    <w:rsid w:val="009F6870"/>
    <w:rsid w:val="009F7056"/>
    <w:rsid w:val="009F727F"/>
    <w:rsid w:val="009F7577"/>
    <w:rsid w:val="009F77DD"/>
    <w:rsid w:val="009F7902"/>
    <w:rsid w:val="00A005FA"/>
    <w:rsid w:val="00A00A38"/>
    <w:rsid w:val="00A00E82"/>
    <w:rsid w:val="00A0155F"/>
    <w:rsid w:val="00A01A83"/>
    <w:rsid w:val="00A01AB6"/>
    <w:rsid w:val="00A01CF3"/>
    <w:rsid w:val="00A01F46"/>
    <w:rsid w:val="00A021F5"/>
    <w:rsid w:val="00A02447"/>
    <w:rsid w:val="00A02990"/>
    <w:rsid w:val="00A02D34"/>
    <w:rsid w:val="00A037DE"/>
    <w:rsid w:val="00A0381E"/>
    <w:rsid w:val="00A03F1A"/>
    <w:rsid w:val="00A042C5"/>
    <w:rsid w:val="00A043DD"/>
    <w:rsid w:val="00A04E00"/>
    <w:rsid w:val="00A04E4C"/>
    <w:rsid w:val="00A04F5D"/>
    <w:rsid w:val="00A0501E"/>
    <w:rsid w:val="00A059C4"/>
    <w:rsid w:val="00A05A08"/>
    <w:rsid w:val="00A068DA"/>
    <w:rsid w:val="00A07102"/>
    <w:rsid w:val="00A07BD4"/>
    <w:rsid w:val="00A07D95"/>
    <w:rsid w:val="00A101E3"/>
    <w:rsid w:val="00A102E4"/>
    <w:rsid w:val="00A106CA"/>
    <w:rsid w:val="00A10983"/>
    <w:rsid w:val="00A1100E"/>
    <w:rsid w:val="00A11C64"/>
    <w:rsid w:val="00A120AA"/>
    <w:rsid w:val="00A125A4"/>
    <w:rsid w:val="00A12776"/>
    <w:rsid w:val="00A1294E"/>
    <w:rsid w:val="00A12C96"/>
    <w:rsid w:val="00A12E04"/>
    <w:rsid w:val="00A12E0D"/>
    <w:rsid w:val="00A12F7D"/>
    <w:rsid w:val="00A13399"/>
    <w:rsid w:val="00A145A6"/>
    <w:rsid w:val="00A145BD"/>
    <w:rsid w:val="00A147AC"/>
    <w:rsid w:val="00A148B6"/>
    <w:rsid w:val="00A14A84"/>
    <w:rsid w:val="00A1546A"/>
    <w:rsid w:val="00A15D02"/>
    <w:rsid w:val="00A165F6"/>
    <w:rsid w:val="00A16D0D"/>
    <w:rsid w:val="00A16D8D"/>
    <w:rsid w:val="00A17024"/>
    <w:rsid w:val="00A1725D"/>
    <w:rsid w:val="00A17C50"/>
    <w:rsid w:val="00A17C81"/>
    <w:rsid w:val="00A2067D"/>
    <w:rsid w:val="00A2079B"/>
    <w:rsid w:val="00A20DD6"/>
    <w:rsid w:val="00A21836"/>
    <w:rsid w:val="00A229AF"/>
    <w:rsid w:val="00A229E1"/>
    <w:rsid w:val="00A22C4A"/>
    <w:rsid w:val="00A2316C"/>
    <w:rsid w:val="00A23329"/>
    <w:rsid w:val="00A23726"/>
    <w:rsid w:val="00A238F5"/>
    <w:rsid w:val="00A23C59"/>
    <w:rsid w:val="00A24BE8"/>
    <w:rsid w:val="00A24E22"/>
    <w:rsid w:val="00A24F5D"/>
    <w:rsid w:val="00A2546C"/>
    <w:rsid w:val="00A25CFF"/>
    <w:rsid w:val="00A25E32"/>
    <w:rsid w:val="00A26177"/>
    <w:rsid w:val="00A265D0"/>
    <w:rsid w:val="00A26CB6"/>
    <w:rsid w:val="00A27956"/>
    <w:rsid w:val="00A27A9C"/>
    <w:rsid w:val="00A27CF1"/>
    <w:rsid w:val="00A27E31"/>
    <w:rsid w:val="00A305A5"/>
    <w:rsid w:val="00A30839"/>
    <w:rsid w:val="00A30BB6"/>
    <w:rsid w:val="00A30E8A"/>
    <w:rsid w:val="00A30F28"/>
    <w:rsid w:val="00A3122C"/>
    <w:rsid w:val="00A31392"/>
    <w:rsid w:val="00A3158D"/>
    <w:rsid w:val="00A315D4"/>
    <w:rsid w:val="00A319D4"/>
    <w:rsid w:val="00A31C8E"/>
    <w:rsid w:val="00A322EF"/>
    <w:rsid w:val="00A32519"/>
    <w:rsid w:val="00A32F40"/>
    <w:rsid w:val="00A33D5D"/>
    <w:rsid w:val="00A347EC"/>
    <w:rsid w:val="00A35049"/>
    <w:rsid w:val="00A352A1"/>
    <w:rsid w:val="00A36436"/>
    <w:rsid w:val="00A36488"/>
    <w:rsid w:val="00A36E67"/>
    <w:rsid w:val="00A37451"/>
    <w:rsid w:val="00A3773B"/>
    <w:rsid w:val="00A37B7E"/>
    <w:rsid w:val="00A37C25"/>
    <w:rsid w:val="00A402A8"/>
    <w:rsid w:val="00A40781"/>
    <w:rsid w:val="00A41132"/>
    <w:rsid w:val="00A4123C"/>
    <w:rsid w:val="00A42065"/>
    <w:rsid w:val="00A423CD"/>
    <w:rsid w:val="00A42A2A"/>
    <w:rsid w:val="00A42F33"/>
    <w:rsid w:val="00A431AD"/>
    <w:rsid w:val="00A43295"/>
    <w:rsid w:val="00A43424"/>
    <w:rsid w:val="00A4382E"/>
    <w:rsid w:val="00A448B9"/>
    <w:rsid w:val="00A44F9C"/>
    <w:rsid w:val="00A45730"/>
    <w:rsid w:val="00A46045"/>
    <w:rsid w:val="00A46947"/>
    <w:rsid w:val="00A46CF9"/>
    <w:rsid w:val="00A47380"/>
    <w:rsid w:val="00A4782C"/>
    <w:rsid w:val="00A47ECF"/>
    <w:rsid w:val="00A50512"/>
    <w:rsid w:val="00A50713"/>
    <w:rsid w:val="00A5086A"/>
    <w:rsid w:val="00A50904"/>
    <w:rsid w:val="00A5114B"/>
    <w:rsid w:val="00A514A0"/>
    <w:rsid w:val="00A515D0"/>
    <w:rsid w:val="00A52065"/>
    <w:rsid w:val="00A521A6"/>
    <w:rsid w:val="00A52CD3"/>
    <w:rsid w:val="00A52F35"/>
    <w:rsid w:val="00A5329B"/>
    <w:rsid w:val="00A5340A"/>
    <w:rsid w:val="00A542AE"/>
    <w:rsid w:val="00A544E7"/>
    <w:rsid w:val="00A54C8A"/>
    <w:rsid w:val="00A55632"/>
    <w:rsid w:val="00A558D1"/>
    <w:rsid w:val="00A56936"/>
    <w:rsid w:val="00A56F39"/>
    <w:rsid w:val="00A57508"/>
    <w:rsid w:val="00A577C7"/>
    <w:rsid w:val="00A57E6A"/>
    <w:rsid w:val="00A604B5"/>
    <w:rsid w:val="00A6078E"/>
    <w:rsid w:val="00A60B65"/>
    <w:rsid w:val="00A60D14"/>
    <w:rsid w:val="00A60ECE"/>
    <w:rsid w:val="00A60F64"/>
    <w:rsid w:val="00A611B7"/>
    <w:rsid w:val="00A61319"/>
    <w:rsid w:val="00A614CD"/>
    <w:rsid w:val="00A6189D"/>
    <w:rsid w:val="00A618D6"/>
    <w:rsid w:val="00A62974"/>
    <w:rsid w:val="00A62C8E"/>
    <w:rsid w:val="00A6315A"/>
    <w:rsid w:val="00A6366C"/>
    <w:rsid w:val="00A63B54"/>
    <w:rsid w:val="00A63F83"/>
    <w:rsid w:val="00A64111"/>
    <w:rsid w:val="00A6463B"/>
    <w:rsid w:val="00A64C52"/>
    <w:rsid w:val="00A652A2"/>
    <w:rsid w:val="00A652AD"/>
    <w:rsid w:val="00A655EF"/>
    <w:rsid w:val="00A6696E"/>
    <w:rsid w:val="00A66A12"/>
    <w:rsid w:val="00A66F15"/>
    <w:rsid w:val="00A6784F"/>
    <w:rsid w:val="00A705E3"/>
    <w:rsid w:val="00A70E2C"/>
    <w:rsid w:val="00A710BE"/>
    <w:rsid w:val="00A71118"/>
    <w:rsid w:val="00A7196E"/>
    <w:rsid w:val="00A71A1C"/>
    <w:rsid w:val="00A71B8F"/>
    <w:rsid w:val="00A72652"/>
    <w:rsid w:val="00A727FC"/>
    <w:rsid w:val="00A72958"/>
    <w:rsid w:val="00A73112"/>
    <w:rsid w:val="00A733B3"/>
    <w:rsid w:val="00A735F5"/>
    <w:rsid w:val="00A737B4"/>
    <w:rsid w:val="00A737BD"/>
    <w:rsid w:val="00A73BE4"/>
    <w:rsid w:val="00A7423D"/>
    <w:rsid w:val="00A745FB"/>
    <w:rsid w:val="00A748EC"/>
    <w:rsid w:val="00A74C37"/>
    <w:rsid w:val="00A7518B"/>
    <w:rsid w:val="00A755F0"/>
    <w:rsid w:val="00A75C10"/>
    <w:rsid w:val="00A7668F"/>
    <w:rsid w:val="00A76DE2"/>
    <w:rsid w:val="00A7793E"/>
    <w:rsid w:val="00A77EE7"/>
    <w:rsid w:val="00A80109"/>
    <w:rsid w:val="00A809C5"/>
    <w:rsid w:val="00A80B6C"/>
    <w:rsid w:val="00A80E8C"/>
    <w:rsid w:val="00A814B3"/>
    <w:rsid w:val="00A815C0"/>
    <w:rsid w:val="00A81F00"/>
    <w:rsid w:val="00A82950"/>
    <w:rsid w:val="00A82E5F"/>
    <w:rsid w:val="00A840BB"/>
    <w:rsid w:val="00A848D8"/>
    <w:rsid w:val="00A84A96"/>
    <w:rsid w:val="00A84E2E"/>
    <w:rsid w:val="00A857CD"/>
    <w:rsid w:val="00A8622B"/>
    <w:rsid w:val="00A86278"/>
    <w:rsid w:val="00A86EFD"/>
    <w:rsid w:val="00A870BE"/>
    <w:rsid w:val="00A87138"/>
    <w:rsid w:val="00A8773B"/>
    <w:rsid w:val="00A87A3D"/>
    <w:rsid w:val="00A87AAA"/>
    <w:rsid w:val="00A902B0"/>
    <w:rsid w:val="00A902D0"/>
    <w:rsid w:val="00A903E4"/>
    <w:rsid w:val="00A909F4"/>
    <w:rsid w:val="00A90C1C"/>
    <w:rsid w:val="00A9116D"/>
    <w:rsid w:val="00A9126E"/>
    <w:rsid w:val="00A9164C"/>
    <w:rsid w:val="00A91743"/>
    <w:rsid w:val="00A92034"/>
    <w:rsid w:val="00A92A50"/>
    <w:rsid w:val="00A92C48"/>
    <w:rsid w:val="00A932E6"/>
    <w:rsid w:val="00A93607"/>
    <w:rsid w:val="00A93AF6"/>
    <w:rsid w:val="00A94684"/>
    <w:rsid w:val="00A948CF"/>
    <w:rsid w:val="00A956DA"/>
    <w:rsid w:val="00A95BDE"/>
    <w:rsid w:val="00A95E34"/>
    <w:rsid w:val="00A96B5B"/>
    <w:rsid w:val="00A96C17"/>
    <w:rsid w:val="00A96EBD"/>
    <w:rsid w:val="00A96F17"/>
    <w:rsid w:val="00A9708A"/>
    <w:rsid w:val="00A9733A"/>
    <w:rsid w:val="00A97505"/>
    <w:rsid w:val="00A97B11"/>
    <w:rsid w:val="00AA050B"/>
    <w:rsid w:val="00AA08BF"/>
    <w:rsid w:val="00AA0B37"/>
    <w:rsid w:val="00AA0F5B"/>
    <w:rsid w:val="00AA1092"/>
    <w:rsid w:val="00AA12F6"/>
    <w:rsid w:val="00AA1A9F"/>
    <w:rsid w:val="00AA1BB3"/>
    <w:rsid w:val="00AA1C2C"/>
    <w:rsid w:val="00AA32EE"/>
    <w:rsid w:val="00AA362C"/>
    <w:rsid w:val="00AA3638"/>
    <w:rsid w:val="00AA3AFE"/>
    <w:rsid w:val="00AA4074"/>
    <w:rsid w:val="00AA45CA"/>
    <w:rsid w:val="00AA45FA"/>
    <w:rsid w:val="00AA467B"/>
    <w:rsid w:val="00AA4861"/>
    <w:rsid w:val="00AA501E"/>
    <w:rsid w:val="00AA5123"/>
    <w:rsid w:val="00AA5184"/>
    <w:rsid w:val="00AA6698"/>
    <w:rsid w:val="00AA66FD"/>
    <w:rsid w:val="00AA687C"/>
    <w:rsid w:val="00AA6E04"/>
    <w:rsid w:val="00AA7170"/>
    <w:rsid w:val="00AA77AC"/>
    <w:rsid w:val="00AA7FB4"/>
    <w:rsid w:val="00AB00BD"/>
    <w:rsid w:val="00AB0CB7"/>
    <w:rsid w:val="00AB143A"/>
    <w:rsid w:val="00AB1B5B"/>
    <w:rsid w:val="00AB20B7"/>
    <w:rsid w:val="00AB333C"/>
    <w:rsid w:val="00AB3435"/>
    <w:rsid w:val="00AB3653"/>
    <w:rsid w:val="00AB3A38"/>
    <w:rsid w:val="00AB3A4E"/>
    <w:rsid w:val="00AB3C94"/>
    <w:rsid w:val="00AB3D4D"/>
    <w:rsid w:val="00AB3D98"/>
    <w:rsid w:val="00AB4131"/>
    <w:rsid w:val="00AB455C"/>
    <w:rsid w:val="00AB47F1"/>
    <w:rsid w:val="00AB48F3"/>
    <w:rsid w:val="00AB4F59"/>
    <w:rsid w:val="00AB5282"/>
    <w:rsid w:val="00AB5478"/>
    <w:rsid w:val="00AB5485"/>
    <w:rsid w:val="00AB601C"/>
    <w:rsid w:val="00AB624C"/>
    <w:rsid w:val="00AB6307"/>
    <w:rsid w:val="00AB6454"/>
    <w:rsid w:val="00AB6969"/>
    <w:rsid w:val="00AB7085"/>
    <w:rsid w:val="00AB70BF"/>
    <w:rsid w:val="00AB7AC0"/>
    <w:rsid w:val="00AB7EA8"/>
    <w:rsid w:val="00AC12D0"/>
    <w:rsid w:val="00AC1360"/>
    <w:rsid w:val="00AC185B"/>
    <w:rsid w:val="00AC1946"/>
    <w:rsid w:val="00AC208C"/>
    <w:rsid w:val="00AC20C0"/>
    <w:rsid w:val="00AC2946"/>
    <w:rsid w:val="00AC36F2"/>
    <w:rsid w:val="00AC3787"/>
    <w:rsid w:val="00AC3932"/>
    <w:rsid w:val="00AC3A41"/>
    <w:rsid w:val="00AC3D31"/>
    <w:rsid w:val="00AC3D55"/>
    <w:rsid w:val="00AC3D8B"/>
    <w:rsid w:val="00AC3EC8"/>
    <w:rsid w:val="00AC4DA8"/>
    <w:rsid w:val="00AC5060"/>
    <w:rsid w:val="00AC52C0"/>
    <w:rsid w:val="00AC5C9D"/>
    <w:rsid w:val="00AC5CB7"/>
    <w:rsid w:val="00AC6198"/>
    <w:rsid w:val="00AC6281"/>
    <w:rsid w:val="00AC6F6B"/>
    <w:rsid w:val="00AC72F1"/>
    <w:rsid w:val="00AC7531"/>
    <w:rsid w:val="00AC7564"/>
    <w:rsid w:val="00AC7688"/>
    <w:rsid w:val="00AC792D"/>
    <w:rsid w:val="00AC7C02"/>
    <w:rsid w:val="00AD04E8"/>
    <w:rsid w:val="00AD0517"/>
    <w:rsid w:val="00AD0A78"/>
    <w:rsid w:val="00AD1002"/>
    <w:rsid w:val="00AD1192"/>
    <w:rsid w:val="00AD1233"/>
    <w:rsid w:val="00AD1641"/>
    <w:rsid w:val="00AD169C"/>
    <w:rsid w:val="00AD1A2E"/>
    <w:rsid w:val="00AD1D29"/>
    <w:rsid w:val="00AD2CE8"/>
    <w:rsid w:val="00AD324A"/>
    <w:rsid w:val="00AD36B4"/>
    <w:rsid w:val="00AD3853"/>
    <w:rsid w:val="00AD3CCB"/>
    <w:rsid w:val="00AD42E6"/>
    <w:rsid w:val="00AD43BF"/>
    <w:rsid w:val="00AD5DAF"/>
    <w:rsid w:val="00AD61C0"/>
    <w:rsid w:val="00AD651D"/>
    <w:rsid w:val="00AD6B9F"/>
    <w:rsid w:val="00AD6D6E"/>
    <w:rsid w:val="00AD717A"/>
    <w:rsid w:val="00AE01EC"/>
    <w:rsid w:val="00AE0A67"/>
    <w:rsid w:val="00AE0BA6"/>
    <w:rsid w:val="00AE0D98"/>
    <w:rsid w:val="00AE0F6A"/>
    <w:rsid w:val="00AE1027"/>
    <w:rsid w:val="00AE1133"/>
    <w:rsid w:val="00AE116A"/>
    <w:rsid w:val="00AE2666"/>
    <w:rsid w:val="00AE2A39"/>
    <w:rsid w:val="00AE2E18"/>
    <w:rsid w:val="00AE312E"/>
    <w:rsid w:val="00AE3199"/>
    <w:rsid w:val="00AE4A09"/>
    <w:rsid w:val="00AE5165"/>
    <w:rsid w:val="00AE60F5"/>
    <w:rsid w:val="00AE63E7"/>
    <w:rsid w:val="00AE6715"/>
    <w:rsid w:val="00AE716B"/>
    <w:rsid w:val="00AE72A6"/>
    <w:rsid w:val="00AE72E9"/>
    <w:rsid w:val="00AE7BB5"/>
    <w:rsid w:val="00AF076F"/>
    <w:rsid w:val="00AF0B50"/>
    <w:rsid w:val="00AF0B9D"/>
    <w:rsid w:val="00AF0EBB"/>
    <w:rsid w:val="00AF19BA"/>
    <w:rsid w:val="00AF1B44"/>
    <w:rsid w:val="00AF21A5"/>
    <w:rsid w:val="00AF25F3"/>
    <w:rsid w:val="00AF29EA"/>
    <w:rsid w:val="00AF2CE6"/>
    <w:rsid w:val="00AF2E38"/>
    <w:rsid w:val="00AF36EF"/>
    <w:rsid w:val="00AF46FA"/>
    <w:rsid w:val="00AF4979"/>
    <w:rsid w:val="00AF4D46"/>
    <w:rsid w:val="00AF519A"/>
    <w:rsid w:val="00AF5894"/>
    <w:rsid w:val="00AF59E3"/>
    <w:rsid w:val="00AF5A64"/>
    <w:rsid w:val="00AF5D3F"/>
    <w:rsid w:val="00AF604E"/>
    <w:rsid w:val="00AF61B6"/>
    <w:rsid w:val="00AF638F"/>
    <w:rsid w:val="00AF69FC"/>
    <w:rsid w:val="00AF6E14"/>
    <w:rsid w:val="00AF7163"/>
    <w:rsid w:val="00AF7964"/>
    <w:rsid w:val="00AF7A51"/>
    <w:rsid w:val="00B0025E"/>
    <w:rsid w:val="00B002BF"/>
    <w:rsid w:val="00B00AEE"/>
    <w:rsid w:val="00B0121D"/>
    <w:rsid w:val="00B013A0"/>
    <w:rsid w:val="00B01B78"/>
    <w:rsid w:val="00B02623"/>
    <w:rsid w:val="00B02712"/>
    <w:rsid w:val="00B03324"/>
    <w:rsid w:val="00B03D1D"/>
    <w:rsid w:val="00B0416D"/>
    <w:rsid w:val="00B046DE"/>
    <w:rsid w:val="00B049A5"/>
    <w:rsid w:val="00B05670"/>
    <w:rsid w:val="00B05A81"/>
    <w:rsid w:val="00B05E26"/>
    <w:rsid w:val="00B05FA2"/>
    <w:rsid w:val="00B06B16"/>
    <w:rsid w:val="00B07E7F"/>
    <w:rsid w:val="00B100AE"/>
    <w:rsid w:val="00B103C6"/>
    <w:rsid w:val="00B10848"/>
    <w:rsid w:val="00B10C7B"/>
    <w:rsid w:val="00B10D50"/>
    <w:rsid w:val="00B10F6D"/>
    <w:rsid w:val="00B10FBE"/>
    <w:rsid w:val="00B117E2"/>
    <w:rsid w:val="00B117F9"/>
    <w:rsid w:val="00B1185C"/>
    <w:rsid w:val="00B119F3"/>
    <w:rsid w:val="00B125CE"/>
    <w:rsid w:val="00B1264D"/>
    <w:rsid w:val="00B128DF"/>
    <w:rsid w:val="00B12B8D"/>
    <w:rsid w:val="00B12F2C"/>
    <w:rsid w:val="00B13F18"/>
    <w:rsid w:val="00B141E0"/>
    <w:rsid w:val="00B149C3"/>
    <w:rsid w:val="00B14AAD"/>
    <w:rsid w:val="00B14F5C"/>
    <w:rsid w:val="00B151C4"/>
    <w:rsid w:val="00B1546B"/>
    <w:rsid w:val="00B15764"/>
    <w:rsid w:val="00B1611A"/>
    <w:rsid w:val="00B16181"/>
    <w:rsid w:val="00B16185"/>
    <w:rsid w:val="00B16F57"/>
    <w:rsid w:val="00B17117"/>
    <w:rsid w:val="00B1775B"/>
    <w:rsid w:val="00B17ECE"/>
    <w:rsid w:val="00B17F51"/>
    <w:rsid w:val="00B17FC1"/>
    <w:rsid w:val="00B200AB"/>
    <w:rsid w:val="00B206D0"/>
    <w:rsid w:val="00B211E9"/>
    <w:rsid w:val="00B21500"/>
    <w:rsid w:val="00B2154A"/>
    <w:rsid w:val="00B21A41"/>
    <w:rsid w:val="00B221CE"/>
    <w:rsid w:val="00B224AD"/>
    <w:rsid w:val="00B22841"/>
    <w:rsid w:val="00B22B1D"/>
    <w:rsid w:val="00B22E78"/>
    <w:rsid w:val="00B22F96"/>
    <w:rsid w:val="00B23811"/>
    <w:rsid w:val="00B23C4F"/>
    <w:rsid w:val="00B23D3C"/>
    <w:rsid w:val="00B24092"/>
    <w:rsid w:val="00B2416C"/>
    <w:rsid w:val="00B2426E"/>
    <w:rsid w:val="00B24452"/>
    <w:rsid w:val="00B25057"/>
    <w:rsid w:val="00B25278"/>
    <w:rsid w:val="00B25F9D"/>
    <w:rsid w:val="00B25F9E"/>
    <w:rsid w:val="00B267BF"/>
    <w:rsid w:val="00B26B1A"/>
    <w:rsid w:val="00B26D52"/>
    <w:rsid w:val="00B26F16"/>
    <w:rsid w:val="00B26F44"/>
    <w:rsid w:val="00B27BDB"/>
    <w:rsid w:val="00B300F4"/>
    <w:rsid w:val="00B306B9"/>
    <w:rsid w:val="00B308DE"/>
    <w:rsid w:val="00B31AA1"/>
    <w:rsid w:val="00B32198"/>
    <w:rsid w:val="00B329B0"/>
    <w:rsid w:val="00B32AA6"/>
    <w:rsid w:val="00B33282"/>
    <w:rsid w:val="00B336FB"/>
    <w:rsid w:val="00B3406E"/>
    <w:rsid w:val="00B34736"/>
    <w:rsid w:val="00B348DC"/>
    <w:rsid w:val="00B34E6E"/>
    <w:rsid w:val="00B352EF"/>
    <w:rsid w:val="00B35FA9"/>
    <w:rsid w:val="00B3605F"/>
    <w:rsid w:val="00B36655"/>
    <w:rsid w:val="00B36B4A"/>
    <w:rsid w:val="00B36F9D"/>
    <w:rsid w:val="00B37D0B"/>
    <w:rsid w:val="00B406D3"/>
    <w:rsid w:val="00B40AFB"/>
    <w:rsid w:val="00B411F6"/>
    <w:rsid w:val="00B41914"/>
    <w:rsid w:val="00B42852"/>
    <w:rsid w:val="00B42A71"/>
    <w:rsid w:val="00B42D72"/>
    <w:rsid w:val="00B42E65"/>
    <w:rsid w:val="00B43533"/>
    <w:rsid w:val="00B443C4"/>
    <w:rsid w:val="00B44B78"/>
    <w:rsid w:val="00B455EE"/>
    <w:rsid w:val="00B4595D"/>
    <w:rsid w:val="00B45A31"/>
    <w:rsid w:val="00B46613"/>
    <w:rsid w:val="00B468A3"/>
    <w:rsid w:val="00B46AA2"/>
    <w:rsid w:val="00B46ABD"/>
    <w:rsid w:val="00B46F3C"/>
    <w:rsid w:val="00B4738A"/>
    <w:rsid w:val="00B47ABD"/>
    <w:rsid w:val="00B47CE7"/>
    <w:rsid w:val="00B47F1B"/>
    <w:rsid w:val="00B5001C"/>
    <w:rsid w:val="00B50119"/>
    <w:rsid w:val="00B50273"/>
    <w:rsid w:val="00B50B7F"/>
    <w:rsid w:val="00B51A48"/>
    <w:rsid w:val="00B51BD5"/>
    <w:rsid w:val="00B51DC5"/>
    <w:rsid w:val="00B51E46"/>
    <w:rsid w:val="00B53527"/>
    <w:rsid w:val="00B53755"/>
    <w:rsid w:val="00B53996"/>
    <w:rsid w:val="00B53AE9"/>
    <w:rsid w:val="00B53D0E"/>
    <w:rsid w:val="00B546C3"/>
    <w:rsid w:val="00B54C3B"/>
    <w:rsid w:val="00B54D84"/>
    <w:rsid w:val="00B54F48"/>
    <w:rsid w:val="00B556EC"/>
    <w:rsid w:val="00B5603D"/>
    <w:rsid w:val="00B56671"/>
    <w:rsid w:val="00B566CB"/>
    <w:rsid w:val="00B56DC6"/>
    <w:rsid w:val="00B5723D"/>
    <w:rsid w:val="00B57434"/>
    <w:rsid w:val="00B576D1"/>
    <w:rsid w:val="00B57AF4"/>
    <w:rsid w:val="00B57D2E"/>
    <w:rsid w:val="00B60C3B"/>
    <w:rsid w:val="00B60D9D"/>
    <w:rsid w:val="00B60FDA"/>
    <w:rsid w:val="00B61696"/>
    <w:rsid w:val="00B618AE"/>
    <w:rsid w:val="00B61EC8"/>
    <w:rsid w:val="00B61F16"/>
    <w:rsid w:val="00B6208E"/>
    <w:rsid w:val="00B62CC2"/>
    <w:rsid w:val="00B630FD"/>
    <w:rsid w:val="00B6359B"/>
    <w:rsid w:val="00B63F85"/>
    <w:rsid w:val="00B643F4"/>
    <w:rsid w:val="00B6532E"/>
    <w:rsid w:val="00B65534"/>
    <w:rsid w:val="00B6593D"/>
    <w:rsid w:val="00B65F51"/>
    <w:rsid w:val="00B6682A"/>
    <w:rsid w:val="00B66D0A"/>
    <w:rsid w:val="00B67257"/>
    <w:rsid w:val="00B67465"/>
    <w:rsid w:val="00B6762A"/>
    <w:rsid w:val="00B67C4E"/>
    <w:rsid w:val="00B70149"/>
    <w:rsid w:val="00B70246"/>
    <w:rsid w:val="00B703A5"/>
    <w:rsid w:val="00B704F8"/>
    <w:rsid w:val="00B706AC"/>
    <w:rsid w:val="00B708C6"/>
    <w:rsid w:val="00B7100C"/>
    <w:rsid w:val="00B712AA"/>
    <w:rsid w:val="00B716F9"/>
    <w:rsid w:val="00B71750"/>
    <w:rsid w:val="00B71B8C"/>
    <w:rsid w:val="00B72387"/>
    <w:rsid w:val="00B723F1"/>
    <w:rsid w:val="00B72589"/>
    <w:rsid w:val="00B729EF"/>
    <w:rsid w:val="00B72E7A"/>
    <w:rsid w:val="00B731A1"/>
    <w:rsid w:val="00B7349E"/>
    <w:rsid w:val="00B74CE1"/>
    <w:rsid w:val="00B74FF9"/>
    <w:rsid w:val="00B759CD"/>
    <w:rsid w:val="00B75CAA"/>
    <w:rsid w:val="00B75EF5"/>
    <w:rsid w:val="00B76880"/>
    <w:rsid w:val="00B76BBB"/>
    <w:rsid w:val="00B77525"/>
    <w:rsid w:val="00B776FE"/>
    <w:rsid w:val="00B77AA1"/>
    <w:rsid w:val="00B77AD6"/>
    <w:rsid w:val="00B77DA8"/>
    <w:rsid w:val="00B80DDC"/>
    <w:rsid w:val="00B8139A"/>
    <w:rsid w:val="00B818E9"/>
    <w:rsid w:val="00B81F66"/>
    <w:rsid w:val="00B820F7"/>
    <w:rsid w:val="00B82A3D"/>
    <w:rsid w:val="00B82A48"/>
    <w:rsid w:val="00B82A4D"/>
    <w:rsid w:val="00B830CA"/>
    <w:rsid w:val="00B832E1"/>
    <w:rsid w:val="00B84077"/>
    <w:rsid w:val="00B84372"/>
    <w:rsid w:val="00B861C6"/>
    <w:rsid w:val="00B86445"/>
    <w:rsid w:val="00B86577"/>
    <w:rsid w:val="00B866C9"/>
    <w:rsid w:val="00B86B41"/>
    <w:rsid w:val="00B86D2C"/>
    <w:rsid w:val="00B87A26"/>
    <w:rsid w:val="00B9022A"/>
    <w:rsid w:val="00B906A7"/>
    <w:rsid w:val="00B909B6"/>
    <w:rsid w:val="00B91661"/>
    <w:rsid w:val="00B91A0D"/>
    <w:rsid w:val="00B9219F"/>
    <w:rsid w:val="00B9224D"/>
    <w:rsid w:val="00B922F8"/>
    <w:rsid w:val="00B92FB0"/>
    <w:rsid w:val="00B932FF"/>
    <w:rsid w:val="00B936D4"/>
    <w:rsid w:val="00B9409A"/>
    <w:rsid w:val="00B94661"/>
    <w:rsid w:val="00B94AB3"/>
    <w:rsid w:val="00B94EEA"/>
    <w:rsid w:val="00B9510E"/>
    <w:rsid w:val="00B95640"/>
    <w:rsid w:val="00B961B2"/>
    <w:rsid w:val="00B961F0"/>
    <w:rsid w:val="00B969D5"/>
    <w:rsid w:val="00B96CC8"/>
    <w:rsid w:val="00B96D09"/>
    <w:rsid w:val="00B9722B"/>
    <w:rsid w:val="00B9726C"/>
    <w:rsid w:val="00B977A2"/>
    <w:rsid w:val="00B9789D"/>
    <w:rsid w:val="00B97C6E"/>
    <w:rsid w:val="00B97D0A"/>
    <w:rsid w:val="00B97D67"/>
    <w:rsid w:val="00B97E43"/>
    <w:rsid w:val="00BA0842"/>
    <w:rsid w:val="00BA0853"/>
    <w:rsid w:val="00BA0CAE"/>
    <w:rsid w:val="00BA2759"/>
    <w:rsid w:val="00BA2B24"/>
    <w:rsid w:val="00BA2C4D"/>
    <w:rsid w:val="00BA2C98"/>
    <w:rsid w:val="00BA3984"/>
    <w:rsid w:val="00BA3C4F"/>
    <w:rsid w:val="00BA3CA9"/>
    <w:rsid w:val="00BA4060"/>
    <w:rsid w:val="00BA455B"/>
    <w:rsid w:val="00BA4D6D"/>
    <w:rsid w:val="00BA55C8"/>
    <w:rsid w:val="00BA592F"/>
    <w:rsid w:val="00BA5B20"/>
    <w:rsid w:val="00BA5F10"/>
    <w:rsid w:val="00BA6130"/>
    <w:rsid w:val="00BA61DE"/>
    <w:rsid w:val="00BA672F"/>
    <w:rsid w:val="00BA7117"/>
    <w:rsid w:val="00BA7C36"/>
    <w:rsid w:val="00BB00CD"/>
    <w:rsid w:val="00BB1374"/>
    <w:rsid w:val="00BB1965"/>
    <w:rsid w:val="00BB1AE9"/>
    <w:rsid w:val="00BB1B68"/>
    <w:rsid w:val="00BB1E10"/>
    <w:rsid w:val="00BB2532"/>
    <w:rsid w:val="00BB284B"/>
    <w:rsid w:val="00BB332B"/>
    <w:rsid w:val="00BB3A50"/>
    <w:rsid w:val="00BB3CAE"/>
    <w:rsid w:val="00BB3F5F"/>
    <w:rsid w:val="00BB40CB"/>
    <w:rsid w:val="00BB482D"/>
    <w:rsid w:val="00BB4874"/>
    <w:rsid w:val="00BB4A07"/>
    <w:rsid w:val="00BB5417"/>
    <w:rsid w:val="00BB5AE2"/>
    <w:rsid w:val="00BB5DDA"/>
    <w:rsid w:val="00BB5E60"/>
    <w:rsid w:val="00BB5F2E"/>
    <w:rsid w:val="00BB6D41"/>
    <w:rsid w:val="00BB6DCA"/>
    <w:rsid w:val="00BB7046"/>
    <w:rsid w:val="00BB70CC"/>
    <w:rsid w:val="00BB7256"/>
    <w:rsid w:val="00BB75A6"/>
    <w:rsid w:val="00BB7831"/>
    <w:rsid w:val="00BB787A"/>
    <w:rsid w:val="00BC06F4"/>
    <w:rsid w:val="00BC0D90"/>
    <w:rsid w:val="00BC0EFF"/>
    <w:rsid w:val="00BC1107"/>
    <w:rsid w:val="00BC13C8"/>
    <w:rsid w:val="00BC186C"/>
    <w:rsid w:val="00BC2B4D"/>
    <w:rsid w:val="00BC2C7D"/>
    <w:rsid w:val="00BC3014"/>
    <w:rsid w:val="00BC360D"/>
    <w:rsid w:val="00BC3B5F"/>
    <w:rsid w:val="00BC408E"/>
    <w:rsid w:val="00BC4F6C"/>
    <w:rsid w:val="00BC55A6"/>
    <w:rsid w:val="00BC572D"/>
    <w:rsid w:val="00BC59FF"/>
    <w:rsid w:val="00BC613B"/>
    <w:rsid w:val="00BC62B9"/>
    <w:rsid w:val="00BC6916"/>
    <w:rsid w:val="00BD0442"/>
    <w:rsid w:val="00BD08B0"/>
    <w:rsid w:val="00BD0A6E"/>
    <w:rsid w:val="00BD0C7E"/>
    <w:rsid w:val="00BD0E7B"/>
    <w:rsid w:val="00BD11C9"/>
    <w:rsid w:val="00BD15CA"/>
    <w:rsid w:val="00BD1C8F"/>
    <w:rsid w:val="00BD2521"/>
    <w:rsid w:val="00BD2E19"/>
    <w:rsid w:val="00BD2EE8"/>
    <w:rsid w:val="00BD2F25"/>
    <w:rsid w:val="00BD2F2A"/>
    <w:rsid w:val="00BD320D"/>
    <w:rsid w:val="00BD3BE2"/>
    <w:rsid w:val="00BD6B8A"/>
    <w:rsid w:val="00BD6DDA"/>
    <w:rsid w:val="00BD6FA7"/>
    <w:rsid w:val="00BE0228"/>
    <w:rsid w:val="00BE089D"/>
    <w:rsid w:val="00BE11D7"/>
    <w:rsid w:val="00BE1579"/>
    <w:rsid w:val="00BE1C1F"/>
    <w:rsid w:val="00BE1F1F"/>
    <w:rsid w:val="00BE1FA5"/>
    <w:rsid w:val="00BE1FA7"/>
    <w:rsid w:val="00BE232C"/>
    <w:rsid w:val="00BE236B"/>
    <w:rsid w:val="00BE241D"/>
    <w:rsid w:val="00BE287C"/>
    <w:rsid w:val="00BE2B90"/>
    <w:rsid w:val="00BE3AE5"/>
    <w:rsid w:val="00BE40EF"/>
    <w:rsid w:val="00BE44A9"/>
    <w:rsid w:val="00BE51E1"/>
    <w:rsid w:val="00BE527F"/>
    <w:rsid w:val="00BE55E1"/>
    <w:rsid w:val="00BE5DAA"/>
    <w:rsid w:val="00BE65E9"/>
    <w:rsid w:val="00BE6607"/>
    <w:rsid w:val="00BE68B5"/>
    <w:rsid w:val="00BE6C89"/>
    <w:rsid w:val="00BE6D75"/>
    <w:rsid w:val="00BE6E0A"/>
    <w:rsid w:val="00BE7BB7"/>
    <w:rsid w:val="00BF0240"/>
    <w:rsid w:val="00BF02B4"/>
    <w:rsid w:val="00BF0870"/>
    <w:rsid w:val="00BF131D"/>
    <w:rsid w:val="00BF174D"/>
    <w:rsid w:val="00BF1C5A"/>
    <w:rsid w:val="00BF23CD"/>
    <w:rsid w:val="00BF2820"/>
    <w:rsid w:val="00BF30C1"/>
    <w:rsid w:val="00BF3AA6"/>
    <w:rsid w:val="00BF3D3B"/>
    <w:rsid w:val="00BF4042"/>
    <w:rsid w:val="00BF40B8"/>
    <w:rsid w:val="00BF4AA3"/>
    <w:rsid w:val="00BF4E11"/>
    <w:rsid w:val="00BF4F67"/>
    <w:rsid w:val="00BF5C73"/>
    <w:rsid w:val="00BF62DA"/>
    <w:rsid w:val="00BF6712"/>
    <w:rsid w:val="00BF7715"/>
    <w:rsid w:val="00BF7747"/>
    <w:rsid w:val="00BF7786"/>
    <w:rsid w:val="00BF77CA"/>
    <w:rsid w:val="00C01452"/>
    <w:rsid w:val="00C01572"/>
    <w:rsid w:val="00C017DB"/>
    <w:rsid w:val="00C0226A"/>
    <w:rsid w:val="00C02651"/>
    <w:rsid w:val="00C02BAD"/>
    <w:rsid w:val="00C03E73"/>
    <w:rsid w:val="00C04249"/>
    <w:rsid w:val="00C04647"/>
    <w:rsid w:val="00C04671"/>
    <w:rsid w:val="00C0473A"/>
    <w:rsid w:val="00C05B04"/>
    <w:rsid w:val="00C05D82"/>
    <w:rsid w:val="00C05E4E"/>
    <w:rsid w:val="00C06215"/>
    <w:rsid w:val="00C06929"/>
    <w:rsid w:val="00C073BF"/>
    <w:rsid w:val="00C077CF"/>
    <w:rsid w:val="00C0793E"/>
    <w:rsid w:val="00C07BE0"/>
    <w:rsid w:val="00C07E04"/>
    <w:rsid w:val="00C100B5"/>
    <w:rsid w:val="00C10694"/>
    <w:rsid w:val="00C1098B"/>
    <w:rsid w:val="00C11063"/>
    <w:rsid w:val="00C112B8"/>
    <w:rsid w:val="00C11603"/>
    <w:rsid w:val="00C11C59"/>
    <w:rsid w:val="00C122C6"/>
    <w:rsid w:val="00C12D89"/>
    <w:rsid w:val="00C12E01"/>
    <w:rsid w:val="00C12E45"/>
    <w:rsid w:val="00C1302C"/>
    <w:rsid w:val="00C13080"/>
    <w:rsid w:val="00C13083"/>
    <w:rsid w:val="00C13DBD"/>
    <w:rsid w:val="00C146D2"/>
    <w:rsid w:val="00C147BD"/>
    <w:rsid w:val="00C14E05"/>
    <w:rsid w:val="00C14F4B"/>
    <w:rsid w:val="00C1536A"/>
    <w:rsid w:val="00C15A3E"/>
    <w:rsid w:val="00C1611A"/>
    <w:rsid w:val="00C1613B"/>
    <w:rsid w:val="00C16D5A"/>
    <w:rsid w:val="00C16EDB"/>
    <w:rsid w:val="00C17492"/>
    <w:rsid w:val="00C17BA4"/>
    <w:rsid w:val="00C17C4E"/>
    <w:rsid w:val="00C17E9D"/>
    <w:rsid w:val="00C20888"/>
    <w:rsid w:val="00C20CBF"/>
    <w:rsid w:val="00C20E0B"/>
    <w:rsid w:val="00C216F4"/>
    <w:rsid w:val="00C21806"/>
    <w:rsid w:val="00C224A1"/>
    <w:rsid w:val="00C22AEE"/>
    <w:rsid w:val="00C22BE5"/>
    <w:rsid w:val="00C22CAD"/>
    <w:rsid w:val="00C22D59"/>
    <w:rsid w:val="00C23866"/>
    <w:rsid w:val="00C245A8"/>
    <w:rsid w:val="00C251CF"/>
    <w:rsid w:val="00C256E7"/>
    <w:rsid w:val="00C25AA5"/>
    <w:rsid w:val="00C25C76"/>
    <w:rsid w:val="00C263F0"/>
    <w:rsid w:val="00C26CC6"/>
    <w:rsid w:val="00C3002C"/>
    <w:rsid w:val="00C30113"/>
    <w:rsid w:val="00C30399"/>
    <w:rsid w:val="00C30FB0"/>
    <w:rsid w:val="00C31520"/>
    <w:rsid w:val="00C318F5"/>
    <w:rsid w:val="00C31C12"/>
    <w:rsid w:val="00C32571"/>
    <w:rsid w:val="00C33002"/>
    <w:rsid w:val="00C33E52"/>
    <w:rsid w:val="00C34793"/>
    <w:rsid w:val="00C34973"/>
    <w:rsid w:val="00C34BC6"/>
    <w:rsid w:val="00C34C6E"/>
    <w:rsid w:val="00C35089"/>
    <w:rsid w:val="00C353DD"/>
    <w:rsid w:val="00C3543A"/>
    <w:rsid w:val="00C35F9E"/>
    <w:rsid w:val="00C361E2"/>
    <w:rsid w:val="00C3642D"/>
    <w:rsid w:val="00C36B14"/>
    <w:rsid w:val="00C36D0C"/>
    <w:rsid w:val="00C36EA6"/>
    <w:rsid w:val="00C36F10"/>
    <w:rsid w:val="00C379FB"/>
    <w:rsid w:val="00C37AA4"/>
    <w:rsid w:val="00C37E54"/>
    <w:rsid w:val="00C407C2"/>
    <w:rsid w:val="00C40A11"/>
    <w:rsid w:val="00C41883"/>
    <w:rsid w:val="00C418C9"/>
    <w:rsid w:val="00C428A2"/>
    <w:rsid w:val="00C42AA3"/>
    <w:rsid w:val="00C42E04"/>
    <w:rsid w:val="00C43562"/>
    <w:rsid w:val="00C439CE"/>
    <w:rsid w:val="00C43CBD"/>
    <w:rsid w:val="00C43E4E"/>
    <w:rsid w:val="00C43F5F"/>
    <w:rsid w:val="00C44067"/>
    <w:rsid w:val="00C44198"/>
    <w:rsid w:val="00C44C85"/>
    <w:rsid w:val="00C44D5A"/>
    <w:rsid w:val="00C44E6E"/>
    <w:rsid w:val="00C45046"/>
    <w:rsid w:val="00C45498"/>
    <w:rsid w:val="00C456E6"/>
    <w:rsid w:val="00C458F5"/>
    <w:rsid w:val="00C45A69"/>
    <w:rsid w:val="00C463F7"/>
    <w:rsid w:val="00C46544"/>
    <w:rsid w:val="00C46567"/>
    <w:rsid w:val="00C47A0E"/>
    <w:rsid w:val="00C50211"/>
    <w:rsid w:val="00C50AD1"/>
    <w:rsid w:val="00C50C24"/>
    <w:rsid w:val="00C514BB"/>
    <w:rsid w:val="00C51528"/>
    <w:rsid w:val="00C5157D"/>
    <w:rsid w:val="00C518BE"/>
    <w:rsid w:val="00C51B74"/>
    <w:rsid w:val="00C5204B"/>
    <w:rsid w:val="00C52168"/>
    <w:rsid w:val="00C53576"/>
    <w:rsid w:val="00C535FD"/>
    <w:rsid w:val="00C536D0"/>
    <w:rsid w:val="00C538BF"/>
    <w:rsid w:val="00C539E7"/>
    <w:rsid w:val="00C53ED7"/>
    <w:rsid w:val="00C54106"/>
    <w:rsid w:val="00C5451D"/>
    <w:rsid w:val="00C546BC"/>
    <w:rsid w:val="00C54835"/>
    <w:rsid w:val="00C54B1F"/>
    <w:rsid w:val="00C55266"/>
    <w:rsid w:val="00C55609"/>
    <w:rsid w:val="00C5567B"/>
    <w:rsid w:val="00C557E3"/>
    <w:rsid w:val="00C558BA"/>
    <w:rsid w:val="00C55934"/>
    <w:rsid w:val="00C55941"/>
    <w:rsid w:val="00C566A5"/>
    <w:rsid w:val="00C56714"/>
    <w:rsid w:val="00C57004"/>
    <w:rsid w:val="00C571BB"/>
    <w:rsid w:val="00C57385"/>
    <w:rsid w:val="00C576B0"/>
    <w:rsid w:val="00C5775A"/>
    <w:rsid w:val="00C606B6"/>
    <w:rsid w:val="00C60CFF"/>
    <w:rsid w:val="00C6141A"/>
    <w:rsid w:val="00C62008"/>
    <w:rsid w:val="00C6310A"/>
    <w:rsid w:val="00C63130"/>
    <w:rsid w:val="00C639DB"/>
    <w:rsid w:val="00C6433F"/>
    <w:rsid w:val="00C64419"/>
    <w:rsid w:val="00C64D3F"/>
    <w:rsid w:val="00C64F6C"/>
    <w:rsid w:val="00C6581D"/>
    <w:rsid w:val="00C65B1E"/>
    <w:rsid w:val="00C65BE0"/>
    <w:rsid w:val="00C65BFE"/>
    <w:rsid w:val="00C65CC4"/>
    <w:rsid w:val="00C65EA0"/>
    <w:rsid w:val="00C662A7"/>
    <w:rsid w:val="00C66655"/>
    <w:rsid w:val="00C66A39"/>
    <w:rsid w:val="00C66A42"/>
    <w:rsid w:val="00C66E6C"/>
    <w:rsid w:val="00C670F7"/>
    <w:rsid w:val="00C67214"/>
    <w:rsid w:val="00C67259"/>
    <w:rsid w:val="00C674D3"/>
    <w:rsid w:val="00C67644"/>
    <w:rsid w:val="00C6768F"/>
    <w:rsid w:val="00C7092F"/>
    <w:rsid w:val="00C70BC4"/>
    <w:rsid w:val="00C70CB0"/>
    <w:rsid w:val="00C71B40"/>
    <w:rsid w:val="00C72176"/>
    <w:rsid w:val="00C7293C"/>
    <w:rsid w:val="00C72A37"/>
    <w:rsid w:val="00C72FAB"/>
    <w:rsid w:val="00C7345D"/>
    <w:rsid w:val="00C738BA"/>
    <w:rsid w:val="00C73F25"/>
    <w:rsid w:val="00C73F55"/>
    <w:rsid w:val="00C742D6"/>
    <w:rsid w:val="00C7441D"/>
    <w:rsid w:val="00C7475B"/>
    <w:rsid w:val="00C74F32"/>
    <w:rsid w:val="00C754DD"/>
    <w:rsid w:val="00C756E1"/>
    <w:rsid w:val="00C77152"/>
    <w:rsid w:val="00C771E6"/>
    <w:rsid w:val="00C7724F"/>
    <w:rsid w:val="00C77398"/>
    <w:rsid w:val="00C77B42"/>
    <w:rsid w:val="00C77FC3"/>
    <w:rsid w:val="00C80152"/>
    <w:rsid w:val="00C802A2"/>
    <w:rsid w:val="00C80351"/>
    <w:rsid w:val="00C8079B"/>
    <w:rsid w:val="00C80E45"/>
    <w:rsid w:val="00C8100A"/>
    <w:rsid w:val="00C811A7"/>
    <w:rsid w:val="00C813FD"/>
    <w:rsid w:val="00C81BF4"/>
    <w:rsid w:val="00C81EBA"/>
    <w:rsid w:val="00C826F1"/>
    <w:rsid w:val="00C82D56"/>
    <w:rsid w:val="00C8340F"/>
    <w:rsid w:val="00C83443"/>
    <w:rsid w:val="00C838C1"/>
    <w:rsid w:val="00C83AA0"/>
    <w:rsid w:val="00C83DCB"/>
    <w:rsid w:val="00C841D2"/>
    <w:rsid w:val="00C84206"/>
    <w:rsid w:val="00C84281"/>
    <w:rsid w:val="00C84934"/>
    <w:rsid w:val="00C84BE1"/>
    <w:rsid w:val="00C84CF5"/>
    <w:rsid w:val="00C84D0B"/>
    <w:rsid w:val="00C84DA8"/>
    <w:rsid w:val="00C85D49"/>
    <w:rsid w:val="00C862BF"/>
    <w:rsid w:val="00C868F0"/>
    <w:rsid w:val="00C87230"/>
    <w:rsid w:val="00C87CA1"/>
    <w:rsid w:val="00C87CB2"/>
    <w:rsid w:val="00C90716"/>
    <w:rsid w:val="00C924FF"/>
    <w:rsid w:val="00C92646"/>
    <w:rsid w:val="00C9279A"/>
    <w:rsid w:val="00C92C46"/>
    <w:rsid w:val="00C92D17"/>
    <w:rsid w:val="00C92EF6"/>
    <w:rsid w:val="00C9303B"/>
    <w:rsid w:val="00C9330B"/>
    <w:rsid w:val="00C93586"/>
    <w:rsid w:val="00C93E1B"/>
    <w:rsid w:val="00C93F84"/>
    <w:rsid w:val="00C94517"/>
    <w:rsid w:val="00C945F1"/>
    <w:rsid w:val="00C945F9"/>
    <w:rsid w:val="00C95194"/>
    <w:rsid w:val="00C95AC1"/>
    <w:rsid w:val="00C95E55"/>
    <w:rsid w:val="00C9678D"/>
    <w:rsid w:val="00C96C45"/>
    <w:rsid w:val="00C96EDE"/>
    <w:rsid w:val="00C96FDA"/>
    <w:rsid w:val="00C978A7"/>
    <w:rsid w:val="00C97CAA"/>
    <w:rsid w:val="00CA030E"/>
    <w:rsid w:val="00CA11F4"/>
    <w:rsid w:val="00CA1361"/>
    <w:rsid w:val="00CA179E"/>
    <w:rsid w:val="00CA1950"/>
    <w:rsid w:val="00CA1AE0"/>
    <w:rsid w:val="00CA1B13"/>
    <w:rsid w:val="00CA1F8A"/>
    <w:rsid w:val="00CA29A6"/>
    <w:rsid w:val="00CA345F"/>
    <w:rsid w:val="00CA35EF"/>
    <w:rsid w:val="00CA3911"/>
    <w:rsid w:val="00CA396E"/>
    <w:rsid w:val="00CA3974"/>
    <w:rsid w:val="00CA474C"/>
    <w:rsid w:val="00CA4E9D"/>
    <w:rsid w:val="00CA5053"/>
    <w:rsid w:val="00CA5C5D"/>
    <w:rsid w:val="00CA630C"/>
    <w:rsid w:val="00CA661F"/>
    <w:rsid w:val="00CA6A93"/>
    <w:rsid w:val="00CA6EE1"/>
    <w:rsid w:val="00CA7AD6"/>
    <w:rsid w:val="00CA7E91"/>
    <w:rsid w:val="00CB088E"/>
    <w:rsid w:val="00CB102F"/>
    <w:rsid w:val="00CB10A8"/>
    <w:rsid w:val="00CB112A"/>
    <w:rsid w:val="00CB11DE"/>
    <w:rsid w:val="00CB124F"/>
    <w:rsid w:val="00CB198D"/>
    <w:rsid w:val="00CB2EBC"/>
    <w:rsid w:val="00CB3175"/>
    <w:rsid w:val="00CB3456"/>
    <w:rsid w:val="00CB38C8"/>
    <w:rsid w:val="00CB3D87"/>
    <w:rsid w:val="00CB424C"/>
    <w:rsid w:val="00CB4597"/>
    <w:rsid w:val="00CB45D5"/>
    <w:rsid w:val="00CB56C9"/>
    <w:rsid w:val="00CB5A0A"/>
    <w:rsid w:val="00CB637A"/>
    <w:rsid w:val="00CB63E7"/>
    <w:rsid w:val="00CB6A82"/>
    <w:rsid w:val="00CB6C9A"/>
    <w:rsid w:val="00CB7494"/>
    <w:rsid w:val="00CB789F"/>
    <w:rsid w:val="00CC0407"/>
    <w:rsid w:val="00CC065B"/>
    <w:rsid w:val="00CC0AE2"/>
    <w:rsid w:val="00CC0B57"/>
    <w:rsid w:val="00CC116E"/>
    <w:rsid w:val="00CC13EC"/>
    <w:rsid w:val="00CC1F11"/>
    <w:rsid w:val="00CC2247"/>
    <w:rsid w:val="00CC2A62"/>
    <w:rsid w:val="00CC3221"/>
    <w:rsid w:val="00CC43D5"/>
    <w:rsid w:val="00CC51BD"/>
    <w:rsid w:val="00CC5DCE"/>
    <w:rsid w:val="00CC6121"/>
    <w:rsid w:val="00CC714A"/>
    <w:rsid w:val="00CC7AC6"/>
    <w:rsid w:val="00CD0848"/>
    <w:rsid w:val="00CD0A6E"/>
    <w:rsid w:val="00CD130A"/>
    <w:rsid w:val="00CD15D4"/>
    <w:rsid w:val="00CD1622"/>
    <w:rsid w:val="00CD175C"/>
    <w:rsid w:val="00CD19AD"/>
    <w:rsid w:val="00CD1BCF"/>
    <w:rsid w:val="00CD2538"/>
    <w:rsid w:val="00CD2DA4"/>
    <w:rsid w:val="00CD3223"/>
    <w:rsid w:val="00CD4305"/>
    <w:rsid w:val="00CD542A"/>
    <w:rsid w:val="00CD56D8"/>
    <w:rsid w:val="00CD70D1"/>
    <w:rsid w:val="00CD7160"/>
    <w:rsid w:val="00CD7DFE"/>
    <w:rsid w:val="00CE0072"/>
    <w:rsid w:val="00CE0A9E"/>
    <w:rsid w:val="00CE160B"/>
    <w:rsid w:val="00CE184D"/>
    <w:rsid w:val="00CE1D09"/>
    <w:rsid w:val="00CE1FFE"/>
    <w:rsid w:val="00CE20EE"/>
    <w:rsid w:val="00CE2161"/>
    <w:rsid w:val="00CE2ECA"/>
    <w:rsid w:val="00CE2F0A"/>
    <w:rsid w:val="00CE34D4"/>
    <w:rsid w:val="00CE3AFC"/>
    <w:rsid w:val="00CE3B18"/>
    <w:rsid w:val="00CE3B60"/>
    <w:rsid w:val="00CE4065"/>
    <w:rsid w:val="00CE408F"/>
    <w:rsid w:val="00CE50AE"/>
    <w:rsid w:val="00CE5803"/>
    <w:rsid w:val="00CE58E5"/>
    <w:rsid w:val="00CE5C78"/>
    <w:rsid w:val="00CE707F"/>
    <w:rsid w:val="00CE7146"/>
    <w:rsid w:val="00CE7292"/>
    <w:rsid w:val="00CE7565"/>
    <w:rsid w:val="00CE7C7D"/>
    <w:rsid w:val="00CE7E64"/>
    <w:rsid w:val="00CF0024"/>
    <w:rsid w:val="00CF044E"/>
    <w:rsid w:val="00CF0C6B"/>
    <w:rsid w:val="00CF0D08"/>
    <w:rsid w:val="00CF11E3"/>
    <w:rsid w:val="00CF1D17"/>
    <w:rsid w:val="00CF210C"/>
    <w:rsid w:val="00CF2AC4"/>
    <w:rsid w:val="00CF2DE4"/>
    <w:rsid w:val="00CF31CC"/>
    <w:rsid w:val="00CF35D0"/>
    <w:rsid w:val="00CF3DDD"/>
    <w:rsid w:val="00CF3F87"/>
    <w:rsid w:val="00CF423A"/>
    <w:rsid w:val="00CF482A"/>
    <w:rsid w:val="00CF52EF"/>
    <w:rsid w:val="00CF5BA3"/>
    <w:rsid w:val="00CF5CBD"/>
    <w:rsid w:val="00CF64F7"/>
    <w:rsid w:val="00CF6511"/>
    <w:rsid w:val="00CF7029"/>
    <w:rsid w:val="00CF775B"/>
    <w:rsid w:val="00CF79B0"/>
    <w:rsid w:val="00D00AD0"/>
    <w:rsid w:val="00D00C10"/>
    <w:rsid w:val="00D014AB"/>
    <w:rsid w:val="00D01595"/>
    <w:rsid w:val="00D01CD1"/>
    <w:rsid w:val="00D0259F"/>
    <w:rsid w:val="00D02904"/>
    <w:rsid w:val="00D029A0"/>
    <w:rsid w:val="00D02DCD"/>
    <w:rsid w:val="00D03D51"/>
    <w:rsid w:val="00D03F66"/>
    <w:rsid w:val="00D047B5"/>
    <w:rsid w:val="00D04B1E"/>
    <w:rsid w:val="00D04F69"/>
    <w:rsid w:val="00D05697"/>
    <w:rsid w:val="00D058C7"/>
    <w:rsid w:val="00D06B45"/>
    <w:rsid w:val="00D06CF4"/>
    <w:rsid w:val="00D07036"/>
    <w:rsid w:val="00D0751A"/>
    <w:rsid w:val="00D10544"/>
    <w:rsid w:val="00D105D8"/>
    <w:rsid w:val="00D107F8"/>
    <w:rsid w:val="00D1098F"/>
    <w:rsid w:val="00D10C19"/>
    <w:rsid w:val="00D1258E"/>
    <w:rsid w:val="00D1261C"/>
    <w:rsid w:val="00D13A96"/>
    <w:rsid w:val="00D13AC9"/>
    <w:rsid w:val="00D143D7"/>
    <w:rsid w:val="00D15370"/>
    <w:rsid w:val="00D1556A"/>
    <w:rsid w:val="00D15737"/>
    <w:rsid w:val="00D15A54"/>
    <w:rsid w:val="00D16170"/>
    <w:rsid w:val="00D17503"/>
    <w:rsid w:val="00D17917"/>
    <w:rsid w:val="00D17D94"/>
    <w:rsid w:val="00D20590"/>
    <w:rsid w:val="00D20B3D"/>
    <w:rsid w:val="00D21C13"/>
    <w:rsid w:val="00D21CA2"/>
    <w:rsid w:val="00D22300"/>
    <w:rsid w:val="00D22B25"/>
    <w:rsid w:val="00D22D53"/>
    <w:rsid w:val="00D2365B"/>
    <w:rsid w:val="00D238EB"/>
    <w:rsid w:val="00D239C3"/>
    <w:rsid w:val="00D23E62"/>
    <w:rsid w:val="00D24237"/>
    <w:rsid w:val="00D24AB4"/>
    <w:rsid w:val="00D24D38"/>
    <w:rsid w:val="00D251C0"/>
    <w:rsid w:val="00D25436"/>
    <w:rsid w:val="00D25971"/>
    <w:rsid w:val="00D25E76"/>
    <w:rsid w:val="00D261DD"/>
    <w:rsid w:val="00D26BDF"/>
    <w:rsid w:val="00D27C0E"/>
    <w:rsid w:val="00D27EE3"/>
    <w:rsid w:val="00D27F0B"/>
    <w:rsid w:val="00D301E4"/>
    <w:rsid w:val="00D304B7"/>
    <w:rsid w:val="00D30644"/>
    <w:rsid w:val="00D30697"/>
    <w:rsid w:val="00D30C35"/>
    <w:rsid w:val="00D311DD"/>
    <w:rsid w:val="00D31773"/>
    <w:rsid w:val="00D31904"/>
    <w:rsid w:val="00D319D9"/>
    <w:rsid w:val="00D31C93"/>
    <w:rsid w:val="00D3274B"/>
    <w:rsid w:val="00D32767"/>
    <w:rsid w:val="00D32877"/>
    <w:rsid w:val="00D32892"/>
    <w:rsid w:val="00D329B1"/>
    <w:rsid w:val="00D33344"/>
    <w:rsid w:val="00D337CF"/>
    <w:rsid w:val="00D338F3"/>
    <w:rsid w:val="00D33905"/>
    <w:rsid w:val="00D339B9"/>
    <w:rsid w:val="00D33D9B"/>
    <w:rsid w:val="00D33EA8"/>
    <w:rsid w:val="00D34E1F"/>
    <w:rsid w:val="00D34FD9"/>
    <w:rsid w:val="00D351C4"/>
    <w:rsid w:val="00D35616"/>
    <w:rsid w:val="00D359A4"/>
    <w:rsid w:val="00D363F3"/>
    <w:rsid w:val="00D36955"/>
    <w:rsid w:val="00D36D3D"/>
    <w:rsid w:val="00D36DD8"/>
    <w:rsid w:val="00D36F8E"/>
    <w:rsid w:val="00D37664"/>
    <w:rsid w:val="00D37EB8"/>
    <w:rsid w:val="00D40006"/>
    <w:rsid w:val="00D4002E"/>
    <w:rsid w:val="00D40625"/>
    <w:rsid w:val="00D40F4A"/>
    <w:rsid w:val="00D411B4"/>
    <w:rsid w:val="00D4134D"/>
    <w:rsid w:val="00D414A5"/>
    <w:rsid w:val="00D417DB"/>
    <w:rsid w:val="00D42129"/>
    <w:rsid w:val="00D42164"/>
    <w:rsid w:val="00D42814"/>
    <w:rsid w:val="00D42BBB"/>
    <w:rsid w:val="00D43A3C"/>
    <w:rsid w:val="00D43D9A"/>
    <w:rsid w:val="00D4402C"/>
    <w:rsid w:val="00D444E0"/>
    <w:rsid w:val="00D44AF2"/>
    <w:rsid w:val="00D454D3"/>
    <w:rsid w:val="00D457DF"/>
    <w:rsid w:val="00D458E9"/>
    <w:rsid w:val="00D467BA"/>
    <w:rsid w:val="00D500BB"/>
    <w:rsid w:val="00D5021C"/>
    <w:rsid w:val="00D50446"/>
    <w:rsid w:val="00D5059B"/>
    <w:rsid w:val="00D50B61"/>
    <w:rsid w:val="00D50C7C"/>
    <w:rsid w:val="00D50E05"/>
    <w:rsid w:val="00D50F46"/>
    <w:rsid w:val="00D51216"/>
    <w:rsid w:val="00D513EA"/>
    <w:rsid w:val="00D52ADB"/>
    <w:rsid w:val="00D52C4C"/>
    <w:rsid w:val="00D52D7D"/>
    <w:rsid w:val="00D52E30"/>
    <w:rsid w:val="00D53682"/>
    <w:rsid w:val="00D5380C"/>
    <w:rsid w:val="00D53A48"/>
    <w:rsid w:val="00D53BFC"/>
    <w:rsid w:val="00D53EF2"/>
    <w:rsid w:val="00D543A4"/>
    <w:rsid w:val="00D54555"/>
    <w:rsid w:val="00D54560"/>
    <w:rsid w:val="00D54972"/>
    <w:rsid w:val="00D55170"/>
    <w:rsid w:val="00D55557"/>
    <w:rsid w:val="00D557A7"/>
    <w:rsid w:val="00D560B4"/>
    <w:rsid w:val="00D5628F"/>
    <w:rsid w:val="00D5686B"/>
    <w:rsid w:val="00D568B2"/>
    <w:rsid w:val="00D57512"/>
    <w:rsid w:val="00D57C95"/>
    <w:rsid w:val="00D60404"/>
    <w:rsid w:val="00D607DE"/>
    <w:rsid w:val="00D60D26"/>
    <w:rsid w:val="00D60F09"/>
    <w:rsid w:val="00D61456"/>
    <w:rsid w:val="00D61A32"/>
    <w:rsid w:val="00D61A54"/>
    <w:rsid w:val="00D62101"/>
    <w:rsid w:val="00D6235A"/>
    <w:rsid w:val="00D62FD7"/>
    <w:rsid w:val="00D63082"/>
    <w:rsid w:val="00D63163"/>
    <w:rsid w:val="00D63707"/>
    <w:rsid w:val="00D63A92"/>
    <w:rsid w:val="00D63E16"/>
    <w:rsid w:val="00D64942"/>
    <w:rsid w:val="00D64DF7"/>
    <w:rsid w:val="00D65D07"/>
    <w:rsid w:val="00D66AFD"/>
    <w:rsid w:val="00D67CD2"/>
    <w:rsid w:val="00D700B9"/>
    <w:rsid w:val="00D700DE"/>
    <w:rsid w:val="00D70141"/>
    <w:rsid w:val="00D70412"/>
    <w:rsid w:val="00D7098E"/>
    <w:rsid w:val="00D70B82"/>
    <w:rsid w:val="00D70F54"/>
    <w:rsid w:val="00D70FB3"/>
    <w:rsid w:val="00D7155F"/>
    <w:rsid w:val="00D71845"/>
    <w:rsid w:val="00D71910"/>
    <w:rsid w:val="00D719B0"/>
    <w:rsid w:val="00D72224"/>
    <w:rsid w:val="00D72A90"/>
    <w:rsid w:val="00D72AB9"/>
    <w:rsid w:val="00D731F5"/>
    <w:rsid w:val="00D7323C"/>
    <w:rsid w:val="00D73544"/>
    <w:rsid w:val="00D73A11"/>
    <w:rsid w:val="00D74356"/>
    <w:rsid w:val="00D75C86"/>
    <w:rsid w:val="00D75D2F"/>
    <w:rsid w:val="00D76417"/>
    <w:rsid w:val="00D76471"/>
    <w:rsid w:val="00D76DBA"/>
    <w:rsid w:val="00D76E8B"/>
    <w:rsid w:val="00D7753A"/>
    <w:rsid w:val="00D77585"/>
    <w:rsid w:val="00D779B1"/>
    <w:rsid w:val="00D80AFC"/>
    <w:rsid w:val="00D81132"/>
    <w:rsid w:val="00D81962"/>
    <w:rsid w:val="00D82912"/>
    <w:rsid w:val="00D82C56"/>
    <w:rsid w:val="00D8332D"/>
    <w:rsid w:val="00D83635"/>
    <w:rsid w:val="00D84594"/>
    <w:rsid w:val="00D84842"/>
    <w:rsid w:val="00D8579B"/>
    <w:rsid w:val="00D86A05"/>
    <w:rsid w:val="00D87C90"/>
    <w:rsid w:val="00D87F7E"/>
    <w:rsid w:val="00D90350"/>
    <w:rsid w:val="00D90509"/>
    <w:rsid w:val="00D906CA"/>
    <w:rsid w:val="00D90824"/>
    <w:rsid w:val="00D91B03"/>
    <w:rsid w:val="00D91E94"/>
    <w:rsid w:val="00D929C4"/>
    <w:rsid w:val="00D92C60"/>
    <w:rsid w:val="00D92F9D"/>
    <w:rsid w:val="00D938F9"/>
    <w:rsid w:val="00D93BCD"/>
    <w:rsid w:val="00D93C6F"/>
    <w:rsid w:val="00D93FE7"/>
    <w:rsid w:val="00D945A0"/>
    <w:rsid w:val="00D94709"/>
    <w:rsid w:val="00D94904"/>
    <w:rsid w:val="00D9509A"/>
    <w:rsid w:val="00D9518A"/>
    <w:rsid w:val="00D957AC"/>
    <w:rsid w:val="00D95BA3"/>
    <w:rsid w:val="00D963B2"/>
    <w:rsid w:val="00D96F6B"/>
    <w:rsid w:val="00D96F93"/>
    <w:rsid w:val="00D97392"/>
    <w:rsid w:val="00D97970"/>
    <w:rsid w:val="00D97C60"/>
    <w:rsid w:val="00D97FEB"/>
    <w:rsid w:val="00DA0674"/>
    <w:rsid w:val="00DA096F"/>
    <w:rsid w:val="00DA0C58"/>
    <w:rsid w:val="00DA0EEA"/>
    <w:rsid w:val="00DA20D5"/>
    <w:rsid w:val="00DA23ED"/>
    <w:rsid w:val="00DA30FF"/>
    <w:rsid w:val="00DA31F7"/>
    <w:rsid w:val="00DA336B"/>
    <w:rsid w:val="00DA33AF"/>
    <w:rsid w:val="00DA33C6"/>
    <w:rsid w:val="00DA34B8"/>
    <w:rsid w:val="00DA37F0"/>
    <w:rsid w:val="00DA387F"/>
    <w:rsid w:val="00DA39CD"/>
    <w:rsid w:val="00DA3ACA"/>
    <w:rsid w:val="00DA41BC"/>
    <w:rsid w:val="00DA45B9"/>
    <w:rsid w:val="00DA4A61"/>
    <w:rsid w:val="00DA4C1E"/>
    <w:rsid w:val="00DA501C"/>
    <w:rsid w:val="00DA53EE"/>
    <w:rsid w:val="00DA57F6"/>
    <w:rsid w:val="00DA585C"/>
    <w:rsid w:val="00DA602B"/>
    <w:rsid w:val="00DA6204"/>
    <w:rsid w:val="00DA690C"/>
    <w:rsid w:val="00DA6E86"/>
    <w:rsid w:val="00DA7AED"/>
    <w:rsid w:val="00DA7C57"/>
    <w:rsid w:val="00DA7E3E"/>
    <w:rsid w:val="00DA7F4B"/>
    <w:rsid w:val="00DB03E8"/>
    <w:rsid w:val="00DB0A5F"/>
    <w:rsid w:val="00DB1598"/>
    <w:rsid w:val="00DB182B"/>
    <w:rsid w:val="00DB186A"/>
    <w:rsid w:val="00DB1B31"/>
    <w:rsid w:val="00DB20A4"/>
    <w:rsid w:val="00DB2A41"/>
    <w:rsid w:val="00DB2F3A"/>
    <w:rsid w:val="00DB35F6"/>
    <w:rsid w:val="00DB4720"/>
    <w:rsid w:val="00DB5052"/>
    <w:rsid w:val="00DB5381"/>
    <w:rsid w:val="00DB553A"/>
    <w:rsid w:val="00DB5769"/>
    <w:rsid w:val="00DB578C"/>
    <w:rsid w:val="00DB653C"/>
    <w:rsid w:val="00DB6674"/>
    <w:rsid w:val="00DB6863"/>
    <w:rsid w:val="00DB6945"/>
    <w:rsid w:val="00DB6F46"/>
    <w:rsid w:val="00DB74EF"/>
    <w:rsid w:val="00DB7D0F"/>
    <w:rsid w:val="00DC083C"/>
    <w:rsid w:val="00DC0918"/>
    <w:rsid w:val="00DC1435"/>
    <w:rsid w:val="00DC1708"/>
    <w:rsid w:val="00DC1A28"/>
    <w:rsid w:val="00DC1A2F"/>
    <w:rsid w:val="00DC1C67"/>
    <w:rsid w:val="00DC1C9E"/>
    <w:rsid w:val="00DC21CB"/>
    <w:rsid w:val="00DC2337"/>
    <w:rsid w:val="00DC27A8"/>
    <w:rsid w:val="00DC286D"/>
    <w:rsid w:val="00DC2C39"/>
    <w:rsid w:val="00DC2E6C"/>
    <w:rsid w:val="00DC2E88"/>
    <w:rsid w:val="00DC2FFE"/>
    <w:rsid w:val="00DC304C"/>
    <w:rsid w:val="00DC3124"/>
    <w:rsid w:val="00DC3FF4"/>
    <w:rsid w:val="00DC4A79"/>
    <w:rsid w:val="00DC4F1B"/>
    <w:rsid w:val="00DC5691"/>
    <w:rsid w:val="00DC5BF4"/>
    <w:rsid w:val="00DC5E2B"/>
    <w:rsid w:val="00DC5F77"/>
    <w:rsid w:val="00DC6A8F"/>
    <w:rsid w:val="00DC72E3"/>
    <w:rsid w:val="00DC77D0"/>
    <w:rsid w:val="00DC7F9A"/>
    <w:rsid w:val="00DD04E8"/>
    <w:rsid w:val="00DD052C"/>
    <w:rsid w:val="00DD0894"/>
    <w:rsid w:val="00DD0C61"/>
    <w:rsid w:val="00DD1273"/>
    <w:rsid w:val="00DD14C8"/>
    <w:rsid w:val="00DD1973"/>
    <w:rsid w:val="00DD1DE3"/>
    <w:rsid w:val="00DD2178"/>
    <w:rsid w:val="00DD2466"/>
    <w:rsid w:val="00DD2903"/>
    <w:rsid w:val="00DD3092"/>
    <w:rsid w:val="00DD34F7"/>
    <w:rsid w:val="00DD3C6C"/>
    <w:rsid w:val="00DD3FD5"/>
    <w:rsid w:val="00DD417A"/>
    <w:rsid w:val="00DD428C"/>
    <w:rsid w:val="00DD467C"/>
    <w:rsid w:val="00DD484E"/>
    <w:rsid w:val="00DD4859"/>
    <w:rsid w:val="00DD4B48"/>
    <w:rsid w:val="00DD588B"/>
    <w:rsid w:val="00DD5B84"/>
    <w:rsid w:val="00DD5D38"/>
    <w:rsid w:val="00DD5E10"/>
    <w:rsid w:val="00DD6292"/>
    <w:rsid w:val="00DD6884"/>
    <w:rsid w:val="00DD7088"/>
    <w:rsid w:val="00DD73DA"/>
    <w:rsid w:val="00DD7B31"/>
    <w:rsid w:val="00DD7E3B"/>
    <w:rsid w:val="00DD7FED"/>
    <w:rsid w:val="00DE0213"/>
    <w:rsid w:val="00DE0643"/>
    <w:rsid w:val="00DE122B"/>
    <w:rsid w:val="00DE12DD"/>
    <w:rsid w:val="00DE177F"/>
    <w:rsid w:val="00DE1AF6"/>
    <w:rsid w:val="00DE1D8D"/>
    <w:rsid w:val="00DE2022"/>
    <w:rsid w:val="00DE27EE"/>
    <w:rsid w:val="00DE2C8C"/>
    <w:rsid w:val="00DE3119"/>
    <w:rsid w:val="00DE325B"/>
    <w:rsid w:val="00DE3588"/>
    <w:rsid w:val="00DE3964"/>
    <w:rsid w:val="00DE487C"/>
    <w:rsid w:val="00DE4D27"/>
    <w:rsid w:val="00DE5B51"/>
    <w:rsid w:val="00DE5B9D"/>
    <w:rsid w:val="00DE5D7B"/>
    <w:rsid w:val="00DE6510"/>
    <w:rsid w:val="00DE66E8"/>
    <w:rsid w:val="00DE6DAC"/>
    <w:rsid w:val="00DE6EB1"/>
    <w:rsid w:val="00DE79F7"/>
    <w:rsid w:val="00DE7C00"/>
    <w:rsid w:val="00DE7EFC"/>
    <w:rsid w:val="00DE7F03"/>
    <w:rsid w:val="00DF0650"/>
    <w:rsid w:val="00DF06B9"/>
    <w:rsid w:val="00DF15C3"/>
    <w:rsid w:val="00DF191C"/>
    <w:rsid w:val="00DF1D28"/>
    <w:rsid w:val="00DF1FAE"/>
    <w:rsid w:val="00DF2195"/>
    <w:rsid w:val="00DF3086"/>
    <w:rsid w:val="00DF31F2"/>
    <w:rsid w:val="00DF3713"/>
    <w:rsid w:val="00DF3EFC"/>
    <w:rsid w:val="00DF4D9A"/>
    <w:rsid w:val="00DF55AF"/>
    <w:rsid w:val="00DF5776"/>
    <w:rsid w:val="00DF5E4C"/>
    <w:rsid w:val="00DF601E"/>
    <w:rsid w:val="00DF6057"/>
    <w:rsid w:val="00DF6355"/>
    <w:rsid w:val="00DF6A19"/>
    <w:rsid w:val="00DF6CE3"/>
    <w:rsid w:val="00DF73B0"/>
    <w:rsid w:val="00DF7BF8"/>
    <w:rsid w:val="00DF7F04"/>
    <w:rsid w:val="00DF7F11"/>
    <w:rsid w:val="00E0003B"/>
    <w:rsid w:val="00E0032C"/>
    <w:rsid w:val="00E00484"/>
    <w:rsid w:val="00E00543"/>
    <w:rsid w:val="00E005E1"/>
    <w:rsid w:val="00E013F6"/>
    <w:rsid w:val="00E01942"/>
    <w:rsid w:val="00E02122"/>
    <w:rsid w:val="00E023B3"/>
    <w:rsid w:val="00E0259B"/>
    <w:rsid w:val="00E02FE1"/>
    <w:rsid w:val="00E03107"/>
    <w:rsid w:val="00E03465"/>
    <w:rsid w:val="00E035D6"/>
    <w:rsid w:val="00E03B2A"/>
    <w:rsid w:val="00E03C39"/>
    <w:rsid w:val="00E03F9F"/>
    <w:rsid w:val="00E03FA0"/>
    <w:rsid w:val="00E045B3"/>
    <w:rsid w:val="00E045DA"/>
    <w:rsid w:val="00E0525B"/>
    <w:rsid w:val="00E05D26"/>
    <w:rsid w:val="00E05D44"/>
    <w:rsid w:val="00E06C72"/>
    <w:rsid w:val="00E06C99"/>
    <w:rsid w:val="00E0709A"/>
    <w:rsid w:val="00E072CF"/>
    <w:rsid w:val="00E07DCF"/>
    <w:rsid w:val="00E10182"/>
    <w:rsid w:val="00E10196"/>
    <w:rsid w:val="00E1044C"/>
    <w:rsid w:val="00E109CA"/>
    <w:rsid w:val="00E10F5B"/>
    <w:rsid w:val="00E11535"/>
    <w:rsid w:val="00E11A56"/>
    <w:rsid w:val="00E121CA"/>
    <w:rsid w:val="00E1257D"/>
    <w:rsid w:val="00E1262F"/>
    <w:rsid w:val="00E1290B"/>
    <w:rsid w:val="00E12C1F"/>
    <w:rsid w:val="00E13B6E"/>
    <w:rsid w:val="00E13C99"/>
    <w:rsid w:val="00E13F54"/>
    <w:rsid w:val="00E144AB"/>
    <w:rsid w:val="00E144BD"/>
    <w:rsid w:val="00E1464F"/>
    <w:rsid w:val="00E14C11"/>
    <w:rsid w:val="00E1529B"/>
    <w:rsid w:val="00E153B6"/>
    <w:rsid w:val="00E1545B"/>
    <w:rsid w:val="00E1614A"/>
    <w:rsid w:val="00E16A3F"/>
    <w:rsid w:val="00E16FA0"/>
    <w:rsid w:val="00E171AA"/>
    <w:rsid w:val="00E17646"/>
    <w:rsid w:val="00E1770B"/>
    <w:rsid w:val="00E1796F"/>
    <w:rsid w:val="00E17E55"/>
    <w:rsid w:val="00E208C7"/>
    <w:rsid w:val="00E20969"/>
    <w:rsid w:val="00E20BE7"/>
    <w:rsid w:val="00E20C15"/>
    <w:rsid w:val="00E21169"/>
    <w:rsid w:val="00E218AE"/>
    <w:rsid w:val="00E21B00"/>
    <w:rsid w:val="00E21F68"/>
    <w:rsid w:val="00E229A0"/>
    <w:rsid w:val="00E22D3A"/>
    <w:rsid w:val="00E23917"/>
    <w:rsid w:val="00E2396C"/>
    <w:rsid w:val="00E2457B"/>
    <w:rsid w:val="00E24707"/>
    <w:rsid w:val="00E24817"/>
    <w:rsid w:val="00E24B63"/>
    <w:rsid w:val="00E25011"/>
    <w:rsid w:val="00E2507D"/>
    <w:rsid w:val="00E25115"/>
    <w:rsid w:val="00E252B9"/>
    <w:rsid w:val="00E25867"/>
    <w:rsid w:val="00E25BDC"/>
    <w:rsid w:val="00E25CE0"/>
    <w:rsid w:val="00E26495"/>
    <w:rsid w:val="00E265E9"/>
    <w:rsid w:val="00E2711F"/>
    <w:rsid w:val="00E2737B"/>
    <w:rsid w:val="00E27B05"/>
    <w:rsid w:val="00E30129"/>
    <w:rsid w:val="00E307D4"/>
    <w:rsid w:val="00E30945"/>
    <w:rsid w:val="00E3095B"/>
    <w:rsid w:val="00E31955"/>
    <w:rsid w:val="00E31A05"/>
    <w:rsid w:val="00E321B3"/>
    <w:rsid w:val="00E3258B"/>
    <w:rsid w:val="00E328F6"/>
    <w:rsid w:val="00E3297E"/>
    <w:rsid w:val="00E32CDA"/>
    <w:rsid w:val="00E32EE3"/>
    <w:rsid w:val="00E32EE5"/>
    <w:rsid w:val="00E33030"/>
    <w:rsid w:val="00E33167"/>
    <w:rsid w:val="00E33830"/>
    <w:rsid w:val="00E33E23"/>
    <w:rsid w:val="00E347E6"/>
    <w:rsid w:val="00E3483B"/>
    <w:rsid w:val="00E35203"/>
    <w:rsid w:val="00E35729"/>
    <w:rsid w:val="00E35DED"/>
    <w:rsid w:val="00E3606D"/>
    <w:rsid w:val="00E3645F"/>
    <w:rsid w:val="00E3686C"/>
    <w:rsid w:val="00E36C52"/>
    <w:rsid w:val="00E37287"/>
    <w:rsid w:val="00E37B6F"/>
    <w:rsid w:val="00E37E60"/>
    <w:rsid w:val="00E404F8"/>
    <w:rsid w:val="00E40685"/>
    <w:rsid w:val="00E40AA4"/>
    <w:rsid w:val="00E40AB1"/>
    <w:rsid w:val="00E40AC6"/>
    <w:rsid w:val="00E40F9D"/>
    <w:rsid w:val="00E41746"/>
    <w:rsid w:val="00E41879"/>
    <w:rsid w:val="00E420AA"/>
    <w:rsid w:val="00E4227F"/>
    <w:rsid w:val="00E428AD"/>
    <w:rsid w:val="00E42E83"/>
    <w:rsid w:val="00E43132"/>
    <w:rsid w:val="00E431B9"/>
    <w:rsid w:val="00E433C1"/>
    <w:rsid w:val="00E43722"/>
    <w:rsid w:val="00E439EC"/>
    <w:rsid w:val="00E43AB3"/>
    <w:rsid w:val="00E43C32"/>
    <w:rsid w:val="00E43C79"/>
    <w:rsid w:val="00E44664"/>
    <w:rsid w:val="00E44F2F"/>
    <w:rsid w:val="00E45737"/>
    <w:rsid w:val="00E467D3"/>
    <w:rsid w:val="00E46B38"/>
    <w:rsid w:val="00E46BF7"/>
    <w:rsid w:val="00E46D33"/>
    <w:rsid w:val="00E4737A"/>
    <w:rsid w:val="00E47726"/>
    <w:rsid w:val="00E47A0F"/>
    <w:rsid w:val="00E47A7B"/>
    <w:rsid w:val="00E47BFA"/>
    <w:rsid w:val="00E500A3"/>
    <w:rsid w:val="00E5031F"/>
    <w:rsid w:val="00E50830"/>
    <w:rsid w:val="00E50C4A"/>
    <w:rsid w:val="00E51070"/>
    <w:rsid w:val="00E51702"/>
    <w:rsid w:val="00E51C09"/>
    <w:rsid w:val="00E51E80"/>
    <w:rsid w:val="00E51EFF"/>
    <w:rsid w:val="00E5262F"/>
    <w:rsid w:val="00E529AB"/>
    <w:rsid w:val="00E52A6A"/>
    <w:rsid w:val="00E535A5"/>
    <w:rsid w:val="00E5393F"/>
    <w:rsid w:val="00E53B4F"/>
    <w:rsid w:val="00E53B8E"/>
    <w:rsid w:val="00E540B4"/>
    <w:rsid w:val="00E54276"/>
    <w:rsid w:val="00E54B2C"/>
    <w:rsid w:val="00E54E14"/>
    <w:rsid w:val="00E55894"/>
    <w:rsid w:val="00E5594C"/>
    <w:rsid w:val="00E55B75"/>
    <w:rsid w:val="00E56701"/>
    <w:rsid w:val="00E567E9"/>
    <w:rsid w:val="00E56A22"/>
    <w:rsid w:val="00E56E0C"/>
    <w:rsid w:val="00E57DB1"/>
    <w:rsid w:val="00E600F5"/>
    <w:rsid w:val="00E61373"/>
    <w:rsid w:val="00E61C4A"/>
    <w:rsid w:val="00E61E89"/>
    <w:rsid w:val="00E62055"/>
    <w:rsid w:val="00E62646"/>
    <w:rsid w:val="00E632EC"/>
    <w:rsid w:val="00E635E5"/>
    <w:rsid w:val="00E63C9B"/>
    <w:rsid w:val="00E64142"/>
    <w:rsid w:val="00E64240"/>
    <w:rsid w:val="00E648CF"/>
    <w:rsid w:val="00E64BE4"/>
    <w:rsid w:val="00E64E82"/>
    <w:rsid w:val="00E65509"/>
    <w:rsid w:val="00E65CE4"/>
    <w:rsid w:val="00E666F3"/>
    <w:rsid w:val="00E66B52"/>
    <w:rsid w:val="00E67475"/>
    <w:rsid w:val="00E67C5D"/>
    <w:rsid w:val="00E67D5D"/>
    <w:rsid w:val="00E67FC9"/>
    <w:rsid w:val="00E70009"/>
    <w:rsid w:val="00E703CB"/>
    <w:rsid w:val="00E705A7"/>
    <w:rsid w:val="00E705D1"/>
    <w:rsid w:val="00E70CE5"/>
    <w:rsid w:val="00E70F81"/>
    <w:rsid w:val="00E72660"/>
    <w:rsid w:val="00E73209"/>
    <w:rsid w:val="00E73641"/>
    <w:rsid w:val="00E7369E"/>
    <w:rsid w:val="00E73DEC"/>
    <w:rsid w:val="00E74323"/>
    <w:rsid w:val="00E74882"/>
    <w:rsid w:val="00E750AC"/>
    <w:rsid w:val="00E75187"/>
    <w:rsid w:val="00E7564B"/>
    <w:rsid w:val="00E75711"/>
    <w:rsid w:val="00E759A1"/>
    <w:rsid w:val="00E75B2F"/>
    <w:rsid w:val="00E75D26"/>
    <w:rsid w:val="00E76559"/>
    <w:rsid w:val="00E77235"/>
    <w:rsid w:val="00E77D18"/>
    <w:rsid w:val="00E8039C"/>
    <w:rsid w:val="00E80AAC"/>
    <w:rsid w:val="00E80BF3"/>
    <w:rsid w:val="00E80D47"/>
    <w:rsid w:val="00E81023"/>
    <w:rsid w:val="00E81529"/>
    <w:rsid w:val="00E81C25"/>
    <w:rsid w:val="00E81E0A"/>
    <w:rsid w:val="00E820DD"/>
    <w:rsid w:val="00E82EA0"/>
    <w:rsid w:val="00E8337F"/>
    <w:rsid w:val="00E837FB"/>
    <w:rsid w:val="00E83882"/>
    <w:rsid w:val="00E8404F"/>
    <w:rsid w:val="00E845C8"/>
    <w:rsid w:val="00E84740"/>
    <w:rsid w:val="00E8491E"/>
    <w:rsid w:val="00E85375"/>
    <w:rsid w:val="00E85842"/>
    <w:rsid w:val="00E85976"/>
    <w:rsid w:val="00E85A79"/>
    <w:rsid w:val="00E86257"/>
    <w:rsid w:val="00E86313"/>
    <w:rsid w:val="00E86353"/>
    <w:rsid w:val="00E868EB"/>
    <w:rsid w:val="00E86DBD"/>
    <w:rsid w:val="00E86F82"/>
    <w:rsid w:val="00E8709D"/>
    <w:rsid w:val="00E875CA"/>
    <w:rsid w:val="00E87778"/>
    <w:rsid w:val="00E87D7D"/>
    <w:rsid w:val="00E900BD"/>
    <w:rsid w:val="00E90FCA"/>
    <w:rsid w:val="00E90FDB"/>
    <w:rsid w:val="00E912A3"/>
    <w:rsid w:val="00E914BB"/>
    <w:rsid w:val="00E9196B"/>
    <w:rsid w:val="00E91B64"/>
    <w:rsid w:val="00E91D70"/>
    <w:rsid w:val="00E9260F"/>
    <w:rsid w:val="00E92A53"/>
    <w:rsid w:val="00E92B71"/>
    <w:rsid w:val="00E9310F"/>
    <w:rsid w:val="00E93146"/>
    <w:rsid w:val="00E931BE"/>
    <w:rsid w:val="00E937D1"/>
    <w:rsid w:val="00E93BA6"/>
    <w:rsid w:val="00E93E08"/>
    <w:rsid w:val="00E94376"/>
    <w:rsid w:val="00E9444D"/>
    <w:rsid w:val="00E94457"/>
    <w:rsid w:val="00E94B40"/>
    <w:rsid w:val="00E961A7"/>
    <w:rsid w:val="00E96203"/>
    <w:rsid w:val="00EA0088"/>
    <w:rsid w:val="00EA05E6"/>
    <w:rsid w:val="00EA0735"/>
    <w:rsid w:val="00EA0A6F"/>
    <w:rsid w:val="00EA0C0B"/>
    <w:rsid w:val="00EA0D7F"/>
    <w:rsid w:val="00EA142B"/>
    <w:rsid w:val="00EA1506"/>
    <w:rsid w:val="00EA19A4"/>
    <w:rsid w:val="00EA19B0"/>
    <w:rsid w:val="00EA23D1"/>
    <w:rsid w:val="00EA269F"/>
    <w:rsid w:val="00EA26BA"/>
    <w:rsid w:val="00EA35FF"/>
    <w:rsid w:val="00EA3912"/>
    <w:rsid w:val="00EA3CE0"/>
    <w:rsid w:val="00EA4B13"/>
    <w:rsid w:val="00EA52EF"/>
    <w:rsid w:val="00EA5ABA"/>
    <w:rsid w:val="00EA5F6C"/>
    <w:rsid w:val="00EA6062"/>
    <w:rsid w:val="00EA63C5"/>
    <w:rsid w:val="00EA65B2"/>
    <w:rsid w:val="00EA67CC"/>
    <w:rsid w:val="00EA67D7"/>
    <w:rsid w:val="00EA6F1E"/>
    <w:rsid w:val="00EA7144"/>
    <w:rsid w:val="00EA7972"/>
    <w:rsid w:val="00EB0476"/>
    <w:rsid w:val="00EB05F4"/>
    <w:rsid w:val="00EB083E"/>
    <w:rsid w:val="00EB092E"/>
    <w:rsid w:val="00EB15B7"/>
    <w:rsid w:val="00EB1837"/>
    <w:rsid w:val="00EB1D99"/>
    <w:rsid w:val="00EB24A6"/>
    <w:rsid w:val="00EB2D1D"/>
    <w:rsid w:val="00EB2EBD"/>
    <w:rsid w:val="00EB3247"/>
    <w:rsid w:val="00EB36FA"/>
    <w:rsid w:val="00EB372F"/>
    <w:rsid w:val="00EB3BEB"/>
    <w:rsid w:val="00EB3DF4"/>
    <w:rsid w:val="00EB42A3"/>
    <w:rsid w:val="00EB4578"/>
    <w:rsid w:val="00EB4B60"/>
    <w:rsid w:val="00EB53F3"/>
    <w:rsid w:val="00EB586C"/>
    <w:rsid w:val="00EB5DCF"/>
    <w:rsid w:val="00EB7453"/>
    <w:rsid w:val="00EB7624"/>
    <w:rsid w:val="00EB7F91"/>
    <w:rsid w:val="00EC0463"/>
    <w:rsid w:val="00EC0893"/>
    <w:rsid w:val="00EC0918"/>
    <w:rsid w:val="00EC0CCB"/>
    <w:rsid w:val="00EC112D"/>
    <w:rsid w:val="00EC1797"/>
    <w:rsid w:val="00EC18C8"/>
    <w:rsid w:val="00EC19C6"/>
    <w:rsid w:val="00EC1B30"/>
    <w:rsid w:val="00EC2791"/>
    <w:rsid w:val="00EC2C09"/>
    <w:rsid w:val="00EC35BC"/>
    <w:rsid w:val="00EC37B5"/>
    <w:rsid w:val="00EC4009"/>
    <w:rsid w:val="00EC4063"/>
    <w:rsid w:val="00EC4231"/>
    <w:rsid w:val="00EC498D"/>
    <w:rsid w:val="00EC4FF3"/>
    <w:rsid w:val="00EC54AE"/>
    <w:rsid w:val="00EC54BC"/>
    <w:rsid w:val="00EC5B09"/>
    <w:rsid w:val="00EC6506"/>
    <w:rsid w:val="00EC70AB"/>
    <w:rsid w:val="00EC729E"/>
    <w:rsid w:val="00EC76B1"/>
    <w:rsid w:val="00EC7A94"/>
    <w:rsid w:val="00EC7D3F"/>
    <w:rsid w:val="00EC7DC1"/>
    <w:rsid w:val="00ED022A"/>
    <w:rsid w:val="00ED0506"/>
    <w:rsid w:val="00ED0CD7"/>
    <w:rsid w:val="00ED0F47"/>
    <w:rsid w:val="00ED1C5F"/>
    <w:rsid w:val="00ED2634"/>
    <w:rsid w:val="00ED2814"/>
    <w:rsid w:val="00ED2C3A"/>
    <w:rsid w:val="00ED2CAB"/>
    <w:rsid w:val="00ED2CF5"/>
    <w:rsid w:val="00ED2F8A"/>
    <w:rsid w:val="00ED37D8"/>
    <w:rsid w:val="00ED4478"/>
    <w:rsid w:val="00ED44C5"/>
    <w:rsid w:val="00ED483A"/>
    <w:rsid w:val="00ED4A10"/>
    <w:rsid w:val="00ED4C44"/>
    <w:rsid w:val="00ED500C"/>
    <w:rsid w:val="00ED5582"/>
    <w:rsid w:val="00ED5A75"/>
    <w:rsid w:val="00ED5AC4"/>
    <w:rsid w:val="00ED6C7D"/>
    <w:rsid w:val="00ED6E40"/>
    <w:rsid w:val="00ED7B55"/>
    <w:rsid w:val="00EE0422"/>
    <w:rsid w:val="00EE05FB"/>
    <w:rsid w:val="00EE087F"/>
    <w:rsid w:val="00EE1399"/>
    <w:rsid w:val="00EE1541"/>
    <w:rsid w:val="00EE1C12"/>
    <w:rsid w:val="00EE1CD2"/>
    <w:rsid w:val="00EE1E92"/>
    <w:rsid w:val="00EE2AF0"/>
    <w:rsid w:val="00EE3B25"/>
    <w:rsid w:val="00EE4387"/>
    <w:rsid w:val="00EE4CFB"/>
    <w:rsid w:val="00EE4ECB"/>
    <w:rsid w:val="00EE5097"/>
    <w:rsid w:val="00EE5A93"/>
    <w:rsid w:val="00EE5E1A"/>
    <w:rsid w:val="00EE5ED7"/>
    <w:rsid w:val="00EE6053"/>
    <w:rsid w:val="00EE661C"/>
    <w:rsid w:val="00EE6DD0"/>
    <w:rsid w:val="00EE7A3C"/>
    <w:rsid w:val="00EF0CE5"/>
    <w:rsid w:val="00EF2059"/>
    <w:rsid w:val="00EF274C"/>
    <w:rsid w:val="00EF2D6D"/>
    <w:rsid w:val="00EF2E92"/>
    <w:rsid w:val="00EF3D98"/>
    <w:rsid w:val="00EF4891"/>
    <w:rsid w:val="00EF4C5D"/>
    <w:rsid w:val="00EF4C98"/>
    <w:rsid w:val="00EF4E73"/>
    <w:rsid w:val="00EF56F5"/>
    <w:rsid w:val="00EF5A82"/>
    <w:rsid w:val="00EF5EBA"/>
    <w:rsid w:val="00EF66C9"/>
    <w:rsid w:val="00EF6D75"/>
    <w:rsid w:val="00EF7048"/>
    <w:rsid w:val="00EF7078"/>
    <w:rsid w:val="00F00A65"/>
    <w:rsid w:val="00F00ACB"/>
    <w:rsid w:val="00F00BB2"/>
    <w:rsid w:val="00F00F19"/>
    <w:rsid w:val="00F010A3"/>
    <w:rsid w:val="00F014F2"/>
    <w:rsid w:val="00F0170B"/>
    <w:rsid w:val="00F01747"/>
    <w:rsid w:val="00F02B6E"/>
    <w:rsid w:val="00F02DF8"/>
    <w:rsid w:val="00F02F9C"/>
    <w:rsid w:val="00F03C42"/>
    <w:rsid w:val="00F03DB2"/>
    <w:rsid w:val="00F04292"/>
    <w:rsid w:val="00F0469D"/>
    <w:rsid w:val="00F0490A"/>
    <w:rsid w:val="00F04B5C"/>
    <w:rsid w:val="00F0593E"/>
    <w:rsid w:val="00F05B66"/>
    <w:rsid w:val="00F0650B"/>
    <w:rsid w:val="00F065D2"/>
    <w:rsid w:val="00F06D4A"/>
    <w:rsid w:val="00F06FB9"/>
    <w:rsid w:val="00F07576"/>
    <w:rsid w:val="00F1033B"/>
    <w:rsid w:val="00F1051C"/>
    <w:rsid w:val="00F10D27"/>
    <w:rsid w:val="00F10E6E"/>
    <w:rsid w:val="00F114F1"/>
    <w:rsid w:val="00F11505"/>
    <w:rsid w:val="00F11545"/>
    <w:rsid w:val="00F1231D"/>
    <w:rsid w:val="00F1240A"/>
    <w:rsid w:val="00F12B9E"/>
    <w:rsid w:val="00F12D54"/>
    <w:rsid w:val="00F13A52"/>
    <w:rsid w:val="00F141F0"/>
    <w:rsid w:val="00F1439F"/>
    <w:rsid w:val="00F1450A"/>
    <w:rsid w:val="00F146D8"/>
    <w:rsid w:val="00F148CE"/>
    <w:rsid w:val="00F15482"/>
    <w:rsid w:val="00F15F6E"/>
    <w:rsid w:val="00F17A97"/>
    <w:rsid w:val="00F17B0F"/>
    <w:rsid w:val="00F17D48"/>
    <w:rsid w:val="00F2012A"/>
    <w:rsid w:val="00F20202"/>
    <w:rsid w:val="00F2031C"/>
    <w:rsid w:val="00F203CC"/>
    <w:rsid w:val="00F20512"/>
    <w:rsid w:val="00F209DC"/>
    <w:rsid w:val="00F2136E"/>
    <w:rsid w:val="00F22782"/>
    <w:rsid w:val="00F2283A"/>
    <w:rsid w:val="00F22A1B"/>
    <w:rsid w:val="00F2357E"/>
    <w:rsid w:val="00F23A1C"/>
    <w:rsid w:val="00F23F48"/>
    <w:rsid w:val="00F24B2A"/>
    <w:rsid w:val="00F24BE0"/>
    <w:rsid w:val="00F24D45"/>
    <w:rsid w:val="00F24DEF"/>
    <w:rsid w:val="00F2561F"/>
    <w:rsid w:val="00F25682"/>
    <w:rsid w:val="00F25CD4"/>
    <w:rsid w:val="00F25EFE"/>
    <w:rsid w:val="00F2728A"/>
    <w:rsid w:val="00F276ED"/>
    <w:rsid w:val="00F30561"/>
    <w:rsid w:val="00F309BC"/>
    <w:rsid w:val="00F30C24"/>
    <w:rsid w:val="00F3126A"/>
    <w:rsid w:val="00F31436"/>
    <w:rsid w:val="00F314C2"/>
    <w:rsid w:val="00F317A4"/>
    <w:rsid w:val="00F32249"/>
    <w:rsid w:val="00F324B8"/>
    <w:rsid w:val="00F327CD"/>
    <w:rsid w:val="00F32A39"/>
    <w:rsid w:val="00F32D12"/>
    <w:rsid w:val="00F34094"/>
    <w:rsid w:val="00F34342"/>
    <w:rsid w:val="00F34719"/>
    <w:rsid w:val="00F34854"/>
    <w:rsid w:val="00F34CE6"/>
    <w:rsid w:val="00F34F6A"/>
    <w:rsid w:val="00F355A0"/>
    <w:rsid w:val="00F36094"/>
    <w:rsid w:val="00F36BDF"/>
    <w:rsid w:val="00F376A9"/>
    <w:rsid w:val="00F377E5"/>
    <w:rsid w:val="00F37977"/>
    <w:rsid w:val="00F37C57"/>
    <w:rsid w:val="00F37F57"/>
    <w:rsid w:val="00F404A6"/>
    <w:rsid w:val="00F40C11"/>
    <w:rsid w:val="00F414FD"/>
    <w:rsid w:val="00F41504"/>
    <w:rsid w:val="00F415D9"/>
    <w:rsid w:val="00F41B77"/>
    <w:rsid w:val="00F41BBA"/>
    <w:rsid w:val="00F42AA4"/>
    <w:rsid w:val="00F43070"/>
    <w:rsid w:val="00F43200"/>
    <w:rsid w:val="00F434A3"/>
    <w:rsid w:val="00F434AA"/>
    <w:rsid w:val="00F438FF"/>
    <w:rsid w:val="00F43A23"/>
    <w:rsid w:val="00F4436E"/>
    <w:rsid w:val="00F44444"/>
    <w:rsid w:val="00F44BE7"/>
    <w:rsid w:val="00F45844"/>
    <w:rsid w:val="00F45D2D"/>
    <w:rsid w:val="00F461C9"/>
    <w:rsid w:val="00F46C01"/>
    <w:rsid w:val="00F47647"/>
    <w:rsid w:val="00F47736"/>
    <w:rsid w:val="00F47761"/>
    <w:rsid w:val="00F5060A"/>
    <w:rsid w:val="00F5101A"/>
    <w:rsid w:val="00F51065"/>
    <w:rsid w:val="00F51387"/>
    <w:rsid w:val="00F51AD9"/>
    <w:rsid w:val="00F51FF7"/>
    <w:rsid w:val="00F523BB"/>
    <w:rsid w:val="00F52418"/>
    <w:rsid w:val="00F52904"/>
    <w:rsid w:val="00F529BE"/>
    <w:rsid w:val="00F532D4"/>
    <w:rsid w:val="00F53439"/>
    <w:rsid w:val="00F534F9"/>
    <w:rsid w:val="00F5351E"/>
    <w:rsid w:val="00F53D60"/>
    <w:rsid w:val="00F54565"/>
    <w:rsid w:val="00F5461D"/>
    <w:rsid w:val="00F546FC"/>
    <w:rsid w:val="00F5473D"/>
    <w:rsid w:val="00F55539"/>
    <w:rsid w:val="00F55D11"/>
    <w:rsid w:val="00F55D14"/>
    <w:rsid w:val="00F56356"/>
    <w:rsid w:val="00F5661B"/>
    <w:rsid w:val="00F567FC"/>
    <w:rsid w:val="00F5777A"/>
    <w:rsid w:val="00F579F3"/>
    <w:rsid w:val="00F57C33"/>
    <w:rsid w:val="00F57C41"/>
    <w:rsid w:val="00F60741"/>
    <w:rsid w:val="00F6161E"/>
    <w:rsid w:val="00F61CC6"/>
    <w:rsid w:val="00F62B90"/>
    <w:rsid w:val="00F63C06"/>
    <w:rsid w:val="00F63C0E"/>
    <w:rsid w:val="00F63DDE"/>
    <w:rsid w:val="00F63EA1"/>
    <w:rsid w:val="00F64673"/>
    <w:rsid w:val="00F64933"/>
    <w:rsid w:val="00F64D01"/>
    <w:rsid w:val="00F653C2"/>
    <w:rsid w:val="00F65CD0"/>
    <w:rsid w:val="00F66345"/>
    <w:rsid w:val="00F66480"/>
    <w:rsid w:val="00F66669"/>
    <w:rsid w:val="00F66BA7"/>
    <w:rsid w:val="00F66FC2"/>
    <w:rsid w:val="00F6714D"/>
    <w:rsid w:val="00F676CF"/>
    <w:rsid w:val="00F67E63"/>
    <w:rsid w:val="00F709A5"/>
    <w:rsid w:val="00F709EC"/>
    <w:rsid w:val="00F70AC2"/>
    <w:rsid w:val="00F70B34"/>
    <w:rsid w:val="00F70E3A"/>
    <w:rsid w:val="00F715F7"/>
    <w:rsid w:val="00F71BC3"/>
    <w:rsid w:val="00F7227C"/>
    <w:rsid w:val="00F72293"/>
    <w:rsid w:val="00F7281C"/>
    <w:rsid w:val="00F72DEE"/>
    <w:rsid w:val="00F73A7E"/>
    <w:rsid w:val="00F73B83"/>
    <w:rsid w:val="00F73BB6"/>
    <w:rsid w:val="00F743AF"/>
    <w:rsid w:val="00F7442E"/>
    <w:rsid w:val="00F749EC"/>
    <w:rsid w:val="00F74CF9"/>
    <w:rsid w:val="00F751E8"/>
    <w:rsid w:val="00F7521C"/>
    <w:rsid w:val="00F75640"/>
    <w:rsid w:val="00F7610C"/>
    <w:rsid w:val="00F77317"/>
    <w:rsid w:val="00F77B0A"/>
    <w:rsid w:val="00F77C82"/>
    <w:rsid w:val="00F77D9D"/>
    <w:rsid w:val="00F77E7D"/>
    <w:rsid w:val="00F80077"/>
    <w:rsid w:val="00F805FE"/>
    <w:rsid w:val="00F82467"/>
    <w:rsid w:val="00F825CA"/>
    <w:rsid w:val="00F828ED"/>
    <w:rsid w:val="00F82AA6"/>
    <w:rsid w:val="00F82D02"/>
    <w:rsid w:val="00F830A0"/>
    <w:rsid w:val="00F83B37"/>
    <w:rsid w:val="00F83D7D"/>
    <w:rsid w:val="00F8408D"/>
    <w:rsid w:val="00F841DC"/>
    <w:rsid w:val="00F845DB"/>
    <w:rsid w:val="00F84A55"/>
    <w:rsid w:val="00F84E73"/>
    <w:rsid w:val="00F85162"/>
    <w:rsid w:val="00F851B4"/>
    <w:rsid w:val="00F85374"/>
    <w:rsid w:val="00F85509"/>
    <w:rsid w:val="00F85D50"/>
    <w:rsid w:val="00F860B8"/>
    <w:rsid w:val="00F86188"/>
    <w:rsid w:val="00F861A4"/>
    <w:rsid w:val="00F86A68"/>
    <w:rsid w:val="00F86E26"/>
    <w:rsid w:val="00F87122"/>
    <w:rsid w:val="00F871D3"/>
    <w:rsid w:val="00F8740C"/>
    <w:rsid w:val="00F875B0"/>
    <w:rsid w:val="00F87C57"/>
    <w:rsid w:val="00F87C86"/>
    <w:rsid w:val="00F87D1E"/>
    <w:rsid w:val="00F9096A"/>
    <w:rsid w:val="00F90D3D"/>
    <w:rsid w:val="00F910A9"/>
    <w:rsid w:val="00F910CB"/>
    <w:rsid w:val="00F91501"/>
    <w:rsid w:val="00F91965"/>
    <w:rsid w:val="00F91987"/>
    <w:rsid w:val="00F91BD8"/>
    <w:rsid w:val="00F92AC1"/>
    <w:rsid w:val="00F92BFB"/>
    <w:rsid w:val="00F92D79"/>
    <w:rsid w:val="00F931C0"/>
    <w:rsid w:val="00F93301"/>
    <w:rsid w:val="00F93A93"/>
    <w:rsid w:val="00F93AA2"/>
    <w:rsid w:val="00F93AED"/>
    <w:rsid w:val="00F940BD"/>
    <w:rsid w:val="00F94BCC"/>
    <w:rsid w:val="00F94D03"/>
    <w:rsid w:val="00F95CDC"/>
    <w:rsid w:val="00F95ED4"/>
    <w:rsid w:val="00F96899"/>
    <w:rsid w:val="00F9765A"/>
    <w:rsid w:val="00F979A9"/>
    <w:rsid w:val="00F97A9F"/>
    <w:rsid w:val="00FA0039"/>
    <w:rsid w:val="00FA0427"/>
    <w:rsid w:val="00FA05EA"/>
    <w:rsid w:val="00FA066C"/>
    <w:rsid w:val="00FA0813"/>
    <w:rsid w:val="00FA18D2"/>
    <w:rsid w:val="00FA19F4"/>
    <w:rsid w:val="00FA1C32"/>
    <w:rsid w:val="00FA1DFC"/>
    <w:rsid w:val="00FA231F"/>
    <w:rsid w:val="00FA254A"/>
    <w:rsid w:val="00FA2D47"/>
    <w:rsid w:val="00FA2E37"/>
    <w:rsid w:val="00FA3260"/>
    <w:rsid w:val="00FA3DB4"/>
    <w:rsid w:val="00FA3FE1"/>
    <w:rsid w:val="00FA53E0"/>
    <w:rsid w:val="00FA677E"/>
    <w:rsid w:val="00FA713A"/>
    <w:rsid w:val="00FA7752"/>
    <w:rsid w:val="00FA7792"/>
    <w:rsid w:val="00FB00BB"/>
    <w:rsid w:val="00FB05DC"/>
    <w:rsid w:val="00FB07D6"/>
    <w:rsid w:val="00FB09DC"/>
    <w:rsid w:val="00FB1091"/>
    <w:rsid w:val="00FB1887"/>
    <w:rsid w:val="00FB228D"/>
    <w:rsid w:val="00FB346E"/>
    <w:rsid w:val="00FB353A"/>
    <w:rsid w:val="00FB3B73"/>
    <w:rsid w:val="00FB5395"/>
    <w:rsid w:val="00FB53D8"/>
    <w:rsid w:val="00FB5DC0"/>
    <w:rsid w:val="00FB5E31"/>
    <w:rsid w:val="00FB5F13"/>
    <w:rsid w:val="00FB6296"/>
    <w:rsid w:val="00FB630C"/>
    <w:rsid w:val="00FB64E1"/>
    <w:rsid w:val="00FB6855"/>
    <w:rsid w:val="00FB6873"/>
    <w:rsid w:val="00FB6910"/>
    <w:rsid w:val="00FB6B94"/>
    <w:rsid w:val="00FB6F1E"/>
    <w:rsid w:val="00FB72E9"/>
    <w:rsid w:val="00FB7734"/>
    <w:rsid w:val="00FB7840"/>
    <w:rsid w:val="00FC0210"/>
    <w:rsid w:val="00FC0349"/>
    <w:rsid w:val="00FC0954"/>
    <w:rsid w:val="00FC0E10"/>
    <w:rsid w:val="00FC1001"/>
    <w:rsid w:val="00FC1118"/>
    <w:rsid w:val="00FC112E"/>
    <w:rsid w:val="00FC11A3"/>
    <w:rsid w:val="00FC1200"/>
    <w:rsid w:val="00FC1555"/>
    <w:rsid w:val="00FC158F"/>
    <w:rsid w:val="00FC1933"/>
    <w:rsid w:val="00FC1BF9"/>
    <w:rsid w:val="00FC1C34"/>
    <w:rsid w:val="00FC1D70"/>
    <w:rsid w:val="00FC2060"/>
    <w:rsid w:val="00FC21EA"/>
    <w:rsid w:val="00FC2519"/>
    <w:rsid w:val="00FC28C2"/>
    <w:rsid w:val="00FC2D2A"/>
    <w:rsid w:val="00FC3578"/>
    <w:rsid w:val="00FC4032"/>
    <w:rsid w:val="00FC4914"/>
    <w:rsid w:val="00FC54C1"/>
    <w:rsid w:val="00FC5BC4"/>
    <w:rsid w:val="00FC5EC5"/>
    <w:rsid w:val="00FC60BB"/>
    <w:rsid w:val="00FC6FE4"/>
    <w:rsid w:val="00FD006B"/>
    <w:rsid w:val="00FD0BE8"/>
    <w:rsid w:val="00FD0DC7"/>
    <w:rsid w:val="00FD0F9E"/>
    <w:rsid w:val="00FD162D"/>
    <w:rsid w:val="00FD1ED6"/>
    <w:rsid w:val="00FD1FB9"/>
    <w:rsid w:val="00FD2368"/>
    <w:rsid w:val="00FD23B6"/>
    <w:rsid w:val="00FD32D1"/>
    <w:rsid w:val="00FD33CA"/>
    <w:rsid w:val="00FD3511"/>
    <w:rsid w:val="00FD35ED"/>
    <w:rsid w:val="00FD3DC9"/>
    <w:rsid w:val="00FD3DEB"/>
    <w:rsid w:val="00FD43D0"/>
    <w:rsid w:val="00FD4C7F"/>
    <w:rsid w:val="00FD4C9F"/>
    <w:rsid w:val="00FD4DFE"/>
    <w:rsid w:val="00FD53CD"/>
    <w:rsid w:val="00FD5448"/>
    <w:rsid w:val="00FD576C"/>
    <w:rsid w:val="00FD57F1"/>
    <w:rsid w:val="00FD66C1"/>
    <w:rsid w:val="00FD694A"/>
    <w:rsid w:val="00FD6CA8"/>
    <w:rsid w:val="00FD70E7"/>
    <w:rsid w:val="00FD7498"/>
    <w:rsid w:val="00FD7621"/>
    <w:rsid w:val="00FD7960"/>
    <w:rsid w:val="00FD7DA0"/>
    <w:rsid w:val="00FE0076"/>
    <w:rsid w:val="00FE0208"/>
    <w:rsid w:val="00FE1047"/>
    <w:rsid w:val="00FE1173"/>
    <w:rsid w:val="00FE130B"/>
    <w:rsid w:val="00FE1381"/>
    <w:rsid w:val="00FE1848"/>
    <w:rsid w:val="00FE1BBB"/>
    <w:rsid w:val="00FE2A8E"/>
    <w:rsid w:val="00FE2D9C"/>
    <w:rsid w:val="00FE36FD"/>
    <w:rsid w:val="00FE3BFD"/>
    <w:rsid w:val="00FE3CAD"/>
    <w:rsid w:val="00FE3E3E"/>
    <w:rsid w:val="00FE41A9"/>
    <w:rsid w:val="00FE4365"/>
    <w:rsid w:val="00FE445D"/>
    <w:rsid w:val="00FE446F"/>
    <w:rsid w:val="00FE481C"/>
    <w:rsid w:val="00FE508E"/>
    <w:rsid w:val="00FE5CAA"/>
    <w:rsid w:val="00FE7FCC"/>
    <w:rsid w:val="00FF01A4"/>
    <w:rsid w:val="00FF0201"/>
    <w:rsid w:val="00FF03DD"/>
    <w:rsid w:val="00FF0C17"/>
    <w:rsid w:val="00FF10AD"/>
    <w:rsid w:val="00FF19F2"/>
    <w:rsid w:val="00FF2207"/>
    <w:rsid w:val="00FF2332"/>
    <w:rsid w:val="00FF261E"/>
    <w:rsid w:val="00FF2715"/>
    <w:rsid w:val="00FF2D3B"/>
    <w:rsid w:val="00FF2FA9"/>
    <w:rsid w:val="00FF34E2"/>
    <w:rsid w:val="00FF382E"/>
    <w:rsid w:val="00FF3BC2"/>
    <w:rsid w:val="00FF4175"/>
    <w:rsid w:val="00FF46C7"/>
    <w:rsid w:val="00FF4FA2"/>
    <w:rsid w:val="00FF50E3"/>
    <w:rsid w:val="00FF51EC"/>
    <w:rsid w:val="00FF53C6"/>
    <w:rsid w:val="00FF54BA"/>
    <w:rsid w:val="00FF550E"/>
    <w:rsid w:val="00FF5B49"/>
    <w:rsid w:val="00FF5F48"/>
    <w:rsid w:val="00FF5FCA"/>
    <w:rsid w:val="00FF73C3"/>
    <w:rsid w:val="00FF75F2"/>
    <w:rsid w:val="00FF7BAA"/>
    <w:rsid w:val="00FF7D67"/>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A76B2"/>
  <w15:docId w15:val="{22BBA0C7-ECC4-4478-8C80-F8E2690F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5EF"/>
    <w:pPr>
      <w:widowControl w:val="0"/>
      <w:spacing w:after="0" w:line="240" w:lineRule="auto"/>
    </w:pPr>
  </w:style>
  <w:style w:type="paragraph" w:styleId="Ttulo1">
    <w:name w:val="heading 1"/>
    <w:aliases w:val="título 1"/>
    <w:basedOn w:val="Normal"/>
    <w:next w:val="Normal"/>
    <w:link w:val="Ttulo1Car"/>
    <w:uiPriority w:val="9"/>
    <w:qFormat/>
    <w:rsid w:val="006475EF"/>
    <w:pPr>
      <w:keepNext/>
      <w:jc w:val="center"/>
      <w:outlineLvl w:val="0"/>
    </w:pPr>
    <w:rPr>
      <w:b/>
      <w:color w:val="000000"/>
      <w:sz w:val="16"/>
    </w:rPr>
  </w:style>
  <w:style w:type="paragraph" w:styleId="Ttulo2">
    <w:name w:val="heading 2"/>
    <w:basedOn w:val="Normal"/>
    <w:next w:val="Normal"/>
    <w:link w:val="Ttulo2Car"/>
    <w:uiPriority w:val="9"/>
    <w:qFormat/>
    <w:rsid w:val="006475EF"/>
    <w:pPr>
      <w:keepNext/>
      <w:outlineLvl w:val="1"/>
    </w:pPr>
    <w:rPr>
      <w:b/>
      <w:color w:val="000000"/>
    </w:rPr>
  </w:style>
  <w:style w:type="paragraph" w:styleId="Ttulo3">
    <w:name w:val="heading 3"/>
    <w:aliases w:val="título 3,Título proyecto,Títul4,Título 3 Sección,I3-3,h3,3,Título 3 Car Car,T3 para doc. Metro,Titulo 3,head:3#,.h3,Headline 3,Bold Head,bh,Títulobis,Map title,ARTICULO,Subsubcapitulo,Título 3_SIGMA,Capít.,Heading 31,heading 5"/>
    <w:basedOn w:val="Normal"/>
    <w:next w:val="Normal"/>
    <w:link w:val="Ttulo3Car"/>
    <w:uiPriority w:val="9"/>
    <w:qFormat/>
    <w:rsid w:val="006475EF"/>
    <w:pPr>
      <w:keepNext/>
      <w:outlineLvl w:val="2"/>
    </w:pPr>
    <w:rPr>
      <w:b/>
      <w:sz w:val="16"/>
      <w:u w:val="single"/>
    </w:rPr>
  </w:style>
  <w:style w:type="paragraph" w:styleId="Ttulo4">
    <w:name w:val="heading 4"/>
    <w:basedOn w:val="Normal"/>
    <w:next w:val="Normal"/>
    <w:link w:val="Ttulo4Car"/>
    <w:uiPriority w:val="9"/>
    <w:qFormat/>
    <w:rsid w:val="006475EF"/>
    <w:pPr>
      <w:keepNext/>
      <w:jc w:val="center"/>
      <w:outlineLvl w:val="3"/>
    </w:pPr>
    <w:rPr>
      <w:b/>
      <w:sz w:val="16"/>
    </w:rPr>
  </w:style>
  <w:style w:type="paragraph" w:styleId="Ttulo5">
    <w:name w:val="heading 5"/>
    <w:basedOn w:val="Normal"/>
    <w:next w:val="Normal"/>
    <w:link w:val="Ttulo5Car"/>
    <w:uiPriority w:val="9"/>
    <w:qFormat/>
    <w:rsid w:val="006475EF"/>
    <w:pPr>
      <w:keepNext/>
      <w:jc w:val="center"/>
      <w:outlineLvl w:val="4"/>
    </w:pPr>
    <w:rPr>
      <w:b/>
      <w:color w:val="0000FF"/>
    </w:rPr>
  </w:style>
  <w:style w:type="paragraph" w:styleId="Ttulo6">
    <w:name w:val="heading 6"/>
    <w:basedOn w:val="Normal"/>
    <w:next w:val="Normal"/>
    <w:link w:val="Ttulo6Car"/>
    <w:uiPriority w:val="9"/>
    <w:qFormat/>
    <w:rsid w:val="006475EF"/>
    <w:pPr>
      <w:keepNext/>
      <w:outlineLvl w:val="5"/>
    </w:pPr>
    <w:rPr>
      <w:b/>
      <w:color w:val="000000"/>
      <w:sz w:val="16"/>
    </w:rPr>
  </w:style>
  <w:style w:type="paragraph" w:styleId="Ttulo7">
    <w:name w:val="heading 7"/>
    <w:basedOn w:val="Normal"/>
    <w:next w:val="Normal"/>
    <w:link w:val="Ttulo7Car"/>
    <w:uiPriority w:val="9"/>
    <w:qFormat/>
    <w:rsid w:val="006475EF"/>
    <w:pPr>
      <w:keepNext/>
      <w:jc w:val="both"/>
      <w:outlineLvl w:val="6"/>
    </w:pPr>
    <w:rPr>
      <w:b/>
    </w:rPr>
  </w:style>
  <w:style w:type="paragraph" w:styleId="Ttulo8">
    <w:name w:val="heading 8"/>
    <w:basedOn w:val="Normal"/>
    <w:next w:val="Normal"/>
    <w:link w:val="Ttulo8Car"/>
    <w:uiPriority w:val="9"/>
    <w:qFormat/>
    <w:rsid w:val="006475EF"/>
    <w:pPr>
      <w:keepNext/>
      <w:outlineLvl w:val="7"/>
    </w:pPr>
    <w:rPr>
      <w:b/>
      <w:color w:val="000000"/>
      <w:sz w:val="18"/>
      <w:lang w:val="es-ES"/>
    </w:rPr>
  </w:style>
  <w:style w:type="paragraph" w:styleId="Ttulo9">
    <w:name w:val="heading 9"/>
    <w:basedOn w:val="Normal"/>
    <w:next w:val="Normal"/>
    <w:link w:val="Ttulo9Car"/>
    <w:uiPriority w:val="9"/>
    <w:qFormat/>
    <w:rsid w:val="006475EF"/>
    <w:pPr>
      <w:keepNext/>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
    <w:basedOn w:val="Fuentedeprrafopredeter"/>
    <w:link w:val="Ttulo1"/>
    <w:uiPriority w:val="9"/>
    <w:rsid w:val="006475EF"/>
    <w:rPr>
      <w:rFonts w:eastAsia="Times New Roman" w:cs="Times New Roman"/>
      <w:b/>
      <w:color w:val="000000"/>
      <w:sz w:val="16"/>
      <w:szCs w:val="20"/>
      <w:lang w:val="es-ES_tradnl" w:eastAsia="es-ES"/>
    </w:rPr>
  </w:style>
  <w:style w:type="character" w:customStyle="1" w:styleId="Ttulo2Car">
    <w:name w:val="Título 2 Car"/>
    <w:basedOn w:val="Fuentedeprrafopredeter"/>
    <w:link w:val="Ttulo2"/>
    <w:uiPriority w:val="9"/>
    <w:rsid w:val="006475EF"/>
    <w:rPr>
      <w:rFonts w:eastAsia="Times New Roman" w:cs="Times New Roman"/>
      <w:b/>
      <w:color w:val="000000"/>
      <w:sz w:val="20"/>
      <w:szCs w:val="20"/>
      <w:lang w:val="es-ES_tradnl" w:eastAsia="es-ES"/>
    </w:rPr>
  </w:style>
  <w:style w:type="character" w:customStyle="1" w:styleId="Ttulo3Car">
    <w:name w:val="Título 3 Car"/>
    <w:aliases w:val="título 3 Car,Título proyecto Car,Títul4 Car,Título 3 Sección Car,I3-3 Car,h3 Car,3 Car,Título 3 Car Car Car,T3 para doc. Metro Car,Titulo 3 Car,head:3# Car,.h3 Car,Headline 3 Car,Bold Head Car,bh Car,Títulobis Car,Map title Car,ARTICULO Car"/>
    <w:basedOn w:val="Fuentedeprrafopredeter"/>
    <w:link w:val="Ttulo3"/>
    <w:uiPriority w:val="9"/>
    <w:rsid w:val="006475EF"/>
    <w:rPr>
      <w:rFonts w:eastAsia="Times New Roman" w:cs="Times New Roman"/>
      <w:b/>
      <w:sz w:val="16"/>
      <w:szCs w:val="20"/>
      <w:u w:val="single"/>
      <w:lang w:val="es-ES_tradnl" w:eastAsia="es-ES"/>
    </w:rPr>
  </w:style>
  <w:style w:type="character" w:customStyle="1" w:styleId="Ttulo4Car">
    <w:name w:val="Título 4 Car"/>
    <w:basedOn w:val="Fuentedeprrafopredeter"/>
    <w:link w:val="Ttulo4"/>
    <w:uiPriority w:val="9"/>
    <w:rsid w:val="006475EF"/>
    <w:rPr>
      <w:rFonts w:eastAsia="Times New Roman" w:cs="Times New Roman"/>
      <w:b/>
      <w:sz w:val="16"/>
      <w:szCs w:val="20"/>
      <w:lang w:val="es-ES_tradnl" w:eastAsia="es-ES"/>
    </w:rPr>
  </w:style>
  <w:style w:type="character" w:customStyle="1" w:styleId="Ttulo5Car">
    <w:name w:val="Título 5 Car"/>
    <w:basedOn w:val="Fuentedeprrafopredeter"/>
    <w:link w:val="Ttulo5"/>
    <w:uiPriority w:val="9"/>
    <w:rsid w:val="006475EF"/>
    <w:rPr>
      <w:rFonts w:eastAsia="Times New Roman" w:cs="Times New Roman"/>
      <w:b/>
      <w:color w:val="0000FF"/>
      <w:sz w:val="20"/>
      <w:szCs w:val="20"/>
      <w:lang w:val="es-ES_tradnl" w:eastAsia="es-ES"/>
    </w:rPr>
  </w:style>
  <w:style w:type="character" w:customStyle="1" w:styleId="Ttulo6Car">
    <w:name w:val="Título 6 Car"/>
    <w:basedOn w:val="Fuentedeprrafopredeter"/>
    <w:link w:val="Ttulo6"/>
    <w:uiPriority w:val="9"/>
    <w:rsid w:val="006475EF"/>
    <w:rPr>
      <w:rFonts w:eastAsia="Times New Roman" w:cs="Times New Roman"/>
      <w:b/>
      <w:color w:val="000000"/>
      <w:sz w:val="16"/>
      <w:szCs w:val="20"/>
      <w:lang w:val="es-ES_tradnl" w:eastAsia="es-ES"/>
    </w:rPr>
  </w:style>
  <w:style w:type="character" w:customStyle="1" w:styleId="Ttulo7Car">
    <w:name w:val="Título 7 Car"/>
    <w:basedOn w:val="Fuentedeprrafopredeter"/>
    <w:link w:val="Ttulo7"/>
    <w:uiPriority w:val="9"/>
    <w:rsid w:val="006475EF"/>
    <w:rPr>
      <w:rFonts w:eastAsia="Times New Roman" w:cs="Times New Roman"/>
      <w:b/>
      <w:sz w:val="20"/>
      <w:szCs w:val="20"/>
      <w:lang w:val="es-ES_tradnl" w:eastAsia="es-ES"/>
    </w:rPr>
  </w:style>
  <w:style w:type="character" w:customStyle="1" w:styleId="Ttulo8Car">
    <w:name w:val="Título 8 Car"/>
    <w:basedOn w:val="Fuentedeprrafopredeter"/>
    <w:link w:val="Ttulo8"/>
    <w:uiPriority w:val="9"/>
    <w:rsid w:val="006475EF"/>
    <w:rPr>
      <w:rFonts w:eastAsia="Times New Roman" w:cs="Times New Roman"/>
      <w:b/>
      <w:color w:val="000000"/>
      <w:sz w:val="18"/>
      <w:szCs w:val="20"/>
      <w:lang w:val="es-ES" w:eastAsia="es-ES"/>
    </w:rPr>
  </w:style>
  <w:style w:type="character" w:customStyle="1" w:styleId="Ttulo9Car">
    <w:name w:val="Título 9 Car"/>
    <w:basedOn w:val="Fuentedeprrafopredeter"/>
    <w:link w:val="Ttulo9"/>
    <w:uiPriority w:val="9"/>
    <w:rsid w:val="006475EF"/>
    <w:rPr>
      <w:rFonts w:eastAsia="Times New Roman" w:cs="Times New Roman"/>
      <w:b/>
      <w:sz w:val="20"/>
      <w:szCs w:val="20"/>
      <w:lang w:val="es-ES_tradnl" w:eastAsia="es-ES"/>
    </w:rPr>
  </w:style>
  <w:style w:type="paragraph" w:styleId="Encabezado">
    <w:name w:val="header"/>
    <w:basedOn w:val="Normal"/>
    <w:link w:val="EncabezadoCar"/>
    <w:uiPriority w:val="99"/>
    <w:rsid w:val="006475EF"/>
    <w:pPr>
      <w:tabs>
        <w:tab w:val="center" w:pos="4252"/>
        <w:tab w:val="right" w:pos="8504"/>
      </w:tabs>
    </w:pPr>
  </w:style>
  <w:style w:type="character" w:customStyle="1" w:styleId="EncabezadoCar">
    <w:name w:val="Encabezado Car"/>
    <w:basedOn w:val="Fuentedeprrafopredeter"/>
    <w:link w:val="Encabezado"/>
    <w:uiPriority w:val="99"/>
    <w:rsid w:val="006475EF"/>
    <w:rPr>
      <w:rFonts w:eastAsia="Times New Roman" w:cs="Times New Roman"/>
      <w:sz w:val="20"/>
      <w:szCs w:val="20"/>
      <w:lang w:val="es-ES_tradnl" w:eastAsia="es-ES"/>
    </w:rPr>
  </w:style>
  <w:style w:type="paragraph" w:styleId="Piedepgina">
    <w:name w:val="footer"/>
    <w:basedOn w:val="Normal"/>
    <w:link w:val="PiedepginaCar"/>
    <w:uiPriority w:val="99"/>
    <w:rsid w:val="006475EF"/>
    <w:pPr>
      <w:tabs>
        <w:tab w:val="center" w:pos="4252"/>
        <w:tab w:val="right" w:pos="8504"/>
      </w:tabs>
    </w:pPr>
  </w:style>
  <w:style w:type="character" w:customStyle="1" w:styleId="PiedepginaCar">
    <w:name w:val="Pie de página Car"/>
    <w:basedOn w:val="Fuentedeprrafopredeter"/>
    <w:link w:val="Piedepgina"/>
    <w:uiPriority w:val="99"/>
    <w:rsid w:val="006475EF"/>
    <w:rPr>
      <w:rFonts w:eastAsia="Times New Roman" w:cs="Times New Roman"/>
      <w:sz w:val="20"/>
      <w:szCs w:val="20"/>
      <w:lang w:val="es-ES_tradnl" w:eastAsia="es-ES"/>
    </w:rPr>
  </w:style>
  <w:style w:type="character" w:styleId="Nmerodepgina">
    <w:name w:val="page number"/>
    <w:basedOn w:val="Fuentedeprrafopredeter"/>
    <w:rsid w:val="006475EF"/>
  </w:style>
  <w:style w:type="character" w:styleId="Refdecomentario">
    <w:name w:val="annotation reference"/>
    <w:basedOn w:val="Fuentedeprrafopredeter"/>
    <w:uiPriority w:val="99"/>
    <w:semiHidden/>
    <w:rsid w:val="006475EF"/>
    <w:rPr>
      <w:sz w:val="16"/>
    </w:rPr>
  </w:style>
  <w:style w:type="paragraph" w:styleId="Textocomentario">
    <w:name w:val="annotation text"/>
    <w:basedOn w:val="Normal"/>
    <w:link w:val="TextocomentarioCar"/>
    <w:uiPriority w:val="99"/>
    <w:semiHidden/>
    <w:rsid w:val="006475EF"/>
  </w:style>
  <w:style w:type="character" w:customStyle="1" w:styleId="TextocomentarioCar">
    <w:name w:val="Texto comentario Car"/>
    <w:basedOn w:val="Fuentedeprrafopredeter"/>
    <w:link w:val="Textocomentario"/>
    <w:uiPriority w:val="99"/>
    <w:semiHidden/>
    <w:rsid w:val="006475EF"/>
    <w:rPr>
      <w:rFonts w:eastAsia="Times New Roman" w:cs="Times New Roman"/>
      <w:sz w:val="20"/>
      <w:szCs w:val="20"/>
      <w:lang w:val="es-ES_tradnl" w:eastAsia="es-ES"/>
    </w:rPr>
  </w:style>
  <w:style w:type="paragraph" w:styleId="Ttulo">
    <w:name w:val="Title"/>
    <w:basedOn w:val="Normal"/>
    <w:link w:val="TtuloCar"/>
    <w:uiPriority w:val="10"/>
    <w:qFormat/>
    <w:rsid w:val="006475EF"/>
    <w:pPr>
      <w:jc w:val="center"/>
    </w:pPr>
    <w:rPr>
      <w:b/>
      <w:sz w:val="22"/>
    </w:rPr>
  </w:style>
  <w:style w:type="character" w:customStyle="1" w:styleId="TtuloCar">
    <w:name w:val="Título Car"/>
    <w:basedOn w:val="Fuentedeprrafopredeter"/>
    <w:link w:val="Ttulo"/>
    <w:uiPriority w:val="10"/>
    <w:rsid w:val="006475EF"/>
    <w:rPr>
      <w:rFonts w:eastAsia="Times New Roman" w:cs="Times New Roman"/>
      <w:b/>
      <w:sz w:val="22"/>
      <w:szCs w:val="20"/>
      <w:lang w:val="es-ES_tradnl" w:eastAsia="es-ES"/>
    </w:rPr>
  </w:style>
  <w:style w:type="paragraph" w:styleId="Textoindependiente">
    <w:name w:val="Body Text"/>
    <w:basedOn w:val="Normal"/>
    <w:link w:val="TextoindependienteCar"/>
    <w:uiPriority w:val="99"/>
    <w:rsid w:val="006475EF"/>
    <w:rPr>
      <w:color w:val="0000FF"/>
      <w:sz w:val="16"/>
    </w:rPr>
  </w:style>
  <w:style w:type="character" w:customStyle="1" w:styleId="TextoindependienteCar">
    <w:name w:val="Texto independiente Car"/>
    <w:basedOn w:val="Fuentedeprrafopredeter"/>
    <w:link w:val="Textoindependiente"/>
    <w:uiPriority w:val="99"/>
    <w:rsid w:val="006475EF"/>
    <w:rPr>
      <w:rFonts w:eastAsia="Times New Roman" w:cs="Times New Roman"/>
      <w:color w:val="0000FF"/>
      <w:sz w:val="16"/>
      <w:szCs w:val="20"/>
      <w:lang w:val="es-ES_tradnl" w:eastAsia="es-ES"/>
    </w:rPr>
  </w:style>
  <w:style w:type="paragraph" w:styleId="Descripcin">
    <w:name w:val="caption"/>
    <w:basedOn w:val="Normal"/>
    <w:next w:val="Normal"/>
    <w:link w:val="DescripcinCar"/>
    <w:uiPriority w:val="35"/>
    <w:qFormat/>
    <w:rsid w:val="006475EF"/>
    <w:pPr>
      <w:jc w:val="center"/>
    </w:pPr>
    <w:rPr>
      <w:b/>
      <w:color w:val="0000FF"/>
    </w:rPr>
  </w:style>
  <w:style w:type="paragraph" w:styleId="Sangradetextonormal">
    <w:name w:val="Body Text Indent"/>
    <w:basedOn w:val="Normal"/>
    <w:link w:val="SangradetextonormalCar"/>
    <w:rsid w:val="006475EF"/>
    <w:pPr>
      <w:jc w:val="center"/>
    </w:pPr>
    <w:rPr>
      <w:b/>
    </w:rPr>
  </w:style>
  <w:style w:type="character" w:customStyle="1" w:styleId="SangradetextonormalCar">
    <w:name w:val="Sangría de texto normal Car"/>
    <w:basedOn w:val="Fuentedeprrafopredeter"/>
    <w:link w:val="Sangradetextonormal"/>
    <w:rsid w:val="006475EF"/>
    <w:rPr>
      <w:rFonts w:eastAsia="Times New Roman" w:cs="Times New Roman"/>
      <w:b/>
      <w:sz w:val="20"/>
      <w:szCs w:val="20"/>
      <w:lang w:val="es-ES_tradnl" w:eastAsia="es-ES"/>
    </w:rPr>
  </w:style>
  <w:style w:type="paragraph" w:styleId="Sangra2detindependiente">
    <w:name w:val="Body Text Indent 2"/>
    <w:basedOn w:val="Normal"/>
    <w:link w:val="Sangra2detindependienteCar"/>
    <w:rsid w:val="006475EF"/>
    <w:pPr>
      <w:ind w:left="709"/>
    </w:pPr>
  </w:style>
  <w:style w:type="character" w:customStyle="1" w:styleId="Sangra2detindependienteCar">
    <w:name w:val="Sangría 2 de t. independiente Car"/>
    <w:basedOn w:val="Fuentedeprrafopredeter"/>
    <w:link w:val="Sangra2detindependiente"/>
    <w:rsid w:val="006475EF"/>
    <w:rPr>
      <w:rFonts w:eastAsia="Times New Roman" w:cs="Times New Roman"/>
      <w:sz w:val="20"/>
      <w:szCs w:val="20"/>
      <w:lang w:val="es-ES_tradnl" w:eastAsia="es-ES"/>
    </w:rPr>
  </w:style>
  <w:style w:type="paragraph" w:styleId="Sangra3detindependiente">
    <w:name w:val="Body Text Indent 3"/>
    <w:basedOn w:val="Normal"/>
    <w:link w:val="Sangra3detindependienteCar"/>
    <w:rsid w:val="006475EF"/>
    <w:pPr>
      <w:ind w:left="630" w:firstLine="439"/>
      <w:jc w:val="both"/>
    </w:pPr>
  </w:style>
  <w:style w:type="character" w:customStyle="1" w:styleId="Sangra3detindependienteCar">
    <w:name w:val="Sangría 3 de t. independiente Car"/>
    <w:basedOn w:val="Fuentedeprrafopredeter"/>
    <w:link w:val="Sangra3detindependiente"/>
    <w:rsid w:val="006475EF"/>
    <w:rPr>
      <w:rFonts w:eastAsia="Times New Roman" w:cs="Times New Roman"/>
      <w:sz w:val="20"/>
      <w:szCs w:val="20"/>
      <w:lang w:val="es-ES_tradnl" w:eastAsia="es-ES"/>
    </w:rPr>
  </w:style>
  <w:style w:type="paragraph" w:styleId="Textoindependiente2">
    <w:name w:val="Body Text 2"/>
    <w:basedOn w:val="Normal"/>
    <w:link w:val="Textoindependiente2Car"/>
    <w:rsid w:val="006475EF"/>
    <w:pPr>
      <w:jc w:val="both"/>
    </w:pPr>
    <w:rPr>
      <w:noProof/>
    </w:rPr>
  </w:style>
  <w:style w:type="character" w:customStyle="1" w:styleId="Textoindependiente2Car">
    <w:name w:val="Texto independiente 2 Car"/>
    <w:basedOn w:val="Fuentedeprrafopredeter"/>
    <w:link w:val="Textoindependiente2"/>
    <w:rsid w:val="006475EF"/>
    <w:rPr>
      <w:rFonts w:eastAsia="Times New Roman" w:cs="Times New Roman"/>
      <w:noProof/>
      <w:szCs w:val="20"/>
      <w:lang w:val="es-ES_tradnl" w:eastAsia="es-ES"/>
    </w:rPr>
  </w:style>
  <w:style w:type="paragraph" w:styleId="Mapadeldocumento">
    <w:name w:val="Document Map"/>
    <w:basedOn w:val="Normal"/>
    <w:link w:val="MapadeldocumentoCar"/>
    <w:semiHidden/>
    <w:rsid w:val="006475EF"/>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475EF"/>
    <w:rPr>
      <w:rFonts w:ascii="Tahoma" w:eastAsia="Times New Roman" w:hAnsi="Tahoma" w:cs="Times New Roman"/>
      <w:sz w:val="20"/>
      <w:szCs w:val="20"/>
      <w:shd w:val="clear" w:color="auto" w:fill="000080"/>
      <w:lang w:val="es-ES_tradnl" w:eastAsia="es-ES"/>
    </w:rPr>
  </w:style>
  <w:style w:type="paragraph" w:styleId="Textoindependiente3">
    <w:name w:val="Body Text 3"/>
    <w:basedOn w:val="Normal"/>
    <w:link w:val="Textoindependiente3Car"/>
    <w:rsid w:val="006475EF"/>
    <w:pPr>
      <w:jc w:val="center"/>
    </w:pPr>
    <w:rPr>
      <w:rFonts w:eastAsia="Arial Unicode MS"/>
      <w:b/>
      <w:bCs/>
      <w:sz w:val="14"/>
    </w:rPr>
  </w:style>
  <w:style w:type="character" w:customStyle="1" w:styleId="Textoindependiente3Car">
    <w:name w:val="Texto independiente 3 Car"/>
    <w:basedOn w:val="Fuentedeprrafopredeter"/>
    <w:link w:val="Textoindependiente3"/>
    <w:rsid w:val="006475EF"/>
    <w:rPr>
      <w:rFonts w:eastAsia="Arial Unicode MS" w:cs="Times New Roman"/>
      <w:b/>
      <w:bCs/>
      <w:sz w:val="14"/>
      <w:szCs w:val="20"/>
      <w:lang w:val="es-ES_tradnl" w:eastAsia="es-ES"/>
    </w:rPr>
  </w:style>
  <w:style w:type="paragraph" w:customStyle="1" w:styleId="xl24">
    <w:name w:val="xl24"/>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lang w:val="es-ES"/>
    </w:rPr>
  </w:style>
  <w:style w:type="paragraph" w:customStyle="1" w:styleId="xl25">
    <w:name w:val="xl25"/>
    <w:basedOn w:val="Normal"/>
    <w:rsid w:val="006475EF"/>
    <w:pPr>
      <w:widowControl/>
      <w:pBdr>
        <w:left w:val="double" w:sz="6" w:space="0" w:color="auto"/>
        <w:right w:val="single" w:sz="4" w:space="0" w:color="auto"/>
      </w:pBdr>
      <w:spacing w:before="100" w:beforeAutospacing="1" w:after="100" w:afterAutospacing="1"/>
    </w:pPr>
    <w:rPr>
      <w:rFonts w:eastAsia="Arial Unicode MS"/>
      <w:lang w:val="es-ES"/>
    </w:rPr>
  </w:style>
  <w:style w:type="paragraph" w:customStyle="1" w:styleId="xl26">
    <w:name w:val="xl26"/>
    <w:basedOn w:val="Normal"/>
    <w:rsid w:val="006475EF"/>
    <w:pPr>
      <w:widowControl/>
      <w:pBdr>
        <w:right w:val="single" w:sz="4" w:space="0" w:color="auto"/>
      </w:pBdr>
      <w:spacing w:before="100" w:beforeAutospacing="1" w:after="100" w:afterAutospacing="1"/>
    </w:pPr>
    <w:rPr>
      <w:rFonts w:eastAsia="Arial Unicode MS"/>
      <w:lang w:val="es-ES"/>
    </w:rPr>
  </w:style>
  <w:style w:type="paragraph" w:customStyle="1" w:styleId="xl27">
    <w:name w:val="xl27"/>
    <w:basedOn w:val="Normal"/>
    <w:rsid w:val="006475EF"/>
    <w:pPr>
      <w:widowControl/>
      <w:pBdr>
        <w:left w:val="single" w:sz="4" w:space="0" w:color="auto"/>
        <w:right w:val="single" w:sz="4" w:space="0" w:color="auto"/>
      </w:pBdr>
      <w:spacing w:before="100" w:beforeAutospacing="1" w:after="100" w:afterAutospacing="1"/>
    </w:pPr>
    <w:rPr>
      <w:rFonts w:eastAsia="Arial Unicode MS"/>
      <w:lang w:val="es-ES"/>
    </w:rPr>
  </w:style>
  <w:style w:type="paragraph" w:customStyle="1" w:styleId="xl28">
    <w:name w:val="xl28"/>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lang w:val="es-ES"/>
    </w:rPr>
  </w:style>
  <w:style w:type="paragraph" w:customStyle="1" w:styleId="xl29">
    <w:name w:val="xl29"/>
    <w:basedOn w:val="Normal"/>
    <w:rsid w:val="006475EF"/>
    <w:pPr>
      <w:widowControl/>
      <w:pBdr>
        <w:right w:val="single" w:sz="4" w:space="0" w:color="auto"/>
      </w:pBdr>
      <w:spacing w:before="100" w:beforeAutospacing="1" w:after="100" w:afterAutospacing="1"/>
      <w:jc w:val="center"/>
    </w:pPr>
    <w:rPr>
      <w:rFonts w:eastAsia="Arial Unicode MS"/>
      <w:b/>
      <w:bCs/>
      <w:lang w:val="es-ES"/>
    </w:rPr>
  </w:style>
  <w:style w:type="paragraph" w:customStyle="1" w:styleId="xl30">
    <w:name w:val="xl30"/>
    <w:basedOn w:val="Normal"/>
    <w:rsid w:val="006475EF"/>
    <w:pPr>
      <w:widowControl/>
      <w:pBdr>
        <w:left w:val="single" w:sz="4" w:space="0" w:color="auto"/>
        <w:right w:val="single" w:sz="4" w:space="0" w:color="auto"/>
      </w:pBdr>
      <w:spacing w:before="100" w:beforeAutospacing="1" w:after="100" w:afterAutospacing="1"/>
    </w:pPr>
    <w:rPr>
      <w:rFonts w:eastAsia="Arial Unicode MS"/>
      <w:b/>
      <w:bCs/>
      <w:u w:val="double"/>
      <w:lang w:val="es-ES"/>
    </w:rPr>
  </w:style>
  <w:style w:type="paragraph" w:customStyle="1" w:styleId="xl31">
    <w:name w:val="xl31"/>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u w:val="double"/>
      <w:lang w:val="es-ES"/>
    </w:rPr>
  </w:style>
  <w:style w:type="paragraph" w:customStyle="1" w:styleId="xl32">
    <w:name w:val="xl32"/>
    <w:basedOn w:val="Normal"/>
    <w:rsid w:val="006475EF"/>
    <w:pPr>
      <w:widowControl/>
      <w:pBdr>
        <w:right w:val="single" w:sz="4" w:space="0" w:color="auto"/>
      </w:pBdr>
      <w:spacing w:before="100" w:beforeAutospacing="1" w:after="100" w:afterAutospacing="1"/>
    </w:pPr>
    <w:rPr>
      <w:rFonts w:eastAsia="Arial Unicode MS"/>
      <w:b/>
      <w:bCs/>
      <w:lang w:val="es-ES"/>
    </w:rPr>
  </w:style>
  <w:style w:type="paragraph" w:customStyle="1" w:styleId="xl33">
    <w:name w:val="xl33"/>
    <w:basedOn w:val="Normal"/>
    <w:rsid w:val="006475EF"/>
    <w:pPr>
      <w:widowControl/>
      <w:pBdr>
        <w:left w:val="single" w:sz="4" w:space="0" w:color="auto"/>
        <w:right w:val="single" w:sz="4" w:space="0" w:color="auto"/>
      </w:pBdr>
      <w:spacing w:before="100" w:beforeAutospacing="1" w:after="100" w:afterAutospacing="1"/>
    </w:pPr>
    <w:rPr>
      <w:rFonts w:eastAsia="Arial Unicode MS"/>
      <w:b/>
      <w:bCs/>
      <w:lang w:val="es-ES"/>
    </w:rPr>
  </w:style>
  <w:style w:type="paragraph" w:customStyle="1" w:styleId="xl34">
    <w:name w:val="xl34"/>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lang w:val="es-ES"/>
    </w:rPr>
  </w:style>
  <w:style w:type="paragraph" w:customStyle="1" w:styleId="xl35">
    <w:name w:val="xl35"/>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b/>
      <w:bCs/>
      <w:u w:val="single"/>
      <w:lang w:val="es-ES"/>
    </w:rPr>
  </w:style>
  <w:style w:type="paragraph" w:customStyle="1" w:styleId="xl36">
    <w:name w:val="xl36"/>
    <w:basedOn w:val="Normal"/>
    <w:rsid w:val="006475EF"/>
    <w:pPr>
      <w:widowControl/>
      <w:pBdr>
        <w:left w:val="single" w:sz="4" w:space="0" w:color="auto"/>
        <w:right w:val="single" w:sz="4" w:space="0" w:color="auto"/>
      </w:pBdr>
      <w:spacing w:before="100" w:beforeAutospacing="1" w:after="100" w:afterAutospacing="1"/>
    </w:pPr>
    <w:rPr>
      <w:rFonts w:eastAsia="Arial Unicode MS"/>
      <w:b/>
      <w:bCs/>
      <w:u w:val="single"/>
      <w:lang w:val="es-ES"/>
    </w:rPr>
  </w:style>
  <w:style w:type="paragraph" w:customStyle="1" w:styleId="xl37">
    <w:name w:val="xl37"/>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u w:val="single"/>
      <w:lang w:val="es-ES"/>
    </w:rPr>
  </w:style>
  <w:style w:type="paragraph" w:customStyle="1" w:styleId="xl38">
    <w:name w:val="xl38"/>
    <w:basedOn w:val="Normal"/>
    <w:rsid w:val="006475EF"/>
    <w:pPr>
      <w:widowControl/>
      <w:pBdr>
        <w:left w:val="double" w:sz="6" w:space="0" w:color="auto"/>
        <w:right w:val="single" w:sz="4" w:space="0" w:color="auto"/>
      </w:pBdr>
      <w:spacing w:before="100" w:beforeAutospacing="1" w:after="100" w:afterAutospacing="1"/>
      <w:jc w:val="center"/>
    </w:pPr>
    <w:rPr>
      <w:rFonts w:eastAsia="Arial Unicode MS"/>
      <w:b/>
      <w:bCs/>
      <w:lang w:val="es-ES"/>
    </w:rPr>
  </w:style>
  <w:style w:type="paragraph" w:customStyle="1" w:styleId="xl39">
    <w:name w:val="xl39"/>
    <w:basedOn w:val="Normal"/>
    <w:rsid w:val="006475EF"/>
    <w:pPr>
      <w:widowControl/>
      <w:pBdr>
        <w:left w:val="double" w:sz="6" w:space="0" w:color="auto"/>
        <w:right w:val="single" w:sz="4" w:space="0" w:color="auto"/>
      </w:pBdr>
      <w:spacing w:before="100" w:beforeAutospacing="1" w:after="100" w:afterAutospacing="1"/>
      <w:jc w:val="center"/>
      <w:textAlignment w:val="top"/>
    </w:pPr>
    <w:rPr>
      <w:rFonts w:eastAsia="Arial Unicode MS"/>
      <w:lang w:val="es-ES"/>
    </w:rPr>
  </w:style>
  <w:style w:type="paragraph" w:customStyle="1" w:styleId="xl40">
    <w:name w:val="xl40"/>
    <w:basedOn w:val="Normal"/>
    <w:rsid w:val="006475EF"/>
    <w:pPr>
      <w:widowControl/>
      <w:pBdr>
        <w:left w:val="single" w:sz="4" w:space="0" w:color="auto"/>
        <w:right w:val="single" w:sz="4" w:space="0" w:color="auto"/>
      </w:pBdr>
      <w:spacing w:before="100" w:beforeAutospacing="1" w:after="100" w:afterAutospacing="1"/>
    </w:pPr>
    <w:rPr>
      <w:rFonts w:eastAsia="Arial Unicode MS"/>
      <w:lang w:val="es-ES"/>
    </w:rPr>
  </w:style>
  <w:style w:type="paragraph" w:customStyle="1" w:styleId="xl41">
    <w:name w:val="xl41"/>
    <w:basedOn w:val="Normal"/>
    <w:rsid w:val="006475EF"/>
    <w:pPr>
      <w:widowControl/>
      <w:pBdr>
        <w:left w:val="double" w:sz="6" w:space="0" w:color="auto"/>
      </w:pBdr>
      <w:spacing w:before="100" w:beforeAutospacing="1" w:after="100" w:afterAutospacing="1"/>
    </w:pPr>
    <w:rPr>
      <w:rFonts w:eastAsia="Arial Unicode MS"/>
      <w:lang w:val="es-ES"/>
    </w:rPr>
  </w:style>
  <w:style w:type="paragraph" w:customStyle="1" w:styleId="xl42">
    <w:name w:val="xl42"/>
    <w:basedOn w:val="Normal"/>
    <w:rsid w:val="006475EF"/>
    <w:pPr>
      <w:widowControl/>
      <w:pBdr>
        <w:left w:val="double" w:sz="6" w:space="0" w:color="auto"/>
        <w:bottom w:val="double" w:sz="6" w:space="0" w:color="auto"/>
        <w:right w:val="single" w:sz="4" w:space="0" w:color="auto"/>
      </w:pBdr>
      <w:spacing w:before="100" w:beforeAutospacing="1" w:after="100" w:afterAutospacing="1"/>
    </w:pPr>
    <w:rPr>
      <w:rFonts w:eastAsia="Arial Unicode MS"/>
      <w:lang w:val="es-ES"/>
    </w:rPr>
  </w:style>
  <w:style w:type="paragraph" w:customStyle="1" w:styleId="xl43">
    <w:name w:val="xl43"/>
    <w:basedOn w:val="Normal"/>
    <w:rsid w:val="006475EF"/>
    <w:pPr>
      <w:widowControl/>
      <w:pBdr>
        <w:bottom w:val="double" w:sz="6" w:space="0" w:color="auto"/>
        <w:right w:val="single" w:sz="4" w:space="0" w:color="auto"/>
      </w:pBdr>
      <w:spacing w:before="100" w:beforeAutospacing="1" w:after="100" w:afterAutospacing="1"/>
    </w:pPr>
    <w:rPr>
      <w:rFonts w:eastAsia="Arial Unicode MS"/>
      <w:lang w:val="es-ES"/>
    </w:rPr>
  </w:style>
  <w:style w:type="paragraph" w:customStyle="1" w:styleId="xl44">
    <w:name w:val="xl44"/>
    <w:basedOn w:val="Normal"/>
    <w:rsid w:val="006475EF"/>
    <w:pPr>
      <w:widowControl/>
      <w:pBdr>
        <w:left w:val="single" w:sz="4" w:space="0" w:color="auto"/>
        <w:bottom w:val="double" w:sz="6" w:space="0" w:color="auto"/>
        <w:right w:val="single" w:sz="4" w:space="0" w:color="auto"/>
      </w:pBdr>
      <w:spacing w:before="100" w:beforeAutospacing="1" w:after="100" w:afterAutospacing="1"/>
    </w:pPr>
    <w:rPr>
      <w:rFonts w:eastAsia="Arial Unicode MS"/>
      <w:lang w:val="es-ES"/>
    </w:rPr>
  </w:style>
  <w:style w:type="paragraph" w:customStyle="1" w:styleId="xl45">
    <w:name w:val="xl45"/>
    <w:basedOn w:val="Normal"/>
    <w:rsid w:val="006475EF"/>
    <w:pPr>
      <w:widowControl/>
      <w:pBdr>
        <w:left w:val="single" w:sz="4" w:space="0" w:color="auto"/>
        <w:bottom w:val="double" w:sz="6" w:space="0" w:color="auto"/>
        <w:right w:val="double" w:sz="6" w:space="0" w:color="auto"/>
      </w:pBdr>
      <w:spacing w:before="100" w:beforeAutospacing="1" w:after="100" w:afterAutospacing="1"/>
      <w:jc w:val="center"/>
    </w:pPr>
    <w:rPr>
      <w:rFonts w:eastAsia="Arial Unicode MS"/>
      <w:lang w:val="es-ES"/>
    </w:rPr>
  </w:style>
  <w:style w:type="paragraph" w:customStyle="1" w:styleId="xl46">
    <w:name w:val="xl46"/>
    <w:basedOn w:val="Normal"/>
    <w:rsid w:val="006475EF"/>
    <w:pPr>
      <w:widowControl/>
      <w:pBdr>
        <w:top w:val="double" w:sz="6" w:space="0" w:color="auto"/>
        <w:left w:val="double" w:sz="6" w:space="0" w:color="auto"/>
        <w:right w:val="single" w:sz="4" w:space="0" w:color="auto"/>
      </w:pBdr>
      <w:spacing w:before="100" w:beforeAutospacing="1" w:after="100" w:afterAutospacing="1"/>
      <w:jc w:val="center"/>
    </w:pPr>
    <w:rPr>
      <w:rFonts w:eastAsia="Arial Unicode MS"/>
      <w:b/>
      <w:bCs/>
      <w:lang w:val="es-ES"/>
    </w:rPr>
  </w:style>
  <w:style w:type="paragraph" w:customStyle="1" w:styleId="xl47">
    <w:name w:val="xl47"/>
    <w:basedOn w:val="Normal"/>
    <w:rsid w:val="006475EF"/>
    <w:pPr>
      <w:widowControl/>
      <w:pBdr>
        <w:top w:val="double" w:sz="6" w:space="0" w:color="auto"/>
        <w:right w:val="single" w:sz="4" w:space="0" w:color="auto"/>
      </w:pBdr>
      <w:spacing w:before="100" w:beforeAutospacing="1" w:after="100" w:afterAutospacing="1"/>
    </w:pPr>
    <w:rPr>
      <w:rFonts w:eastAsia="Arial Unicode MS"/>
      <w:b/>
      <w:bCs/>
      <w:lang w:val="es-ES"/>
    </w:rPr>
  </w:style>
  <w:style w:type="paragraph" w:customStyle="1" w:styleId="xl48">
    <w:name w:val="xl48"/>
    <w:basedOn w:val="Normal"/>
    <w:rsid w:val="006475EF"/>
    <w:pPr>
      <w:widowControl/>
      <w:pBdr>
        <w:top w:val="double" w:sz="6" w:space="0" w:color="auto"/>
        <w:left w:val="single" w:sz="4" w:space="0" w:color="auto"/>
        <w:right w:val="single" w:sz="4" w:space="0" w:color="auto"/>
      </w:pBdr>
      <w:spacing w:before="100" w:beforeAutospacing="1" w:after="100" w:afterAutospacing="1"/>
      <w:jc w:val="center"/>
    </w:pPr>
    <w:rPr>
      <w:rFonts w:eastAsia="Arial Unicode MS"/>
      <w:b/>
      <w:bCs/>
      <w:lang w:val="es-ES"/>
    </w:rPr>
  </w:style>
  <w:style w:type="paragraph" w:customStyle="1" w:styleId="xl49">
    <w:name w:val="xl49"/>
    <w:basedOn w:val="Normal"/>
    <w:rsid w:val="006475EF"/>
    <w:pPr>
      <w:widowControl/>
      <w:pBdr>
        <w:top w:val="double" w:sz="6" w:space="0" w:color="auto"/>
        <w:left w:val="single" w:sz="4" w:space="0" w:color="auto"/>
        <w:right w:val="double" w:sz="6" w:space="0" w:color="auto"/>
      </w:pBdr>
      <w:spacing w:before="100" w:beforeAutospacing="1" w:after="100" w:afterAutospacing="1"/>
      <w:jc w:val="center"/>
    </w:pPr>
    <w:rPr>
      <w:rFonts w:eastAsia="Arial Unicode MS"/>
      <w:b/>
      <w:bCs/>
      <w:lang w:val="es-ES"/>
    </w:rPr>
  </w:style>
  <w:style w:type="paragraph" w:customStyle="1" w:styleId="xl50">
    <w:name w:val="xl50"/>
    <w:basedOn w:val="Normal"/>
    <w:rsid w:val="006475EF"/>
    <w:pPr>
      <w:widowControl/>
      <w:pBdr>
        <w:right w:val="single" w:sz="4" w:space="0" w:color="auto"/>
      </w:pBdr>
      <w:spacing w:before="100" w:beforeAutospacing="1" w:after="100" w:afterAutospacing="1"/>
      <w:jc w:val="center"/>
    </w:pPr>
    <w:rPr>
      <w:rFonts w:eastAsia="Arial Unicode MS"/>
      <w:b/>
      <w:bCs/>
      <w:lang w:val="es-ES"/>
    </w:rPr>
  </w:style>
  <w:style w:type="paragraph" w:customStyle="1" w:styleId="xl51">
    <w:name w:val="xl51"/>
    <w:basedOn w:val="Normal"/>
    <w:rsid w:val="006475EF"/>
    <w:pPr>
      <w:widowControl/>
      <w:pBdr>
        <w:left w:val="single" w:sz="4" w:space="0" w:color="auto"/>
        <w:right w:val="single" w:sz="4" w:space="0" w:color="auto"/>
      </w:pBdr>
      <w:spacing w:before="100" w:beforeAutospacing="1" w:after="100" w:afterAutospacing="1"/>
      <w:jc w:val="center"/>
    </w:pPr>
    <w:rPr>
      <w:rFonts w:eastAsia="Arial Unicode MS"/>
      <w:b/>
      <w:bCs/>
      <w:lang w:val="es-ES"/>
    </w:rPr>
  </w:style>
  <w:style w:type="paragraph" w:customStyle="1" w:styleId="xl52">
    <w:name w:val="xl52"/>
    <w:basedOn w:val="Normal"/>
    <w:rsid w:val="006475EF"/>
    <w:pPr>
      <w:widowControl/>
      <w:pBdr>
        <w:left w:val="single" w:sz="4" w:space="0" w:color="auto"/>
        <w:right w:val="double" w:sz="6" w:space="0" w:color="auto"/>
      </w:pBdr>
      <w:spacing w:before="100" w:beforeAutospacing="1" w:after="100" w:afterAutospacing="1"/>
      <w:jc w:val="center"/>
    </w:pPr>
    <w:rPr>
      <w:rFonts w:eastAsia="Arial Unicode MS"/>
      <w:b/>
      <w:bCs/>
      <w:lang w:val="es-ES"/>
    </w:rPr>
  </w:style>
  <w:style w:type="paragraph" w:customStyle="1" w:styleId="xl53">
    <w:name w:val="xl53"/>
    <w:basedOn w:val="Normal"/>
    <w:rsid w:val="006475EF"/>
    <w:pPr>
      <w:widowControl/>
      <w:pBdr>
        <w:left w:val="double" w:sz="6" w:space="0" w:color="auto"/>
        <w:bottom w:val="single" w:sz="4" w:space="0" w:color="auto"/>
        <w:right w:val="single" w:sz="4" w:space="0" w:color="auto"/>
      </w:pBdr>
      <w:spacing w:before="100" w:beforeAutospacing="1" w:after="100" w:afterAutospacing="1"/>
      <w:jc w:val="center"/>
    </w:pPr>
    <w:rPr>
      <w:rFonts w:eastAsia="Arial Unicode MS"/>
      <w:b/>
      <w:bCs/>
      <w:lang w:val="es-ES"/>
    </w:rPr>
  </w:style>
  <w:style w:type="paragraph" w:customStyle="1" w:styleId="xl54">
    <w:name w:val="xl54"/>
    <w:basedOn w:val="Normal"/>
    <w:rsid w:val="006475EF"/>
    <w:pPr>
      <w:widowControl/>
      <w:pBdr>
        <w:bottom w:val="single" w:sz="4" w:space="0" w:color="auto"/>
        <w:right w:val="single" w:sz="4" w:space="0" w:color="auto"/>
      </w:pBdr>
      <w:spacing w:before="100" w:beforeAutospacing="1" w:after="100" w:afterAutospacing="1"/>
    </w:pPr>
    <w:rPr>
      <w:rFonts w:eastAsia="Arial Unicode MS"/>
      <w:b/>
      <w:bCs/>
      <w:lang w:val="es-ES"/>
    </w:rPr>
  </w:style>
  <w:style w:type="paragraph" w:customStyle="1" w:styleId="xl55">
    <w:name w:val="xl55"/>
    <w:basedOn w:val="Normal"/>
    <w:rsid w:val="006475EF"/>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b/>
      <w:bCs/>
      <w:lang w:val="es-ES"/>
    </w:rPr>
  </w:style>
  <w:style w:type="paragraph" w:customStyle="1" w:styleId="xl56">
    <w:name w:val="xl56"/>
    <w:basedOn w:val="Normal"/>
    <w:rsid w:val="006475EF"/>
    <w:pPr>
      <w:widowControl/>
      <w:pBdr>
        <w:left w:val="single" w:sz="4" w:space="0" w:color="auto"/>
        <w:bottom w:val="single" w:sz="4" w:space="0" w:color="auto"/>
        <w:right w:val="double" w:sz="6" w:space="0" w:color="auto"/>
      </w:pBdr>
      <w:spacing w:before="100" w:beforeAutospacing="1" w:after="100" w:afterAutospacing="1"/>
      <w:jc w:val="center"/>
    </w:pPr>
    <w:rPr>
      <w:rFonts w:eastAsia="Arial Unicode MS"/>
      <w:b/>
      <w:bCs/>
      <w:lang w:val="es-ES"/>
    </w:rPr>
  </w:style>
  <w:style w:type="paragraph" w:styleId="Textodeglobo">
    <w:name w:val="Balloon Text"/>
    <w:basedOn w:val="Normal"/>
    <w:link w:val="TextodegloboCar"/>
    <w:uiPriority w:val="99"/>
    <w:semiHidden/>
    <w:rsid w:val="006475EF"/>
    <w:rPr>
      <w:rFonts w:ascii="Tahoma" w:hAnsi="Tahoma" w:cs="Tahoma"/>
      <w:sz w:val="16"/>
      <w:szCs w:val="16"/>
    </w:rPr>
  </w:style>
  <w:style w:type="character" w:customStyle="1" w:styleId="TextodegloboCar">
    <w:name w:val="Texto de globo Car"/>
    <w:basedOn w:val="Fuentedeprrafopredeter"/>
    <w:link w:val="Textodeglobo"/>
    <w:uiPriority w:val="99"/>
    <w:semiHidden/>
    <w:rsid w:val="006475EF"/>
    <w:rPr>
      <w:rFonts w:ascii="Tahoma" w:eastAsia="Times New Roman" w:hAnsi="Tahoma" w:cs="Tahoma"/>
      <w:sz w:val="16"/>
      <w:szCs w:val="16"/>
      <w:lang w:val="es-ES_tradnl" w:eastAsia="es-ES"/>
    </w:rPr>
  </w:style>
  <w:style w:type="paragraph" w:customStyle="1" w:styleId="xl60">
    <w:name w:val="xl60"/>
    <w:basedOn w:val="Normal"/>
    <w:rsid w:val="006475EF"/>
    <w:pPr>
      <w:widowControl/>
      <w:pBdr>
        <w:right w:val="single" w:sz="4" w:space="0" w:color="auto"/>
      </w:pBdr>
      <w:spacing w:before="100" w:beforeAutospacing="1" w:after="100" w:afterAutospacing="1"/>
    </w:pPr>
    <w:rPr>
      <w:sz w:val="18"/>
      <w:szCs w:val="18"/>
      <w:lang w:val="es-ES"/>
    </w:rPr>
  </w:style>
  <w:style w:type="paragraph" w:customStyle="1" w:styleId="xl96">
    <w:name w:val="xl96"/>
    <w:basedOn w:val="Normal"/>
    <w:rsid w:val="006475EF"/>
    <w:pPr>
      <w:widowControl/>
      <w:pBdr>
        <w:left w:val="single" w:sz="4" w:space="0" w:color="auto"/>
        <w:right w:val="single" w:sz="4" w:space="0" w:color="auto"/>
      </w:pBdr>
      <w:spacing w:before="100" w:beforeAutospacing="1" w:after="100" w:afterAutospacing="1"/>
      <w:textAlignment w:val="top"/>
    </w:pPr>
    <w:rPr>
      <w:rFonts w:eastAsia="Arial Unicode MS"/>
      <w:sz w:val="14"/>
      <w:szCs w:val="14"/>
      <w:lang w:val="es-ES"/>
    </w:rPr>
  </w:style>
  <w:style w:type="table" w:styleId="Tablaconcuadrcula">
    <w:name w:val="Table Grid"/>
    <w:basedOn w:val="Tablanormal"/>
    <w:uiPriority w:val="39"/>
    <w:rsid w:val="006475EF"/>
    <w:pPr>
      <w:spacing w:after="0" w:line="240" w:lineRule="auto"/>
    </w:pPr>
    <w:rPr>
      <w:rFonts w:eastAsia="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77DA9"/>
    <w:pPr>
      <w:spacing w:after="0" w:line="240" w:lineRule="auto"/>
    </w:pPr>
    <w:rPr>
      <w:rFonts w:eastAsia="Times New Roman"/>
      <w:lang w:val="es-ES"/>
    </w:rPr>
  </w:style>
  <w:style w:type="character" w:customStyle="1" w:styleId="SinespaciadoCar">
    <w:name w:val="Sin espaciado Car"/>
    <w:basedOn w:val="Fuentedeprrafopredeter"/>
    <w:link w:val="Sinespaciado"/>
    <w:uiPriority w:val="1"/>
    <w:rsid w:val="00777DA9"/>
    <w:rPr>
      <w:rFonts w:eastAsia="Times New Roman"/>
      <w:lang w:val="es-ES"/>
    </w:rPr>
  </w:style>
  <w:style w:type="paragraph" w:customStyle="1" w:styleId="Default">
    <w:name w:val="Default"/>
    <w:rsid w:val="006475EF"/>
    <w:pPr>
      <w:autoSpaceDE w:val="0"/>
      <w:autoSpaceDN w:val="0"/>
      <w:adjustRightInd w:val="0"/>
      <w:spacing w:after="0" w:line="240" w:lineRule="auto"/>
    </w:pPr>
    <w:rPr>
      <w:rFonts w:ascii="Helvetica" w:eastAsia="Times New Roman" w:hAnsi="Helvetica" w:cs="Helvetica"/>
      <w:color w:val="000000"/>
      <w:lang w:eastAsia="es-GT"/>
    </w:rPr>
  </w:style>
  <w:style w:type="paragraph" w:styleId="Asuntodelcomentario">
    <w:name w:val="annotation subject"/>
    <w:basedOn w:val="Textocomentario"/>
    <w:next w:val="Textocomentario"/>
    <w:link w:val="AsuntodelcomentarioCar"/>
    <w:uiPriority w:val="99"/>
    <w:rsid w:val="006475EF"/>
    <w:rPr>
      <w:b/>
      <w:bCs/>
    </w:rPr>
  </w:style>
  <w:style w:type="character" w:customStyle="1" w:styleId="AsuntodelcomentarioCar">
    <w:name w:val="Asunto del comentario Car"/>
    <w:basedOn w:val="TextocomentarioCar"/>
    <w:link w:val="Asuntodelcomentario"/>
    <w:uiPriority w:val="99"/>
    <w:rsid w:val="006475EF"/>
    <w:rPr>
      <w:rFonts w:eastAsia="Times New Roman" w:cs="Times New Roman"/>
      <w:b/>
      <w:bCs/>
      <w:sz w:val="20"/>
      <w:szCs w:val="20"/>
      <w:lang w:val="es-ES_tradnl" w:eastAsia="es-ES"/>
    </w:rPr>
  </w:style>
  <w:style w:type="character" w:styleId="Hipervnculo">
    <w:name w:val="Hyperlink"/>
    <w:basedOn w:val="Fuentedeprrafopredeter"/>
    <w:uiPriority w:val="99"/>
    <w:rsid w:val="006475EF"/>
    <w:rPr>
      <w:color w:val="0000FF"/>
      <w:u w:val="single"/>
    </w:rPr>
  </w:style>
  <w:style w:type="paragraph" w:styleId="Prrafodelista">
    <w:name w:val="List Paragraph"/>
    <w:aliases w:val="Párrafo de lista 2,Título PDM,List Paragraph1,Dot pt,Bullet Points,No Spacing1,List Paragraph Char Char Char,Indicator Text,Numbered Para 1,Bullet 1,MAIN CONTENT,List Paragraph12,OBC Bullet,F5 List Paragraph,Colorful List - Accent 11,Ha"/>
    <w:basedOn w:val="Normal"/>
    <w:link w:val="PrrafodelistaCar"/>
    <w:uiPriority w:val="34"/>
    <w:qFormat/>
    <w:rsid w:val="006475EF"/>
    <w:pPr>
      <w:ind w:left="720"/>
      <w:contextualSpacing/>
    </w:pPr>
  </w:style>
  <w:style w:type="numbering" w:customStyle="1" w:styleId="Estilo1">
    <w:name w:val="Estilo1"/>
    <w:uiPriority w:val="99"/>
    <w:rsid w:val="006475EF"/>
    <w:pPr>
      <w:numPr>
        <w:numId w:val="1"/>
      </w:numPr>
    </w:pPr>
  </w:style>
  <w:style w:type="numbering" w:customStyle="1" w:styleId="Estilo2">
    <w:name w:val="Estilo2"/>
    <w:uiPriority w:val="99"/>
    <w:rsid w:val="006475EF"/>
    <w:pPr>
      <w:numPr>
        <w:numId w:val="2"/>
      </w:numPr>
    </w:pPr>
  </w:style>
  <w:style w:type="paragraph" w:styleId="Textonotapie">
    <w:name w:val="footnote text"/>
    <w:aliases w:val="ft,ft Car,ft Car Car,Texto nota pie2,ft1,ft Car Car Car1,Texto nota pie Car2,ft Car Car2,ft Car Car Car,fn,single space,footnote text,FOOTNOTES,Texto nota pie IIRSA,foottextfra,footnote,F,Char,Footnote Text Char2,Footnote Text Char1 Char1"/>
    <w:basedOn w:val="Normal"/>
    <w:link w:val="TextonotapieCar"/>
    <w:uiPriority w:val="99"/>
    <w:rsid w:val="000A36AF"/>
  </w:style>
  <w:style w:type="character" w:customStyle="1" w:styleId="TextonotapieCar">
    <w:name w:val="Texto nota pie Car"/>
    <w:aliases w:val="ft Car2,ft Car Car3,ft Car Car Car3,Texto nota pie2 Car1,ft1 Car1,ft Car Car Car1 Car1,Texto nota pie Car2 Car1,ft Car Car2 Car1,ft Car Car Car Car1,fn Car1,single space Car1,footnote text Car1,FOOTNOTES Car1,Texto nota pie IIRSA Car1"/>
    <w:basedOn w:val="Fuentedeprrafopredeter"/>
    <w:link w:val="Textonotapie"/>
    <w:uiPriority w:val="99"/>
    <w:rsid w:val="000A36AF"/>
    <w:rPr>
      <w:rFonts w:eastAsia="Times New Roman" w:cs="Times New Roman"/>
      <w:sz w:val="20"/>
      <w:szCs w:val="20"/>
      <w:lang w:val="es-ES_tradnl" w:eastAsia="es-ES"/>
    </w:rPr>
  </w:style>
  <w:style w:type="character" w:styleId="Refdenotaalpie">
    <w:name w:val="footnote reference"/>
    <w:aliases w:val="ftref,16 Point,Superscript 6 Point,fr,Footnote Reference Number,Footnote Reference_LVL6,Footnote Reference_LVL61,Footnote Reference_LVL62,Footnote Reference_LVL63,Footnote Reference_LVL64,SUPERS,EN Footnote Reference,number"/>
    <w:basedOn w:val="Fuentedeprrafopredeter"/>
    <w:uiPriority w:val="99"/>
    <w:rsid w:val="000A36AF"/>
    <w:rPr>
      <w:vertAlign w:val="superscript"/>
    </w:rPr>
  </w:style>
  <w:style w:type="character" w:styleId="Hipervnculovisitado">
    <w:name w:val="FollowedHyperlink"/>
    <w:basedOn w:val="Fuentedeprrafopredeter"/>
    <w:uiPriority w:val="99"/>
    <w:semiHidden/>
    <w:unhideWhenUsed/>
    <w:rsid w:val="00442A3E"/>
    <w:rPr>
      <w:color w:val="800080"/>
      <w:u w:val="single"/>
    </w:rPr>
  </w:style>
  <w:style w:type="paragraph" w:customStyle="1" w:styleId="xl57">
    <w:name w:val="xl57"/>
    <w:basedOn w:val="Normal"/>
    <w:rsid w:val="00442A3E"/>
    <w:pPr>
      <w:widowControl/>
      <w:pBdr>
        <w:left w:val="single" w:sz="8" w:space="0" w:color="auto"/>
        <w:right w:val="single" w:sz="8" w:space="0" w:color="auto"/>
      </w:pBdr>
      <w:spacing w:before="100" w:beforeAutospacing="1" w:after="100" w:afterAutospacing="1"/>
      <w:textAlignment w:val="top"/>
    </w:pPr>
    <w:rPr>
      <w:color w:val="000000"/>
      <w:sz w:val="16"/>
      <w:szCs w:val="16"/>
      <w:lang w:eastAsia="es-GT"/>
    </w:rPr>
  </w:style>
  <w:style w:type="paragraph" w:customStyle="1" w:styleId="xl58">
    <w:name w:val="xl58"/>
    <w:basedOn w:val="Normal"/>
    <w:rsid w:val="00442A3E"/>
    <w:pPr>
      <w:widowControl/>
      <w:pBdr>
        <w:left w:val="single" w:sz="8" w:space="0" w:color="auto"/>
        <w:bottom w:val="double" w:sz="6" w:space="0" w:color="auto"/>
        <w:right w:val="single" w:sz="8" w:space="0" w:color="auto"/>
      </w:pBdr>
      <w:spacing w:before="100" w:beforeAutospacing="1" w:after="100" w:afterAutospacing="1"/>
      <w:jc w:val="center"/>
      <w:textAlignment w:val="top"/>
    </w:pPr>
    <w:rPr>
      <w:sz w:val="16"/>
      <w:szCs w:val="16"/>
      <w:lang w:eastAsia="es-GT"/>
    </w:rPr>
  </w:style>
  <w:style w:type="paragraph" w:customStyle="1" w:styleId="xl59">
    <w:name w:val="xl59"/>
    <w:basedOn w:val="Normal"/>
    <w:rsid w:val="00442A3E"/>
    <w:pPr>
      <w:widowControl/>
      <w:pBdr>
        <w:left w:val="single" w:sz="8" w:space="0" w:color="auto"/>
        <w:bottom w:val="double" w:sz="6" w:space="0" w:color="auto"/>
        <w:right w:val="single" w:sz="8" w:space="0" w:color="auto"/>
      </w:pBdr>
      <w:spacing w:before="100" w:beforeAutospacing="1" w:after="100" w:afterAutospacing="1"/>
      <w:jc w:val="right"/>
    </w:pPr>
    <w:rPr>
      <w:sz w:val="16"/>
      <w:szCs w:val="16"/>
      <w:lang w:eastAsia="es-GT"/>
    </w:rPr>
  </w:style>
  <w:style w:type="paragraph" w:customStyle="1" w:styleId="xl61">
    <w:name w:val="xl61"/>
    <w:basedOn w:val="Normal"/>
    <w:rsid w:val="00442A3E"/>
    <w:pPr>
      <w:widowControl/>
      <w:pBdr>
        <w:left w:val="single" w:sz="8" w:space="0" w:color="auto"/>
        <w:right w:val="double" w:sz="6" w:space="0" w:color="auto"/>
      </w:pBdr>
      <w:spacing w:before="100" w:beforeAutospacing="1" w:after="100" w:afterAutospacing="1"/>
      <w:jc w:val="center"/>
    </w:pPr>
    <w:rPr>
      <w:color w:val="000000"/>
      <w:sz w:val="16"/>
      <w:szCs w:val="16"/>
      <w:lang w:eastAsia="es-GT"/>
    </w:rPr>
  </w:style>
  <w:style w:type="paragraph" w:customStyle="1" w:styleId="xl62">
    <w:name w:val="xl62"/>
    <w:basedOn w:val="Normal"/>
    <w:rsid w:val="00442A3E"/>
    <w:pPr>
      <w:widowControl/>
      <w:pBdr>
        <w:left w:val="single" w:sz="8" w:space="0" w:color="auto"/>
        <w:right w:val="double" w:sz="6" w:space="0" w:color="auto"/>
      </w:pBdr>
      <w:spacing w:before="100" w:beforeAutospacing="1" w:after="100" w:afterAutospacing="1"/>
      <w:jc w:val="center"/>
    </w:pPr>
    <w:rPr>
      <w:b/>
      <w:bCs/>
      <w:sz w:val="16"/>
      <w:szCs w:val="16"/>
      <w:lang w:eastAsia="es-GT"/>
    </w:rPr>
  </w:style>
  <w:style w:type="paragraph" w:customStyle="1" w:styleId="xl63">
    <w:name w:val="xl63"/>
    <w:basedOn w:val="Normal"/>
    <w:rsid w:val="00442A3E"/>
    <w:pPr>
      <w:widowControl/>
      <w:pBdr>
        <w:left w:val="single" w:sz="8" w:space="0" w:color="auto"/>
        <w:right w:val="single" w:sz="8" w:space="0" w:color="auto"/>
      </w:pBdr>
      <w:spacing w:before="100" w:beforeAutospacing="1" w:after="100" w:afterAutospacing="1"/>
      <w:jc w:val="center"/>
      <w:textAlignment w:val="top"/>
    </w:pPr>
    <w:rPr>
      <w:sz w:val="16"/>
      <w:szCs w:val="16"/>
      <w:lang w:eastAsia="es-GT"/>
    </w:rPr>
  </w:style>
  <w:style w:type="paragraph" w:customStyle="1" w:styleId="xl64">
    <w:name w:val="xl64"/>
    <w:basedOn w:val="Normal"/>
    <w:rsid w:val="00442A3E"/>
    <w:pPr>
      <w:widowControl/>
      <w:pBdr>
        <w:left w:val="single" w:sz="8" w:space="0" w:color="auto"/>
        <w:right w:val="double" w:sz="6" w:space="0" w:color="auto"/>
      </w:pBdr>
      <w:spacing w:before="100" w:beforeAutospacing="1" w:after="100" w:afterAutospacing="1"/>
      <w:jc w:val="center"/>
      <w:textAlignment w:val="top"/>
    </w:pPr>
    <w:rPr>
      <w:sz w:val="16"/>
      <w:szCs w:val="16"/>
      <w:lang w:eastAsia="es-GT"/>
    </w:rPr>
  </w:style>
  <w:style w:type="paragraph" w:customStyle="1" w:styleId="xl65">
    <w:name w:val="xl65"/>
    <w:basedOn w:val="Normal"/>
    <w:rsid w:val="00442A3E"/>
    <w:pPr>
      <w:widowControl/>
      <w:pBdr>
        <w:left w:val="single" w:sz="8" w:space="0" w:color="auto"/>
        <w:right w:val="single" w:sz="8" w:space="0" w:color="auto"/>
      </w:pBdr>
      <w:spacing w:before="100" w:beforeAutospacing="1" w:after="100" w:afterAutospacing="1"/>
      <w:jc w:val="center"/>
      <w:textAlignment w:val="top"/>
    </w:pPr>
    <w:rPr>
      <w:b/>
      <w:bCs/>
      <w:sz w:val="16"/>
      <w:szCs w:val="16"/>
      <w:lang w:eastAsia="es-GT"/>
    </w:rPr>
  </w:style>
  <w:style w:type="paragraph" w:customStyle="1" w:styleId="xl66">
    <w:name w:val="xl66"/>
    <w:basedOn w:val="Normal"/>
    <w:rsid w:val="00442A3E"/>
    <w:pPr>
      <w:widowControl/>
      <w:pBdr>
        <w:left w:val="single" w:sz="8" w:space="0" w:color="auto"/>
        <w:right w:val="double" w:sz="6" w:space="0" w:color="auto"/>
      </w:pBdr>
      <w:spacing w:before="100" w:beforeAutospacing="1" w:after="100" w:afterAutospacing="1"/>
      <w:jc w:val="center"/>
      <w:textAlignment w:val="top"/>
    </w:pPr>
    <w:rPr>
      <w:b/>
      <w:bCs/>
      <w:sz w:val="16"/>
      <w:szCs w:val="16"/>
      <w:lang w:eastAsia="es-GT"/>
    </w:rPr>
  </w:style>
  <w:style w:type="paragraph" w:customStyle="1" w:styleId="xl67">
    <w:name w:val="xl67"/>
    <w:basedOn w:val="Normal"/>
    <w:rsid w:val="00442A3E"/>
    <w:pPr>
      <w:widowControl/>
      <w:pBdr>
        <w:left w:val="single" w:sz="8" w:space="0" w:color="auto"/>
        <w:right w:val="double" w:sz="6" w:space="0" w:color="auto"/>
      </w:pBdr>
      <w:spacing w:before="100" w:beforeAutospacing="1" w:after="100" w:afterAutospacing="1"/>
      <w:jc w:val="center"/>
    </w:pPr>
    <w:rPr>
      <w:b/>
      <w:bCs/>
      <w:color w:val="000000"/>
      <w:sz w:val="16"/>
      <w:szCs w:val="16"/>
      <w:lang w:eastAsia="es-GT"/>
    </w:rPr>
  </w:style>
  <w:style w:type="paragraph" w:customStyle="1" w:styleId="xl68">
    <w:name w:val="xl68"/>
    <w:basedOn w:val="Normal"/>
    <w:rsid w:val="00442A3E"/>
    <w:pPr>
      <w:widowControl/>
      <w:pBdr>
        <w:left w:val="single" w:sz="8" w:space="0" w:color="auto"/>
        <w:bottom w:val="double" w:sz="6" w:space="0" w:color="auto"/>
        <w:right w:val="single" w:sz="8" w:space="0" w:color="auto"/>
      </w:pBdr>
      <w:spacing w:before="100" w:beforeAutospacing="1" w:after="100" w:afterAutospacing="1"/>
    </w:pPr>
    <w:rPr>
      <w:sz w:val="16"/>
      <w:szCs w:val="16"/>
      <w:lang w:eastAsia="es-GT"/>
    </w:rPr>
  </w:style>
  <w:style w:type="paragraph" w:customStyle="1" w:styleId="xl69">
    <w:name w:val="xl69"/>
    <w:basedOn w:val="Normal"/>
    <w:rsid w:val="00442A3E"/>
    <w:pPr>
      <w:widowControl/>
      <w:pBdr>
        <w:left w:val="single" w:sz="8" w:space="0" w:color="auto"/>
        <w:bottom w:val="double" w:sz="6" w:space="0" w:color="auto"/>
        <w:right w:val="double" w:sz="6" w:space="0" w:color="auto"/>
      </w:pBdr>
      <w:spacing w:before="100" w:beforeAutospacing="1" w:after="100" w:afterAutospacing="1"/>
      <w:jc w:val="center"/>
    </w:pPr>
    <w:rPr>
      <w:sz w:val="16"/>
      <w:szCs w:val="16"/>
      <w:lang w:eastAsia="es-GT"/>
    </w:rPr>
  </w:style>
  <w:style w:type="paragraph" w:customStyle="1" w:styleId="xl70">
    <w:name w:val="xl70"/>
    <w:basedOn w:val="Normal"/>
    <w:rsid w:val="00442A3E"/>
    <w:pPr>
      <w:widowControl/>
      <w:pBdr>
        <w:left w:val="double" w:sz="6" w:space="0" w:color="auto"/>
        <w:right w:val="single" w:sz="8" w:space="0" w:color="auto"/>
      </w:pBdr>
      <w:spacing w:before="100" w:beforeAutospacing="1" w:after="100" w:afterAutospacing="1"/>
      <w:jc w:val="center"/>
    </w:pPr>
    <w:rPr>
      <w:b/>
      <w:bCs/>
      <w:sz w:val="16"/>
      <w:szCs w:val="16"/>
      <w:lang w:eastAsia="es-GT"/>
    </w:rPr>
  </w:style>
  <w:style w:type="paragraph" w:customStyle="1" w:styleId="xl71">
    <w:name w:val="xl71"/>
    <w:basedOn w:val="Normal"/>
    <w:rsid w:val="00442A3E"/>
    <w:pPr>
      <w:widowControl/>
      <w:pBdr>
        <w:left w:val="single" w:sz="8" w:space="0" w:color="auto"/>
        <w:right w:val="single" w:sz="8" w:space="0" w:color="auto"/>
      </w:pBdr>
      <w:spacing w:before="100" w:beforeAutospacing="1" w:after="100" w:afterAutospacing="1"/>
      <w:jc w:val="center"/>
    </w:pPr>
    <w:rPr>
      <w:b/>
      <w:bCs/>
      <w:sz w:val="16"/>
      <w:szCs w:val="16"/>
      <w:lang w:eastAsia="es-GT"/>
    </w:rPr>
  </w:style>
  <w:style w:type="paragraph" w:customStyle="1" w:styleId="xl72">
    <w:name w:val="xl72"/>
    <w:basedOn w:val="Normal"/>
    <w:rsid w:val="00442A3E"/>
    <w:pPr>
      <w:widowControl/>
      <w:pBdr>
        <w:left w:val="double" w:sz="6" w:space="0" w:color="auto"/>
        <w:right w:val="single" w:sz="8" w:space="0" w:color="auto"/>
      </w:pBdr>
      <w:spacing w:before="100" w:beforeAutospacing="1" w:after="100" w:afterAutospacing="1"/>
    </w:pPr>
    <w:rPr>
      <w:b/>
      <w:bCs/>
      <w:sz w:val="16"/>
      <w:szCs w:val="16"/>
      <w:lang w:eastAsia="es-GT"/>
    </w:rPr>
  </w:style>
  <w:style w:type="paragraph" w:customStyle="1" w:styleId="xl73">
    <w:name w:val="xl73"/>
    <w:basedOn w:val="Normal"/>
    <w:rsid w:val="00442A3E"/>
    <w:pPr>
      <w:widowControl/>
      <w:pBdr>
        <w:left w:val="single" w:sz="8" w:space="0" w:color="auto"/>
        <w:right w:val="single" w:sz="8" w:space="0" w:color="auto"/>
      </w:pBdr>
      <w:spacing w:before="100" w:beforeAutospacing="1" w:after="100" w:afterAutospacing="1"/>
      <w:textAlignment w:val="top"/>
    </w:pPr>
    <w:rPr>
      <w:sz w:val="16"/>
      <w:szCs w:val="16"/>
      <w:lang w:eastAsia="es-GT"/>
    </w:rPr>
  </w:style>
  <w:style w:type="paragraph" w:customStyle="1" w:styleId="xl74">
    <w:name w:val="xl74"/>
    <w:basedOn w:val="Normal"/>
    <w:rsid w:val="00442A3E"/>
    <w:pPr>
      <w:widowControl/>
      <w:pBdr>
        <w:left w:val="single" w:sz="8" w:space="0" w:color="auto"/>
        <w:right w:val="double" w:sz="6" w:space="0" w:color="auto"/>
      </w:pBdr>
      <w:spacing w:before="100" w:beforeAutospacing="1" w:after="100" w:afterAutospacing="1"/>
    </w:pPr>
    <w:rPr>
      <w:lang w:eastAsia="es-GT"/>
    </w:rPr>
  </w:style>
  <w:style w:type="paragraph" w:customStyle="1" w:styleId="xl75">
    <w:name w:val="xl75"/>
    <w:basedOn w:val="Normal"/>
    <w:rsid w:val="00442A3E"/>
    <w:pPr>
      <w:widowControl/>
      <w:pBdr>
        <w:left w:val="single" w:sz="8" w:space="0" w:color="auto"/>
      </w:pBdr>
      <w:spacing w:before="100" w:beforeAutospacing="1" w:after="100" w:afterAutospacing="1"/>
    </w:pPr>
    <w:rPr>
      <w:b/>
      <w:bCs/>
      <w:color w:val="000000"/>
      <w:sz w:val="16"/>
      <w:szCs w:val="16"/>
      <w:lang w:eastAsia="es-GT"/>
    </w:rPr>
  </w:style>
  <w:style w:type="paragraph" w:customStyle="1" w:styleId="xl76">
    <w:name w:val="xl76"/>
    <w:basedOn w:val="Normal"/>
    <w:rsid w:val="00442A3E"/>
    <w:pPr>
      <w:widowControl/>
      <w:pBdr>
        <w:left w:val="single" w:sz="8" w:space="0" w:color="auto"/>
      </w:pBdr>
      <w:spacing w:before="100" w:beforeAutospacing="1" w:after="100" w:afterAutospacing="1"/>
      <w:textAlignment w:val="top"/>
    </w:pPr>
    <w:rPr>
      <w:b/>
      <w:bCs/>
      <w:color w:val="000000"/>
      <w:sz w:val="16"/>
      <w:szCs w:val="16"/>
      <w:lang w:eastAsia="es-GT"/>
    </w:rPr>
  </w:style>
  <w:style w:type="paragraph" w:customStyle="1" w:styleId="xl77">
    <w:name w:val="xl77"/>
    <w:basedOn w:val="Normal"/>
    <w:rsid w:val="008764A0"/>
    <w:pPr>
      <w:widowControl/>
      <w:pBdr>
        <w:left w:val="double" w:sz="6" w:space="0" w:color="auto"/>
        <w:right w:val="single" w:sz="8" w:space="0" w:color="auto"/>
      </w:pBdr>
      <w:spacing w:before="100" w:beforeAutospacing="1" w:after="100" w:afterAutospacing="1"/>
    </w:pPr>
    <w:rPr>
      <w:color w:val="000000"/>
      <w:sz w:val="16"/>
      <w:szCs w:val="16"/>
      <w:lang w:eastAsia="es-GT"/>
    </w:rPr>
  </w:style>
  <w:style w:type="paragraph" w:customStyle="1" w:styleId="xl78">
    <w:name w:val="xl78"/>
    <w:basedOn w:val="Normal"/>
    <w:rsid w:val="008764A0"/>
    <w:pPr>
      <w:widowControl/>
      <w:pBdr>
        <w:left w:val="single" w:sz="8" w:space="0" w:color="auto"/>
        <w:right w:val="single" w:sz="8" w:space="0" w:color="auto"/>
      </w:pBdr>
      <w:spacing w:before="100" w:beforeAutospacing="1" w:after="100" w:afterAutospacing="1"/>
    </w:pPr>
    <w:rPr>
      <w:color w:val="000000"/>
      <w:sz w:val="16"/>
      <w:szCs w:val="16"/>
      <w:lang w:eastAsia="es-GT"/>
    </w:rPr>
  </w:style>
  <w:style w:type="paragraph" w:customStyle="1" w:styleId="xl79">
    <w:name w:val="xl79"/>
    <w:basedOn w:val="Normal"/>
    <w:rsid w:val="008764A0"/>
    <w:pPr>
      <w:widowControl/>
      <w:pBdr>
        <w:left w:val="single" w:sz="8" w:space="0" w:color="auto"/>
        <w:right w:val="double" w:sz="6" w:space="0" w:color="auto"/>
      </w:pBdr>
      <w:spacing w:before="100" w:beforeAutospacing="1" w:after="100" w:afterAutospacing="1"/>
    </w:pPr>
    <w:rPr>
      <w:color w:val="000000"/>
      <w:sz w:val="16"/>
      <w:szCs w:val="16"/>
      <w:lang w:eastAsia="es-GT"/>
    </w:rPr>
  </w:style>
  <w:style w:type="paragraph" w:customStyle="1" w:styleId="xl80">
    <w:name w:val="xl80"/>
    <w:basedOn w:val="Normal"/>
    <w:rsid w:val="008764A0"/>
    <w:pPr>
      <w:widowControl/>
      <w:pBdr>
        <w:left w:val="single" w:sz="8" w:space="0" w:color="auto"/>
        <w:right w:val="single" w:sz="8" w:space="0" w:color="auto"/>
      </w:pBdr>
      <w:spacing w:before="100" w:beforeAutospacing="1" w:after="100" w:afterAutospacing="1"/>
      <w:jc w:val="center"/>
    </w:pPr>
    <w:rPr>
      <w:b/>
      <w:bCs/>
      <w:color w:val="000000"/>
      <w:sz w:val="16"/>
      <w:szCs w:val="16"/>
      <w:lang w:eastAsia="es-GT"/>
    </w:rPr>
  </w:style>
  <w:style w:type="paragraph" w:customStyle="1" w:styleId="xl81">
    <w:name w:val="xl81"/>
    <w:basedOn w:val="Normal"/>
    <w:rsid w:val="008764A0"/>
    <w:pPr>
      <w:widowControl/>
      <w:pBdr>
        <w:left w:val="single" w:sz="8" w:space="0" w:color="auto"/>
        <w:right w:val="single" w:sz="8" w:space="0" w:color="auto"/>
      </w:pBdr>
      <w:spacing w:before="100" w:beforeAutospacing="1" w:after="100" w:afterAutospacing="1"/>
      <w:jc w:val="center"/>
      <w:textAlignment w:val="top"/>
    </w:pPr>
    <w:rPr>
      <w:b/>
      <w:bCs/>
      <w:color w:val="000000"/>
      <w:sz w:val="16"/>
      <w:szCs w:val="16"/>
      <w:lang w:eastAsia="es-GT"/>
    </w:rPr>
  </w:style>
  <w:style w:type="paragraph" w:customStyle="1" w:styleId="xl82">
    <w:name w:val="xl82"/>
    <w:basedOn w:val="Normal"/>
    <w:rsid w:val="008764A0"/>
    <w:pPr>
      <w:widowControl/>
      <w:pBdr>
        <w:left w:val="double" w:sz="6" w:space="0" w:color="auto"/>
        <w:right w:val="single" w:sz="8" w:space="0" w:color="auto"/>
      </w:pBdr>
      <w:spacing w:before="100" w:beforeAutospacing="1" w:after="100" w:afterAutospacing="1"/>
    </w:pPr>
    <w:rPr>
      <w:lang w:eastAsia="es-GT"/>
    </w:rPr>
  </w:style>
  <w:style w:type="paragraph" w:customStyle="1" w:styleId="xl83">
    <w:name w:val="xl83"/>
    <w:basedOn w:val="Normal"/>
    <w:rsid w:val="008764A0"/>
    <w:pPr>
      <w:widowControl/>
      <w:pBdr>
        <w:left w:val="single" w:sz="8" w:space="0" w:color="auto"/>
        <w:right w:val="single" w:sz="8" w:space="0" w:color="auto"/>
      </w:pBdr>
      <w:spacing w:before="100" w:beforeAutospacing="1" w:after="100" w:afterAutospacing="1"/>
    </w:pPr>
    <w:rPr>
      <w:b/>
      <w:bCs/>
      <w:color w:val="000000"/>
      <w:sz w:val="16"/>
      <w:szCs w:val="16"/>
      <w:lang w:eastAsia="es-GT"/>
    </w:rPr>
  </w:style>
  <w:style w:type="paragraph" w:customStyle="1" w:styleId="xl84">
    <w:name w:val="xl84"/>
    <w:basedOn w:val="Normal"/>
    <w:rsid w:val="008764A0"/>
    <w:pPr>
      <w:widowControl/>
      <w:pBdr>
        <w:left w:val="single" w:sz="8" w:space="0" w:color="auto"/>
        <w:right w:val="single" w:sz="8" w:space="0" w:color="auto"/>
      </w:pBdr>
      <w:spacing w:before="100" w:beforeAutospacing="1" w:after="100" w:afterAutospacing="1"/>
      <w:textAlignment w:val="top"/>
    </w:pPr>
    <w:rPr>
      <w:b/>
      <w:bCs/>
      <w:color w:val="000000"/>
      <w:sz w:val="16"/>
      <w:szCs w:val="16"/>
      <w:lang w:eastAsia="es-GT"/>
    </w:rPr>
  </w:style>
  <w:style w:type="paragraph" w:customStyle="1" w:styleId="xl85">
    <w:name w:val="xl85"/>
    <w:basedOn w:val="Normal"/>
    <w:rsid w:val="008764A0"/>
    <w:pPr>
      <w:widowControl/>
      <w:pBdr>
        <w:left w:val="single" w:sz="8" w:space="0" w:color="auto"/>
        <w:bottom w:val="double" w:sz="6" w:space="0" w:color="auto"/>
        <w:right w:val="single" w:sz="8" w:space="0" w:color="auto"/>
      </w:pBdr>
      <w:spacing w:before="100" w:beforeAutospacing="1" w:after="100" w:afterAutospacing="1"/>
      <w:jc w:val="center"/>
      <w:textAlignment w:val="top"/>
    </w:pPr>
    <w:rPr>
      <w:sz w:val="16"/>
      <w:szCs w:val="16"/>
      <w:lang w:eastAsia="es-GT"/>
    </w:rPr>
  </w:style>
  <w:style w:type="paragraph" w:customStyle="1" w:styleId="xl86">
    <w:name w:val="xl86"/>
    <w:basedOn w:val="Normal"/>
    <w:rsid w:val="008764A0"/>
    <w:pPr>
      <w:widowControl/>
      <w:pBdr>
        <w:left w:val="single" w:sz="8" w:space="0" w:color="auto"/>
        <w:bottom w:val="double" w:sz="6" w:space="0" w:color="auto"/>
        <w:right w:val="single" w:sz="8" w:space="0" w:color="auto"/>
      </w:pBdr>
      <w:spacing w:before="100" w:beforeAutospacing="1" w:after="100" w:afterAutospacing="1"/>
      <w:jc w:val="right"/>
    </w:pPr>
    <w:rPr>
      <w:sz w:val="16"/>
      <w:szCs w:val="16"/>
      <w:lang w:eastAsia="es-GT"/>
    </w:rPr>
  </w:style>
  <w:style w:type="paragraph" w:customStyle="1" w:styleId="xl87">
    <w:name w:val="xl87"/>
    <w:basedOn w:val="Normal"/>
    <w:rsid w:val="008764A0"/>
    <w:pPr>
      <w:widowControl/>
      <w:pBdr>
        <w:left w:val="single" w:sz="8" w:space="0" w:color="auto"/>
        <w:right w:val="single" w:sz="8" w:space="0" w:color="auto"/>
      </w:pBdr>
      <w:spacing w:before="100" w:beforeAutospacing="1" w:after="100" w:afterAutospacing="1"/>
    </w:pPr>
    <w:rPr>
      <w:b/>
      <w:bCs/>
      <w:sz w:val="16"/>
      <w:szCs w:val="16"/>
      <w:lang w:eastAsia="es-GT"/>
    </w:rPr>
  </w:style>
  <w:style w:type="paragraph" w:customStyle="1" w:styleId="xl88">
    <w:name w:val="xl88"/>
    <w:basedOn w:val="Normal"/>
    <w:rsid w:val="008764A0"/>
    <w:pPr>
      <w:widowControl/>
      <w:pBdr>
        <w:left w:val="single" w:sz="8" w:space="0" w:color="auto"/>
        <w:right w:val="double" w:sz="6" w:space="0" w:color="auto"/>
      </w:pBdr>
      <w:spacing w:before="100" w:beforeAutospacing="1" w:after="100" w:afterAutospacing="1"/>
      <w:jc w:val="center"/>
    </w:pPr>
    <w:rPr>
      <w:color w:val="000000"/>
      <w:sz w:val="16"/>
      <w:szCs w:val="16"/>
      <w:lang w:eastAsia="es-GT"/>
    </w:rPr>
  </w:style>
  <w:style w:type="paragraph" w:customStyle="1" w:styleId="xl89">
    <w:name w:val="xl89"/>
    <w:basedOn w:val="Normal"/>
    <w:rsid w:val="008764A0"/>
    <w:pPr>
      <w:widowControl/>
      <w:pBdr>
        <w:left w:val="single" w:sz="8" w:space="0" w:color="auto"/>
        <w:right w:val="double" w:sz="6" w:space="0" w:color="auto"/>
      </w:pBdr>
      <w:spacing w:before="100" w:beforeAutospacing="1" w:after="100" w:afterAutospacing="1"/>
      <w:jc w:val="center"/>
    </w:pPr>
    <w:rPr>
      <w:b/>
      <w:bCs/>
      <w:sz w:val="16"/>
      <w:szCs w:val="16"/>
      <w:lang w:eastAsia="es-GT"/>
    </w:rPr>
  </w:style>
  <w:style w:type="paragraph" w:customStyle="1" w:styleId="xl90">
    <w:name w:val="xl90"/>
    <w:basedOn w:val="Normal"/>
    <w:rsid w:val="008764A0"/>
    <w:pPr>
      <w:widowControl/>
      <w:pBdr>
        <w:left w:val="single" w:sz="8" w:space="0" w:color="auto"/>
        <w:right w:val="single" w:sz="8" w:space="0" w:color="auto"/>
      </w:pBdr>
      <w:spacing w:before="100" w:beforeAutospacing="1" w:after="100" w:afterAutospacing="1"/>
      <w:jc w:val="center"/>
      <w:textAlignment w:val="top"/>
    </w:pPr>
    <w:rPr>
      <w:sz w:val="16"/>
      <w:szCs w:val="16"/>
      <w:lang w:eastAsia="es-GT"/>
    </w:rPr>
  </w:style>
  <w:style w:type="paragraph" w:customStyle="1" w:styleId="xl91">
    <w:name w:val="xl91"/>
    <w:basedOn w:val="Normal"/>
    <w:rsid w:val="008764A0"/>
    <w:pPr>
      <w:widowControl/>
      <w:pBdr>
        <w:left w:val="single" w:sz="8" w:space="0" w:color="auto"/>
        <w:right w:val="double" w:sz="6" w:space="0" w:color="auto"/>
      </w:pBdr>
      <w:spacing w:before="100" w:beforeAutospacing="1" w:after="100" w:afterAutospacing="1"/>
      <w:jc w:val="center"/>
      <w:textAlignment w:val="top"/>
    </w:pPr>
    <w:rPr>
      <w:sz w:val="16"/>
      <w:szCs w:val="16"/>
      <w:lang w:eastAsia="es-GT"/>
    </w:rPr>
  </w:style>
  <w:style w:type="paragraph" w:customStyle="1" w:styleId="xl92">
    <w:name w:val="xl92"/>
    <w:basedOn w:val="Normal"/>
    <w:rsid w:val="008764A0"/>
    <w:pPr>
      <w:widowControl/>
      <w:pBdr>
        <w:left w:val="single" w:sz="8" w:space="0" w:color="auto"/>
        <w:right w:val="single" w:sz="8" w:space="0" w:color="auto"/>
      </w:pBdr>
      <w:spacing w:before="100" w:beforeAutospacing="1" w:after="100" w:afterAutospacing="1"/>
      <w:jc w:val="center"/>
      <w:textAlignment w:val="top"/>
    </w:pPr>
    <w:rPr>
      <w:b/>
      <w:bCs/>
      <w:sz w:val="16"/>
      <w:szCs w:val="16"/>
      <w:lang w:eastAsia="es-GT"/>
    </w:rPr>
  </w:style>
  <w:style w:type="paragraph" w:customStyle="1" w:styleId="xl93">
    <w:name w:val="xl93"/>
    <w:basedOn w:val="Normal"/>
    <w:rsid w:val="008764A0"/>
    <w:pPr>
      <w:widowControl/>
      <w:pBdr>
        <w:left w:val="single" w:sz="8" w:space="0" w:color="auto"/>
        <w:right w:val="double" w:sz="6" w:space="0" w:color="auto"/>
      </w:pBdr>
      <w:spacing w:before="100" w:beforeAutospacing="1" w:after="100" w:afterAutospacing="1"/>
      <w:jc w:val="center"/>
      <w:textAlignment w:val="top"/>
    </w:pPr>
    <w:rPr>
      <w:b/>
      <w:bCs/>
      <w:sz w:val="16"/>
      <w:szCs w:val="16"/>
      <w:lang w:eastAsia="es-GT"/>
    </w:rPr>
  </w:style>
  <w:style w:type="paragraph" w:customStyle="1" w:styleId="xl94">
    <w:name w:val="xl94"/>
    <w:basedOn w:val="Normal"/>
    <w:rsid w:val="008764A0"/>
    <w:pPr>
      <w:widowControl/>
      <w:pBdr>
        <w:left w:val="single" w:sz="8" w:space="0" w:color="auto"/>
        <w:right w:val="double" w:sz="6" w:space="0" w:color="auto"/>
      </w:pBdr>
      <w:spacing w:before="100" w:beforeAutospacing="1" w:after="100" w:afterAutospacing="1"/>
      <w:jc w:val="center"/>
    </w:pPr>
    <w:rPr>
      <w:b/>
      <w:bCs/>
      <w:color w:val="000000"/>
      <w:sz w:val="16"/>
      <w:szCs w:val="16"/>
      <w:lang w:eastAsia="es-GT"/>
    </w:rPr>
  </w:style>
  <w:style w:type="paragraph" w:customStyle="1" w:styleId="xl95">
    <w:name w:val="xl95"/>
    <w:basedOn w:val="Normal"/>
    <w:rsid w:val="008764A0"/>
    <w:pPr>
      <w:widowControl/>
      <w:pBdr>
        <w:left w:val="single" w:sz="8" w:space="0" w:color="auto"/>
        <w:bottom w:val="double" w:sz="6" w:space="0" w:color="auto"/>
        <w:right w:val="double" w:sz="6" w:space="0" w:color="auto"/>
      </w:pBdr>
      <w:spacing w:before="100" w:beforeAutospacing="1" w:after="100" w:afterAutospacing="1"/>
      <w:jc w:val="center"/>
    </w:pPr>
    <w:rPr>
      <w:sz w:val="16"/>
      <w:szCs w:val="16"/>
      <w:lang w:eastAsia="es-GT"/>
    </w:rPr>
  </w:style>
  <w:style w:type="paragraph" w:customStyle="1" w:styleId="xl97">
    <w:name w:val="xl97"/>
    <w:basedOn w:val="Normal"/>
    <w:rsid w:val="008764A0"/>
    <w:pPr>
      <w:widowControl/>
      <w:pBdr>
        <w:left w:val="single" w:sz="8" w:space="0" w:color="auto"/>
        <w:right w:val="single" w:sz="8" w:space="0" w:color="auto"/>
      </w:pBdr>
      <w:spacing w:before="100" w:beforeAutospacing="1" w:after="100" w:afterAutospacing="1"/>
      <w:textAlignment w:val="top"/>
    </w:pPr>
    <w:rPr>
      <w:sz w:val="16"/>
      <w:szCs w:val="16"/>
      <w:lang w:eastAsia="es-GT"/>
    </w:rPr>
  </w:style>
  <w:style w:type="paragraph" w:customStyle="1" w:styleId="xl98">
    <w:name w:val="xl98"/>
    <w:basedOn w:val="Normal"/>
    <w:rsid w:val="008764A0"/>
    <w:pPr>
      <w:widowControl/>
      <w:pBdr>
        <w:left w:val="single" w:sz="8" w:space="0" w:color="auto"/>
        <w:right w:val="double" w:sz="6" w:space="0" w:color="auto"/>
      </w:pBdr>
      <w:spacing w:before="100" w:beforeAutospacing="1" w:after="100" w:afterAutospacing="1"/>
    </w:pPr>
    <w:rPr>
      <w:lang w:eastAsia="es-GT"/>
    </w:rPr>
  </w:style>
  <w:style w:type="paragraph" w:customStyle="1" w:styleId="xl99">
    <w:name w:val="xl99"/>
    <w:basedOn w:val="Normal"/>
    <w:rsid w:val="008764A0"/>
    <w:pPr>
      <w:widowControl/>
      <w:pBdr>
        <w:left w:val="single" w:sz="8" w:space="0" w:color="auto"/>
      </w:pBdr>
      <w:spacing w:before="100" w:beforeAutospacing="1" w:after="100" w:afterAutospacing="1"/>
    </w:pPr>
    <w:rPr>
      <w:b/>
      <w:bCs/>
      <w:color w:val="000000"/>
      <w:sz w:val="16"/>
      <w:szCs w:val="16"/>
      <w:lang w:eastAsia="es-GT"/>
    </w:rPr>
  </w:style>
  <w:style w:type="paragraph" w:customStyle="1" w:styleId="xl100">
    <w:name w:val="xl100"/>
    <w:basedOn w:val="Normal"/>
    <w:rsid w:val="008764A0"/>
    <w:pPr>
      <w:widowControl/>
      <w:pBdr>
        <w:left w:val="single" w:sz="8" w:space="0" w:color="auto"/>
      </w:pBdr>
      <w:spacing w:before="100" w:beforeAutospacing="1" w:after="100" w:afterAutospacing="1"/>
      <w:textAlignment w:val="top"/>
    </w:pPr>
    <w:rPr>
      <w:b/>
      <w:bCs/>
      <w:color w:val="000000"/>
      <w:sz w:val="16"/>
      <w:szCs w:val="16"/>
      <w:lang w:eastAsia="es-GT"/>
    </w:rPr>
  </w:style>
  <w:style w:type="paragraph" w:customStyle="1" w:styleId="xl101">
    <w:name w:val="xl101"/>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color w:val="000000"/>
      <w:sz w:val="16"/>
      <w:szCs w:val="16"/>
      <w:lang w:eastAsia="es-GT"/>
    </w:rPr>
  </w:style>
  <w:style w:type="paragraph" w:customStyle="1" w:styleId="xl102">
    <w:name w:val="xl102"/>
    <w:basedOn w:val="Normal"/>
    <w:rsid w:val="008764A0"/>
    <w:pPr>
      <w:widowControl/>
      <w:pBdr>
        <w:top w:val="single" w:sz="8" w:space="0" w:color="auto"/>
        <w:left w:val="single" w:sz="8" w:space="0" w:color="auto"/>
        <w:bottom w:val="single" w:sz="8" w:space="0" w:color="auto"/>
        <w:right w:val="double" w:sz="6" w:space="0" w:color="auto"/>
      </w:pBdr>
      <w:spacing w:before="100" w:beforeAutospacing="1" w:after="100" w:afterAutospacing="1"/>
      <w:jc w:val="center"/>
    </w:pPr>
    <w:rPr>
      <w:b/>
      <w:bCs/>
      <w:color w:val="000000"/>
      <w:sz w:val="16"/>
      <w:szCs w:val="16"/>
      <w:lang w:eastAsia="es-GT"/>
    </w:rPr>
  </w:style>
  <w:style w:type="paragraph" w:customStyle="1" w:styleId="xl103">
    <w:name w:val="xl103"/>
    <w:basedOn w:val="Normal"/>
    <w:rsid w:val="008764A0"/>
    <w:pPr>
      <w:widowControl/>
      <w:pBdr>
        <w:left w:val="single" w:sz="8" w:space="0" w:color="auto"/>
        <w:right w:val="single" w:sz="8" w:space="0" w:color="auto"/>
      </w:pBdr>
      <w:spacing w:before="100" w:beforeAutospacing="1" w:after="100" w:afterAutospacing="1"/>
    </w:pPr>
    <w:rPr>
      <w:b/>
      <w:bCs/>
      <w:color w:val="000000"/>
      <w:sz w:val="16"/>
      <w:szCs w:val="16"/>
      <w:lang w:eastAsia="es-GT"/>
    </w:rPr>
  </w:style>
  <w:style w:type="paragraph" w:customStyle="1" w:styleId="xl104">
    <w:name w:val="xl104"/>
    <w:basedOn w:val="Normal"/>
    <w:rsid w:val="008764A0"/>
    <w:pPr>
      <w:widowControl/>
      <w:pBdr>
        <w:left w:val="single" w:sz="8" w:space="0" w:color="auto"/>
        <w:right w:val="single" w:sz="8" w:space="0" w:color="auto"/>
      </w:pBdr>
      <w:spacing w:before="100" w:beforeAutospacing="1" w:after="100" w:afterAutospacing="1"/>
      <w:jc w:val="center"/>
    </w:pPr>
    <w:rPr>
      <w:b/>
      <w:bCs/>
      <w:color w:val="000000"/>
      <w:sz w:val="16"/>
      <w:szCs w:val="16"/>
      <w:lang w:eastAsia="es-GT"/>
    </w:rPr>
  </w:style>
  <w:style w:type="paragraph" w:customStyle="1" w:styleId="xl105">
    <w:name w:val="xl105"/>
    <w:basedOn w:val="Normal"/>
    <w:rsid w:val="008764A0"/>
    <w:pPr>
      <w:widowControl/>
      <w:pBdr>
        <w:left w:val="single" w:sz="8" w:space="0" w:color="auto"/>
        <w:right w:val="single" w:sz="8" w:space="0" w:color="auto"/>
      </w:pBdr>
      <w:spacing w:before="100" w:beforeAutospacing="1" w:after="100" w:afterAutospacing="1"/>
    </w:pPr>
    <w:rPr>
      <w:b/>
      <w:bCs/>
      <w:sz w:val="16"/>
      <w:szCs w:val="16"/>
      <w:lang w:eastAsia="es-GT"/>
    </w:rPr>
  </w:style>
  <w:style w:type="paragraph" w:customStyle="1" w:styleId="xl106">
    <w:name w:val="xl106"/>
    <w:basedOn w:val="Normal"/>
    <w:rsid w:val="008764A0"/>
    <w:pPr>
      <w:widowControl/>
      <w:pBdr>
        <w:left w:val="single" w:sz="8" w:space="0" w:color="auto"/>
        <w:right w:val="single" w:sz="8" w:space="0" w:color="auto"/>
      </w:pBdr>
      <w:spacing w:before="100" w:beforeAutospacing="1" w:after="100" w:afterAutospacing="1"/>
      <w:textAlignment w:val="top"/>
    </w:pPr>
    <w:rPr>
      <w:color w:val="000000"/>
      <w:sz w:val="16"/>
      <w:szCs w:val="16"/>
      <w:lang w:eastAsia="es-GT"/>
    </w:rPr>
  </w:style>
  <w:style w:type="paragraph" w:customStyle="1" w:styleId="xl107">
    <w:name w:val="xl107"/>
    <w:basedOn w:val="Normal"/>
    <w:rsid w:val="008764A0"/>
    <w:pPr>
      <w:widowControl/>
      <w:pBdr>
        <w:left w:val="single" w:sz="8" w:space="0" w:color="auto"/>
        <w:right w:val="single" w:sz="8" w:space="0" w:color="auto"/>
      </w:pBdr>
      <w:spacing w:before="100" w:beforeAutospacing="1" w:after="100" w:afterAutospacing="1"/>
    </w:pPr>
    <w:rPr>
      <w:color w:val="000000"/>
      <w:sz w:val="16"/>
      <w:szCs w:val="16"/>
      <w:lang w:eastAsia="es-GT"/>
    </w:rPr>
  </w:style>
  <w:style w:type="paragraph" w:customStyle="1" w:styleId="xl108">
    <w:name w:val="xl108"/>
    <w:basedOn w:val="Normal"/>
    <w:rsid w:val="008764A0"/>
    <w:pPr>
      <w:widowControl/>
      <w:pBdr>
        <w:left w:val="single" w:sz="8" w:space="0" w:color="auto"/>
        <w:right w:val="single" w:sz="8" w:space="0" w:color="auto"/>
      </w:pBdr>
      <w:spacing w:before="100" w:beforeAutospacing="1" w:after="100" w:afterAutospacing="1"/>
      <w:textAlignment w:val="top"/>
    </w:pPr>
    <w:rPr>
      <w:b/>
      <w:bCs/>
      <w:color w:val="000000"/>
      <w:sz w:val="16"/>
      <w:szCs w:val="16"/>
      <w:lang w:eastAsia="es-GT"/>
    </w:rPr>
  </w:style>
  <w:style w:type="paragraph" w:customStyle="1" w:styleId="xl109">
    <w:name w:val="xl109"/>
    <w:basedOn w:val="Normal"/>
    <w:rsid w:val="008764A0"/>
    <w:pPr>
      <w:widowControl/>
      <w:pBdr>
        <w:left w:val="single" w:sz="8" w:space="0" w:color="auto"/>
        <w:right w:val="single" w:sz="8" w:space="0" w:color="auto"/>
      </w:pBdr>
      <w:spacing w:before="100" w:beforeAutospacing="1" w:after="100" w:afterAutospacing="1"/>
    </w:pPr>
    <w:rPr>
      <w:sz w:val="16"/>
      <w:szCs w:val="16"/>
      <w:lang w:eastAsia="es-GT"/>
    </w:rPr>
  </w:style>
  <w:style w:type="paragraph" w:customStyle="1" w:styleId="xl110">
    <w:name w:val="xl110"/>
    <w:basedOn w:val="Normal"/>
    <w:rsid w:val="008764A0"/>
    <w:pPr>
      <w:widowControl/>
      <w:pBdr>
        <w:left w:val="single" w:sz="8" w:space="0" w:color="auto"/>
        <w:bottom w:val="double" w:sz="6" w:space="0" w:color="auto"/>
        <w:right w:val="single" w:sz="8" w:space="0" w:color="auto"/>
      </w:pBdr>
      <w:spacing w:before="100" w:beforeAutospacing="1" w:after="100" w:afterAutospacing="1"/>
    </w:pPr>
    <w:rPr>
      <w:sz w:val="16"/>
      <w:szCs w:val="16"/>
      <w:lang w:eastAsia="es-GT"/>
    </w:rPr>
  </w:style>
  <w:style w:type="paragraph" w:customStyle="1" w:styleId="xl111">
    <w:name w:val="xl111"/>
    <w:basedOn w:val="Normal"/>
    <w:rsid w:val="008764A0"/>
    <w:pPr>
      <w:widowControl/>
      <w:spacing w:before="100" w:beforeAutospacing="1" w:after="100" w:afterAutospacing="1"/>
    </w:pPr>
    <w:rPr>
      <w:lang w:eastAsia="es-GT"/>
    </w:rPr>
  </w:style>
  <w:style w:type="paragraph" w:customStyle="1" w:styleId="xl112">
    <w:name w:val="xl112"/>
    <w:basedOn w:val="Normal"/>
    <w:rsid w:val="008764A0"/>
    <w:pPr>
      <w:widowControl/>
      <w:pBdr>
        <w:left w:val="double" w:sz="6" w:space="0" w:color="auto"/>
        <w:bottom w:val="single" w:sz="8" w:space="0" w:color="auto"/>
        <w:right w:val="single" w:sz="8" w:space="0" w:color="auto"/>
      </w:pBdr>
      <w:spacing w:before="100" w:beforeAutospacing="1" w:after="100" w:afterAutospacing="1"/>
      <w:jc w:val="center"/>
    </w:pPr>
    <w:rPr>
      <w:b/>
      <w:bCs/>
      <w:sz w:val="16"/>
      <w:szCs w:val="16"/>
      <w:lang w:eastAsia="es-GT"/>
    </w:rPr>
  </w:style>
  <w:style w:type="paragraph" w:customStyle="1" w:styleId="xl113">
    <w:name w:val="xl113"/>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sz w:val="16"/>
      <w:szCs w:val="16"/>
      <w:lang w:eastAsia="es-GT"/>
    </w:rPr>
  </w:style>
  <w:style w:type="paragraph" w:customStyle="1" w:styleId="xl114">
    <w:name w:val="xl114"/>
    <w:basedOn w:val="Normal"/>
    <w:rsid w:val="008764A0"/>
    <w:pPr>
      <w:widowControl/>
      <w:pBdr>
        <w:left w:val="single" w:sz="8" w:space="0" w:color="auto"/>
        <w:bottom w:val="single" w:sz="8" w:space="0" w:color="auto"/>
        <w:right w:val="single" w:sz="8" w:space="0" w:color="auto"/>
      </w:pBdr>
      <w:spacing w:before="100" w:beforeAutospacing="1" w:after="100" w:afterAutospacing="1"/>
      <w:jc w:val="center"/>
    </w:pPr>
    <w:rPr>
      <w:b/>
      <w:bCs/>
      <w:sz w:val="16"/>
      <w:szCs w:val="16"/>
      <w:lang w:eastAsia="es-GT"/>
    </w:rPr>
  </w:style>
  <w:style w:type="paragraph" w:customStyle="1" w:styleId="xl115">
    <w:name w:val="xl115"/>
    <w:basedOn w:val="Normal"/>
    <w:rsid w:val="008764A0"/>
    <w:pPr>
      <w:widowControl/>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lang w:eastAsia="es-GT"/>
    </w:rPr>
  </w:style>
  <w:style w:type="paragraph" w:styleId="NormalWeb">
    <w:name w:val="Normal (Web)"/>
    <w:basedOn w:val="Normal"/>
    <w:uiPriority w:val="99"/>
    <w:unhideWhenUsed/>
    <w:rsid w:val="00711BCD"/>
    <w:pPr>
      <w:widowControl/>
      <w:spacing w:before="100" w:beforeAutospacing="1" w:after="100" w:afterAutospacing="1"/>
    </w:pPr>
    <w:rPr>
      <w:lang w:eastAsia="es-GT"/>
    </w:rPr>
  </w:style>
  <w:style w:type="paragraph" w:customStyle="1" w:styleId="xl116">
    <w:name w:val="xl116"/>
    <w:basedOn w:val="Normal"/>
    <w:rsid w:val="00774E44"/>
    <w:pPr>
      <w:widowControl/>
      <w:pBdr>
        <w:left w:val="single" w:sz="4" w:space="0" w:color="auto"/>
        <w:right w:val="single" w:sz="4" w:space="0" w:color="auto"/>
      </w:pBdr>
      <w:spacing w:before="100" w:beforeAutospacing="1" w:after="100" w:afterAutospacing="1"/>
      <w:jc w:val="right"/>
    </w:pPr>
    <w:rPr>
      <w:i/>
      <w:iCs/>
      <w:color w:val="000000"/>
      <w:sz w:val="16"/>
      <w:szCs w:val="16"/>
      <w:u w:val="single"/>
      <w:lang w:eastAsia="es-GT"/>
    </w:rPr>
  </w:style>
  <w:style w:type="paragraph" w:customStyle="1" w:styleId="xl117">
    <w:name w:val="xl117"/>
    <w:basedOn w:val="Normal"/>
    <w:rsid w:val="00774E44"/>
    <w:pPr>
      <w:widowControl/>
      <w:pBdr>
        <w:left w:val="single" w:sz="4" w:space="0" w:color="auto"/>
        <w:right w:val="single" w:sz="4" w:space="0" w:color="auto"/>
      </w:pBdr>
      <w:spacing w:before="100" w:beforeAutospacing="1" w:after="100" w:afterAutospacing="1"/>
    </w:pPr>
    <w:rPr>
      <w:i/>
      <w:iCs/>
      <w:sz w:val="16"/>
      <w:szCs w:val="16"/>
      <w:u w:val="single"/>
      <w:lang w:eastAsia="es-GT"/>
    </w:rPr>
  </w:style>
  <w:style w:type="paragraph" w:customStyle="1" w:styleId="xl118">
    <w:name w:val="xl118"/>
    <w:basedOn w:val="Normal"/>
    <w:rsid w:val="00774E4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es-GT"/>
    </w:rPr>
  </w:style>
  <w:style w:type="paragraph" w:customStyle="1" w:styleId="xl119">
    <w:name w:val="xl119"/>
    <w:basedOn w:val="Normal"/>
    <w:rsid w:val="00774E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es-GT"/>
    </w:rPr>
  </w:style>
  <w:style w:type="paragraph" w:customStyle="1" w:styleId="xl120">
    <w:name w:val="xl120"/>
    <w:basedOn w:val="Normal"/>
    <w:rsid w:val="00774E44"/>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eastAsia="es-GT"/>
    </w:rPr>
  </w:style>
  <w:style w:type="paragraph" w:customStyle="1" w:styleId="xl121">
    <w:name w:val="xl121"/>
    <w:basedOn w:val="Normal"/>
    <w:rsid w:val="00774E44"/>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b/>
      <w:bCs/>
      <w:color w:val="000000"/>
      <w:sz w:val="16"/>
      <w:szCs w:val="16"/>
      <w:lang w:eastAsia="es-GT"/>
    </w:rPr>
  </w:style>
  <w:style w:type="paragraph" w:customStyle="1" w:styleId="xl122">
    <w:name w:val="xl122"/>
    <w:basedOn w:val="Normal"/>
    <w:rsid w:val="00774E44"/>
    <w:pPr>
      <w:widowControl/>
      <w:pBdr>
        <w:top w:val="double" w:sz="6" w:space="0" w:color="auto"/>
        <w:left w:val="single" w:sz="4" w:space="0" w:color="auto"/>
        <w:right w:val="single" w:sz="4" w:space="0" w:color="auto"/>
      </w:pBdr>
      <w:spacing w:before="100" w:beforeAutospacing="1" w:after="100" w:afterAutospacing="1"/>
      <w:jc w:val="center"/>
    </w:pPr>
    <w:rPr>
      <w:b/>
      <w:bCs/>
      <w:color w:val="000000"/>
      <w:sz w:val="16"/>
      <w:szCs w:val="16"/>
      <w:lang w:eastAsia="es-GT"/>
    </w:rPr>
  </w:style>
  <w:style w:type="paragraph" w:customStyle="1" w:styleId="xl123">
    <w:name w:val="xl123"/>
    <w:basedOn w:val="Normal"/>
    <w:rsid w:val="00774E44"/>
    <w:pPr>
      <w:widowControl/>
      <w:pBdr>
        <w:left w:val="single" w:sz="4" w:space="0" w:color="auto"/>
        <w:bottom w:val="single" w:sz="4" w:space="0" w:color="auto"/>
        <w:right w:val="single" w:sz="4" w:space="0" w:color="auto"/>
      </w:pBdr>
      <w:spacing w:before="100" w:beforeAutospacing="1" w:after="100" w:afterAutospacing="1"/>
      <w:jc w:val="center"/>
    </w:pPr>
    <w:rPr>
      <w:b/>
      <w:bCs/>
      <w:color w:val="000000"/>
      <w:sz w:val="16"/>
      <w:szCs w:val="16"/>
      <w:lang w:eastAsia="es-GT"/>
    </w:rPr>
  </w:style>
  <w:style w:type="paragraph" w:customStyle="1" w:styleId="xl124">
    <w:name w:val="xl124"/>
    <w:basedOn w:val="Normal"/>
    <w:rsid w:val="00774E44"/>
    <w:pPr>
      <w:widowControl/>
      <w:pBdr>
        <w:top w:val="double" w:sz="6"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lang w:eastAsia="es-GT"/>
    </w:rPr>
  </w:style>
  <w:style w:type="paragraph" w:customStyle="1" w:styleId="xl125">
    <w:name w:val="xl125"/>
    <w:basedOn w:val="Normal"/>
    <w:rsid w:val="00774E44"/>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6"/>
      <w:szCs w:val="16"/>
      <w:lang w:eastAsia="es-GT"/>
    </w:rPr>
  </w:style>
  <w:style w:type="paragraph" w:styleId="Listaconvietas">
    <w:name w:val="List Bullet"/>
    <w:basedOn w:val="Normal"/>
    <w:uiPriority w:val="99"/>
    <w:unhideWhenUsed/>
    <w:rsid w:val="00AB70BF"/>
    <w:pPr>
      <w:numPr>
        <w:numId w:val="3"/>
      </w:numPr>
      <w:contextualSpacing/>
    </w:pPr>
  </w:style>
  <w:style w:type="table" w:styleId="Sombreadoclaro-nfasis1">
    <w:name w:val="Light Shading Accent 1"/>
    <w:basedOn w:val="Tablanormal"/>
    <w:uiPriority w:val="60"/>
    <w:rsid w:val="00AB70B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tuloTDC">
    <w:name w:val="TOC Heading"/>
    <w:basedOn w:val="Ttulo1"/>
    <w:next w:val="Normal"/>
    <w:uiPriority w:val="39"/>
    <w:unhideWhenUsed/>
    <w:qFormat/>
    <w:rsid w:val="00AB70BF"/>
    <w:pPr>
      <w:keepLines/>
      <w:widowControl/>
      <w:spacing w:before="480" w:line="276" w:lineRule="auto"/>
      <w:jc w:val="left"/>
      <w:outlineLvl w:val="9"/>
    </w:pPr>
    <w:rPr>
      <w:rFonts w:asciiTheme="majorHAnsi" w:eastAsiaTheme="majorEastAsia" w:hAnsiTheme="majorHAnsi" w:cstheme="majorBidi"/>
      <w:bCs/>
      <w:color w:val="2F5496" w:themeColor="accent1" w:themeShade="BF"/>
      <w:sz w:val="28"/>
      <w:szCs w:val="28"/>
      <w:lang w:eastAsia="es-GT"/>
    </w:rPr>
  </w:style>
  <w:style w:type="paragraph" w:styleId="TDC2">
    <w:name w:val="toc 2"/>
    <w:basedOn w:val="Normal"/>
    <w:next w:val="Normal"/>
    <w:autoRedefine/>
    <w:uiPriority w:val="39"/>
    <w:unhideWhenUsed/>
    <w:qFormat/>
    <w:rsid w:val="00CD0848"/>
    <w:pPr>
      <w:tabs>
        <w:tab w:val="left" w:pos="880"/>
        <w:tab w:val="right" w:leader="dot" w:pos="9962"/>
      </w:tabs>
      <w:ind w:left="284"/>
    </w:pPr>
  </w:style>
  <w:style w:type="paragraph" w:styleId="TDC3">
    <w:name w:val="toc 3"/>
    <w:basedOn w:val="Normal"/>
    <w:next w:val="Normal"/>
    <w:autoRedefine/>
    <w:uiPriority w:val="39"/>
    <w:unhideWhenUsed/>
    <w:qFormat/>
    <w:rsid w:val="00621133"/>
    <w:pPr>
      <w:tabs>
        <w:tab w:val="left" w:pos="993"/>
        <w:tab w:val="left" w:pos="1100"/>
        <w:tab w:val="right" w:leader="dot" w:pos="9962"/>
      </w:tabs>
      <w:spacing w:after="100"/>
      <w:ind w:left="142"/>
    </w:pPr>
  </w:style>
  <w:style w:type="paragraph" w:styleId="TDC1">
    <w:name w:val="toc 1"/>
    <w:basedOn w:val="Normal"/>
    <w:next w:val="Normal"/>
    <w:autoRedefine/>
    <w:uiPriority w:val="39"/>
    <w:unhideWhenUsed/>
    <w:qFormat/>
    <w:rsid w:val="00E03465"/>
    <w:pPr>
      <w:tabs>
        <w:tab w:val="left" w:pos="400"/>
        <w:tab w:val="left" w:pos="720"/>
        <w:tab w:val="left" w:pos="960"/>
        <w:tab w:val="left" w:pos="1276"/>
        <w:tab w:val="right" w:leader="dot" w:pos="9962"/>
      </w:tabs>
      <w:ind w:left="284" w:hanging="284"/>
    </w:pPr>
    <w:rPr>
      <w:bCs/>
      <w:noProof/>
    </w:rPr>
  </w:style>
  <w:style w:type="character" w:styleId="Textoennegrita">
    <w:name w:val="Strong"/>
    <w:basedOn w:val="Fuentedeprrafopredeter"/>
    <w:uiPriority w:val="22"/>
    <w:qFormat/>
    <w:rsid w:val="00AB70BF"/>
    <w:rPr>
      <w:b/>
      <w:bCs/>
    </w:rPr>
  </w:style>
  <w:style w:type="paragraph" w:customStyle="1" w:styleId="default0">
    <w:name w:val="default"/>
    <w:basedOn w:val="Normal"/>
    <w:rsid w:val="00AB70BF"/>
    <w:pPr>
      <w:widowControl/>
      <w:spacing w:after="150"/>
    </w:pPr>
    <w:rPr>
      <w:lang w:eastAsia="es-GT"/>
    </w:rPr>
  </w:style>
  <w:style w:type="paragraph" w:styleId="Subttulo">
    <w:name w:val="Subtitle"/>
    <w:basedOn w:val="Normal"/>
    <w:link w:val="SubttuloCar"/>
    <w:uiPriority w:val="11"/>
    <w:qFormat/>
    <w:rsid w:val="00D50E05"/>
    <w:pPr>
      <w:widowControl/>
      <w:jc w:val="both"/>
    </w:pPr>
    <w:rPr>
      <w:rFonts w:ascii="CG Times" w:hAnsi="CG Times"/>
      <w:b/>
      <w:bCs/>
      <w:lang w:val="es-ES"/>
    </w:rPr>
  </w:style>
  <w:style w:type="character" w:customStyle="1" w:styleId="SubttuloCar">
    <w:name w:val="Subtítulo Car"/>
    <w:basedOn w:val="Fuentedeprrafopredeter"/>
    <w:link w:val="Subttulo"/>
    <w:uiPriority w:val="11"/>
    <w:rsid w:val="00D50E05"/>
    <w:rPr>
      <w:rFonts w:ascii="CG Times" w:eastAsia="Times New Roman" w:hAnsi="CG Times" w:cs="Times New Roman"/>
      <w:b/>
      <w:bCs/>
      <w:szCs w:val="24"/>
      <w:lang w:val="es-ES" w:eastAsia="es-ES"/>
    </w:rPr>
  </w:style>
  <w:style w:type="table" w:customStyle="1" w:styleId="TableNormal1">
    <w:name w:val="Table Normal1"/>
    <w:uiPriority w:val="2"/>
    <w:semiHidden/>
    <w:unhideWhenUsed/>
    <w:qFormat/>
    <w:rsid w:val="00D50E05"/>
    <w:pPr>
      <w:widowControl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0E05"/>
    <w:rPr>
      <w:rFonts w:asciiTheme="minorHAnsi" w:hAnsiTheme="minorHAnsi" w:cstheme="minorBidi"/>
      <w:sz w:val="22"/>
      <w:szCs w:val="22"/>
      <w:lang w:val="en-US"/>
    </w:rPr>
  </w:style>
  <w:style w:type="character" w:customStyle="1" w:styleId="TextonotapieCar1">
    <w:name w:val="Texto nota pie Car1"/>
    <w:aliases w:val="ft Car1,ft Car Car1,ft Car Car Car2,Texto nota pie2 Car,ft1 Car,ft Car Car Car1 Car,Texto nota pie Car2 Car,ft Car Car2 Car,ft Car Car Car Car,fn Car,single space Car,footnote text Car,FOOTNOTES Car,Texto nota pie IIRSA Car,F Car"/>
    <w:basedOn w:val="Fuentedeprrafopredeter"/>
    <w:rsid w:val="00D50E05"/>
    <w:rPr>
      <w:rFonts w:ascii="Times New Roman" w:eastAsia="SimSun" w:hAnsi="Times New Roman" w:cs="Times New Roman"/>
      <w:sz w:val="20"/>
      <w:szCs w:val="20"/>
      <w:lang w:val="es-ES"/>
    </w:rPr>
  </w:style>
  <w:style w:type="character" w:customStyle="1" w:styleId="PrrafodelistaCar">
    <w:name w:val="Párrafo de lista Car"/>
    <w:aliases w:val="Párrafo de lista 2 Car,Título PDM Car,List Paragraph1 Car,Dot pt Car,Bullet Points Car,No Spacing1 Car,List Paragraph Char Char Char Car,Indicator Text Car,Numbered Para 1 Car,Bullet 1 Car,MAIN CONTENT Car,List Paragraph12 Car"/>
    <w:basedOn w:val="Fuentedeprrafopredeter"/>
    <w:link w:val="Prrafodelista"/>
    <w:uiPriority w:val="34"/>
    <w:qFormat/>
    <w:rsid w:val="00D50E05"/>
    <w:rPr>
      <w:rFonts w:eastAsia="Times New Roman" w:cs="Times New Roman"/>
      <w:sz w:val="20"/>
      <w:szCs w:val="20"/>
      <w:lang w:val="es-ES_tradnl" w:eastAsia="es-ES"/>
    </w:rPr>
  </w:style>
  <w:style w:type="character" w:customStyle="1" w:styleId="None">
    <w:name w:val="None"/>
    <w:rsid w:val="00D50E05"/>
  </w:style>
  <w:style w:type="paragraph" w:customStyle="1" w:styleId="Pa2">
    <w:name w:val="Pa2"/>
    <w:basedOn w:val="Default"/>
    <w:next w:val="Default"/>
    <w:uiPriority w:val="99"/>
    <w:rsid w:val="008C102B"/>
    <w:pPr>
      <w:spacing w:line="241" w:lineRule="atLeast"/>
    </w:pPr>
    <w:rPr>
      <w:rFonts w:ascii="Andada" w:eastAsia="Malgun Gothic" w:hAnsi="Andada" w:cs="Times New Roman"/>
      <w:color w:val="auto"/>
      <w:lang w:eastAsia="es-ES"/>
    </w:rPr>
  </w:style>
  <w:style w:type="paragraph" w:customStyle="1" w:styleId="Pa3">
    <w:name w:val="Pa3"/>
    <w:basedOn w:val="Default"/>
    <w:next w:val="Default"/>
    <w:uiPriority w:val="99"/>
    <w:rsid w:val="008C102B"/>
    <w:pPr>
      <w:spacing w:line="241" w:lineRule="atLeast"/>
    </w:pPr>
    <w:rPr>
      <w:rFonts w:ascii="Andada" w:eastAsia="Malgun Gothic" w:hAnsi="Andada" w:cs="Times New Roman"/>
      <w:color w:val="auto"/>
      <w:lang w:eastAsia="es-ES"/>
    </w:rPr>
  </w:style>
  <w:style w:type="character" w:customStyle="1" w:styleId="A4">
    <w:name w:val="A4"/>
    <w:uiPriority w:val="99"/>
    <w:rsid w:val="008C102B"/>
    <w:rPr>
      <w:rFonts w:cs="Andada"/>
      <w:color w:val="000000"/>
      <w:sz w:val="14"/>
      <w:szCs w:val="14"/>
    </w:rPr>
  </w:style>
  <w:style w:type="paragraph" w:customStyle="1" w:styleId="Pa4">
    <w:name w:val="Pa4"/>
    <w:basedOn w:val="Default"/>
    <w:next w:val="Default"/>
    <w:uiPriority w:val="99"/>
    <w:rsid w:val="008C102B"/>
    <w:pPr>
      <w:spacing w:line="241" w:lineRule="atLeast"/>
    </w:pPr>
    <w:rPr>
      <w:rFonts w:ascii="Andada" w:eastAsia="Malgun Gothic" w:hAnsi="Andada" w:cs="Times New Roman"/>
      <w:color w:val="auto"/>
      <w:lang w:eastAsia="es-ES"/>
    </w:rPr>
  </w:style>
  <w:style w:type="paragraph" w:styleId="HTMLconformatoprevio">
    <w:name w:val="HTML Preformatted"/>
    <w:basedOn w:val="Normal"/>
    <w:link w:val="HTMLconformatoprevioCar"/>
    <w:uiPriority w:val="99"/>
    <w:semiHidden/>
    <w:unhideWhenUsed/>
    <w:rsid w:val="008C1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GT"/>
    </w:rPr>
  </w:style>
  <w:style w:type="character" w:customStyle="1" w:styleId="HTMLconformatoprevioCar">
    <w:name w:val="HTML con formato previo Car"/>
    <w:basedOn w:val="Fuentedeprrafopredeter"/>
    <w:link w:val="HTMLconformatoprevio"/>
    <w:uiPriority w:val="99"/>
    <w:semiHidden/>
    <w:rsid w:val="008C102B"/>
    <w:rPr>
      <w:rFonts w:ascii="Courier New" w:eastAsia="Times New Roman" w:hAnsi="Courier New" w:cs="Courier New"/>
      <w:sz w:val="20"/>
      <w:szCs w:val="20"/>
      <w:lang w:eastAsia="es-GT"/>
    </w:rPr>
  </w:style>
  <w:style w:type="character" w:customStyle="1" w:styleId="Mencinsinresolver1">
    <w:name w:val="Mención sin resolver1"/>
    <w:basedOn w:val="Fuentedeprrafopredeter"/>
    <w:uiPriority w:val="99"/>
    <w:semiHidden/>
    <w:unhideWhenUsed/>
    <w:rsid w:val="008C102B"/>
    <w:rPr>
      <w:color w:val="605E5C"/>
      <w:shd w:val="clear" w:color="auto" w:fill="E1DFDD"/>
    </w:rPr>
  </w:style>
  <w:style w:type="table" w:customStyle="1" w:styleId="Tablanormal41">
    <w:name w:val="Tabla normal 41"/>
    <w:basedOn w:val="Tablanormal"/>
    <w:uiPriority w:val="44"/>
    <w:rsid w:val="008C102B"/>
    <w:pPr>
      <w:spacing w:after="0" w:line="240" w:lineRule="auto"/>
    </w:pPr>
    <w:rPr>
      <w:rFonts w:ascii="Cambria" w:eastAsia="Malgun Gothic" w:hAnsi="Cambria"/>
      <w:sz w:val="20"/>
      <w:szCs w:val="20"/>
      <w:lang w:eastAsia="es-G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
    <w:name w:val="Tabla de cuadrícula 4 - Énfasis 11"/>
    <w:basedOn w:val="Tablanormal"/>
    <w:uiPriority w:val="49"/>
    <w:rsid w:val="008C102B"/>
    <w:pPr>
      <w:spacing w:after="0" w:line="240" w:lineRule="auto"/>
    </w:pPr>
    <w:rPr>
      <w:rFonts w:ascii="Cambria" w:eastAsia="Malgun Gothic" w:hAnsi="Cambria"/>
      <w:sz w:val="20"/>
      <w:szCs w:val="20"/>
      <w:lang w:eastAsia="es-G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sutil">
    <w:name w:val="Subtle Emphasis"/>
    <w:uiPriority w:val="19"/>
    <w:qFormat/>
    <w:rsid w:val="008C102B"/>
    <w:rPr>
      <w:rFonts w:ascii="Times New Roman" w:hAnsi="Times New Roman"/>
    </w:rPr>
  </w:style>
  <w:style w:type="character" w:styleId="Textodelmarcadordeposicin">
    <w:name w:val="Placeholder Text"/>
    <w:basedOn w:val="Fuentedeprrafopredeter"/>
    <w:uiPriority w:val="99"/>
    <w:semiHidden/>
    <w:rsid w:val="008C102B"/>
    <w:rPr>
      <w:color w:val="808080"/>
    </w:rPr>
  </w:style>
  <w:style w:type="table" w:customStyle="1" w:styleId="Tablanormal11">
    <w:name w:val="Tabla normal 11"/>
    <w:basedOn w:val="Tablanormal"/>
    <w:uiPriority w:val="41"/>
    <w:rsid w:val="008C102B"/>
    <w:pPr>
      <w:spacing w:after="0" w:line="240" w:lineRule="auto"/>
    </w:pPr>
    <w:rPr>
      <w:rFonts w:ascii="Cambria" w:eastAsia="Malgun Gothic" w:hAnsi="Cambria"/>
      <w:sz w:val="20"/>
      <w:szCs w:val="20"/>
      <w:lang w:eastAsia="es-G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tulo11">
    <w:name w:val="Título 11"/>
    <w:basedOn w:val="Normal"/>
    <w:rsid w:val="008C102B"/>
    <w:pPr>
      <w:widowControl/>
      <w:numPr>
        <w:numId w:val="4"/>
      </w:numPr>
      <w:spacing w:after="200" w:line="288" w:lineRule="auto"/>
    </w:pPr>
    <w:rPr>
      <w:rFonts w:asciiTheme="minorHAnsi" w:eastAsiaTheme="minorEastAsia" w:hAnsiTheme="minorHAnsi" w:cstheme="minorBidi"/>
      <w:sz w:val="21"/>
      <w:szCs w:val="21"/>
    </w:rPr>
  </w:style>
  <w:style w:type="paragraph" w:customStyle="1" w:styleId="Ttulo21">
    <w:name w:val="Título 21"/>
    <w:basedOn w:val="Normal"/>
    <w:rsid w:val="008C102B"/>
    <w:pPr>
      <w:widowControl/>
      <w:numPr>
        <w:ilvl w:val="1"/>
        <w:numId w:val="4"/>
      </w:numPr>
      <w:spacing w:after="200" w:line="288" w:lineRule="auto"/>
      <w:ind w:left="576"/>
    </w:pPr>
    <w:rPr>
      <w:rFonts w:asciiTheme="minorHAnsi" w:eastAsiaTheme="minorEastAsia" w:hAnsiTheme="minorHAnsi" w:cstheme="minorBidi"/>
      <w:sz w:val="21"/>
      <w:szCs w:val="21"/>
    </w:rPr>
  </w:style>
  <w:style w:type="paragraph" w:customStyle="1" w:styleId="Ttulo31">
    <w:name w:val="Título 31"/>
    <w:basedOn w:val="Normal"/>
    <w:rsid w:val="008C102B"/>
    <w:pPr>
      <w:widowControl/>
      <w:numPr>
        <w:ilvl w:val="2"/>
        <w:numId w:val="4"/>
      </w:numPr>
      <w:spacing w:after="200" w:line="288" w:lineRule="auto"/>
    </w:pPr>
    <w:rPr>
      <w:rFonts w:asciiTheme="minorHAnsi" w:eastAsiaTheme="minorEastAsia" w:hAnsiTheme="minorHAnsi" w:cstheme="minorBidi"/>
      <w:sz w:val="21"/>
      <w:szCs w:val="21"/>
    </w:rPr>
  </w:style>
  <w:style w:type="paragraph" w:customStyle="1" w:styleId="Ttulo41">
    <w:name w:val="Título 41"/>
    <w:basedOn w:val="Normal"/>
    <w:rsid w:val="008C102B"/>
    <w:pPr>
      <w:widowControl/>
      <w:numPr>
        <w:ilvl w:val="3"/>
        <w:numId w:val="4"/>
      </w:numPr>
      <w:spacing w:after="200" w:line="288" w:lineRule="auto"/>
    </w:pPr>
    <w:rPr>
      <w:rFonts w:asciiTheme="minorHAnsi" w:eastAsiaTheme="minorEastAsia" w:hAnsiTheme="minorHAnsi" w:cstheme="minorBidi"/>
      <w:sz w:val="21"/>
      <w:szCs w:val="21"/>
    </w:rPr>
  </w:style>
  <w:style w:type="paragraph" w:customStyle="1" w:styleId="Ttulo51">
    <w:name w:val="Título 51"/>
    <w:basedOn w:val="Normal"/>
    <w:rsid w:val="008C102B"/>
    <w:pPr>
      <w:widowControl/>
      <w:numPr>
        <w:ilvl w:val="4"/>
        <w:numId w:val="4"/>
      </w:numPr>
      <w:spacing w:after="200" w:line="288" w:lineRule="auto"/>
    </w:pPr>
    <w:rPr>
      <w:rFonts w:asciiTheme="minorHAnsi" w:eastAsiaTheme="minorEastAsia" w:hAnsiTheme="minorHAnsi" w:cstheme="minorBidi"/>
      <w:sz w:val="21"/>
      <w:szCs w:val="21"/>
    </w:rPr>
  </w:style>
  <w:style w:type="paragraph" w:customStyle="1" w:styleId="Ttulo61">
    <w:name w:val="Título 61"/>
    <w:basedOn w:val="Normal"/>
    <w:rsid w:val="008C102B"/>
    <w:pPr>
      <w:widowControl/>
      <w:numPr>
        <w:ilvl w:val="5"/>
        <w:numId w:val="4"/>
      </w:numPr>
      <w:spacing w:after="200" w:line="288" w:lineRule="auto"/>
    </w:pPr>
    <w:rPr>
      <w:rFonts w:asciiTheme="minorHAnsi" w:eastAsiaTheme="minorEastAsia" w:hAnsiTheme="minorHAnsi" w:cstheme="minorBidi"/>
      <w:sz w:val="21"/>
      <w:szCs w:val="21"/>
    </w:rPr>
  </w:style>
  <w:style w:type="paragraph" w:customStyle="1" w:styleId="Ttulo71">
    <w:name w:val="Título 71"/>
    <w:basedOn w:val="Normal"/>
    <w:rsid w:val="008C102B"/>
    <w:pPr>
      <w:widowControl/>
      <w:numPr>
        <w:ilvl w:val="6"/>
        <w:numId w:val="4"/>
      </w:numPr>
      <w:spacing w:after="200" w:line="288" w:lineRule="auto"/>
    </w:pPr>
    <w:rPr>
      <w:rFonts w:asciiTheme="minorHAnsi" w:eastAsiaTheme="minorEastAsia" w:hAnsiTheme="minorHAnsi" w:cstheme="minorBidi"/>
      <w:sz w:val="21"/>
      <w:szCs w:val="21"/>
    </w:rPr>
  </w:style>
  <w:style w:type="paragraph" w:customStyle="1" w:styleId="Ttulo81">
    <w:name w:val="Título 81"/>
    <w:basedOn w:val="Normal"/>
    <w:rsid w:val="008C102B"/>
    <w:pPr>
      <w:widowControl/>
      <w:numPr>
        <w:ilvl w:val="7"/>
        <w:numId w:val="4"/>
      </w:numPr>
      <w:spacing w:after="200" w:line="288" w:lineRule="auto"/>
    </w:pPr>
    <w:rPr>
      <w:rFonts w:asciiTheme="minorHAnsi" w:eastAsiaTheme="minorEastAsia" w:hAnsiTheme="minorHAnsi" w:cstheme="minorBidi"/>
      <w:sz w:val="21"/>
      <w:szCs w:val="21"/>
    </w:rPr>
  </w:style>
  <w:style w:type="paragraph" w:customStyle="1" w:styleId="Ttulo91">
    <w:name w:val="Título 91"/>
    <w:basedOn w:val="Normal"/>
    <w:rsid w:val="008C102B"/>
    <w:pPr>
      <w:widowControl/>
      <w:numPr>
        <w:ilvl w:val="8"/>
        <w:numId w:val="4"/>
      </w:numPr>
      <w:spacing w:after="200" w:line="288" w:lineRule="auto"/>
    </w:pPr>
    <w:rPr>
      <w:rFonts w:asciiTheme="minorHAnsi" w:eastAsiaTheme="minorEastAsia" w:hAnsiTheme="minorHAnsi" w:cstheme="minorBidi"/>
      <w:sz w:val="21"/>
      <w:szCs w:val="21"/>
    </w:rPr>
  </w:style>
  <w:style w:type="table" w:customStyle="1" w:styleId="Tablanormal411">
    <w:name w:val="Tabla normal 411"/>
    <w:basedOn w:val="Tablanormal"/>
    <w:uiPriority w:val="44"/>
    <w:rsid w:val="00EA05E6"/>
    <w:pPr>
      <w:spacing w:after="0" w:line="240" w:lineRule="auto"/>
    </w:pPr>
    <w:rPr>
      <w:rFonts w:ascii="Cambria" w:eastAsia="Malgun Gothic" w:hAnsi="Cambria"/>
      <w:sz w:val="20"/>
      <w:szCs w:val="20"/>
      <w:lang w:eastAsia="es-G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1">
    <w:name w:val="Tabla de cuadrícula 4 - Énfasis 111"/>
    <w:basedOn w:val="Tablanormal"/>
    <w:uiPriority w:val="49"/>
    <w:rsid w:val="00EA05E6"/>
    <w:pPr>
      <w:spacing w:after="0" w:line="240" w:lineRule="auto"/>
    </w:pPr>
    <w:rPr>
      <w:rFonts w:ascii="Cambria" w:eastAsia="Malgun Gothic" w:hAnsi="Cambria"/>
      <w:sz w:val="20"/>
      <w:szCs w:val="20"/>
      <w:lang w:eastAsia="es-G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normal111">
    <w:name w:val="Tabla normal 111"/>
    <w:basedOn w:val="Tablanormal"/>
    <w:uiPriority w:val="41"/>
    <w:rsid w:val="00EA05E6"/>
    <w:pPr>
      <w:spacing w:after="0" w:line="240" w:lineRule="auto"/>
    </w:pPr>
    <w:rPr>
      <w:rFonts w:ascii="Cambria" w:eastAsia="Malgun Gothic" w:hAnsi="Cambria"/>
      <w:sz w:val="20"/>
      <w:szCs w:val="20"/>
      <w:lang w:eastAsia="es-G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8A5924"/>
    <w:rPr>
      <w:rFonts w:asciiTheme="minorHAnsi" w:hAnsiTheme="minorHAnsi"/>
      <w:b/>
      <w:i/>
      <w:iCs/>
    </w:rPr>
  </w:style>
  <w:style w:type="paragraph" w:styleId="Cita">
    <w:name w:val="Quote"/>
    <w:basedOn w:val="Normal"/>
    <w:next w:val="Normal"/>
    <w:link w:val="CitaCar"/>
    <w:uiPriority w:val="29"/>
    <w:qFormat/>
    <w:rsid w:val="008A5924"/>
    <w:pPr>
      <w:widowControl/>
    </w:pPr>
    <w:rPr>
      <w:rFonts w:asciiTheme="minorHAnsi" w:eastAsiaTheme="minorEastAsia" w:hAnsiTheme="minorHAnsi"/>
      <w:i/>
    </w:rPr>
  </w:style>
  <w:style w:type="character" w:customStyle="1" w:styleId="CitaCar">
    <w:name w:val="Cita Car"/>
    <w:basedOn w:val="Fuentedeprrafopredeter"/>
    <w:link w:val="Cita"/>
    <w:uiPriority w:val="29"/>
    <w:rsid w:val="008A5924"/>
    <w:rPr>
      <w:rFonts w:asciiTheme="minorHAnsi" w:eastAsiaTheme="minorEastAsia" w:hAnsiTheme="minorHAnsi" w:cs="Times New Roman"/>
      <w:i/>
      <w:szCs w:val="24"/>
    </w:rPr>
  </w:style>
  <w:style w:type="paragraph" w:styleId="Citadestacada">
    <w:name w:val="Intense Quote"/>
    <w:basedOn w:val="Normal"/>
    <w:next w:val="Normal"/>
    <w:link w:val="CitadestacadaCar"/>
    <w:uiPriority w:val="30"/>
    <w:qFormat/>
    <w:rsid w:val="008A5924"/>
    <w:pPr>
      <w:widowControl/>
      <w:ind w:left="720" w:right="720"/>
    </w:pPr>
    <w:rPr>
      <w:rFonts w:asciiTheme="minorHAnsi" w:eastAsiaTheme="minorEastAsia" w:hAnsiTheme="minorHAnsi"/>
      <w:b/>
      <w:i/>
      <w:szCs w:val="22"/>
    </w:rPr>
  </w:style>
  <w:style w:type="character" w:customStyle="1" w:styleId="CitadestacadaCar">
    <w:name w:val="Cita destacada Car"/>
    <w:basedOn w:val="Fuentedeprrafopredeter"/>
    <w:link w:val="Citadestacada"/>
    <w:uiPriority w:val="30"/>
    <w:rsid w:val="008A5924"/>
    <w:rPr>
      <w:rFonts w:asciiTheme="minorHAnsi" w:eastAsiaTheme="minorEastAsia" w:hAnsiTheme="minorHAnsi" w:cs="Times New Roman"/>
      <w:b/>
      <w:i/>
    </w:rPr>
  </w:style>
  <w:style w:type="character" w:styleId="nfasisintenso">
    <w:name w:val="Intense Emphasis"/>
    <w:basedOn w:val="Fuentedeprrafopredeter"/>
    <w:uiPriority w:val="21"/>
    <w:qFormat/>
    <w:rsid w:val="008A5924"/>
    <w:rPr>
      <w:b/>
      <w:i/>
      <w:sz w:val="24"/>
      <w:szCs w:val="24"/>
      <w:u w:val="single"/>
    </w:rPr>
  </w:style>
  <w:style w:type="character" w:styleId="Referenciasutil">
    <w:name w:val="Subtle Reference"/>
    <w:basedOn w:val="Fuentedeprrafopredeter"/>
    <w:uiPriority w:val="31"/>
    <w:qFormat/>
    <w:rsid w:val="008A5924"/>
    <w:rPr>
      <w:sz w:val="24"/>
      <w:szCs w:val="24"/>
      <w:u w:val="single"/>
    </w:rPr>
  </w:style>
  <w:style w:type="character" w:styleId="Referenciaintensa">
    <w:name w:val="Intense Reference"/>
    <w:basedOn w:val="Fuentedeprrafopredeter"/>
    <w:uiPriority w:val="32"/>
    <w:qFormat/>
    <w:rsid w:val="008A5924"/>
    <w:rPr>
      <w:b/>
      <w:sz w:val="24"/>
      <w:u w:val="single"/>
    </w:rPr>
  </w:style>
  <w:style w:type="character" w:styleId="Ttulodellibro">
    <w:name w:val="Book Title"/>
    <w:basedOn w:val="Fuentedeprrafopredeter"/>
    <w:uiPriority w:val="33"/>
    <w:qFormat/>
    <w:rsid w:val="008A5924"/>
    <w:rPr>
      <w:rFonts w:asciiTheme="majorHAnsi" w:eastAsiaTheme="majorEastAsia" w:hAnsiTheme="majorHAnsi"/>
      <w:b/>
      <w:i/>
      <w:sz w:val="24"/>
      <w:szCs w:val="24"/>
    </w:rPr>
  </w:style>
  <w:style w:type="table" w:customStyle="1" w:styleId="Tabladecuadrcula4-nfasis51">
    <w:name w:val="Tabla de cuadrícula 4 - Énfasis 51"/>
    <w:basedOn w:val="Tablanormal"/>
    <w:uiPriority w:val="49"/>
    <w:rsid w:val="008A5924"/>
    <w:pPr>
      <w:spacing w:after="0" w:line="240" w:lineRule="auto"/>
    </w:pPr>
    <w:rPr>
      <w:rFonts w:asciiTheme="minorHAnsi" w:hAnsiTheme="minorHAnsi"/>
      <w:sz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abladeilustraciones">
    <w:name w:val="table of figures"/>
    <w:basedOn w:val="Normal"/>
    <w:next w:val="Normal"/>
    <w:uiPriority w:val="99"/>
    <w:unhideWhenUsed/>
    <w:rsid w:val="008A5924"/>
    <w:pPr>
      <w:widowControl/>
      <w:spacing w:after="60"/>
    </w:pPr>
    <w:rPr>
      <w:rFonts w:eastAsiaTheme="minorEastAsia"/>
    </w:rPr>
  </w:style>
  <w:style w:type="paragraph" w:styleId="TDC4">
    <w:name w:val="toc 4"/>
    <w:basedOn w:val="Normal"/>
    <w:next w:val="Normal"/>
    <w:autoRedefine/>
    <w:uiPriority w:val="39"/>
    <w:unhideWhenUsed/>
    <w:rsid w:val="008A5924"/>
    <w:pPr>
      <w:widowControl/>
      <w:tabs>
        <w:tab w:val="left" w:pos="1760"/>
        <w:tab w:val="right" w:leader="dot" w:pos="8828"/>
      </w:tabs>
      <w:spacing w:after="100"/>
      <w:ind w:left="720"/>
    </w:pPr>
    <w:rPr>
      <w:rFonts w:eastAsiaTheme="minorEastAsia"/>
      <w:noProof/>
    </w:rPr>
  </w:style>
  <w:style w:type="paragraph" w:styleId="TDC5">
    <w:name w:val="toc 5"/>
    <w:basedOn w:val="Normal"/>
    <w:next w:val="Normal"/>
    <w:autoRedefine/>
    <w:uiPriority w:val="39"/>
    <w:unhideWhenUsed/>
    <w:rsid w:val="008A5924"/>
    <w:pPr>
      <w:widowControl/>
      <w:spacing w:after="100"/>
      <w:ind w:left="960"/>
    </w:pPr>
    <w:rPr>
      <w:rFonts w:asciiTheme="minorHAnsi" w:eastAsiaTheme="minorEastAsia" w:hAnsiTheme="minorHAnsi"/>
    </w:rPr>
  </w:style>
  <w:style w:type="table" w:styleId="Listaclara-nfasis1">
    <w:name w:val="Light List Accent 1"/>
    <w:basedOn w:val="Tablanormal"/>
    <w:uiPriority w:val="61"/>
    <w:rsid w:val="008A5924"/>
    <w:pPr>
      <w:spacing w:after="0" w:line="240" w:lineRule="auto"/>
    </w:pPr>
    <w:rPr>
      <w:rFonts w:asciiTheme="minorHAnsi" w:hAnsiTheme="minorHAnsi"/>
      <w:sz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extonotaalfinal">
    <w:name w:val="endnote text"/>
    <w:basedOn w:val="Normal"/>
    <w:link w:val="TextonotaalfinalCar"/>
    <w:uiPriority w:val="99"/>
    <w:semiHidden/>
    <w:unhideWhenUsed/>
    <w:rsid w:val="00AE116A"/>
  </w:style>
  <w:style w:type="character" w:customStyle="1" w:styleId="TextonotaalfinalCar">
    <w:name w:val="Texto nota al final Car"/>
    <w:basedOn w:val="Fuentedeprrafopredeter"/>
    <w:link w:val="Textonotaalfinal"/>
    <w:uiPriority w:val="99"/>
    <w:semiHidden/>
    <w:rsid w:val="00AE116A"/>
    <w:rPr>
      <w:rFonts w:eastAsia="Times New Roman" w:cs="Times New Roman"/>
      <w:sz w:val="20"/>
      <w:szCs w:val="20"/>
      <w:lang w:val="es-ES_tradnl" w:eastAsia="es-ES"/>
    </w:rPr>
  </w:style>
  <w:style w:type="character" w:styleId="Refdenotaalfinal">
    <w:name w:val="endnote reference"/>
    <w:basedOn w:val="Fuentedeprrafopredeter"/>
    <w:uiPriority w:val="99"/>
    <w:semiHidden/>
    <w:unhideWhenUsed/>
    <w:rsid w:val="00AE116A"/>
    <w:rPr>
      <w:vertAlign w:val="superscript"/>
    </w:rPr>
  </w:style>
  <w:style w:type="table" w:styleId="Cuadrculaclara-nfasis1">
    <w:name w:val="Light Grid Accent 1"/>
    <w:basedOn w:val="Tablanormal"/>
    <w:uiPriority w:val="62"/>
    <w:rsid w:val="00D30644"/>
    <w:pPr>
      <w:spacing w:after="0" w:line="240" w:lineRule="auto"/>
    </w:pPr>
    <w:rPr>
      <w:rFonts w:asciiTheme="minorHAnsi" w:hAnsiTheme="minorHAnsi"/>
      <w:sz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ombreadoclaro-nfasis5">
    <w:name w:val="Light Shading Accent 5"/>
    <w:basedOn w:val="Tablanormal"/>
    <w:uiPriority w:val="60"/>
    <w:rsid w:val="00D30644"/>
    <w:pPr>
      <w:spacing w:after="0" w:line="240" w:lineRule="auto"/>
    </w:pPr>
    <w:rPr>
      <w:rFonts w:asciiTheme="minorHAnsi" w:hAnsiTheme="minorHAnsi"/>
      <w:color w:val="2E74B5" w:themeColor="accent5" w:themeShade="BF"/>
      <w:sz w:val="22"/>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BodyText2Sgl">
    <w:name w:val="Body Text 2 Sgl"/>
    <w:basedOn w:val="Normal"/>
    <w:qFormat/>
    <w:rsid w:val="00D30644"/>
    <w:pPr>
      <w:widowControl/>
      <w:spacing w:after="240"/>
      <w:ind w:firstLine="720"/>
    </w:pPr>
    <w:rPr>
      <w:rFonts w:cstheme="minorBidi"/>
      <w:lang w:val="en-US"/>
    </w:rPr>
  </w:style>
  <w:style w:type="paragraph" w:styleId="Revisin">
    <w:name w:val="Revision"/>
    <w:hidden/>
    <w:uiPriority w:val="99"/>
    <w:semiHidden/>
    <w:rsid w:val="00D30644"/>
    <w:pPr>
      <w:spacing w:after="0" w:line="240" w:lineRule="auto"/>
    </w:pPr>
    <w:rPr>
      <w:rFonts w:asciiTheme="minorHAnsi" w:eastAsiaTheme="minorEastAsia" w:hAnsiTheme="minorHAnsi"/>
      <w:lang w:val="es-ES_tradnl" w:eastAsia="es-ES"/>
    </w:rPr>
  </w:style>
  <w:style w:type="character" w:customStyle="1" w:styleId="mw-headline">
    <w:name w:val="mw-headline"/>
    <w:basedOn w:val="Fuentedeprrafopredeter"/>
    <w:rsid w:val="00D30644"/>
  </w:style>
  <w:style w:type="character" w:customStyle="1" w:styleId="mw-editsection">
    <w:name w:val="mw-editsection"/>
    <w:basedOn w:val="Fuentedeprrafopredeter"/>
    <w:rsid w:val="00D30644"/>
  </w:style>
  <w:style w:type="character" w:customStyle="1" w:styleId="mw-editsection-bracket">
    <w:name w:val="mw-editsection-bracket"/>
    <w:basedOn w:val="Fuentedeprrafopredeter"/>
    <w:rsid w:val="00D30644"/>
  </w:style>
  <w:style w:type="paragraph" w:customStyle="1" w:styleId="print-icon">
    <w:name w:val="print-icon"/>
    <w:basedOn w:val="Normal"/>
    <w:rsid w:val="00D30644"/>
    <w:pPr>
      <w:widowControl/>
      <w:spacing w:before="100" w:beforeAutospacing="1" w:after="100" w:afterAutospacing="1"/>
    </w:pPr>
    <w:rPr>
      <w:lang w:val="es-MX" w:eastAsia="es-MX"/>
    </w:rPr>
  </w:style>
  <w:style w:type="paragraph" w:customStyle="1" w:styleId="email-icon">
    <w:name w:val="email-icon"/>
    <w:basedOn w:val="Normal"/>
    <w:rsid w:val="00D30644"/>
    <w:pPr>
      <w:widowControl/>
      <w:spacing w:before="100" w:beforeAutospacing="1" w:after="100" w:afterAutospacing="1"/>
    </w:pPr>
    <w:rPr>
      <w:lang w:val="es-MX" w:eastAsia="es-MX"/>
    </w:rPr>
  </w:style>
  <w:style w:type="paragraph" w:customStyle="1" w:styleId="twli">
    <w:name w:val="twli"/>
    <w:basedOn w:val="Normal"/>
    <w:rsid w:val="00D30644"/>
    <w:pPr>
      <w:widowControl/>
      <w:spacing w:before="100" w:beforeAutospacing="1" w:after="100" w:afterAutospacing="1"/>
    </w:pPr>
    <w:rPr>
      <w:lang w:val="es-MX" w:eastAsia="es-MX"/>
    </w:rPr>
  </w:style>
  <w:style w:type="paragraph" w:customStyle="1" w:styleId="fbli">
    <w:name w:val="fbli"/>
    <w:basedOn w:val="Normal"/>
    <w:rsid w:val="00D30644"/>
    <w:pPr>
      <w:widowControl/>
      <w:spacing w:before="100" w:beforeAutospacing="1" w:after="100" w:afterAutospacing="1"/>
    </w:pPr>
    <w:rPr>
      <w:lang w:val="es-MX" w:eastAsia="es-MX"/>
    </w:rPr>
  </w:style>
  <w:style w:type="character" w:customStyle="1" w:styleId="bylinename">
    <w:name w:val="byline__name"/>
    <w:basedOn w:val="Fuentedeprrafopredeter"/>
    <w:rsid w:val="00D30644"/>
  </w:style>
  <w:style w:type="character" w:customStyle="1" w:styleId="bylinetitle">
    <w:name w:val="byline__title"/>
    <w:basedOn w:val="Fuentedeprrafopredeter"/>
    <w:rsid w:val="00D30644"/>
  </w:style>
  <w:style w:type="paragraph" w:customStyle="1" w:styleId="mini-info-listitem">
    <w:name w:val="mini-info-list__item"/>
    <w:basedOn w:val="Normal"/>
    <w:rsid w:val="00D30644"/>
    <w:pPr>
      <w:widowControl/>
      <w:spacing w:before="100" w:beforeAutospacing="1" w:after="100" w:afterAutospacing="1"/>
    </w:pPr>
    <w:rPr>
      <w:lang w:val="es-MX" w:eastAsia="es-MX"/>
    </w:rPr>
  </w:style>
  <w:style w:type="character" w:customStyle="1" w:styleId="chart-title">
    <w:name w:val="chart-title"/>
    <w:basedOn w:val="Fuentedeprrafopredeter"/>
    <w:rsid w:val="00D30644"/>
  </w:style>
  <w:style w:type="character" w:customStyle="1" w:styleId="sapmtext">
    <w:name w:val="sapmtext"/>
    <w:basedOn w:val="Fuentedeprrafopredeter"/>
    <w:rsid w:val="00D30644"/>
  </w:style>
  <w:style w:type="character" w:customStyle="1" w:styleId="A9">
    <w:name w:val="A9"/>
    <w:uiPriority w:val="99"/>
    <w:rsid w:val="00D30644"/>
    <w:rPr>
      <w:rFonts w:cs="Myriad Pro"/>
      <w:color w:val="000000"/>
      <w:sz w:val="20"/>
      <w:szCs w:val="20"/>
    </w:rPr>
  </w:style>
  <w:style w:type="character" w:customStyle="1" w:styleId="A6">
    <w:name w:val="A6"/>
    <w:uiPriority w:val="99"/>
    <w:rsid w:val="00D30644"/>
    <w:rPr>
      <w:rFonts w:cs="Myriad Pro"/>
      <w:b/>
      <w:bCs/>
      <w:color w:val="000000"/>
      <w:sz w:val="22"/>
      <w:szCs w:val="22"/>
    </w:rPr>
  </w:style>
  <w:style w:type="character" w:customStyle="1" w:styleId="A5">
    <w:name w:val="A5"/>
    <w:uiPriority w:val="99"/>
    <w:rsid w:val="00D30644"/>
    <w:rPr>
      <w:rFonts w:cs="Myriad Pro Cond"/>
      <w:b/>
      <w:bCs/>
      <w:color w:val="000000"/>
      <w:sz w:val="52"/>
      <w:szCs w:val="52"/>
    </w:rPr>
  </w:style>
  <w:style w:type="character" w:customStyle="1" w:styleId="Mencinsinresolver2">
    <w:name w:val="Mención sin resolver2"/>
    <w:basedOn w:val="Fuentedeprrafopredeter"/>
    <w:uiPriority w:val="99"/>
    <w:semiHidden/>
    <w:unhideWhenUsed/>
    <w:rsid w:val="004707AB"/>
    <w:rPr>
      <w:color w:val="605E5C"/>
      <w:shd w:val="clear" w:color="auto" w:fill="E1DFDD"/>
    </w:rPr>
  </w:style>
  <w:style w:type="table" w:customStyle="1" w:styleId="Tablaconcuadrcula1">
    <w:name w:val="Tabla con cuadrícula1"/>
    <w:basedOn w:val="Tablanormal"/>
    <w:next w:val="Tablaconcuadrcula"/>
    <w:uiPriority w:val="39"/>
    <w:rsid w:val="004C5FE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basedOn w:val="Fuentedeprrafopredeter"/>
    <w:link w:val="Descripcin"/>
    <w:uiPriority w:val="35"/>
    <w:rsid w:val="001566FA"/>
    <w:rPr>
      <w:rFonts w:eastAsia="Times New Roman" w:cs="Times New Roman"/>
      <w:b/>
      <w:color w:val="0000FF"/>
      <w:sz w:val="20"/>
      <w:szCs w:val="20"/>
      <w:lang w:val="es-ES_tradnl" w:eastAsia="es-ES"/>
    </w:rPr>
  </w:style>
  <w:style w:type="table" w:customStyle="1" w:styleId="Tablaconcuadrcula3">
    <w:name w:val="Tabla con cuadrícula3"/>
    <w:basedOn w:val="Tablanormal"/>
    <w:next w:val="Tablaconcuadrcula"/>
    <w:uiPriority w:val="39"/>
    <w:rsid w:val="0046218E"/>
    <w:pPr>
      <w:spacing w:after="0" w:line="240" w:lineRule="auto"/>
    </w:pPr>
    <w:rPr>
      <w:rFonts w:eastAsia="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6218E"/>
    <w:pPr>
      <w:spacing w:after="0" w:line="240" w:lineRule="auto"/>
    </w:pPr>
    <w:rPr>
      <w:rFonts w:eastAsia="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6218E"/>
    <w:pPr>
      <w:spacing w:after="0" w:line="240" w:lineRule="auto"/>
    </w:pPr>
    <w:rPr>
      <w:rFonts w:eastAsia="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46218E"/>
    <w:pPr>
      <w:spacing w:after="0" w:line="240" w:lineRule="auto"/>
    </w:pPr>
    <w:rPr>
      <w:rFonts w:eastAsia="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46218E"/>
    <w:pPr>
      <w:spacing w:after="0" w:line="240" w:lineRule="auto"/>
    </w:pPr>
    <w:rPr>
      <w:rFonts w:eastAsia="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6649A2"/>
    <w:pPr>
      <w:spacing w:after="0" w:line="240" w:lineRule="auto"/>
    </w:pPr>
    <w:rPr>
      <w:rFonts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ibliografa">
    <w:name w:val="Bibliography"/>
    <w:basedOn w:val="Normal"/>
    <w:next w:val="Normal"/>
    <w:uiPriority w:val="37"/>
    <w:unhideWhenUsed/>
    <w:rsid w:val="00604B92"/>
    <w:pPr>
      <w:widowControl/>
      <w:spacing w:after="160" w:line="259" w:lineRule="auto"/>
    </w:pPr>
    <w:rPr>
      <w:rFonts w:asciiTheme="minorHAnsi" w:hAnsiTheme="minorHAnsi" w:cstheme="minorBidi"/>
      <w:sz w:val="22"/>
      <w:szCs w:val="22"/>
    </w:rPr>
  </w:style>
  <w:style w:type="character" w:customStyle="1" w:styleId="ParagraphCar">
    <w:name w:val="Paragraph Car"/>
    <w:link w:val="Paragraph"/>
    <w:locked/>
    <w:rsid w:val="00265DBD"/>
    <w:rPr>
      <w:rFonts w:eastAsia="Times New Roman"/>
      <w:szCs w:val="20"/>
      <w:lang w:val="es-ES" w:eastAsia="es-ES"/>
    </w:rPr>
  </w:style>
  <w:style w:type="paragraph" w:customStyle="1" w:styleId="Paragraph">
    <w:name w:val="Paragraph"/>
    <w:aliases w:val="paragraph,p,PARAGRAPH,PG,pa,at,paragraph+1"/>
    <w:basedOn w:val="Sangradetextonormal"/>
    <w:link w:val="ParagraphCar"/>
    <w:qFormat/>
    <w:rsid w:val="00265DBD"/>
    <w:pPr>
      <w:widowControl/>
      <w:tabs>
        <w:tab w:val="num" w:pos="720"/>
      </w:tabs>
      <w:spacing w:before="120" w:after="120"/>
      <w:ind w:left="720" w:hanging="720"/>
      <w:jc w:val="both"/>
      <w:outlineLvl w:val="1"/>
    </w:pPr>
    <w:rPr>
      <w:rFonts w:eastAsia="Times New Roman"/>
      <w:b w:val="0"/>
      <w:szCs w:val="20"/>
      <w:lang w:val="es-ES" w:eastAsia="es-ES"/>
    </w:rPr>
  </w:style>
  <w:style w:type="table" w:styleId="Tabladecuadrcula1clara">
    <w:name w:val="Grid Table 1 Light"/>
    <w:basedOn w:val="Tablanormal"/>
    <w:uiPriority w:val="46"/>
    <w:rsid w:val="00265DBD"/>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2">
    <w:name w:val="Tabla con cuadrícula2"/>
    <w:basedOn w:val="Tablanormal"/>
    <w:next w:val="Tablaconcuadrcula"/>
    <w:uiPriority w:val="39"/>
    <w:rsid w:val="00AC3A41"/>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62A0A"/>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82191"/>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035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8319">
      <w:bodyDiv w:val="1"/>
      <w:marLeft w:val="0"/>
      <w:marRight w:val="0"/>
      <w:marTop w:val="0"/>
      <w:marBottom w:val="0"/>
      <w:divBdr>
        <w:top w:val="none" w:sz="0" w:space="0" w:color="auto"/>
        <w:left w:val="none" w:sz="0" w:space="0" w:color="auto"/>
        <w:bottom w:val="none" w:sz="0" w:space="0" w:color="auto"/>
        <w:right w:val="none" w:sz="0" w:space="0" w:color="auto"/>
      </w:divBdr>
    </w:div>
    <w:div w:id="26493884">
      <w:bodyDiv w:val="1"/>
      <w:marLeft w:val="0"/>
      <w:marRight w:val="0"/>
      <w:marTop w:val="0"/>
      <w:marBottom w:val="0"/>
      <w:divBdr>
        <w:top w:val="none" w:sz="0" w:space="0" w:color="auto"/>
        <w:left w:val="none" w:sz="0" w:space="0" w:color="auto"/>
        <w:bottom w:val="none" w:sz="0" w:space="0" w:color="auto"/>
        <w:right w:val="none" w:sz="0" w:space="0" w:color="auto"/>
      </w:divBdr>
    </w:div>
    <w:div w:id="28843476">
      <w:bodyDiv w:val="1"/>
      <w:marLeft w:val="0"/>
      <w:marRight w:val="0"/>
      <w:marTop w:val="0"/>
      <w:marBottom w:val="0"/>
      <w:divBdr>
        <w:top w:val="none" w:sz="0" w:space="0" w:color="auto"/>
        <w:left w:val="none" w:sz="0" w:space="0" w:color="auto"/>
        <w:bottom w:val="none" w:sz="0" w:space="0" w:color="auto"/>
        <w:right w:val="none" w:sz="0" w:space="0" w:color="auto"/>
      </w:divBdr>
    </w:div>
    <w:div w:id="36975263">
      <w:bodyDiv w:val="1"/>
      <w:marLeft w:val="0"/>
      <w:marRight w:val="0"/>
      <w:marTop w:val="0"/>
      <w:marBottom w:val="0"/>
      <w:divBdr>
        <w:top w:val="none" w:sz="0" w:space="0" w:color="auto"/>
        <w:left w:val="none" w:sz="0" w:space="0" w:color="auto"/>
        <w:bottom w:val="none" w:sz="0" w:space="0" w:color="auto"/>
        <w:right w:val="none" w:sz="0" w:space="0" w:color="auto"/>
      </w:divBdr>
    </w:div>
    <w:div w:id="46611828">
      <w:bodyDiv w:val="1"/>
      <w:marLeft w:val="0"/>
      <w:marRight w:val="0"/>
      <w:marTop w:val="0"/>
      <w:marBottom w:val="0"/>
      <w:divBdr>
        <w:top w:val="none" w:sz="0" w:space="0" w:color="auto"/>
        <w:left w:val="none" w:sz="0" w:space="0" w:color="auto"/>
        <w:bottom w:val="none" w:sz="0" w:space="0" w:color="auto"/>
        <w:right w:val="none" w:sz="0" w:space="0" w:color="auto"/>
      </w:divBdr>
    </w:div>
    <w:div w:id="47462630">
      <w:bodyDiv w:val="1"/>
      <w:marLeft w:val="0"/>
      <w:marRight w:val="0"/>
      <w:marTop w:val="0"/>
      <w:marBottom w:val="0"/>
      <w:divBdr>
        <w:top w:val="none" w:sz="0" w:space="0" w:color="auto"/>
        <w:left w:val="none" w:sz="0" w:space="0" w:color="auto"/>
        <w:bottom w:val="none" w:sz="0" w:space="0" w:color="auto"/>
        <w:right w:val="none" w:sz="0" w:space="0" w:color="auto"/>
      </w:divBdr>
    </w:div>
    <w:div w:id="70931145">
      <w:bodyDiv w:val="1"/>
      <w:marLeft w:val="0"/>
      <w:marRight w:val="0"/>
      <w:marTop w:val="0"/>
      <w:marBottom w:val="0"/>
      <w:divBdr>
        <w:top w:val="none" w:sz="0" w:space="0" w:color="auto"/>
        <w:left w:val="none" w:sz="0" w:space="0" w:color="auto"/>
        <w:bottom w:val="none" w:sz="0" w:space="0" w:color="auto"/>
        <w:right w:val="none" w:sz="0" w:space="0" w:color="auto"/>
      </w:divBdr>
    </w:div>
    <w:div w:id="78454636">
      <w:bodyDiv w:val="1"/>
      <w:marLeft w:val="0"/>
      <w:marRight w:val="0"/>
      <w:marTop w:val="0"/>
      <w:marBottom w:val="0"/>
      <w:divBdr>
        <w:top w:val="none" w:sz="0" w:space="0" w:color="auto"/>
        <w:left w:val="none" w:sz="0" w:space="0" w:color="auto"/>
        <w:bottom w:val="none" w:sz="0" w:space="0" w:color="auto"/>
        <w:right w:val="none" w:sz="0" w:space="0" w:color="auto"/>
      </w:divBdr>
    </w:div>
    <w:div w:id="84304453">
      <w:bodyDiv w:val="1"/>
      <w:marLeft w:val="0"/>
      <w:marRight w:val="0"/>
      <w:marTop w:val="0"/>
      <w:marBottom w:val="0"/>
      <w:divBdr>
        <w:top w:val="none" w:sz="0" w:space="0" w:color="auto"/>
        <w:left w:val="none" w:sz="0" w:space="0" w:color="auto"/>
        <w:bottom w:val="none" w:sz="0" w:space="0" w:color="auto"/>
        <w:right w:val="none" w:sz="0" w:space="0" w:color="auto"/>
      </w:divBdr>
    </w:div>
    <w:div w:id="93284860">
      <w:bodyDiv w:val="1"/>
      <w:marLeft w:val="0"/>
      <w:marRight w:val="0"/>
      <w:marTop w:val="0"/>
      <w:marBottom w:val="0"/>
      <w:divBdr>
        <w:top w:val="none" w:sz="0" w:space="0" w:color="auto"/>
        <w:left w:val="none" w:sz="0" w:space="0" w:color="auto"/>
        <w:bottom w:val="none" w:sz="0" w:space="0" w:color="auto"/>
        <w:right w:val="none" w:sz="0" w:space="0" w:color="auto"/>
      </w:divBdr>
    </w:div>
    <w:div w:id="104468093">
      <w:bodyDiv w:val="1"/>
      <w:marLeft w:val="0"/>
      <w:marRight w:val="0"/>
      <w:marTop w:val="0"/>
      <w:marBottom w:val="0"/>
      <w:divBdr>
        <w:top w:val="none" w:sz="0" w:space="0" w:color="auto"/>
        <w:left w:val="none" w:sz="0" w:space="0" w:color="auto"/>
        <w:bottom w:val="none" w:sz="0" w:space="0" w:color="auto"/>
        <w:right w:val="none" w:sz="0" w:space="0" w:color="auto"/>
      </w:divBdr>
    </w:div>
    <w:div w:id="120617582">
      <w:bodyDiv w:val="1"/>
      <w:marLeft w:val="0"/>
      <w:marRight w:val="0"/>
      <w:marTop w:val="0"/>
      <w:marBottom w:val="0"/>
      <w:divBdr>
        <w:top w:val="none" w:sz="0" w:space="0" w:color="auto"/>
        <w:left w:val="none" w:sz="0" w:space="0" w:color="auto"/>
        <w:bottom w:val="none" w:sz="0" w:space="0" w:color="auto"/>
        <w:right w:val="none" w:sz="0" w:space="0" w:color="auto"/>
      </w:divBdr>
      <w:divsChild>
        <w:div w:id="4410033">
          <w:marLeft w:val="0"/>
          <w:marRight w:val="0"/>
          <w:marTop w:val="0"/>
          <w:marBottom w:val="0"/>
          <w:divBdr>
            <w:top w:val="none" w:sz="0" w:space="0" w:color="auto"/>
            <w:left w:val="none" w:sz="0" w:space="0" w:color="auto"/>
            <w:bottom w:val="none" w:sz="0" w:space="0" w:color="auto"/>
            <w:right w:val="none" w:sz="0" w:space="0" w:color="auto"/>
          </w:divBdr>
          <w:divsChild>
            <w:div w:id="1069885169">
              <w:marLeft w:val="0"/>
              <w:marRight w:val="0"/>
              <w:marTop w:val="0"/>
              <w:marBottom w:val="0"/>
              <w:divBdr>
                <w:top w:val="none" w:sz="0" w:space="0" w:color="auto"/>
                <w:left w:val="none" w:sz="0" w:space="0" w:color="auto"/>
                <w:bottom w:val="none" w:sz="0" w:space="0" w:color="auto"/>
                <w:right w:val="none" w:sz="0" w:space="0" w:color="auto"/>
              </w:divBdr>
              <w:divsChild>
                <w:div w:id="685208606">
                  <w:marLeft w:val="0"/>
                  <w:marRight w:val="0"/>
                  <w:marTop w:val="0"/>
                  <w:marBottom w:val="0"/>
                  <w:divBdr>
                    <w:top w:val="none" w:sz="0" w:space="0" w:color="auto"/>
                    <w:left w:val="none" w:sz="0" w:space="0" w:color="auto"/>
                    <w:bottom w:val="none" w:sz="0" w:space="0" w:color="auto"/>
                    <w:right w:val="none" w:sz="0" w:space="0" w:color="auto"/>
                  </w:divBdr>
                  <w:divsChild>
                    <w:div w:id="127818559">
                      <w:marLeft w:val="0"/>
                      <w:marRight w:val="0"/>
                      <w:marTop w:val="0"/>
                      <w:marBottom w:val="0"/>
                      <w:divBdr>
                        <w:top w:val="none" w:sz="0" w:space="0" w:color="auto"/>
                        <w:left w:val="none" w:sz="0" w:space="0" w:color="auto"/>
                        <w:bottom w:val="none" w:sz="0" w:space="0" w:color="auto"/>
                        <w:right w:val="none" w:sz="0" w:space="0" w:color="auto"/>
                      </w:divBdr>
                      <w:divsChild>
                        <w:div w:id="220099065">
                          <w:marLeft w:val="0"/>
                          <w:marRight w:val="0"/>
                          <w:marTop w:val="0"/>
                          <w:marBottom w:val="0"/>
                          <w:divBdr>
                            <w:top w:val="none" w:sz="0" w:space="0" w:color="auto"/>
                            <w:left w:val="none" w:sz="0" w:space="0" w:color="auto"/>
                            <w:bottom w:val="none" w:sz="0" w:space="0" w:color="auto"/>
                            <w:right w:val="none" w:sz="0" w:space="0" w:color="auto"/>
                          </w:divBdr>
                          <w:divsChild>
                            <w:div w:id="1407845857">
                              <w:marLeft w:val="0"/>
                              <w:marRight w:val="0"/>
                              <w:marTop w:val="0"/>
                              <w:marBottom w:val="0"/>
                              <w:divBdr>
                                <w:top w:val="none" w:sz="0" w:space="0" w:color="auto"/>
                                <w:left w:val="none" w:sz="0" w:space="0" w:color="auto"/>
                                <w:bottom w:val="none" w:sz="0" w:space="0" w:color="auto"/>
                                <w:right w:val="none" w:sz="0" w:space="0" w:color="auto"/>
                              </w:divBdr>
                              <w:divsChild>
                                <w:div w:id="1890805139">
                                  <w:marLeft w:val="0"/>
                                  <w:marRight w:val="0"/>
                                  <w:marTop w:val="0"/>
                                  <w:marBottom w:val="0"/>
                                  <w:divBdr>
                                    <w:top w:val="none" w:sz="0" w:space="0" w:color="auto"/>
                                    <w:left w:val="none" w:sz="0" w:space="0" w:color="auto"/>
                                    <w:bottom w:val="none" w:sz="0" w:space="0" w:color="auto"/>
                                    <w:right w:val="none" w:sz="0" w:space="0" w:color="auto"/>
                                  </w:divBdr>
                                  <w:divsChild>
                                    <w:div w:id="1800411661">
                                      <w:marLeft w:val="60"/>
                                      <w:marRight w:val="0"/>
                                      <w:marTop w:val="0"/>
                                      <w:marBottom w:val="0"/>
                                      <w:divBdr>
                                        <w:top w:val="none" w:sz="0" w:space="0" w:color="auto"/>
                                        <w:left w:val="none" w:sz="0" w:space="0" w:color="auto"/>
                                        <w:bottom w:val="none" w:sz="0" w:space="0" w:color="auto"/>
                                        <w:right w:val="none" w:sz="0" w:space="0" w:color="auto"/>
                                      </w:divBdr>
                                      <w:divsChild>
                                        <w:div w:id="737747316">
                                          <w:marLeft w:val="0"/>
                                          <w:marRight w:val="0"/>
                                          <w:marTop w:val="0"/>
                                          <w:marBottom w:val="0"/>
                                          <w:divBdr>
                                            <w:top w:val="none" w:sz="0" w:space="0" w:color="auto"/>
                                            <w:left w:val="none" w:sz="0" w:space="0" w:color="auto"/>
                                            <w:bottom w:val="none" w:sz="0" w:space="0" w:color="auto"/>
                                            <w:right w:val="none" w:sz="0" w:space="0" w:color="auto"/>
                                          </w:divBdr>
                                          <w:divsChild>
                                            <w:div w:id="385757916">
                                              <w:marLeft w:val="0"/>
                                              <w:marRight w:val="0"/>
                                              <w:marTop w:val="0"/>
                                              <w:marBottom w:val="120"/>
                                              <w:divBdr>
                                                <w:top w:val="single" w:sz="6" w:space="0" w:color="F5F5F5"/>
                                                <w:left w:val="single" w:sz="6" w:space="0" w:color="F5F5F5"/>
                                                <w:bottom w:val="single" w:sz="6" w:space="0" w:color="F5F5F5"/>
                                                <w:right w:val="single" w:sz="6" w:space="0" w:color="F5F5F5"/>
                                              </w:divBdr>
                                              <w:divsChild>
                                                <w:div w:id="1820267292">
                                                  <w:marLeft w:val="0"/>
                                                  <w:marRight w:val="0"/>
                                                  <w:marTop w:val="0"/>
                                                  <w:marBottom w:val="0"/>
                                                  <w:divBdr>
                                                    <w:top w:val="none" w:sz="0" w:space="0" w:color="auto"/>
                                                    <w:left w:val="none" w:sz="0" w:space="0" w:color="auto"/>
                                                    <w:bottom w:val="none" w:sz="0" w:space="0" w:color="auto"/>
                                                    <w:right w:val="none" w:sz="0" w:space="0" w:color="auto"/>
                                                  </w:divBdr>
                                                  <w:divsChild>
                                                    <w:div w:id="8707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50160">
      <w:bodyDiv w:val="1"/>
      <w:marLeft w:val="0"/>
      <w:marRight w:val="0"/>
      <w:marTop w:val="0"/>
      <w:marBottom w:val="0"/>
      <w:divBdr>
        <w:top w:val="none" w:sz="0" w:space="0" w:color="auto"/>
        <w:left w:val="none" w:sz="0" w:space="0" w:color="auto"/>
        <w:bottom w:val="none" w:sz="0" w:space="0" w:color="auto"/>
        <w:right w:val="none" w:sz="0" w:space="0" w:color="auto"/>
      </w:divBdr>
    </w:div>
    <w:div w:id="217939351">
      <w:bodyDiv w:val="1"/>
      <w:marLeft w:val="0"/>
      <w:marRight w:val="0"/>
      <w:marTop w:val="0"/>
      <w:marBottom w:val="0"/>
      <w:divBdr>
        <w:top w:val="none" w:sz="0" w:space="0" w:color="auto"/>
        <w:left w:val="none" w:sz="0" w:space="0" w:color="auto"/>
        <w:bottom w:val="none" w:sz="0" w:space="0" w:color="auto"/>
        <w:right w:val="none" w:sz="0" w:space="0" w:color="auto"/>
      </w:divBdr>
    </w:div>
    <w:div w:id="259533499">
      <w:bodyDiv w:val="1"/>
      <w:marLeft w:val="0"/>
      <w:marRight w:val="0"/>
      <w:marTop w:val="0"/>
      <w:marBottom w:val="0"/>
      <w:divBdr>
        <w:top w:val="none" w:sz="0" w:space="0" w:color="auto"/>
        <w:left w:val="none" w:sz="0" w:space="0" w:color="auto"/>
        <w:bottom w:val="none" w:sz="0" w:space="0" w:color="auto"/>
        <w:right w:val="none" w:sz="0" w:space="0" w:color="auto"/>
      </w:divBdr>
    </w:div>
    <w:div w:id="293027647">
      <w:bodyDiv w:val="1"/>
      <w:marLeft w:val="0"/>
      <w:marRight w:val="0"/>
      <w:marTop w:val="0"/>
      <w:marBottom w:val="0"/>
      <w:divBdr>
        <w:top w:val="none" w:sz="0" w:space="0" w:color="auto"/>
        <w:left w:val="none" w:sz="0" w:space="0" w:color="auto"/>
        <w:bottom w:val="none" w:sz="0" w:space="0" w:color="auto"/>
        <w:right w:val="none" w:sz="0" w:space="0" w:color="auto"/>
      </w:divBdr>
    </w:div>
    <w:div w:id="320043745">
      <w:bodyDiv w:val="1"/>
      <w:marLeft w:val="0"/>
      <w:marRight w:val="0"/>
      <w:marTop w:val="0"/>
      <w:marBottom w:val="0"/>
      <w:divBdr>
        <w:top w:val="none" w:sz="0" w:space="0" w:color="auto"/>
        <w:left w:val="none" w:sz="0" w:space="0" w:color="auto"/>
        <w:bottom w:val="none" w:sz="0" w:space="0" w:color="auto"/>
        <w:right w:val="none" w:sz="0" w:space="0" w:color="auto"/>
      </w:divBdr>
    </w:div>
    <w:div w:id="346635988">
      <w:bodyDiv w:val="1"/>
      <w:marLeft w:val="0"/>
      <w:marRight w:val="0"/>
      <w:marTop w:val="0"/>
      <w:marBottom w:val="0"/>
      <w:divBdr>
        <w:top w:val="none" w:sz="0" w:space="0" w:color="auto"/>
        <w:left w:val="none" w:sz="0" w:space="0" w:color="auto"/>
        <w:bottom w:val="none" w:sz="0" w:space="0" w:color="auto"/>
        <w:right w:val="none" w:sz="0" w:space="0" w:color="auto"/>
      </w:divBdr>
      <w:divsChild>
        <w:div w:id="1037966434">
          <w:marLeft w:val="360"/>
          <w:marRight w:val="0"/>
          <w:marTop w:val="200"/>
          <w:marBottom w:val="0"/>
          <w:divBdr>
            <w:top w:val="none" w:sz="0" w:space="0" w:color="auto"/>
            <w:left w:val="none" w:sz="0" w:space="0" w:color="auto"/>
            <w:bottom w:val="none" w:sz="0" w:space="0" w:color="auto"/>
            <w:right w:val="none" w:sz="0" w:space="0" w:color="auto"/>
          </w:divBdr>
        </w:div>
        <w:div w:id="1048721200">
          <w:marLeft w:val="360"/>
          <w:marRight w:val="0"/>
          <w:marTop w:val="200"/>
          <w:marBottom w:val="0"/>
          <w:divBdr>
            <w:top w:val="none" w:sz="0" w:space="0" w:color="auto"/>
            <w:left w:val="none" w:sz="0" w:space="0" w:color="auto"/>
            <w:bottom w:val="none" w:sz="0" w:space="0" w:color="auto"/>
            <w:right w:val="none" w:sz="0" w:space="0" w:color="auto"/>
          </w:divBdr>
        </w:div>
        <w:div w:id="1130783992">
          <w:marLeft w:val="360"/>
          <w:marRight w:val="0"/>
          <w:marTop w:val="200"/>
          <w:marBottom w:val="0"/>
          <w:divBdr>
            <w:top w:val="none" w:sz="0" w:space="0" w:color="auto"/>
            <w:left w:val="none" w:sz="0" w:space="0" w:color="auto"/>
            <w:bottom w:val="none" w:sz="0" w:space="0" w:color="auto"/>
            <w:right w:val="none" w:sz="0" w:space="0" w:color="auto"/>
          </w:divBdr>
        </w:div>
      </w:divsChild>
    </w:div>
    <w:div w:id="375618931">
      <w:bodyDiv w:val="1"/>
      <w:marLeft w:val="0"/>
      <w:marRight w:val="0"/>
      <w:marTop w:val="0"/>
      <w:marBottom w:val="0"/>
      <w:divBdr>
        <w:top w:val="none" w:sz="0" w:space="0" w:color="auto"/>
        <w:left w:val="none" w:sz="0" w:space="0" w:color="auto"/>
        <w:bottom w:val="none" w:sz="0" w:space="0" w:color="auto"/>
        <w:right w:val="none" w:sz="0" w:space="0" w:color="auto"/>
      </w:divBdr>
    </w:div>
    <w:div w:id="384835675">
      <w:bodyDiv w:val="1"/>
      <w:marLeft w:val="0"/>
      <w:marRight w:val="0"/>
      <w:marTop w:val="0"/>
      <w:marBottom w:val="0"/>
      <w:divBdr>
        <w:top w:val="none" w:sz="0" w:space="0" w:color="auto"/>
        <w:left w:val="none" w:sz="0" w:space="0" w:color="auto"/>
        <w:bottom w:val="none" w:sz="0" w:space="0" w:color="auto"/>
        <w:right w:val="none" w:sz="0" w:space="0" w:color="auto"/>
      </w:divBdr>
    </w:div>
    <w:div w:id="390617092">
      <w:bodyDiv w:val="1"/>
      <w:marLeft w:val="0"/>
      <w:marRight w:val="0"/>
      <w:marTop w:val="0"/>
      <w:marBottom w:val="0"/>
      <w:divBdr>
        <w:top w:val="none" w:sz="0" w:space="0" w:color="auto"/>
        <w:left w:val="none" w:sz="0" w:space="0" w:color="auto"/>
        <w:bottom w:val="none" w:sz="0" w:space="0" w:color="auto"/>
        <w:right w:val="none" w:sz="0" w:space="0" w:color="auto"/>
      </w:divBdr>
    </w:div>
    <w:div w:id="460735300">
      <w:bodyDiv w:val="1"/>
      <w:marLeft w:val="0"/>
      <w:marRight w:val="0"/>
      <w:marTop w:val="0"/>
      <w:marBottom w:val="0"/>
      <w:divBdr>
        <w:top w:val="none" w:sz="0" w:space="0" w:color="auto"/>
        <w:left w:val="none" w:sz="0" w:space="0" w:color="auto"/>
        <w:bottom w:val="none" w:sz="0" w:space="0" w:color="auto"/>
        <w:right w:val="none" w:sz="0" w:space="0" w:color="auto"/>
      </w:divBdr>
    </w:div>
    <w:div w:id="464734323">
      <w:bodyDiv w:val="1"/>
      <w:marLeft w:val="0"/>
      <w:marRight w:val="0"/>
      <w:marTop w:val="0"/>
      <w:marBottom w:val="0"/>
      <w:divBdr>
        <w:top w:val="none" w:sz="0" w:space="0" w:color="auto"/>
        <w:left w:val="none" w:sz="0" w:space="0" w:color="auto"/>
        <w:bottom w:val="none" w:sz="0" w:space="0" w:color="auto"/>
        <w:right w:val="none" w:sz="0" w:space="0" w:color="auto"/>
      </w:divBdr>
    </w:div>
    <w:div w:id="496118866">
      <w:bodyDiv w:val="1"/>
      <w:marLeft w:val="0"/>
      <w:marRight w:val="0"/>
      <w:marTop w:val="0"/>
      <w:marBottom w:val="0"/>
      <w:divBdr>
        <w:top w:val="none" w:sz="0" w:space="0" w:color="auto"/>
        <w:left w:val="none" w:sz="0" w:space="0" w:color="auto"/>
        <w:bottom w:val="none" w:sz="0" w:space="0" w:color="auto"/>
        <w:right w:val="none" w:sz="0" w:space="0" w:color="auto"/>
      </w:divBdr>
    </w:div>
    <w:div w:id="506946504">
      <w:bodyDiv w:val="1"/>
      <w:marLeft w:val="0"/>
      <w:marRight w:val="0"/>
      <w:marTop w:val="0"/>
      <w:marBottom w:val="0"/>
      <w:divBdr>
        <w:top w:val="none" w:sz="0" w:space="0" w:color="auto"/>
        <w:left w:val="none" w:sz="0" w:space="0" w:color="auto"/>
        <w:bottom w:val="none" w:sz="0" w:space="0" w:color="auto"/>
        <w:right w:val="none" w:sz="0" w:space="0" w:color="auto"/>
      </w:divBdr>
    </w:div>
    <w:div w:id="520094774">
      <w:bodyDiv w:val="1"/>
      <w:marLeft w:val="0"/>
      <w:marRight w:val="0"/>
      <w:marTop w:val="0"/>
      <w:marBottom w:val="0"/>
      <w:divBdr>
        <w:top w:val="none" w:sz="0" w:space="0" w:color="auto"/>
        <w:left w:val="none" w:sz="0" w:space="0" w:color="auto"/>
        <w:bottom w:val="none" w:sz="0" w:space="0" w:color="auto"/>
        <w:right w:val="none" w:sz="0" w:space="0" w:color="auto"/>
      </w:divBdr>
    </w:div>
    <w:div w:id="531191794">
      <w:bodyDiv w:val="1"/>
      <w:marLeft w:val="0"/>
      <w:marRight w:val="0"/>
      <w:marTop w:val="0"/>
      <w:marBottom w:val="0"/>
      <w:divBdr>
        <w:top w:val="none" w:sz="0" w:space="0" w:color="auto"/>
        <w:left w:val="none" w:sz="0" w:space="0" w:color="auto"/>
        <w:bottom w:val="none" w:sz="0" w:space="0" w:color="auto"/>
        <w:right w:val="none" w:sz="0" w:space="0" w:color="auto"/>
      </w:divBdr>
    </w:div>
    <w:div w:id="560143521">
      <w:bodyDiv w:val="1"/>
      <w:marLeft w:val="0"/>
      <w:marRight w:val="0"/>
      <w:marTop w:val="0"/>
      <w:marBottom w:val="0"/>
      <w:divBdr>
        <w:top w:val="none" w:sz="0" w:space="0" w:color="auto"/>
        <w:left w:val="none" w:sz="0" w:space="0" w:color="auto"/>
        <w:bottom w:val="none" w:sz="0" w:space="0" w:color="auto"/>
        <w:right w:val="none" w:sz="0" w:space="0" w:color="auto"/>
      </w:divBdr>
    </w:div>
    <w:div w:id="577903038">
      <w:bodyDiv w:val="1"/>
      <w:marLeft w:val="0"/>
      <w:marRight w:val="0"/>
      <w:marTop w:val="0"/>
      <w:marBottom w:val="0"/>
      <w:divBdr>
        <w:top w:val="none" w:sz="0" w:space="0" w:color="auto"/>
        <w:left w:val="none" w:sz="0" w:space="0" w:color="auto"/>
        <w:bottom w:val="none" w:sz="0" w:space="0" w:color="auto"/>
        <w:right w:val="none" w:sz="0" w:space="0" w:color="auto"/>
      </w:divBdr>
      <w:divsChild>
        <w:div w:id="1623806759">
          <w:marLeft w:val="547"/>
          <w:marRight w:val="0"/>
          <w:marTop w:val="86"/>
          <w:marBottom w:val="0"/>
          <w:divBdr>
            <w:top w:val="none" w:sz="0" w:space="0" w:color="auto"/>
            <w:left w:val="none" w:sz="0" w:space="0" w:color="auto"/>
            <w:bottom w:val="none" w:sz="0" w:space="0" w:color="auto"/>
            <w:right w:val="none" w:sz="0" w:space="0" w:color="auto"/>
          </w:divBdr>
        </w:div>
      </w:divsChild>
    </w:div>
    <w:div w:id="601835876">
      <w:bodyDiv w:val="1"/>
      <w:marLeft w:val="0"/>
      <w:marRight w:val="0"/>
      <w:marTop w:val="0"/>
      <w:marBottom w:val="0"/>
      <w:divBdr>
        <w:top w:val="none" w:sz="0" w:space="0" w:color="auto"/>
        <w:left w:val="none" w:sz="0" w:space="0" w:color="auto"/>
        <w:bottom w:val="none" w:sz="0" w:space="0" w:color="auto"/>
        <w:right w:val="none" w:sz="0" w:space="0" w:color="auto"/>
      </w:divBdr>
    </w:div>
    <w:div w:id="602080372">
      <w:bodyDiv w:val="1"/>
      <w:marLeft w:val="0"/>
      <w:marRight w:val="0"/>
      <w:marTop w:val="0"/>
      <w:marBottom w:val="0"/>
      <w:divBdr>
        <w:top w:val="none" w:sz="0" w:space="0" w:color="auto"/>
        <w:left w:val="none" w:sz="0" w:space="0" w:color="auto"/>
        <w:bottom w:val="none" w:sz="0" w:space="0" w:color="auto"/>
        <w:right w:val="none" w:sz="0" w:space="0" w:color="auto"/>
      </w:divBdr>
    </w:div>
    <w:div w:id="609749156">
      <w:bodyDiv w:val="1"/>
      <w:marLeft w:val="0"/>
      <w:marRight w:val="0"/>
      <w:marTop w:val="0"/>
      <w:marBottom w:val="0"/>
      <w:divBdr>
        <w:top w:val="none" w:sz="0" w:space="0" w:color="auto"/>
        <w:left w:val="none" w:sz="0" w:space="0" w:color="auto"/>
        <w:bottom w:val="none" w:sz="0" w:space="0" w:color="auto"/>
        <w:right w:val="none" w:sz="0" w:space="0" w:color="auto"/>
      </w:divBdr>
    </w:div>
    <w:div w:id="629628759">
      <w:bodyDiv w:val="1"/>
      <w:marLeft w:val="0"/>
      <w:marRight w:val="0"/>
      <w:marTop w:val="0"/>
      <w:marBottom w:val="0"/>
      <w:divBdr>
        <w:top w:val="none" w:sz="0" w:space="0" w:color="auto"/>
        <w:left w:val="none" w:sz="0" w:space="0" w:color="auto"/>
        <w:bottom w:val="none" w:sz="0" w:space="0" w:color="auto"/>
        <w:right w:val="none" w:sz="0" w:space="0" w:color="auto"/>
      </w:divBdr>
    </w:div>
    <w:div w:id="633220302">
      <w:bodyDiv w:val="1"/>
      <w:marLeft w:val="0"/>
      <w:marRight w:val="0"/>
      <w:marTop w:val="0"/>
      <w:marBottom w:val="0"/>
      <w:divBdr>
        <w:top w:val="none" w:sz="0" w:space="0" w:color="auto"/>
        <w:left w:val="none" w:sz="0" w:space="0" w:color="auto"/>
        <w:bottom w:val="none" w:sz="0" w:space="0" w:color="auto"/>
        <w:right w:val="none" w:sz="0" w:space="0" w:color="auto"/>
      </w:divBdr>
    </w:div>
    <w:div w:id="645933457">
      <w:bodyDiv w:val="1"/>
      <w:marLeft w:val="0"/>
      <w:marRight w:val="0"/>
      <w:marTop w:val="0"/>
      <w:marBottom w:val="0"/>
      <w:divBdr>
        <w:top w:val="none" w:sz="0" w:space="0" w:color="auto"/>
        <w:left w:val="none" w:sz="0" w:space="0" w:color="auto"/>
        <w:bottom w:val="none" w:sz="0" w:space="0" w:color="auto"/>
        <w:right w:val="none" w:sz="0" w:space="0" w:color="auto"/>
      </w:divBdr>
      <w:divsChild>
        <w:div w:id="86198770">
          <w:marLeft w:val="360"/>
          <w:marRight w:val="0"/>
          <w:marTop w:val="200"/>
          <w:marBottom w:val="0"/>
          <w:divBdr>
            <w:top w:val="none" w:sz="0" w:space="0" w:color="auto"/>
            <w:left w:val="none" w:sz="0" w:space="0" w:color="auto"/>
            <w:bottom w:val="none" w:sz="0" w:space="0" w:color="auto"/>
            <w:right w:val="none" w:sz="0" w:space="0" w:color="auto"/>
          </w:divBdr>
        </w:div>
        <w:div w:id="1895848216">
          <w:marLeft w:val="360"/>
          <w:marRight w:val="0"/>
          <w:marTop w:val="200"/>
          <w:marBottom w:val="0"/>
          <w:divBdr>
            <w:top w:val="none" w:sz="0" w:space="0" w:color="auto"/>
            <w:left w:val="none" w:sz="0" w:space="0" w:color="auto"/>
            <w:bottom w:val="none" w:sz="0" w:space="0" w:color="auto"/>
            <w:right w:val="none" w:sz="0" w:space="0" w:color="auto"/>
          </w:divBdr>
        </w:div>
        <w:div w:id="2145540680">
          <w:marLeft w:val="360"/>
          <w:marRight w:val="0"/>
          <w:marTop w:val="200"/>
          <w:marBottom w:val="0"/>
          <w:divBdr>
            <w:top w:val="none" w:sz="0" w:space="0" w:color="auto"/>
            <w:left w:val="none" w:sz="0" w:space="0" w:color="auto"/>
            <w:bottom w:val="none" w:sz="0" w:space="0" w:color="auto"/>
            <w:right w:val="none" w:sz="0" w:space="0" w:color="auto"/>
          </w:divBdr>
        </w:div>
      </w:divsChild>
    </w:div>
    <w:div w:id="667907903">
      <w:bodyDiv w:val="1"/>
      <w:marLeft w:val="0"/>
      <w:marRight w:val="0"/>
      <w:marTop w:val="0"/>
      <w:marBottom w:val="0"/>
      <w:divBdr>
        <w:top w:val="none" w:sz="0" w:space="0" w:color="auto"/>
        <w:left w:val="none" w:sz="0" w:space="0" w:color="auto"/>
        <w:bottom w:val="none" w:sz="0" w:space="0" w:color="auto"/>
        <w:right w:val="none" w:sz="0" w:space="0" w:color="auto"/>
      </w:divBdr>
    </w:div>
    <w:div w:id="673535863">
      <w:bodyDiv w:val="1"/>
      <w:marLeft w:val="0"/>
      <w:marRight w:val="0"/>
      <w:marTop w:val="0"/>
      <w:marBottom w:val="0"/>
      <w:divBdr>
        <w:top w:val="none" w:sz="0" w:space="0" w:color="auto"/>
        <w:left w:val="none" w:sz="0" w:space="0" w:color="auto"/>
        <w:bottom w:val="none" w:sz="0" w:space="0" w:color="auto"/>
        <w:right w:val="none" w:sz="0" w:space="0" w:color="auto"/>
      </w:divBdr>
    </w:div>
    <w:div w:id="696388802">
      <w:bodyDiv w:val="1"/>
      <w:marLeft w:val="0"/>
      <w:marRight w:val="0"/>
      <w:marTop w:val="0"/>
      <w:marBottom w:val="0"/>
      <w:divBdr>
        <w:top w:val="none" w:sz="0" w:space="0" w:color="auto"/>
        <w:left w:val="none" w:sz="0" w:space="0" w:color="auto"/>
        <w:bottom w:val="none" w:sz="0" w:space="0" w:color="auto"/>
        <w:right w:val="none" w:sz="0" w:space="0" w:color="auto"/>
      </w:divBdr>
    </w:div>
    <w:div w:id="730345227">
      <w:bodyDiv w:val="1"/>
      <w:marLeft w:val="0"/>
      <w:marRight w:val="0"/>
      <w:marTop w:val="0"/>
      <w:marBottom w:val="0"/>
      <w:divBdr>
        <w:top w:val="none" w:sz="0" w:space="0" w:color="auto"/>
        <w:left w:val="none" w:sz="0" w:space="0" w:color="auto"/>
        <w:bottom w:val="none" w:sz="0" w:space="0" w:color="auto"/>
        <w:right w:val="none" w:sz="0" w:space="0" w:color="auto"/>
      </w:divBdr>
    </w:div>
    <w:div w:id="750005612">
      <w:bodyDiv w:val="1"/>
      <w:marLeft w:val="0"/>
      <w:marRight w:val="0"/>
      <w:marTop w:val="0"/>
      <w:marBottom w:val="0"/>
      <w:divBdr>
        <w:top w:val="none" w:sz="0" w:space="0" w:color="auto"/>
        <w:left w:val="none" w:sz="0" w:space="0" w:color="auto"/>
        <w:bottom w:val="none" w:sz="0" w:space="0" w:color="auto"/>
        <w:right w:val="none" w:sz="0" w:space="0" w:color="auto"/>
      </w:divBdr>
    </w:div>
    <w:div w:id="751778733">
      <w:bodyDiv w:val="1"/>
      <w:marLeft w:val="0"/>
      <w:marRight w:val="0"/>
      <w:marTop w:val="0"/>
      <w:marBottom w:val="0"/>
      <w:divBdr>
        <w:top w:val="none" w:sz="0" w:space="0" w:color="auto"/>
        <w:left w:val="none" w:sz="0" w:space="0" w:color="auto"/>
        <w:bottom w:val="none" w:sz="0" w:space="0" w:color="auto"/>
        <w:right w:val="none" w:sz="0" w:space="0" w:color="auto"/>
      </w:divBdr>
      <w:divsChild>
        <w:div w:id="1256549398">
          <w:marLeft w:val="547"/>
          <w:marRight w:val="0"/>
          <w:marTop w:val="0"/>
          <w:marBottom w:val="0"/>
          <w:divBdr>
            <w:top w:val="none" w:sz="0" w:space="0" w:color="auto"/>
            <w:left w:val="none" w:sz="0" w:space="0" w:color="auto"/>
            <w:bottom w:val="none" w:sz="0" w:space="0" w:color="auto"/>
            <w:right w:val="none" w:sz="0" w:space="0" w:color="auto"/>
          </w:divBdr>
        </w:div>
      </w:divsChild>
    </w:div>
    <w:div w:id="768428243">
      <w:bodyDiv w:val="1"/>
      <w:marLeft w:val="0"/>
      <w:marRight w:val="0"/>
      <w:marTop w:val="0"/>
      <w:marBottom w:val="0"/>
      <w:divBdr>
        <w:top w:val="none" w:sz="0" w:space="0" w:color="auto"/>
        <w:left w:val="none" w:sz="0" w:space="0" w:color="auto"/>
        <w:bottom w:val="none" w:sz="0" w:space="0" w:color="auto"/>
        <w:right w:val="none" w:sz="0" w:space="0" w:color="auto"/>
      </w:divBdr>
    </w:div>
    <w:div w:id="790199745">
      <w:bodyDiv w:val="1"/>
      <w:marLeft w:val="0"/>
      <w:marRight w:val="0"/>
      <w:marTop w:val="0"/>
      <w:marBottom w:val="0"/>
      <w:divBdr>
        <w:top w:val="none" w:sz="0" w:space="0" w:color="auto"/>
        <w:left w:val="none" w:sz="0" w:space="0" w:color="auto"/>
        <w:bottom w:val="none" w:sz="0" w:space="0" w:color="auto"/>
        <w:right w:val="none" w:sz="0" w:space="0" w:color="auto"/>
      </w:divBdr>
    </w:div>
    <w:div w:id="804591636">
      <w:bodyDiv w:val="1"/>
      <w:marLeft w:val="0"/>
      <w:marRight w:val="0"/>
      <w:marTop w:val="0"/>
      <w:marBottom w:val="0"/>
      <w:divBdr>
        <w:top w:val="none" w:sz="0" w:space="0" w:color="auto"/>
        <w:left w:val="none" w:sz="0" w:space="0" w:color="auto"/>
        <w:bottom w:val="none" w:sz="0" w:space="0" w:color="auto"/>
        <w:right w:val="none" w:sz="0" w:space="0" w:color="auto"/>
      </w:divBdr>
    </w:div>
    <w:div w:id="809522081">
      <w:bodyDiv w:val="1"/>
      <w:marLeft w:val="0"/>
      <w:marRight w:val="0"/>
      <w:marTop w:val="0"/>
      <w:marBottom w:val="0"/>
      <w:divBdr>
        <w:top w:val="none" w:sz="0" w:space="0" w:color="auto"/>
        <w:left w:val="none" w:sz="0" w:space="0" w:color="auto"/>
        <w:bottom w:val="none" w:sz="0" w:space="0" w:color="auto"/>
        <w:right w:val="none" w:sz="0" w:space="0" w:color="auto"/>
      </w:divBdr>
    </w:div>
    <w:div w:id="820660625">
      <w:bodyDiv w:val="1"/>
      <w:marLeft w:val="0"/>
      <w:marRight w:val="0"/>
      <w:marTop w:val="0"/>
      <w:marBottom w:val="0"/>
      <w:divBdr>
        <w:top w:val="none" w:sz="0" w:space="0" w:color="auto"/>
        <w:left w:val="none" w:sz="0" w:space="0" w:color="auto"/>
        <w:bottom w:val="none" w:sz="0" w:space="0" w:color="auto"/>
        <w:right w:val="none" w:sz="0" w:space="0" w:color="auto"/>
      </w:divBdr>
    </w:div>
    <w:div w:id="829518740">
      <w:bodyDiv w:val="1"/>
      <w:marLeft w:val="0"/>
      <w:marRight w:val="0"/>
      <w:marTop w:val="0"/>
      <w:marBottom w:val="0"/>
      <w:divBdr>
        <w:top w:val="none" w:sz="0" w:space="0" w:color="auto"/>
        <w:left w:val="none" w:sz="0" w:space="0" w:color="auto"/>
        <w:bottom w:val="none" w:sz="0" w:space="0" w:color="auto"/>
        <w:right w:val="none" w:sz="0" w:space="0" w:color="auto"/>
      </w:divBdr>
    </w:div>
    <w:div w:id="851997416">
      <w:bodyDiv w:val="1"/>
      <w:marLeft w:val="0"/>
      <w:marRight w:val="0"/>
      <w:marTop w:val="0"/>
      <w:marBottom w:val="0"/>
      <w:divBdr>
        <w:top w:val="none" w:sz="0" w:space="0" w:color="auto"/>
        <w:left w:val="none" w:sz="0" w:space="0" w:color="auto"/>
        <w:bottom w:val="none" w:sz="0" w:space="0" w:color="auto"/>
        <w:right w:val="none" w:sz="0" w:space="0" w:color="auto"/>
      </w:divBdr>
    </w:div>
    <w:div w:id="858617432">
      <w:bodyDiv w:val="1"/>
      <w:marLeft w:val="0"/>
      <w:marRight w:val="0"/>
      <w:marTop w:val="0"/>
      <w:marBottom w:val="0"/>
      <w:divBdr>
        <w:top w:val="none" w:sz="0" w:space="0" w:color="auto"/>
        <w:left w:val="none" w:sz="0" w:space="0" w:color="auto"/>
        <w:bottom w:val="none" w:sz="0" w:space="0" w:color="auto"/>
        <w:right w:val="none" w:sz="0" w:space="0" w:color="auto"/>
      </w:divBdr>
    </w:div>
    <w:div w:id="861405662">
      <w:bodyDiv w:val="1"/>
      <w:marLeft w:val="0"/>
      <w:marRight w:val="0"/>
      <w:marTop w:val="0"/>
      <w:marBottom w:val="0"/>
      <w:divBdr>
        <w:top w:val="none" w:sz="0" w:space="0" w:color="auto"/>
        <w:left w:val="none" w:sz="0" w:space="0" w:color="auto"/>
        <w:bottom w:val="none" w:sz="0" w:space="0" w:color="auto"/>
        <w:right w:val="none" w:sz="0" w:space="0" w:color="auto"/>
      </w:divBdr>
    </w:div>
    <w:div w:id="871191237">
      <w:bodyDiv w:val="1"/>
      <w:marLeft w:val="0"/>
      <w:marRight w:val="0"/>
      <w:marTop w:val="0"/>
      <w:marBottom w:val="0"/>
      <w:divBdr>
        <w:top w:val="none" w:sz="0" w:space="0" w:color="auto"/>
        <w:left w:val="none" w:sz="0" w:space="0" w:color="auto"/>
        <w:bottom w:val="none" w:sz="0" w:space="0" w:color="auto"/>
        <w:right w:val="none" w:sz="0" w:space="0" w:color="auto"/>
      </w:divBdr>
      <w:divsChild>
        <w:div w:id="21447089">
          <w:marLeft w:val="1440"/>
          <w:marRight w:val="0"/>
          <w:marTop w:val="0"/>
          <w:marBottom w:val="0"/>
          <w:divBdr>
            <w:top w:val="none" w:sz="0" w:space="0" w:color="auto"/>
            <w:left w:val="none" w:sz="0" w:space="0" w:color="auto"/>
            <w:bottom w:val="none" w:sz="0" w:space="0" w:color="auto"/>
            <w:right w:val="none" w:sz="0" w:space="0" w:color="auto"/>
          </w:divBdr>
        </w:div>
        <w:div w:id="836534235">
          <w:marLeft w:val="1440"/>
          <w:marRight w:val="0"/>
          <w:marTop w:val="0"/>
          <w:marBottom w:val="0"/>
          <w:divBdr>
            <w:top w:val="none" w:sz="0" w:space="0" w:color="auto"/>
            <w:left w:val="none" w:sz="0" w:space="0" w:color="auto"/>
            <w:bottom w:val="none" w:sz="0" w:space="0" w:color="auto"/>
            <w:right w:val="none" w:sz="0" w:space="0" w:color="auto"/>
          </w:divBdr>
        </w:div>
        <w:div w:id="1394619757">
          <w:marLeft w:val="1440"/>
          <w:marRight w:val="0"/>
          <w:marTop w:val="0"/>
          <w:marBottom w:val="0"/>
          <w:divBdr>
            <w:top w:val="none" w:sz="0" w:space="0" w:color="auto"/>
            <w:left w:val="none" w:sz="0" w:space="0" w:color="auto"/>
            <w:bottom w:val="none" w:sz="0" w:space="0" w:color="auto"/>
            <w:right w:val="none" w:sz="0" w:space="0" w:color="auto"/>
          </w:divBdr>
        </w:div>
        <w:div w:id="1549074510">
          <w:marLeft w:val="1440"/>
          <w:marRight w:val="0"/>
          <w:marTop w:val="0"/>
          <w:marBottom w:val="0"/>
          <w:divBdr>
            <w:top w:val="none" w:sz="0" w:space="0" w:color="auto"/>
            <w:left w:val="none" w:sz="0" w:space="0" w:color="auto"/>
            <w:bottom w:val="none" w:sz="0" w:space="0" w:color="auto"/>
            <w:right w:val="none" w:sz="0" w:space="0" w:color="auto"/>
          </w:divBdr>
        </w:div>
        <w:div w:id="1564021390">
          <w:marLeft w:val="1440"/>
          <w:marRight w:val="0"/>
          <w:marTop w:val="0"/>
          <w:marBottom w:val="0"/>
          <w:divBdr>
            <w:top w:val="none" w:sz="0" w:space="0" w:color="auto"/>
            <w:left w:val="none" w:sz="0" w:space="0" w:color="auto"/>
            <w:bottom w:val="none" w:sz="0" w:space="0" w:color="auto"/>
            <w:right w:val="none" w:sz="0" w:space="0" w:color="auto"/>
          </w:divBdr>
        </w:div>
      </w:divsChild>
    </w:div>
    <w:div w:id="893588881">
      <w:bodyDiv w:val="1"/>
      <w:marLeft w:val="0"/>
      <w:marRight w:val="0"/>
      <w:marTop w:val="0"/>
      <w:marBottom w:val="0"/>
      <w:divBdr>
        <w:top w:val="none" w:sz="0" w:space="0" w:color="auto"/>
        <w:left w:val="none" w:sz="0" w:space="0" w:color="auto"/>
        <w:bottom w:val="none" w:sz="0" w:space="0" w:color="auto"/>
        <w:right w:val="none" w:sz="0" w:space="0" w:color="auto"/>
      </w:divBdr>
    </w:div>
    <w:div w:id="901525500">
      <w:bodyDiv w:val="1"/>
      <w:marLeft w:val="0"/>
      <w:marRight w:val="0"/>
      <w:marTop w:val="0"/>
      <w:marBottom w:val="0"/>
      <w:divBdr>
        <w:top w:val="none" w:sz="0" w:space="0" w:color="auto"/>
        <w:left w:val="none" w:sz="0" w:space="0" w:color="auto"/>
        <w:bottom w:val="none" w:sz="0" w:space="0" w:color="auto"/>
        <w:right w:val="none" w:sz="0" w:space="0" w:color="auto"/>
      </w:divBdr>
    </w:div>
    <w:div w:id="901601597">
      <w:bodyDiv w:val="1"/>
      <w:marLeft w:val="0"/>
      <w:marRight w:val="0"/>
      <w:marTop w:val="0"/>
      <w:marBottom w:val="0"/>
      <w:divBdr>
        <w:top w:val="none" w:sz="0" w:space="0" w:color="auto"/>
        <w:left w:val="none" w:sz="0" w:space="0" w:color="auto"/>
        <w:bottom w:val="none" w:sz="0" w:space="0" w:color="auto"/>
        <w:right w:val="none" w:sz="0" w:space="0" w:color="auto"/>
      </w:divBdr>
    </w:div>
    <w:div w:id="904150059">
      <w:bodyDiv w:val="1"/>
      <w:marLeft w:val="0"/>
      <w:marRight w:val="0"/>
      <w:marTop w:val="0"/>
      <w:marBottom w:val="0"/>
      <w:divBdr>
        <w:top w:val="none" w:sz="0" w:space="0" w:color="auto"/>
        <w:left w:val="none" w:sz="0" w:space="0" w:color="auto"/>
        <w:bottom w:val="none" w:sz="0" w:space="0" w:color="auto"/>
        <w:right w:val="none" w:sz="0" w:space="0" w:color="auto"/>
      </w:divBdr>
    </w:div>
    <w:div w:id="906306682">
      <w:bodyDiv w:val="1"/>
      <w:marLeft w:val="0"/>
      <w:marRight w:val="0"/>
      <w:marTop w:val="0"/>
      <w:marBottom w:val="0"/>
      <w:divBdr>
        <w:top w:val="none" w:sz="0" w:space="0" w:color="auto"/>
        <w:left w:val="none" w:sz="0" w:space="0" w:color="auto"/>
        <w:bottom w:val="none" w:sz="0" w:space="0" w:color="auto"/>
        <w:right w:val="none" w:sz="0" w:space="0" w:color="auto"/>
      </w:divBdr>
    </w:div>
    <w:div w:id="922907744">
      <w:bodyDiv w:val="1"/>
      <w:marLeft w:val="0"/>
      <w:marRight w:val="0"/>
      <w:marTop w:val="0"/>
      <w:marBottom w:val="0"/>
      <w:divBdr>
        <w:top w:val="none" w:sz="0" w:space="0" w:color="auto"/>
        <w:left w:val="none" w:sz="0" w:space="0" w:color="auto"/>
        <w:bottom w:val="none" w:sz="0" w:space="0" w:color="auto"/>
        <w:right w:val="none" w:sz="0" w:space="0" w:color="auto"/>
      </w:divBdr>
    </w:div>
    <w:div w:id="933634795">
      <w:bodyDiv w:val="1"/>
      <w:marLeft w:val="0"/>
      <w:marRight w:val="0"/>
      <w:marTop w:val="0"/>
      <w:marBottom w:val="0"/>
      <w:divBdr>
        <w:top w:val="none" w:sz="0" w:space="0" w:color="auto"/>
        <w:left w:val="none" w:sz="0" w:space="0" w:color="auto"/>
        <w:bottom w:val="none" w:sz="0" w:space="0" w:color="auto"/>
        <w:right w:val="none" w:sz="0" w:space="0" w:color="auto"/>
      </w:divBdr>
      <w:divsChild>
        <w:div w:id="1023441740">
          <w:marLeft w:val="0"/>
          <w:marRight w:val="0"/>
          <w:marTop w:val="0"/>
          <w:marBottom w:val="0"/>
          <w:divBdr>
            <w:top w:val="none" w:sz="0" w:space="0" w:color="auto"/>
            <w:left w:val="none" w:sz="0" w:space="0" w:color="auto"/>
            <w:bottom w:val="none" w:sz="0" w:space="0" w:color="auto"/>
            <w:right w:val="none" w:sz="0" w:space="0" w:color="auto"/>
          </w:divBdr>
          <w:divsChild>
            <w:div w:id="1248804490">
              <w:marLeft w:val="0"/>
              <w:marRight w:val="0"/>
              <w:marTop w:val="0"/>
              <w:marBottom w:val="0"/>
              <w:divBdr>
                <w:top w:val="none" w:sz="0" w:space="0" w:color="auto"/>
                <w:left w:val="none" w:sz="0" w:space="0" w:color="auto"/>
                <w:bottom w:val="none" w:sz="0" w:space="0" w:color="auto"/>
                <w:right w:val="none" w:sz="0" w:space="0" w:color="auto"/>
              </w:divBdr>
              <w:divsChild>
                <w:div w:id="1766733239">
                  <w:marLeft w:val="0"/>
                  <w:marRight w:val="0"/>
                  <w:marTop w:val="0"/>
                  <w:marBottom w:val="0"/>
                  <w:divBdr>
                    <w:top w:val="none" w:sz="0" w:space="0" w:color="auto"/>
                    <w:left w:val="none" w:sz="0" w:space="0" w:color="auto"/>
                    <w:bottom w:val="none" w:sz="0" w:space="0" w:color="auto"/>
                    <w:right w:val="none" w:sz="0" w:space="0" w:color="auto"/>
                  </w:divBdr>
                  <w:divsChild>
                    <w:div w:id="405734873">
                      <w:marLeft w:val="0"/>
                      <w:marRight w:val="0"/>
                      <w:marTop w:val="0"/>
                      <w:marBottom w:val="0"/>
                      <w:divBdr>
                        <w:top w:val="none" w:sz="0" w:space="0" w:color="auto"/>
                        <w:left w:val="none" w:sz="0" w:space="0" w:color="auto"/>
                        <w:bottom w:val="none" w:sz="0" w:space="0" w:color="auto"/>
                        <w:right w:val="none" w:sz="0" w:space="0" w:color="auto"/>
                      </w:divBdr>
                      <w:divsChild>
                        <w:div w:id="1719236473">
                          <w:marLeft w:val="0"/>
                          <w:marRight w:val="0"/>
                          <w:marTop w:val="0"/>
                          <w:marBottom w:val="0"/>
                          <w:divBdr>
                            <w:top w:val="none" w:sz="0" w:space="0" w:color="auto"/>
                            <w:left w:val="none" w:sz="0" w:space="0" w:color="auto"/>
                            <w:bottom w:val="none" w:sz="0" w:space="0" w:color="auto"/>
                            <w:right w:val="none" w:sz="0" w:space="0" w:color="auto"/>
                          </w:divBdr>
                          <w:divsChild>
                            <w:div w:id="2003121562">
                              <w:marLeft w:val="0"/>
                              <w:marRight w:val="0"/>
                              <w:marTop w:val="0"/>
                              <w:marBottom w:val="0"/>
                              <w:divBdr>
                                <w:top w:val="none" w:sz="0" w:space="0" w:color="auto"/>
                                <w:left w:val="none" w:sz="0" w:space="0" w:color="auto"/>
                                <w:bottom w:val="none" w:sz="0" w:space="0" w:color="auto"/>
                                <w:right w:val="none" w:sz="0" w:space="0" w:color="auto"/>
                              </w:divBdr>
                              <w:divsChild>
                                <w:div w:id="429786629">
                                  <w:marLeft w:val="0"/>
                                  <w:marRight w:val="0"/>
                                  <w:marTop w:val="0"/>
                                  <w:marBottom w:val="0"/>
                                  <w:divBdr>
                                    <w:top w:val="none" w:sz="0" w:space="0" w:color="auto"/>
                                    <w:left w:val="none" w:sz="0" w:space="0" w:color="auto"/>
                                    <w:bottom w:val="none" w:sz="0" w:space="0" w:color="auto"/>
                                    <w:right w:val="none" w:sz="0" w:space="0" w:color="auto"/>
                                  </w:divBdr>
                                  <w:divsChild>
                                    <w:div w:id="1008750938">
                                      <w:marLeft w:val="60"/>
                                      <w:marRight w:val="0"/>
                                      <w:marTop w:val="0"/>
                                      <w:marBottom w:val="0"/>
                                      <w:divBdr>
                                        <w:top w:val="none" w:sz="0" w:space="0" w:color="auto"/>
                                        <w:left w:val="none" w:sz="0" w:space="0" w:color="auto"/>
                                        <w:bottom w:val="none" w:sz="0" w:space="0" w:color="auto"/>
                                        <w:right w:val="none" w:sz="0" w:space="0" w:color="auto"/>
                                      </w:divBdr>
                                      <w:divsChild>
                                        <w:div w:id="2139951901">
                                          <w:marLeft w:val="0"/>
                                          <w:marRight w:val="0"/>
                                          <w:marTop w:val="0"/>
                                          <w:marBottom w:val="0"/>
                                          <w:divBdr>
                                            <w:top w:val="none" w:sz="0" w:space="0" w:color="auto"/>
                                            <w:left w:val="none" w:sz="0" w:space="0" w:color="auto"/>
                                            <w:bottom w:val="none" w:sz="0" w:space="0" w:color="auto"/>
                                            <w:right w:val="none" w:sz="0" w:space="0" w:color="auto"/>
                                          </w:divBdr>
                                          <w:divsChild>
                                            <w:div w:id="1167284687">
                                              <w:marLeft w:val="0"/>
                                              <w:marRight w:val="0"/>
                                              <w:marTop w:val="0"/>
                                              <w:marBottom w:val="120"/>
                                              <w:divBdr>
                                                <w:top w:val="single" w:sz="6" w:space="0" w:color="F5F5F5"/>
                                                <w:left w:val="single" w:sz="6" w:space="0" w:color="F5F5F5"/>
                                                <w:bottom w:val="single" w:sz="6" w:space="0" w:color="F5F5F5"/>
                                                <w:right w:val="single" w:sz="6" w:space="0" w:color="F5F5F5"/>
                                              </w:divBdr>
                                              <w:divsChild>
                                                <w:div w:id="518004096">
                                                  <w:marLeft w:val="0"/>
                                                  <w:marRight w:val="0"/>
                                                  <w:marTop w:val="0"/>
                                                  <w:marBottom w:val="0"/>
                                                  <w:divBdr>
                                                    <w:top w:val="none" w:sz="0" w:space="0" w:color="auto"/>
                                                    <w:left w:val="none" w:sz="0" w:space="0" w:color="auto"/>
                                                    <w:bottom w:val="none" w:sz="0" w:space="0" w:color="auto"/>
                                                    <w:right w:val="none" w:sz="0" w:space="0" w:color="auto"/>
                                                  </w:divBdr>
                                                  <w:divsChild>
                                                    <w:div w:id="1348213205">
                                                      <w:marLeft w:val="0"/>
                                                      <w:marRight w:val="0"/>
                                                      <w:marTop w:val="0"/>
                                                      <w:marBottom w:val="0"/>
                                                      <w:divBdr>
                                                        <w:top w:val="none" w:sz="0" w:space="0" w:color="auto"/>
                                                        <w:left w:val="none" w:sz="0" w:space="0" w:color="auto"/>
                                                        <w:bottom w:val="none" w:sz="0" w:space="0" w:color="auto"/>
                                                        <w:right w:val="none" w:sz="0" w:space="0" w:color="auto"/>
                                                      </w:divBdr>
                                                    </w:div>
                                                  </w:divsChild>
                                                </w:div>
                                                <w:div w:id="724136249">
                                                  <w:marLeft w:val="0"/>
                                                  <w:marRight w:val="0"/>
                                                  <w:marTop w:val="0"/>
                                                  <w:marBottom w:val="0"/>
                                                  <w:divBdr>
                                                    <w:top w:val="none" w:sz="0" w:space="0" w:color="auto"/>
                                                    <w:left w:val="none" w:sz="0" w:space="0" w:color="auto"/>
                                                    <w:bottom w:val="none" w:sz="0" w:space="0" w:color="auto"/>
                                                    <w:right w:val="none" w:sz="0" w:space="0" w:color="auto"/>
                                                  </w:divBdr>
                                                  <w:divsChild>
                                                    <w:div w:id="1316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8485793">
      <w:bodyDiv w:val="1"/>
      <w:marLeft w:val="0"/>
      <w:marRight w:val="0"/>
      <w:marTop w:val="0"/>
      <w:marBottom w:val="0"/>
      <w:divBdr>
        <w:top w:val="none" w:sz="0" w:space="0" w:color="auto"/>
        <w:left w:val="none" w:sz="0" w:space="0" w:color="auto"/>
        <w:bottom w:val="none" w:sz="0" w:space="0" w:color="auto"/>
        <w:right w:val="none" w:sz="0" w:space="0" w:color="auto"/>
      </w:divBdr>
    </w:div>
    <w:div w:id="938639262">
      <w:bodyDiv w:val="1"/>
      <w:marLeft w:val="0"/>
      <w:marRight w:val="0"/>
      <w:marTop w:val="0"/>
      <w:marBottom w:val="0"/>
      <w:divBdr>
        <w:top w:val="none" w:sz="0" w:space="0" w:color="auto"/>
        <w:left w:val="none" w:sz="0" w:space="0" w:color="auto"/>
        <w:bottom w:val="none" w:sz="0" w:space="0" w:color="auto"/>
        <w:right w:val="none" w:sz="0" w:space="0" w:color="auto"/>
      </w:divBdr>
      <w:divsChild>
        <w:div w:id="868907562">
          <w:marLeft w:val="547"/>
          <w:marRight w:val="0"/>
          <w:marTop w:val="86"/>
          <w:marBottom w:val="0"/>
          <w:divBdr>
            <w:top w:val="none" w:sz="0" w:space="0" w:color="auto"/>
            <w:left w:val="none" w:sz="0" w:space="0" w:color="auto"/>
            <w:bottom w:val="none" w:sz="0" w:space="0" w:color="auto"/>
            <w:right w:val="none" w:sz="0" w:space="0" w:color="auto"/>
          </w:divBdr>
        </w:div>
      </w:divsChild>
    </w:div>
    <w:div w:id="949244792">
      <w:bodyDiv w:val="1"/>
      <w:marLeft w:val="0"/>
      <w:marRight w:val="0"/>
      <w:marTop w:val="0"/>
      <w:marBottom w:val="0"/>
      <w:divBdr>
        <w:top w:val="none" w:sz="0" w:space="0" w:color="auto"/>
        <w:left w:val="none" w:sz="0" w:space="0" w:color="auto"/>
        <w:bottom w:val="none" w:sz="0" w:space="0" w:color="auto"/>
        <w:right w:val="none" w:sz="0" w:space="0" w:color="auto"/>
      </w:divBdr>
    </w:div>
    <w:div w:id="953438543">
      <w:bodyDiv w:val="1"/>
      <w:marLeft w:val="0"/>
      <w:marRight w:val="0"/>
      <w:marTop w:val="0"/>
      <w:marBottom w:val="0"/>
      <w:divBdr>
        <w:top w:val="none" w:sz="0" w:space="0" w:color="auto"/>
        <w:left w:val="none" w:sz="0" w:space="0" w:color="auto"/>
        <w:bottom w:val="none" w:sz="0" w:space="0" w:color="auto"/>
        <w:right w:val="none" w:sz="0" w:space="0" w:color="auto"/>
      </w:divBdr>
    </w:div>
    <w:div w:id="966357348">
      <w:bodyDiv w:val="1"/>
      <w:marLeft w:val="0"/>
      <w:marRight w:val="0"/>
      <w:marTop w:val="0"/>
      <w:marBottom w:val="0"/>
      <w:divBdr>
        <w:top w:val="none" w:sz="0" w:space="0" w:color="auto"/>
        <w:left w:val="none" w:sz="0" w:space="0" w:color="auto"/>
        <w:bottom w:val="none" w:sz="0" w:space="0" w:color="auto"/>
        <w:right w:val="none" w:sz="0" w:space="0" w:color="auto"/>
      </w:divBdr>
    </w:div>
    <w:div w:id="1039671287">
      <w:bodyDiv w:val="1"/>
      <w:marLeft w:val="0"/>
      <w:marRight w:val="0"/>
      <w:marTop w:val="0"/>
      <w:marBottom w:val="0"/>
      <w:divBdr>
        <w:top w:val="none" w:sz="0" w:space="0" w:color="auto"/>
        <w:left w:val="none" w:sz="0" w:space="0" w:color="auto"/>
        <w:bottom w:val="none" w:sz="0" w:space="0" w:color="auto"/>
        <w:right w:val="none" w:sz="0" w:space="0" w:color="auto"/>
      </w:divBdr>
    </w:div>
    <w:div w:id="1044333053">
      <w:bodyDiv w:val="1"/>
      <w:marLeft w:val="0"/>
      <w:marRight w:val="0"/>
      <w:marTop w:val="0"/>
      <w:marBottom w:val="0"/>
      <w:divBdr>
        <w:top w:val="none" w:sz="0" w:space="0" w:color="auto"/>
        <w:left w:val="none" w:sz="0" w:space="0" w:color="auto"/>
        <w:bottom w:val="none" w:sz="0" w:space="0" w:color="auto"/>
        <w:right w:val="none" w:sz="0" w:space="0" w:color="auto"/>
      </w:divBdr>
    </w:div>
    <w:div w:id="1066104694">
      <w:bodyDiv w:val="1"/>
      <w:marLeft w:val="0"/>
      <w:marRight w:val="0"/>
      <w:marTop w:val="0"/>
      <w:marBottom w:val="0"/>
      <w:divBdr>
        <w:top w:val="none" w:sz="0" w:space="0" w:color="auto"/>
        <w:left w:val="none" w:sz="0" w:space="0" w:color="auto"/>
        <w:bottom w:val="none" w:sz="0" w:space="0" w:color="auto"/>
        <w:right w:val="none" w:sz="0" w:space="0" w:color="auto"/>
      </w:divBdr>
    </w:div>
    <w:div w:id="1074856777">
      <w:bodyDiv w:val="1"/>
      <w:marLeft w:val="0"/>
      <w:marRight w:val="0"/>
      <w:marTop w:val="0"/>
      <w:marBottom w:val="0"/>
      <w:divBdr>
        <w:top w:val="none" w:sz="0" w:space="0" w:color="auto"/>
        <w:left w:val="none" w:sz="0" w:space="0" w:color="auto"/>
        <w:bottom w:val="none" w:sz="0" w:space="0" w:color="auto"/>
        <w:right w:val="none" w:sz="0" w:space="0" w:color="auto"/>
      </w:divBdr>
    </w:div>
    <w:div w:id="1079138236">
      <w:bodyDiv w:val="1"/>
      <w:marLeft w:val="0"/>
      <w:marRight w:val="0"/>
      <w:marTop w:val="0"/>
      <w:marBottom w:val="0"/>
      <w:divBdr>
        <w:top w:val="none" w:sz="0" w:space="0" w:color="auto"/>
        <w:left w:val="none" w:sz="0" w:space="0" w:color="auto"/>
        <w:bottom w:val="none" w:sz="0" w:space="0" w:color="auto"/>
        <w:right w:val="none" w:sz="0" w:space="0" w:color="auto"/>
      </w:divBdr>
    </w:div>
    <w:div w:id="1082683439">
      <w:bodyDiv w:val="1"/>
      <w:marLeft w:val="0"/>
      <w:marRight w:val="0"/>
      <w:marTop w:val="0"/>
      <w:marBottom w:val="0"/>
      <w:divBdr>
        <w:top w:val="none" w:sz="0" w:space="0" w:color="auto"/>
        <w:left w:val="none" w:sz="0" w:space="0" w:color="auto"/>
        <w:bottom w:val="none" w:sz="0" w:space="0" w:color="auto"/>
        <w:right w:val="none" w:sz="0" w:space="0" w:color="auto"/>
      </w:divBdr>
      <w:divsChild>
        <w:div w:id="2032684746">
          <w:marLeft w:val="547"/>
          <w:marRight w:val="0"/>
          <w:marTop w:val="86"/>
          <w:marBottom w:val="0"/>
          <w:divBdr>
            <w:top w:val="none" w:sz="0" w:space="0" w:color="auto"/>
            <w:left w:val="none" w:sz="0" w:space="0" w:color="auto"/>
            <w:bottom w:val="none" w:sz="0" w:space="0" w:color="auto"/>
            <w:right w:val="none" w:sz="0" w:space="0" w:color="auto"/>
          </w:divBdr>
        </w:div>
      </w:divsChild>
    </w:div>
    <w:div w:id="1084765109">
      <w:bodyDiv w:val="1"/>
      <w:marLeft w:val="0"/>
      <w:marRight w:val="0"/>
      <w:marTop w:val="0"/>
      <w:marBottom w:val="0"/>
      <w:divBdr>
        <w:top w:val="none" w:sz="0" w:space="0" w:color="auto"/>
        <w:left w:val="none" w:sz="0" w:space="0" w:color="auto"/>
        <w:bottom w:val="none" w:sz="0" w:space="0" w:color="auto"/>
        <w:right w:val="none" w:sz="0" w:space="0" w:color="auto"/>
      </w:divBdr>
    </w:div>
    <w:div w:id="1102602509">
      <w:bodyDiv w:val="1"/>
      <w:marLeft w:val="0"/>
      <w:marRight w:val="0"/>
      <w:marTop w:val="0"/>
      <w:marBottom w:val="0"/>
      <w:divBdr>
        <w:top w:val="none" w:sz="0" w:space="0" w:color="auto"/>
        <w:left w:val="none" w:sz="0" w:space="0" w:color="auto"/>
        <w:bottom w:val="none" w:sz="0" w:space="0" w:color="auto"/>
        <w:right w:val="none" w:sz="0" w:space="0" w:color="auto"/>
      </w:divBdr>
    </w:div>
    <w:div w:id="1123577246">
      <w:bodyDiv w:val="1"/>
      <w:marLeft w:val="0"/>
      <w:marRight w:val="0"/>
      <w:marTop w:val="0"/>
      <w:marBottom w:val="0"/>
      <w:divBdr>
        <w:top w:val="none" w:sz="0" w:space="0" w:color="auto"/>
        <w:left w:val="none" w:sz="0" w:space="0" w:color="auto"/>
        <w:bottom w:val="none" w:sz="0" w:space="0" w:color="auto"/>
        <w:right w:val="none" w:sz="0" w:space="0" w:color="auto"/>
      </w:divBdr>
    </w:div>
    <w:div w:id="1147087961">
      <w:bodyDiv w:val="1"/>
      <w:marLeft w:val="0"/>
      <w:marRight w:val="0"/>
      <w:marTop w:val="0"/>
      <w:marBottom w:val="0"/>
      <w:divBdr>
        <w:top w:val="none" w:sz="0" w:space="0" w:color="auto"/>
        <w:left w:val="none" w:sz="0" w:space="0" w:color="auto"/>
        <w:bottom w:val="none" w:sz="0" w:space="0" w:color="auto"/>
        <w:right w:val="none" w:sz="0" w:space="0" w:color="auto"/>
      </w:divBdr>
    </w:div>
    <w:div w:id="1161579754">
      <w:bodyDiv w:val="1"/>
      <w:marLeft w:val="0"/>
      <w:marRight w:val="0"/>
      <w:marTop w:val="0"/>
      <w:marBottom w:val="0"/>
      <w:divBdr>
        <w:top w:val="none" w:sz="0" w:space="0" w:color="auto"/>
        <w:left w:val="none" w:sz="0" w:space="0" w:color="auto"/>
        <w:bottom w:val="none" w:sz="0" w:space="0" w:color="auto"/>
        <w:right w:val="none" w:sz="0" w:space="0" w:color="auto"/>
      </w:divBdr>
    </w:div>
    <w:div w:id="1165516070">
      <w:bodyDiv w:val="1"/>
      <w:marLeft w:val="0"/>
      <w:marRight w:val="0"/>
      <w:marTop w:val="0"/>
      <w:marBottom w:val="0"/>
      <w:divBdr>
        <w:top w:val="none" w:sz="0" w:space="0" w:color="auto"/>
        <w:left w:val="none" w:sz="0" w:space="0" w:color="auto"/>
        <w:bottom w:val="none" w:sz="0" w:space="0" w:color="auto"/>
        <w:right w:val="none" w:sz="0" w:space="0" w:color="auto"/>
      </w:divBdr>
    </w:div>
    <w:div w:id="1222516450">
      <w:bodyDiv w:val="1"/>
      <w:marLeft w:val="0"/>
      <w:marRight w:val="0"/>
      <w:marTop w:val="0"/>
      <w:marBottom w:val="0"/>
      <w:divBdr>
        <w:top w:val="none" w:sz="0" w:space="0" w:color="auto"/>
        <w:left w:val="none" w:sz="0" w:space="0" w:color="auto"/>
        <w:bottom w:val="none" w:sz="0" w:space="0" w:color="auto"/>
        <w:right w:val="none" w:sz="0" w:space="0" w:color="auto"/>
      </w:divBdr>
    </w:div>
    <w:div w:id="1231580021">
      <w:bodyDiv w:val="1"/>
      <w:marLeft w:val="0"/>
      <w:marRight w:val="0"/>
      <w:marTop w:val="0"/>
      <w:marBottom w:val="0"/>
      <w:divBdr>
        <w:top w:val="none" w:sz="0" w:space="0" w:color="auto"/>
        <w:left w:val="none" w:sz="0" w:space="0" w:color="auto"/>
        <w:bottom w:val="none" w:sz="0" w:space="0" w:color="auto"/>
        <w:right w:val="none" w:sz="0" w:space="0" w:color="auto"/>
      </w:divBdr>
    </w:div>
    <w:div w:id="1237208764">
      <w:bodyDiv w:val="1"/>
      <w:marLeft w:val="0"/>
      <w:marRight w:val="0"/>
      <w:marTop w:val="0"/>
      <w:marBottom w:val="0"/>
      <w:divBdr>
        <w:top w:val="none" w:sz="0" w:space="0" w:color="auto"/>
        <w:left w:val="none" w:sz="0" w:space="0" w:color="auto"/>
        <w:bottom w:val="none" w:sz="0" w:space="0" w:color="auto"/>
        <w:right w:val="none" w:sz="0" w:space="0" w:color="auto"/>
      </w:divBdr>
    </w:div>
    <w:div w:id="1264145387">
      <w:bodyDiv w:val="1"/>
      <w:marLeft w:val="0"/>
      <w:marRight w:val="0"/>
      <w:marTop w:val="0"/>
      <w:marBottom w:val="0"/>
      <w:divBdr>
        <w:top w:val="none" w:sz="0" w:space="0" w:color="auto"/>
        <w:left w:val="none" w:sz="0" w:space="0" w:color="auto"/>
        <w:bottom w:val="none" w:sz="0" w:space="0" w:color="auto"/>
        <w:right w:val="none" w:sz="0" w:space="0" w:color="auto"/>
      </w:divBdr>
    </w:div>
    <w:div w:id="1276209789">
      <w:bodyDiv w:val="1"/>
      <w:marLeft w:val="0"/>
      <w:marRight w:val="0"/>
      <w:marTop w:val="0"/>
      <w:marBottom w:val="0"/>
      <w:divBdr>
        <w:top w:val="none" w:sz="0" w:space="0" w:color="auto"/>
        <w:left w:val="none" w:sz="0" w:space="0" w:color="auto"/>
        <w:bottom w:val="none" w:sz="0" w:space="0" w:color="auto"/>
        <w:right w:val="none" w:sz="0" w:space="0" w:color="auto"/>
      </w:divBdr>
    </w:div>
    <w:div w:id="1316685951">
      <w:bodyDiv w:val="1"/>
      <w:marLeft w:val="0"/>
      <w:marRight w:val="0"/>
      <w:marTop w:val="0"/>
      <w:marBottom w:val="0"/>
      <w:divBdr>
        <w:top w:val="none" w:sz="0" w:space="0" w:color="auto"/>
        <w:left w:val="none" w:sz="0" w:space="0" w:color="auto"/>
        <w:bottom w:val="none" w:sz="0" w:space="0" w:color="auto"/>
        <w:right w:val="none" w:sz="0" w:space="0" w:color="auto"/>
      </w:divBdr>
    </w:div>
    <w:div w:id="1320771002">
      <w:bodyDiv w:val="1"/>
      <w:marLeft w:val="0"/>
      <w:marRight w:val="0"/>
      <w:marTop w:val="0"/>
      <w:marBottom w:val="0"/>
      <w:divBdr>
        <w:top w:val="none" w:sz="0" w:space="0" w:color="auto"/>
        <w:left w:val="none" w:sz="0" w:space="0" w:color="auto"/>
        <w:bottom w:val="none" w:sz="0" w:space="0" w:color="auto"/>
        <w:right w:val="none" w:sz="0" w:space="0" w:color="auto"/>
      </w:divBdr>
    </w:div>
    <w:div w:id="1328285680">
      <w:bodyDiv w:val="1"/>
      <w:marLeft w:val="0"/>
      <w:marRight w:val="0"/>
      <w:marTop w:val="0"/>
      <w:marBottom w:val="0"/>
      <w:divBdr>
        <w:top w:val="none" w:sz="0" w:space="0" w:color="auto"/>
        <w:left w:val="none" w:sz="0" w:space="0" w:color="auto"/>
        <w:bottom w:val="none" w:sz="0" w:space="0" w:color="auto"/>
        <w:right w:val="none" w:sz="0" w:space="0" w:color="auto"/>
      </w:divBdr>
    </w:div>
    <w:div w:id="1346321658">
      <w:bodyDiv w:val="1"/>
      <w:marLeft w:val="0"/>
      <w:marRight w:val="0"/>
      <w:marTop w:val="0"/>
      <w:marBottom w:val="0"/>
      <w:divBdr>
        <w:top w:val="none" w:sz="0" w:space="0" w:color="auto"/>
        <w:left w:val="none" w:sz="0" w:space="0" w:color="auto"/>
        <w:bottom w:val="none" w:sz="0" w:space="0" w:color="auto"/>
        <w:right w:val="none" w:sz="0" w:space="0" w:color="auto"/>
      </w:divBdr>
    </w:div>
    <w:div w:id="1349060356">
      <w:bodyDiv w:val="1"/>
      <w:marLeft w:val="0"/>
      <w:marRight w:val="0"/>
      <w:marTop w:val="0"/>
      <w:marBottom w:val="0"/>
      <w:divBdr>
        <w:top w:val="none" w:sz="0" w:space="0" w:color="auto"/>
        <w:left w:val="none" w:sz="0" w:space="0" w:color="auto"/>
        <w:bottom w:val="none" w:sz="0" w:space="0" w:color="auto"/>
        <w:right w:val="none" w:sz="0" w:space="0" w:color="auto"/>
      </w:divBdr>
    </w:div>
    <w:div w:id="1349720368">
      <w:bodyDiv w:val="1"/>
      <w:marLeft w:val="0"/>
      <w:marRight w:val="0"/>
      <w:marTop w:val="0"/>
      <w:marBottom w:val="0"/>
      <w:divBdr>
        <w:top w:val="none" w:sz="0" w:space="0" w:color="auto"/>
        <w:left w:val="none" w:sz="0" w:space="0" w:color="auto"/>
        <w:bottom w:val="none" w:sz="0" w:space="0" w:color="auto"/>
        <w:right w:val="none" w:sz="0" w:space="0" w:color="auto"/>
      </w:divBdr>
    </w:div>
    <w:div w:id="1356888028">
      <w:bodyDiv w:val="1"/>
      <w:marLeft w:val="0"/>
      <w:marRight w:val="0"/>
      <w:marTop w:val="0"/>
      <w:marBottom w:val="0"/>
      <w:divBdr>
        <w:top w:val="none" w:sz="0" w:space="0" w:color="auto"/>
        <w:left w:val="none" w:sz="0" w:space="0" w:color="auto"/>
        <w:bottom w:val="none" w:sz="0" w:space="0" w:color="auto"/>
        <w:right w:val="none" w:sz="0" w:space="0" w:color="auto"/>
      </w:divBdr>
      <w:divsChild>
        <w:div w:id="211236513">
          <w:marLeft w:val="360"/>
          <w:marRight w:val="0"/>
          <w:marTop w:val="200"/>
          <w:marBottom w:val="0"/>
          <w:divBdr>
            <w:top w:val="none" w:sz="0" w:space="0" w:color="auto"/>
            <w:left w:val="none" w:sz="0" w:space="0" w:color="auto"/>
            <w:bottom w:val="none" w:sz="0" w:space="0" w:color="auto"/>
            <w:right w:val="none" w:sz="0" w:space="0" w:color="auto"/>
          </w:divBdr>
        </w:div>
        <w:div w:id="1746144562">
          <w:marLeft w:val="360"/>
          <w:marRight w:val="0"/>
          <w:marTop w:val="200"/>
          <w:marBottom w:val="0"/>
          <w:divBdr>
            <w:top w:val="none" w:sz="0" w:space="0" w:color="auto"/>
            <w:left w:val="none" w:sz="0" w:space="0" w:color="auto"/>
            <w:bottom w:val="none" w:sz="0" w:space="0" w:color="auto"/>
            <w:right w:val="none" w:sz="0" w:space="0" w:color="auto"/>
          </w:divBdr>
        </w:div>
      </w:divsChild>
    </w:div>
    <w:div w:id="1359355426">
      <w:bodyDiv w:val="1"/>
      <w:marLeft w:val="0"/>
      <w:marRight w:val="0"/>
      <w:marTop w:val="0"/>
      <w:marBottom w:val="0"/>
      <w:divBdr>
        <w:top w:val="none" w:sz="0" w:space="0" w:color="auto"/>
        <w:left w:val="none" w:sz="0" w:space="0" w:color="auto"/>
        <w:bottom w:val="none" w:sz="0" w:space="0" w:color="auto"/>
        <w:right w:val="none" w:sz="0" w:space="0" w:color="auto"/>
      </w:divBdr>
      <w:divsChild>
        <w:div w:id="1943144430">
          <w:marLeft w:val="1080"/>
          <w:marRight w:val="0"/>
          <w:marTop w:val="100"/>
          <w:marBottom w:val="0"/>
          <w:divBdr>
            <w:top w:val="none" w:sz="0" w:space="0" w:color="auto"/>
            <w:left w:val="none" w:sz="0" w:space="0" w:color="auto"/>
            <w:bottom w:val="none" w:sz="0" w:space="0" w:color="auto"/>
            <w:right w:val="none" w:sz="0" w:space="0" w:color="auto"/>
          </w:divBdr>
        </w:div>
      </w:divsChild>
    </w:div>
    <w:div w:id="1423136721">
      <w:bodyDiv w:val="1"/>
      <w:marLeft w:val="0"/>
      <w:marRight w:val="0"/>
      <w:marTop w:val="0"/>
      <w:marBottom w:val="0"/>
      <w:divBdr>
        <w:top w:val="none" w:sz="0" w:space="0" w:color="auto"/>
        <w:left w:val="none" w:sz="0" w:space="0" w:color="auto"/>
        <w:bottom w:val="none" w:sz="0" w:space="0" w:color="auto"/>
        <w:right w:val="none" w:sz="0" w:space="0" w:color="auto"/>
      </w:divBdr>
    </w:div>
    <w:div w:id="1449662969">
      <w:bodyDiv w:val="1"/>
      <w:marLeft w:val="0"/>
      <w:marRight w:val="0"/>
      <w:marTop w:val="0"/>
      <w:marBottom w:val="0"/>
      <w:divBdr>
        <w:top w:val="none" w:sz="0" w:space="0" w:color="auto"/>
        <w:left w:val="none" w:sz="0" w:space="0" w:color="auto"/>
        <w:bottom w:val="none" w:sz="0" w:space="0" w:color="auto"/>
        <w:right w:val="none" w:sz="0" w:space="0" w:color="auto"/>
      </w:divBdr>
    </w:div>
    <w:div w:id="1469737768">
      <w:bodyDiv w:val="1"/>
      <w:marLeft w:val="0"/>
      <w:marRight w:val="0"/>
      <w:marTop w:val="0"/>
      <w:marBottom w:val="0"/>
      <w:divBdr>
        <w:top w:val="none" w:sz="0" w:space="0" w:color="auto"/>
        <w:left w:val="none" w:sz="0" w:space="0" w:color="auto"/>
        <w:bottom w:val="none" w:sz="0" w:space="0" w:color="auto"/>
        <w:right w:val="none" w:sz="0" w:space="0" w:color="auto"/>
      </w:divBdr>
    </w:div>
    <w:div w:id="1493331113">
      <w:bodyDiv w:val="1"/>
      <w:marLeft w:val="0"/>
      <w:marRight w:val="0"/>
      <w:marTop w:val="0"/>
      <w:marBottom w:val="0"/>
      <w:divBdr>
        <w:top w:val="none" w:sz="0" w:space="0" w:color="auto"/>
        <w:left w:val="none" w:sz="0" w:space="0" w:color="auto"/>
        <w:bottom w:val="none" w:sz="0" w:space="0" w:color="auto"/>
        <w:right w:val="none" w:sz="0" w:space="0" w:color="auto"/>
      </w:divBdr>
    </w:div>
    <w:div w:id="1496148198">
      <w:bodyDiv w:val="1"/>
      <w:marLeft w:val="0"/>
      <w:marRight w:val="0"/>
      <w:marTop w:val="0"/>
      <w:marBottom w:val="0"/>
      <w:divBdr>
        <w:top w:val="none" w:sz="0" w:space="0" w:color="auto"/>
        <w:left w:val="none" w:sz="0" w:space="0" w:color="auto"/>
        <w:bottom w:val="none" w:sz="0" w:space="0" w:color="auto"/>
        <w:right w:val="none" w:sz="0" w:space="0" w:color="auto"/>
      </w:divBdr>
    </w:div>
    <w:div w:id="1499729980">
      <w:bodyDiv w:val="1"/>
      <w:marLeft w:val="0"/>
      <w:marRight w:val="0"/>
      <w:marTop w:val="0"/>
      <w:marBottom w:val="0"/>
      <w:divBdr>
        <w:top w:val="none" w:sz="0" w:space="0" w:color="auto"/>
        <w:left w:val="none" w:sz="0" w:space="0" w:color="auto"/>
        <w:bottom w:val="none" w:sz="0" w:space="0" w:color="auto"/>
        <w:right w:val="none" w:sz="0" w:space="0" w:color="auto"/>
      </w:divBdr>
    </w:div>
    <w:div w:id="1506675114">
      <w:bodyDiv w:val="1"/>
      <w:marLeft w:val="0"/>
      <w:marRight w:val="0"/>
      <w:marTop w:val="0"/>
      <w:marBottom w:val="0"/>
      <w:divBdr>
        <w:top w:val="none" w:sz="0" w:space="0" w:color="auto"/>
        <w:left w:val="none" w:sz="0" w:space="0" w:color="auto"/>
        <w:bottom w:val="none" w:sz="0" w:space="0" w:color="auto"/>
        <w:right w:val="none" w:sz="0" w:space="0" w:color="auto"/>
      </w:divBdr>
    </w:div>
    <w:div w:id="1543514939">
      <w:bodyDiv w:val="1"/>
      <w:marLeft w:val="0"/>
      <w:marRight w:val="0"/>
      <w:marTop w:val="0"/>
      <w:marBottom w:val="0"/>
      <w:divBdr>
        <w:top w:val="none" w:sz="0" w:space="0" w:color="auto"/>
        <w:left w:val="none" w:sz="0" w:space="0" w:color="auto"/>
        <w:bottom w:val="none" w:sz="0" w:space="0" w:color="auto"/>
        <w:right w:val="none" w:sz="0" w:space="0" w:color="auto"/>
      </w:divBdr>
    </w:div>
    <w:div w:id="1553269071">
      <w:bodyDiv w:val="1"/>
      <w:marLeft w:val="0"/>
      <w:marRight w:val="0"/>
      <w:marTop w:val="0"/>
      <w:marBottom w:val="0"/>
      <w:divBdr>
        <w:top w:val="none" w:sz="0" w:space="0" w:color="auto"/>
        <w:left w:val="none" w:sz="0" w:space="0" w:color="auto"/>
        <w:bottom w:val="none" w:sz="0" w:space="0" w:color="auto"/>
        <w:right w:val="none" w:sz="0" w:space="0" w:color="auto"/>
      </w:divBdr>
    </w:div>
    <w:div w:id="1564024517">
      <w:bodyDiv w:val="1"/>
      <w:marLeft w:val="0"/>
      <w:marRight w:val="0"/>
      <w:marTop w:val="0"/>
      <w:marBottom w:val="0"/>
      <w:divBdr>
        <w:top w:val="none" w:sz="0" w:space="0" w:color="auto"/>
        <w:left w:val="none" w:sz="0" w:space="0" w:color="auto"/>
        <w:bottom w:val="none" w:sz="0" w:space="0" w:color="auto"/>
        <w:right w:val="none" w:sz="0" w:space="0" w:color="auto"/>
      </w:divBdr>
    </w:div>
    <w:div w:id="1566604601">
      <w:bodyDiv w:val="1"/>
      <w:marLeft w:val="0"/>
      <w:marRight w:val="0"/>
      <w:marTop w:val="0"/>
      <w:marBottom w:val="0"/>
      <w:divBdr>
        <w:top w:val="none" w:sz="0" w:space="0" w:color="auto"/>
        <w:left w:val="none" w:sz="0" w:space="0" w:color="auto"/>
        <w:bottom w:val="none" w:sz="0" w:space="0" w:color="auto"/>
        <w:right w:val="none" w:sz="0" w:space="0" w:color="auto"/>
      </w:divBdr>
    </w:div>
    <w:div w:id="1578830278">
      <w:bodyDiv w:val="1"/>
      <w:marLeft w:val="0"/>
      <w:marRight w:val="0"/>
      <w:marTop w:val="0"/>
      <w:marBottom w:val="0"/>
      <w:divBdr>
        <w:top w:val="none" w:sz="0" w:space="0" w:color="auto"/>
        <w:left w:val="none" w:sz="0" w:space="0" w:color="auto"/>
        <w:bottom w:val="none" w:sz="0" w:space="0" w:color="auto"/>
        <w:right w:val="none" w:sz="0" w:space="0" w:color="auto"/>
      </w:divBdr>
    </w:div>
    <w:div w:id="1593198024">
      <w:bodyDiv w:val="1"/>
      <w:marLeft w:val="0"/>
      <w:marRight w:val="0"/>
      <w:marTop w:val="0"/>
      <w:marBottom w:val="0"/>
      <w:divBdr>
        <w:top w:val="none" w:sz="0" w:space="0" w:color="auto"/>
        <w:left w:val="none" w:sz="0" w:space="0" w:color="auto"/>
        <w:bottom w:val="none" w:sz="0" w:space="0" w:color="auto"/>
        <w:right w:val="none" w:sz="0" w:space="0" w:color="auto"/>
      </w:divBdr>
    </w:div>
    <w:div w:id="1607543436">
      <w:bodyDiv w:val="1"/>
      <w:marLeft w:val="0"/>
      <w:marRight w:val="0"/>
      <w:marTop w:val="0"/>
      <w:marBottom w:val="0"/>
      <w:divBdr>
        <w:top w:val="none" w:sz="0" w:space="0" w:color="auto"/>
        <w:left w:val="none" w:sz="0" w:space="0" w:color="auto"/>
        <w:bottom w:val="none" w:sz="0" w:space="0" w:color="auto"/>
        <w:right w:val="none" w:sz="0" w:space="0" w:color="auto"/>
      </w:divBdr>
    </w:div>
    <w:div w:id="1696735766">
      <w:bodyDiv w:val="1"/>
      <w:marLeft w:val="0"/>
      <w:marRight w:val="0"/>
      <w:marTop w:val="0"/>
      <w:marBottom w:val="0"/>
      <w:divBdr>
        <w:top w:val="none" w:sz="0" w:space="0" w:color="auto"/>
        <w:left w:val="none" w:sz="0" w:space="0" w:color="auto"/>
        <w:bottom w:val="none" w:sz="0" w:space="0" w:color="auto"/>
        <w:right w:val="none" w:sz="0" w:space="0" w:color="auto"/>
      </w:divBdr>
    </w:div>
    <w:div w:id="1711302736">
      <w:bodyDiv w:val="1"/>
      <w:marLeft w:val="0"/>
      <w:marRight w:val="0"/>
      <w:marTop w:val="0"/>
      <w:marBottom w:val="0"/>
      <w:divBdr>
        <w:top w:val="none" w:sz="0" w:space="0" w:color="auto"/>
        <w:left w:val="none" w:sz="0" w:space="0" w:color="auto"/>
        <w:bottom w:val="none" w:sz="0" w:space="0" w:color="auto"/>
        <w:right w:val="none" w:sz="0" w:space="0" w:color="auto"/>
      </w:divBdr>
    </w:div>
    <w:div w:id="1724213260">
      <w:bodyDiv w:val="1"/>
      <w:marLeft w:val="0"/>
      <w:marRight w:val="0"/>
      <w:marTop w:val="0"/>
      <w:marBottom w:val="0"/>
      <w:divBdr>
        <w:top w:val="none" w:sz="0" w:space="0" w:color="auto"/>
        <w:left w:val="none" w:sz="0" w:space="0" w:color="auto"/>
        <w:bottom w:val="none" w:sz="0" w:space="0" w:color="auto"/>
        <w:right w:val="none" w:sz="0" w:space="0" w:color="auto"/>
      </w:divBdr>
    </w:div>
    <w:div w:id="1736736066">
      <w:bodyDiv w:val="1"/>
      <w:marLeft w:val="0"/>
      <w:marRight w:val="0"/>
      <w:marTop w:val="0"/>
      <w:marBottom w:val="0"/>
      <w:divBdr>
        <w:top w:val="none" w:sz="0" w:space="0" w:color="auto"/>
        <w:left w:val="none" w:sz="0" w:space="0" w:color="auto"/>
        <w:bottom w:val="none" w:sz="0" w:space="0" w:color="auto"/>
        <w:right w:val="none" w:sz="0" w:space="0" w:color="auto"/>
      </w:divBdr>
    </w:div>
    <w:div w:id="1752501417">
      <w:bodyDiv w:val="1"/>
      <w:marLeft w:val="0"/>
      <w:marRight w:val="0"/>
      <w:marTop w:val="0"/>
      <w:marBottom w:val="0"/>
      <w:divBdr>
        <w:top w:val="none" w:sz="0" w:space="0" w:color="auto"/>
        <w:left w:val="none" w:sz="0" w:space="0" w:color="auto"/>
        <w:bottom w:val="none" w:sz="0" w:space="0" w:color="auto"/>
        <w:right w:val="none" w:sz="0" w:space="0" w:color="auto"/>
      </w:divBdr>
    </w:div>
    <w:div w:id="1781800409">
      <w:bodyDiv w:val="1"/>
      <w:marLeft w:val="0"/>
      <w:marRight w:val="0"/>
      <w:marTop w:val="0"/>
      <w:marBottom w:val="0"/>
      <w:divBdr>
        <w:top w:val="none" w:sz="0" w:space="0" w:color="auto"/>
        <w:left w:val="none" w:sz="0" w:space="0" w:color="auto"/>
        <w:bottom w:val="none" w:sz="0" w:space="0" w:color="auto"/>
        <w:right w:val="none" w:sz="0" w:space="0" w:color="auto"/>
      </w:divBdr>
    </w:div>
    <w:div w:id="1790733759">
      <w:bodyDiv w:val="1"/>
      <w:marLeft w:val="0"/>
      <w:marRight w:val="0"/>
      <w:marTop w:val="0"/>
      <w:marBottom w:val="0"/>
      <w:divBdr>
        <w:top w:val="none" w:sz="0" w:space="0" w:color="auto"/>
        <w:left w:val="none" w:sz="0" w:space="0" w:color="auto"/>
        <w:bottom w:val="none" w:sz="0" w:space="0" w:color="auto"/>
        <w:right w:val="none" w:sz="0" w:space="0" w:color="auto"/>
      </w:divBdr>
    </w:div>
    <w:div w:id="1800495402">
      <w:bodyDiv w:val="1"/>
      <w:marLeft w:val="0"/>
      <w:marRight w:val="0"/>
      <w:marTop w:val="0"/>
      <w:marBottom w:val="0"/>
      <w:divBdr>
        <w:top w:val="none" w:sz="0" w:space="0" w:color="auto"/>
        <w:left w:val="none" w:sz="0" w:space="0" w:color="auto"/>
        <w:bottom w:val="none" w:sz="0" w:space="0" w:color="auto"/>
        <w:right w:val="none" w:sz="0" w:space="0" w:color="auto"/>
      </w:divBdr>
    </w:div>
    <w:div w:id="1812401408">
      <w:bodyDiv w:val="1"/>
      <w:marLeft w:val="0"/>
      <w:marRight w:val="0"/>
      <w:marTop w:val="0"/>
      <w:marBottom w:val="0"/>
      <w:divBdr>
        <w:top w:val="none" w:sz="0" w:space="0" w:color="auto"/>
        <w:left w:val="none" w:sz="0" w:space="0" w:color="auto"/>
        <w:bottom w:val="none" w:sz="0" w:space="0" w:color="auto"/>
        <w:right w:val="none" w:sz="0" w:space="0" w:color="auto"/>
      </w:divBdr>
    </w:div>
    <w:div w:id="1837066349">
      <w:bodyDiv w:val="1"/>
      <w:marLeft w:val="0"/>
      <w:marRight w:val="0"/>
      <w:marTop w:val="0"/>
      <w:marBottom w:val="0"/>
      <w:divBdr>
        <w:top w:val="none" w:sz="0" w:space="0" w:color="auto"/>
        <w:left w:val="none" w:sz="0" w:space="0" w:color="auto"/>
        <w:bottom w:val="none" w:sz="0" w:space="0" w:color="auto"/>
        <w:right w:val="none" w:sz="0" w:space="0" w:color="auto"/>
      </w:divBdr>
    </w:div>
    <w:div w:id="1845897349">
      <w:bodyDiv w:val="1"/>
      <w:marLeft w:val="0"/>
      <w:marRight w:val="0"/>
      <w:marTop w:val="0"/>
      <w:marBottom w:val="0"/>
      <w:divBdr>
        <w:top w:val="none" w:sz="0" w:space="0" w:color="auto"/>
        <w:left w:val="none" w:sz="0" w:space="0" w:color="auto"/>
        <w:bottom w:val="none" w:sz="0" w:space="0" w:color="auto"/>
        <w:right w:val="none" w:sz="0" w:space="0" w:color="auto"/>
      </w:divBdr>
    </w:div>
    <w:div w:id="1856729247">
      <w:bodyDiv w:val="1"/>
      <w:marLeft w:val="0"/>
      <w:marRight w:val="0"/>
      <w:marTop w:val="0"/>
      <w:marBottom w:val="0"/>
      <w:divBdr>
        <w:top w:val="none" w:sz="0" w:space="0" w:color="auto"/>
        <w:left w:val="none" w:sz="0" w:space="0" w:color="auto"/>
        <w:bottom w:val="none" w:sz="0" w:space="0" w:color="auto"/>
        <w:right w:val="none" w:sz="0" w:space="0" w:color="auto"/>
      </w:divBdr>
      <w:divsChild>
        <w:div w:id="1034770765">
          <w:marLeft w:val="547"/>
          <w:marRight w:val="0"/>
          <w:marTop w:val="0"/>
          <w:marBottom w:val="0"/>
          <w:divBdr>
            <w:top w:val="none" w:sz="0" w:space="0" w:color="auto"/>
            <w:left w:val="none" w:sz="0" w:space="0" w:color="auto"/>
            <w:bottom w:val="none" w:sz="0" w:space="0" w:color="auto"/>
            <w:right w:val="none" w:sz="0" w:space="0" w:color="auto"/>
          </w:divBdr>
        </w:div>
      </w:divsChild>
    </w:div>
    <w:div w:id="1876573166">
      <w:bodyDiv w:val="1"/>
      <w:marLeft w:val="0"/>
      <w:marRight w:val="0"/>
      <w:marTop w:val="0"/>
      <w:marBottom w:val="0"/>
      <w:divBdr>
        <w:top w:val="none" w:sz="0" w:space="0" w:color="auto"/>
        <w:left w:val="none" w:sz="0" w:space="0" w:color="auto"/>
        <w:bottom w:val="none" w:sz="0" w:space="0" w:color="auto"/>
        <w:right w:val="none" w:sz="0" w:space="0" w:color="auto"/>
      </w:divBdr>
    </w:div>
    <w:div w:id="1911966013">
      <w:bodyDiv w:val="1"/>
      <w:marLeft w:val="0"/>
      <w:marRight w:val="0"/>
      <w:marTop w:val="0"/>
      <w:marBottom w:val="0"/>
      <w:divBdr>
        <w:top w:val="none" w:sz="0" w:space="0" w:color="auto"/>
        <w:left w:val="none" w:sz="0" w:space="0" w:color="auto"/>
        <w:bottom w:val="none" w:sz="0" w:space="0" w:color="auto"/>
        <w:right w:val="none" w:sz="0" w:space="0" w:color="auto"/>
      </w:divBdr>
    </w:div>
    <w:div w:id="1913540686">
      <w:bodyDiv w:val="1"/>
      <w:marLeft w:val="0"/>
      <w:marRight w:val="0"/>
      <w:marTop w:val="0"/>
      <w:marBottom w:val="0"/>
      <w:divBdr>
        <w:top w:val="none" w:sz="0" w:space="0" w:color="auto"/>
        <w:left w:val="none" w:sz="0" w:space="0" w:color="auto"/>
        <w:bottom w:val="none" w:sz="0" w:space="0" w:color="auto"/>
        <w:right w:val="none" w:sz="0" w:space="0" w:color="auto"/>
      </w:divBdr>
    </w:div>
    <w:div w:id="1925140997">
      <w:bodyDiv w:val="1"/>
      <w:marLeft w:val="0"/>
      <w:marRight w:val="0"/>
      <w:marTop w:val="0"/>
      <w:marBottom w:val="0"/>
      <w:divBdr>
        <w:top w:val="none" w:sz="0" w:space="0" w:color="auto"/>
        <w:left w:val="none" w:sz="0" w:space="0" w:color="auto"/>
        <w:bottom w:val="none" w:sz="0" w:space="0" w:color="auto"/>
        <w:right w:val="none" w:sz="0" w:space="0" w:color="auto"/>
      </w:divBdr>
    </w:div>
    <w:div w:id="1941600492">
      <w:bodyDiv w:val="1"/>
      <w:marLeft w:val="0"/>
      <w:marRight w:val="0"/>
      <w:marTop w:val="0"/>
      <w:marBottom w:val="0"/>
      <w:divBdr>
        <w:top w:val="none" w:sz="0" w:space="0" w:color="auto"/>
        <w:left w:val="none" w:sz="0" w:space="0" w:color="auto"/>
        <w:bottom w:val="none" w:sz="0" w:space="0" w:color="auto"/>
        <w:right w:val="none" w:sz="0" w:space="0" w:color="auto"/>
      </w:divBdr>
    </w:div>
    <w:div w:id="1943225032">
      <w:bodyDiv w:val="1"/>
      <w:marLeft w:val="0"/>
      <w:marRight w:val="0"/>
      <w:marTop w:val="0"/>
      <w:marBottom w:val="0"/>
      <w:divBdr>
        <w:top w:val="none" w:sz="0" w:space="0" w:color="auto"/>
        <w:left w:val="none" w:sz="0" w:space="0" w:color="auto"/>
        <w:bottom w:val="none" w:sz="0" w:space="0" w:color="auto"/>
        <w:right w:val="none" w:sz="0" w:space="0" w:color="auto"/>
      </w:divBdr>
    </w:div>
    <w:div w:id="1951357779">
      <w:bodyDiv w:val="1"/>
      <w:marLeft w:val="0"/>
      <w:marRight w:val="0"/>
      <w:marTop w:val="0"/>
      <w:marBottom w:val="0"/>
      <w:divBdr>
        <w:top w:val="none" w:sz="0" w:space="0" w:color="auto"/>
        <w:left w:val="none" w:sz="0" w:space="0" w:color="auto"/>
        <w:bottom w:val="none" w:sz="0" w:space="0" w:color="auto"/>
        <w:right w:val="none" w:sz="0" w:space="0" w:color="auto"/>
      </w:divBdr>
      <w:divsChild>
        <w:div w:id="1059593721">
          <w:marLeft w:val="547"/>
          <w:marRight w:val="0"/>
          <w:marTop w:val="0"/>
          <w:marBottom w:val="0"/>
          <w:divBdr>
            <w:top w:val="none" w:sz="0" w:space="0" w:color="auto"/>
            <w:left w:val="none" w:sz="0" w:space="0" w:color="auto"/>
            <w:bottom w:val="none" w:sz="0" w:space="0" w:color="auto"/>
            <w:right w:val="none" w:sz="0" w:space="0" w:color="auto"/>
          </w:divBdr>
        </w:div>
      </w:divsChild>
    </w:div>
    <w:div w:id="1998414971">
      <w:bodyDiv w:val="1"/>
      <w:marLeft w:val="0"/>
      <w:marRight w:val="0"/>
      <w:marTop w:val="0"/>
      <w:marBottom w:val="0"/>
      <w:divBdr>
        <w:top w:val="none" w:sz="0" w:space="0" w:color="auto"/>
        <w:left w:val="none" w:sz="0" w:space="0" w:color="auto"/>
        <w:bottom w:val="none" w:sz="0" w:space="0" w:color="auto"/>
        <w:right w:val="none" w:sz="0" w:space="0" w:color="auto"/>
      </w:divBdr>
    </w:div>
    <w:div w:id="2002000841">
      <w:bodyDiv w:val="1"/>
      <w:marLeft w:val="0"/>
      <w:marRight w:val="0"/>
      <w:marTop w:val="0"/>
      <w:marBottom w:val="0"/>
      <w:divBdr>
        <w:top w:val="none" w:sz="0" w:space="0" w:color="auto"/>
        <w:left w:val="none" w:sz="0" w:space="0" w:color="auto"/>
        <w:bottom w:val="none" w:sz="0" w:space="0" w:color="auto"/>
        <w:right w:val="none" w:sz="0" w:space="0" w:color="auto"/>
      </w:divBdr>
    </w:div>
    <w:div w:id="2003659688">
      <w:bodyDiv w:val="1"/>
      <w:marLeft w:val="0"/>
      <w:marRight w:val="0"/>
      <w:marTop w:val="0"/>
      <w:marBottom w:val="0"/>
      <w:divBdr>
        <w:top w:val="none" w:sz="0" w:space="0" w:color="auto"/>
        <w:left w:val="none" w:sz="0" w:space="0" w:color="auto"/>
        <w:bottom w:val="none" w:sz="0" w:space="0" w:color="auto"/>
        <w:right w:val="none" w:sz="0" w:space="0" w:color="auto"/>
      </w:divBdr>
    </w:div>
    <w:div w:id="2012751081">
      <w:bodyDiv w:val="1"/>
      <w:marLeft w:val="0"/>
      <w:marRight w:val="0"/>
      <w:marTop w:val="0"/>
      <w:marBottom w:val="0"/>
      <w:divBdr>
        <w:top w:val="none" w:sz="0" w:space="0" w:color="auto"/>
        <w:left w:val="none" w:sz="0" w:space="0" w:color="auto"/>
        <w:bottom w:val="none" w:sz="0" w:space="0" w:color="auto"/>
        <w:right w:val="none" w:sz="0" w:space="0" w:color="auto"/>
      </w:divBdr>
    </w:div>
    <w:div w:id="2042590244">
      <w:bodyDiv w:val="1"/>
      <w:marLeft w:val="0"/>
      <w:marRight w:val="0"/>
      <w:marTop w:val="0"/>
      <w:marBottom w:val="0"/>
      <w:divBdr>
        <w:top w:val="none" w:sz="0" w:space="0" w:color="auto"/>
        <w:left w:val="none" w:sz="0" w:space="0" w:color="auto"/>
        <w:bottom w:val="none" w:sz="0" w:space="0" w:color="auto"/>
        <w:right w:val="none" w:sz="0" w:space="0" w:color="auto"/>
      </w:divBdr>
    </w:div>
    <w:div w:id="2052608748">
      <w:bodyDiv w:val="1"/>
      <w:marLeft w:val="0"/>
      <w:marRight w:val="0"/>
      <w:marTop w:val="0"/>
      <w:marBottom w:val="0"/>
      <w:divBdr>
        <w:top w:val="none" w:sz="0" w:space="0" w:color="auto"/>
        <w:left w:val="none" w:sz="0" w:space="0" w:color="auto"/>
        <w:bottom w:val="none" w:sz="0" w:space="0" w:color="auto"/>
        <w:right w:val="none" w:sz="0" w:space="0" w:color="auto"/>
      </w:divBdr>
      <w:divsChild>
        <w:div w:id="41373671">
          <w:marLeft w:val="1080"/>
          <w:marRight w:val="0"/>
          <w:marTop w:val="100"/>
          <w:marBottom w:val="0"/>
          <w:divBdr>
            <w:top w:val="none" w:sz="0" w:space="0" w:color="auto"/>
            <w:left w:val="none" w:sz="0" w:space="0" w:color="auto"/>
            <w:bottom w:val="none" w:sz="0" w:space="0" w:color="auto"/>
            <w:right w:val="none" w:sz="0" w:space="0" w:color="auto"/>
          </w:divBdr>
        </w:div>
      </w:divsChild>
    </w:div>
    <w:div w:id="2088265300">
      <w:bodyDiv w:val="1"/>
      <w:marLeft w:val="0"/>
      <w:marRight w:val="0"/>
      <w:marTop w:val="0"/>
      <w:marBottom w:val="0"/>
      <w:divBdr>
        <w:top w:val="none" w:sz="0" w:space="0" w:color="auto"/>
        <w:left w:val="none" w:sz="0" w:space="0" w:color="auto"/>
        <w:bottom w:val="none" w:sz="0" w:space="0" w:color="auto"/>
        <w:right w:val="none" w:sz="0" w:space="0" w:color="auto"/>
      </w:divBdr>
    </w:div>
    <w:div w:id="2119909033">
      <w:bodyDiv w:val="1"/>
      <w:marLeft w:val="0"/>
      <w:marRight w:val="0"/>
      <w:marTop w:val="0"/>
      <w:marBottom w:val="0"/>
      <w:divBdr>
        <w:top w:val="none" w:sz="0" w:space="0" w:color="auto"/>
        <w:left w:val="none" w:sz="0" w:space="0" w:color="auto"/>
        <w:bottom w:val="none" w:sz="0" w:space="0" w:color="auto"/>
        <w:right w:val="none" w:sz="0" w:space="0" w:color="auto"/>
      </w:divBdr>
    </w:div>
    <w:div w:id="2126610370">
      <w:bodyDiv w:val="1"/>
      <w:marLeft w:val="0"/>
      <w:marRight w:val="0"/>
      <w:marTop w:val="0"/>
      <w:marBottom w:val="0"/>
      <w:divBdr>
        <w:top w:val="none" w:sz="0" w:space="0" w:color="auto"/>
        <w:left w:val="none" w:sz="0" w:space="0" w:color="auto"/>
        <w:bottom w:val="none" w:sz="0" w:space="0" w:color="auto"/>
        <w:right w:val="none" w:sz="0" w:space="0" w:color="auto"/>
      </w:divBdr>
    </w:div>
    <w:div w:id="214291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image" Target="media/image8.png"/><Relationship Id="rId21" Type="http://schemas.openxmlformats.org/officeDocument/2006/relationships/chart" Target="charts/chart12.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image" Target="media/image7.emf"/><Relationship Id="rId68" Type="http://schemas.openxmlformats.org/officeDocument/2006/relationships/chart" Target="charts/chart54.xml"/><Relationship Id="rId84" Type="http://schemas.openxmlformats.org/officeDocument/2006/relationships/chart" Target="charts/chart67.xml"/><Relationship Id="rId89" Type="http://schemas.openxmlformats.org/officeDocument/2006/relationships/chart" Target="charts/chart72.xml"/><Relationship Id="rId112" Type="http://schemas.openxmlformats.org/officeDocument/2006/relationships/chart" Target="charts/chart95.xml"/><Relationship Id="rId16" Type="http://schemas.openxmlformats.org/officeDocument/2006/relationships/chart" Target="charts/chart7.xml"/><Relationship Id="rId107" Type="http://schemas.openxmlformats.org/officeDocument/2006/relationships/chart" Target="charts/chart90.xml"/><Relationship Id="rId11" Type="http://schemas.openxmlformats.org/officeDocument/2006/relationships/chart" Target="charts/chart2.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chart" Target="charts/chart47.xml"/><Relationship Id="rId74" Type="http://schemas.openxmlformats.org/officeDocument/2006/relationships/chart" Target="charts/chart60.xml"/><Relationship Id="rId79" Type="http://schemas.openxmlformats.org/officeDocument/2006/relationships/chart" Target="charts/chart65.xml"/><Relationship Id="rId102" Type="http://schemas.openxmlformats.org/officeDocument/2006/relationships/chart" Target="charts/chart85.xml"/><Relationship Id="rId123"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chart" Target="charts/chart73.xml"/><Relationship Id="rId95" Type="http://schemas.openxmlformats.org/officeDocument/2006/relationships/chart" Target="charts/chart78.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3.xml"/><Relationship Id="rId48" Type="http://schemas.openxmlformats.org/officeDocument/2006/relationships/chart" Target="charts/chart38.xml"/><Relationship Id="rId64" Type="http://schemas.openxmlformats.org/officeDocument/2006/relationships/chart" Target="charts/chart50.xml"/><Relationship Id="rId69" Type="http://schemas.openxmlformats.org/officeDocument/2006/relationships/chart" Target="charts/chart55.xml"/><Relationship Id="rId113" Type="http://schemas.openxmlformats.org/officeDocument/2006/relationships/chart" Target="charts/chart96.xml"/><Relationship Id="rId118" Type="http://schemas.openxmlformats.org/officeDocument/2006/relationships/chart" Target="charts/chart100.xml"/><Relationship Id="rId80" Type="http://schemas.openxmlformats.org/officeDocument/2006/relationships/chart" Target="charts/chart66.xml"/><Relationship Id="rId85" Type="http://schemas.openxmlformats.org/officeDocument/2006/relationships/chart" Target="charts/chart68.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chart" Target="charts/chart23.xml"/><Relationship Id="rId38" Type="http://schemas.openxmlformats.org/officeDocument/2006/relationships/chart" Target="charts/chart28.xml"/><Relationship Id="rId59" Type="http://schemas.openxmlformats.org/officeDocument/2006/relationships/chart" Target="charts/chart48.xml"/><Relationship Id="rId103" Type="http://schemas.openxmlformats.org/officeDocument/2006/relationships/chart" Target="charts/chart86.xml"/><Relationship Id="rId108" Type="http://schemas.openxmlformats.org/officeDocument/2006/relationships/chart" Target="charts/chart91.xml"/><Relationship Id="rId124" Type="http://schemas.openxmlformats.org/officeDocument/2006/relationships/fontTable" Target="fontTable.xml"/><Relationship Id="rId54" Type="http://schemas.openxmlformats.org/officeDocument/2006/relationships/image" Target="media/image4.emf"/><Relationship Id="rId70" Type="http://schemas.openxmlformats.org/officeDocument/2006/relationships/chart" Target="charts/chart56.xml"/><Relationship Id="rId75" Type="http://schemas.openxmlformats.org/officeDocument/2006/relationships/chart" Target="charts/chart61.xml"/><Relationship Id="rId91" Type="http://schemas.openxmlformats.org/officeDocument/2006/relationships/chart" Target="charts/chart74.xml"/><Relationship Id="rId96" Type="http://schemas.openxmlformats.org/officeDocument/2006/relationships/chart" Target="charts/chart7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4.xml"/><Relationship Id="rId28" Type="http://schemas.openxmlformats.org/officeDocument/2006/relationships/image" Target="media/image3.png"/><Relationship Id="rId49" Type="http://schemas.openxmlformats.org/officeDocument/2006/relationships/chart" Target="charts/chart39.xml"/><Relationship Id="rId114" Type="http://schemas.openxmlformats.org/officeDocument/2006/relationships/chart" Target="charts/chart97.xml"/><Relationship Id="rId119" Type="http://schemas.openxmlformats.org/officeDocument/2006/relationships/chart" Target="charts/chart101.xml"/><Relationship Id="rId44" Type="http://schemas.openxmlformats.org/officeDocument/2006/relationships/chart" Target="charts/chart34.xml"/><Relationship Id="rId60" Type="http://schemas.openxmlformats.org/officeDocument/2006/relationships/image" Target="media/image5.emf"/><Relationship Id="rId65" Type="http://schemas.openxmlformats.org/officeDocument/2006/relationships/chart" Target="charts/chart51.xml"/><Relationship Id="rId81" Type="http://schemas.openxmlformats.org/officeDocument/2006/relationships/header" Target="header1.xml"/><Relationship Id="rId86" Type="http://schemas.openxmlformats.org/officeDocument/2006/relationships/chart" Target="charts/chart69.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9.xml"/><Relationship Id="rId109" Type="http://schemas.openxmlformats.org/officeDocument/2006/relationships/chart" Target="charts/chart92.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4.xml"/><Relationship Id="rId76" Type="http://schemas.openxmlformats.org/officeDocument/2006/relationships/chart" Target="charts/chart62.xml"/><Relationship Id="rId97" Type="http://schemas.openxmlformats.org/officeDocument/2006/relationships/chart" Target="charts/chart80.xml"/><Relationship Id="rId104" Type="http://schemas.openxmlformats.org/officeDocument/2006/relationships/chart" Target="charts/chart87.xml"/><Relationship Id="rId120" Type="http://schemas.openxmlformats.org/officeDocument/2006/relationships/chart" Target="charts/chart102.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7.xml"/><Relationship Id="rId92" Type="http://schemas.openxmlformats.org/officeDocument/2006/relationships/chart" Target="charts/chart75.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5.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2.xml"/><Relationship Id="rId87" Type="http://schemas.openxmlformats.org/officeDocument/2006/relationships/chart" Target="charts/chart70.xml"/><Relationship Id="rId110" Type="http://schemas.openxmlformats.org/officeDocument/2006/relationships/chart" Target="charts/chart93.xml"/><Relationship Id="rId115" Type="http://schemas.openxmlformats.org/officeDocument/2006/relationships/chart" Target="charts/chart98.xml"/><Relationship Id="rId61" Type="http://schemas.openxmlformats.org/officeDocument/2006/relationships/chart" Target="charts/chart49.xml"/><Relationship Id="rId82" Type="http://schemas.openxmlformats.org/officeDocument/2006/relationships/footer" Target="footer1.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0.xml"/><Relationship Id="rId35" Type="http://schemas.openxmlformats.org/officeDocument/2006/relationships/chart" Target="charts/chart25.xml"/><Relationship Id="rId56" Type="http://schemas.openxmlformats.org/officeDocument/2006/relationships/chart" Target="charts/chart45.xml"/><Relationship Id="rId77" Type="http://schemas.openxmlformats.org/officeDocument/2006/relationships/chart" Target="charts/chart63.xml"/><Relationship Id="rId100" Type="http://schemas.openxmlformats.org/officeDocument/2006/relationships/chart" Target="charts/chart83.xml"/><Relationship Id="rId105" Type="http://schemas.openxmlformats.org/officeDocument/2006/relationships/chart" Target="charts/chart88.xml"/><Relationship Id="rId8" Type="http://schemas.openxmlformats.org/officeDocument/2006/relationships/image" Target="media/image1.png"/><Relationship Id="rId51" Type="http://schemas.openxmlformats.org/officeDocument/2006/relationships/chart" Target="charts/chart41.xml"/><Relationship Id="rId72" Type="http://schemas.openxmlformats.org/officeDocument/2006/relationships/chart" Target="charts/chart58.xml"/><Relationship Id="rId93" Type="http://schemas.openxmlformats.org/officeDocument/2006/relationships/chart" Target="charts/chart76.xml"/><Relationship Id="rId98" Type="http://schemas.openxmlformats.org/officeDocument/2006/relationships/chart" Target="charts/chart81.xml"/><Relationship Id="rId121" Type="http://schemas.openxmlformats.org/officeDocument/2006/relationships/chart" Target="charts/chart103.xml"/><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chart" Target="charts/chart36.xml"/><Relationship Id="rId67" Type="http://schemas.openxmlformats.org/officeDocument/2006/relationships/chart" Target="charts/chart53.xml"/><Relationship Id="rId116" Type="http://schemas.openxmlformats.org/officeDocument/2006/relationships/chart" Target="charts/chart99.xml"/><Relationship Id="rId20" Type="http://schemas.openxmlformats.org/officeDocument/2006/relationships/chart" Target="charts/chart11.xml"/><Relationship Id="rId41" Type="http://schemas.openxmlformats.org/officeDocument/2006/relationships/chart" Target="charts/chart31.xml"/><Relationship Id="rId62" Type="http://schemas.openxmlformats.org/officeDocument/2006/relationships/image" Target="media/image6.emf"/><Relationship Id="rId83" Type="http://schemas.openxmlformats.org/officeDocument/2006/relationships/footer" Target="footer2.xml"/><Relationship Id="rId88" Type="http://schemas.openxmlformats.org/officeDocument/2006/relationships/chart" Target="charts/chart71.xml"/><Relationship Id="rId111" Type="http://schemas.openxmlformats.org/officeDocument/2006/relationships/chart" Target="charts/chart94.xml"/><Relationship Id="rId15" Type="http://schemas.openxmlformats.org/officeDocument/2006/relationships/chart" Target="charts/chart6.xml"/><Relationship Id="rId36" Type="http://schemas.openxmlformats.org/officeDocument/2006/relationships/chart" Target="charts/chart26.xml"/><Relationship Id="rId57" Type="http://schemas.openxmlformats.org/officeDocument/2006/relationships/chart" Target="charts/chart46.xml"/><Relationship Id="rId106" Type="http://schemas.openxmlformats.org/officeDocument/2006/relationships/chart" Target="charts/chart89.xml"/><Relationship Id="rId10" Type="http://schemas.openxmlformats.org/officeDocument/2006/relationships/image" Target="media/image2.png"/><Relationship Id="rId31" Type="http://schemas.openxmlformats.org/officeDocument/2006/relationships/chart" Target="charts/chart21.xml"/><Relationship Id="rId52" Type="http://schemas.openxmlformats.org/officeDocument/2006/relationships/chart" Target="charts/chart42.xml"/><Relationship Id="rId73" Type="http://schemas.openxmlformats.org/officeDocument/2006/relationships/chart" Target="charts/chart59.xml"/><Relationship Id="rId78" Type="http://schemas.openxmlformats.org/officeDocument/2006/relationships/chart" Target="charts/chart64.xml"/><Relationship Id="rId94" Type="http://schemas.openxmlformats.org/officeDocument/2006/relationships/chart" Target="charts/chart77.xml"/><Relationship Id="rId99" Type="http://schemas.openxmlformats.org/officeDocument/2006/relationships/chart" Target="charts/chart82.xml"/><Relationship Id="rId101" Type="http://schemas.openxmlformats.org/officeDocument/2006/relationships/chart" Target="charts/chart84.xml"/><Relationship Id="rId12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0cf8be92562e6368/DAPF/A&#241;os%20de%20Trabajo/2022/Riesgos%20Fiscales/DESVIACIONES%20MACROECONOMICAS%202da%20revision.xlsx" TargetMode="Externa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101.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84.xml"/><Relationship Id="rId1" Type="http://schemas.microsoft.com/office/2011/relationships/chartStyle" Target="style84.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kfdiaz\AppData\Local\Microsoft\Windows\INetCache\Content.Outlook\YXLLVX3W\Libro3.xlsx" TargetMode="External"/><Relationship Id="rId2" Type="http://schemas.microsoft.com/office/2011/relationships/chartColorStyle" Target="colors85.xml"/><Relationship Id="rId1" Type="http://schemas.microsoft.com/office/2011/relationships/chartStyle" Target="style85.xml"/></Relationships>
</file>

<file path=word/charts/_rels/chart10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86.xml"/><Relationship Id="rId1" Type="http://schemas.microsoft.com/office/2011/relationships/chartStyle" Target="style86.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d.docs.live.net/0cf8be92562e6368/DAPF/A&#241;os%20de%20Trabajo/2022/Riesgos%20Fiscales/DESVIACIONES%20MACROECONOMICAS%202da%20revision.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psantizo\Documents\Documentos%202022\MFMP\Fanchart%20202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d.docs.live.net/0cf8be92562e6368/DAPF/A&#241;os%20de%20Trabajo/2022/Riesgos%20Fiscales/DESVIACIONES%20MACROECONOMICAS%202da%20revision.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d.docs.live.net/0cf8be92562e6368/DAPF/A&#241;os%20de%20Trabajo/2022/Riesgos%20Fiscales/DESVIACIONES%20MACROECONOMICAS%202da%20revision.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3.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psantizo\Desktop\Carpetas\Consumo%20de%20gasolinas\Modelo%20Trimestral%20gasolinas%20EI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legre\Documents\MINFIN\riesgo_fiscal_sonia\riesgo_fiscal_graph.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santizo\Desktop\Carpetas\Consumo%20de%20gasolinas\Modelo%20Trimestral%20gasolinas%20EIA.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santizo\Desktop\Carpetas\Consumo%20de%20gasolinas\Modelo%20Trimestral%20gasolinas%20EI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santizo\Desktop\Carpetas\Consumo%20de%20gasolinas\Modelo%20Trimestral%20gasolinas%20EI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santizo\Desktop\Carpetas\Consumo%20de%20gasolinas\Modelo%20Trimestral%20gasolinas%20EI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santizo\Desktop\Carpetas\Consumo%20de%20gasolinas\Modelo%20Trimestral%20gasolinas%20EI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santizo\Desktop\Carpetas\Consumo%20de%20gasolinas\Modelo%20Trimestral%20gasolinas%20EI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santizo\Desktop\Carpetas\Consumo%20de%20gasolinas\Modelo%20Trimestral%20gasolinas%20EIA.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santizo\Desktop\Carpetas\Comercio_exterior\Comercio%20base%20de%20datos%20BM\Comercio%20exterior%20GASOLINA%20Y%20DIESEL.xlsx" TargetMode="External"/><Relationship Id="rId2" Type="http://schemas.microsoft.com/office/2011/relationships/chartColorStyle" Target="colors18.xml"/><Relationship Id="rId1" Type="http://schemas.microsoft.com/office/2011/relationships/chartStyle" Target="style18.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santizo\Desktop\Carpetas\Comercio_exterior\Comercio%20base%20de%20datos%20BM\Comercio%20exterior%20GASOLINA%20Y%20DIESEL.xlsx" TargetMode="External"/><Relationship Id="rId2" Type="http://schemas.microsoft.com/office/2011/relationships/chartColorStyle" Target="colors19.xml"/><Relationship Id="rId1" Type="http://schemas.microsoft.com/office/2011/relationships/chartStyle" Target="style19.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santizo\Documents\Documentos%202022\Our_world\stringency%20index.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legre\Documents\MINFIN\riesgo_fiscal_sonia\informe\riesgo_fiscal_graph.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psantizo\Documents\Documentos%202022\Our_world\stringency%20index.xlsx" TargetMode="External"/><Relationship Id="rId2" Type="http://schemas.microsoft.com/office/2011/relationships/chartColorStyle" Target="colors21.xml"/><Relationship Id="rId1" Type="http://schemas.microsoft.com/office/2011/relationships/chartStyle" Target="style21.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psantizo\Documents\Documentos%202022\Our_world\stringency%20index.xlsx" TargetMode="External"/><Relationship Id="rId2" Type="http://schemas.microsoft.com/office/2011/relationships/chartColorStyle" Target="colors22.xml"/><Relationship Id="rId1" Type="http://schemas.microsoft.com/office/2011/relationships/chartStyle" Target="style22.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psantizo\Documents\Documentos%202022\Our_world\stringency%20index.xlsx" TargetMode="External"/><Relationship Id="rId2" Type="http://schemas.microsoft.com/office/2011/relationships/chartColorStyle" Target="colors23.xml"/><Relationship Id="rId1" Type="http://schemas.microsoft.com/office/2011/relationships/chartStyle" Target="style23.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psantizo\Desktop\Carpetas\Riesgos\Riesgos%202022\COVID\Escenarios%20de%20Riesgos%20COVID%202022.xlsx" TargetMode="External"/><Relationship Id="rId2" Type="http://schemas.microsoft.com/office/2011/relationships/chartColorStyle" Target="colors24.xml"/><Relationship Id="rId1" Type="http://schemas.microsoft.com/office/2011/relationships/chartStyle" Target="style24.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santizo\Desktop\Carpetas\Riesgos\Riesgos%202022\COVID\Escenarios%20de%20Riesgos%20COVID%202022.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C:\Users\psantizo\Desktop\Carpetas\Riesgos\Riesgos%202022\COVID\Escenarios%20de%20Riesgos%20COVID%202022.xlsx" TargetMode="External"/><Relationship Id="rId2" Type="http://schemas.microsoft.com/office/2011/relationships/chartColorStyle" Target="colors25.xml"/><Relationship Id="rId1" Type="http://schemas.microsoft.com/office/2011/relationships/chartStyle" Target="style2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1.xml"/><Relationship Id="rId4"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psantizo\Desktop\Carpetas\ASD%20tropicalizado\Reporte%20ASD\ASD%202022%20vigente%20presupuesto.xlsm"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file:///C:\Users\psantizo\Desktop\Carpetas\ASD%20tropicalizado\Reporte%20ASD\ASD%202022%20vigente%20presupuesto.xlsm" TargetMode="External"/><Relationship Id="rId1" Type="http://schemas.openxmlformats.org/officeDocument/2006/relationships/themeOverride" Target="../theme/themeOverride19.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psantizo\Desktop\Carpetas\ASD%20tropicalizado\Reporte%20ASD\ASD%202022%20vigente%20presupuesto.xlsm"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DELL\Documents\MINFIN\riesgo_fiscal\informe\riesgo_fiscal_graph.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psantizo\Desktop\Carpetas\ASD%20tropicalizado\Reporte%20ASD\ASD%202022%20vigente%20presupuesto.xlsm" TargetMode="External"/><Relationship Id="rId1" Type="http://schemas.openxmlformats.org/officeDocument/2006/relationships/themeOverride" Target="../theme/themeOverride21.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psantizo\Desktop\Carpetas\ASD%20tropicalizado\Reporte%20ASD\ASD%202022%20vigente%20presupuesto.xlsm"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psantizo\Desktop\Carpetas\ASD%20tropicalizado\Reporte%20ASD\ASD%202022%20vigente%20presupuesto.xlsm"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psantizo\Desktop\Carpetas\ASD%20tropicalizado\Reporte%20ASD\ASD%202022%20vigente%20presupuesto.xlsm"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psantizo\Desktop\Carpetas\ASD%20tropicalizado\Reporte%20ASD\ASD%202022%20vigente%20presupuesto.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psantizo\Desktop\Carpetas\ASD%20tropicalizado\Reporte%20ASD\ASD%202022%20vigente%20presupuesto.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psantizo\Desktop\Carpetas\ASD%20tropicalizado\Reporte%20ASD\ASD%202022%20vigente%20presupuesto.xlsm"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C:\Users\psantizo\Desktop\Carpetas\ASD%20tropicalizado\Reporte%20ASD\ASD%202022%20vigente%20presupuesto.xlsm" TargetMode="External"/><Relationship Id="rId2" Type="http://schemas.microsoft.com/office/2011/relationships/chartColorStyle" Target="colors34.xml"/><Relationship Id="rId1" Type="http://schemas.microsoft.com/office/2011/relationships/chartStyle" Target="style34.xml"/></Relationships>
</file>

<file path=word/charts/_rels/chart4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2.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psantizo\Desktop\Carpetas\ASD%20tropicalizado\Reporte%20ASD\ASD%202022%20vigente%20presupuesto.xlsm" TargetMode="External"/><Relationship Id="rId2" Type="http://schemas.microsoft.com/office/2011/relationships/chartColorStyle" Target="colors36.xml"/><Relationship Id="rId1" Type="http://schemas.microsoft.com/office/2011/relationships/chartStyle" Target="style36.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alegre\Downloads\WEOJuly2022update%20(2).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7.xml"/><Relationship Id="rId1" Type="http://schemas.microsoft.com/office/2011/relationships/chartStyle" Target="style37.xml"/></Relationships>
</file>

<file path=word/charts/_rels/chart5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8.xml"/><Relationship Id="rId1" Type="http://schemas.microsoft.com/office/2011/relationships/chartStyle" Target="style38.xml"/></Relationships>
</file>

<file path=word/charts/_rels/chart52.xml.rels><?xml version="1.0" encoding="UTF-8" standalone="yes"?>
<Relationships xmlns="http://schemas.openxmlformats.org/package/2006/relationships"><Relationship Id="rId3" Type="http://schemas.openxmlformats.org/officeDocument/2006/relationships/oleObject" Target="https://d.docs.live.net/839d125cae53b6db/FMI/EFP/Riesgos%20Fiscales/2022/GL/Evaluaci&#243;n%20a%20Municipalidades.xlsx" TargetMode="External"/><Relationship Id="rId2" Type="http://schemas.microsoft.com/office/2011/relationships/chartColorStyle" Target="colors39.xml"/><Relationship Id="rId1" Type="http://schemas.microsoft.com/office/2011/relationships/chartStyle" Target="style39.xm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d.docs.live.net/839d125cae53b6db/FMI/EFP/Riesgos%20Fiscales/2022/GL/Evaluaci&#243;n%20a%20Municipalidades.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d.docs.live.net/839d125cae53b6db/FMI/EFP/Riesgos%20Fiscales/2022/GL/Evaluaci&#243;n%20a%20Municipalidades.xlsx" TargetMode="Externa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2.xml"/><Relationship Id="rId1" Type="http://schemas.microsoft.com/office/2011/relationships/chartStyle" Target="style42.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3.xml"/><Relationship Id="rId1" Type="http://schemas.microsoft.com/office/2011/relationships/chartStyle" Target="style43.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4.xml"/><Relationship Id="rId1" Type="http://schemas.microsoft.com/office/2011/relationships/chartStyle" Target="style44.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5.xml"/><Relationship Id="rId1" Type="http://schemas.microsoft.com/office/2011/relationships/chartStyle" Target="style45.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6.xml"/><Relationship Id="rId1" Type="http://schemas.microsoft.com/office/2011/relationships/chartStyle" Target="style46.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0cf8be92562e6368/DAPF/A&#241;os%20de%20Trabajo/2022/Riesgos%20Fiscales/DESVIACIONES%20MACROECONOMICAS%202da%20revision.xlsx" TargetMode="Externa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47.xml"/><Relationship Id="rId1" Type="http://schemas.microsoft.com/office/2011/relationships/chartStyle" Target="style47.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48.xml"/><Relationship Id="rId1" Type="http://schemas.microsoft.com/office/2011/relationships/chartStyle" Target="style48.xm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d.docs.live.net/839d125cae53b6db/FMI/EFP/Riesgos%20Fiscales/2022/GL/Evaluaci&#243;n%20a%20Municipalidades.xlsx" TargetMode="External"/></Relationships>
</file>

<file path=word/charts/_rels/chart63.xml.rels><?xml version="1.0" encoding="UTF-8" standalone="yes"?>
<Relationships xmlns="http://schemas.openxmlformats.org/package/2006/relationships"><Relationship Id="rId3" Type="http://schemas.openxmlformats.org/officeDocument/2006/relationships/oleObject" Target="https://d.docs.live.net/839d125cae53b6db/FMI/EFP/Riesgos%20Fiscales/2022/GL/Evaluaci&#243;n%20a%20Municipalidades.xlsx" TargetMode="Externa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chartUserShapes" Target="../drawings/drawing3.xm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d.docs.live.net/839d125cae53b6db/FMI/EFP/Riesgos%20Fiscales/2022/GL/Evaluaci&#243;n%20a%20Municipalidades.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d.docs.live.net/839d125cae53b6db/FMI/EFP/Riesgos%20Fiscales/2022/GL/Evaluaci&#243;n%20a%20Municipalidades.xlsx" TargetMode="External"/></Relationships>
</file>

<file path=word/charts/_rels/chart66.xml.rels><?xml version="1.0" encoding="UTF-8" standalone="yes"?>
<Relationships xmlns="http://schemas.openxmlformats.org/package/2006/relationships"><Relationship Id="rId3" Type="http://schemas.openxmlformats.org/officeDocument/2006/relationships/oleObject" Target="https://d.docs.live.net/839d125cae53b6db/FMI/EFP/Riesgos%20Fiscales/2022/GL/Evaluaci&#243;n%20a%20Municipalidades.xlsx" TargetMode="External"/><Relationship Id="rId2" Type="http://schemas.microsoft.com/office/2011/relationships/chartColorStyle" Target="colors53.xml"/><Relationship Id="rId1" Type="http://schemas.microsoft.com/office/2011/relationships/chartStyle" Target="style53.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54.xml"/><Relationship Id="rId1" Type="http://schemas.microsoft.com/office/2011/relationships/chartStyle" Target="style54.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55.xml"/><Relationship Id="rId1" Type="http://schemas.microsoft.com/office/2011/relationships/chartStyle" Target="style55.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6.xml"/><Relationship Id="rId1" Type="http://schemas.microsoft.com/office/2011/relationships/chartStyle" Target="style5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0cf8be92562e6368/DAPF/A&#241;os%20de%20Trabajo/2022/Riesgos%20Fiscales/DESVIACIONES%20MACROECONOMICAS%202da%20revision.xlsx" TargetMode="Externa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57.xml"/><Relationship Id="rId1" Type="http://schemas.microsoft.com/office/2011/relationships/chartStyle" Target="style57.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58.xml"/><Relationship Id="rId1" Type="http://schemas.microsoft.com/office/2011/relationships/chartStyle" Target="style58.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59.xml"/><Relationship Id="rId1" Type="http://schemas.microsoft.com/office/2011/relationships/chartStyle" Target="style59.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60.xml"/><Relationship Id="rId1" Type="http://schemas.microsoft.com/office/2011/relationships/chartStyle" Target="style60.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61.xml"/><Relationship Id="rId1" Type="http://schemas.microsoft.com/office/2011/relationships/chartStyle" Target="style61.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62.xml"/><Relationship Id="rId1" Type="http://schemas.microsoft.com/office/2011/relationships/chartStyle" Target="style62.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63.xml"/><Relationship Id="rId1" Type="http://schemas.microsoft.com/office/2011/relationships/chartStyle" Target="style63.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64.xml"/><Relationship Id="rId1" Type="http://schemas.microsoft.com/office/2011/relationships/chartStyle" Target="style64.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65.xml"/><Relationship Id="rId1" Type="http://schemas.microsoft.com/office/2011/relationships/chartStyle" Target="style65.xml"/></Relationships>
</file>

<file path=word/charts/_rels/chart79.xml.rels><?xml version="1.0" encoding="UTF-8" standalone="yes"?>
<Relationships xmlns="http://schemas.openxmlformats.org/package/2006/relationships"><Relationship Id="rId3" Type="http://schemas.openxmlformats.org/officeDocument/2006/relationships/oleObject" Target="https://d.docs.live.net/839d125cae53b6db/FMI/EFP/Riesgos%20Fiscales/2022/Empresas/Evaluaci&#243;n%20a%20Empresas%20-%20Nacionales%20y%20Municipales.xlsx" TargetMode="External"/><Relationship Id="rId2" Type="http://schemas.microsoft.com/office/2011/relationships/chartColorStyle" Target="colors66.xml"/><Relationship Id="rId1" Type="http://schemas.microsoft.com/office/2011/relationships/chartStyle" Target="style6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0cf8be92562e6368/DAPF/A&#241;os%20de%20Trabajo/2022/Riesgos%20Fiscales/DESVIACIONES%20MACROECONOMICAS%202da%20revision.xlsx" TargetMode="External"/></Relationships>
</file>

<file path=word/charts/_rels/chart80.xml.rels><?xml version="1.0" encoding="UTF-8" standalone="yes"?>
<Relationships xmlns="http://schemas.openxmlformats.org/package/2006/relationships"><Relationship Id="rId3" Type="http://schemas.openxmlformats.org/officeDocument/2006/relationships/oleObject" Target="https://d.docs.live.net/839d125cae53b6db/FMI/EFP/Riesgos%20Fiscales/2022/Empresas/Evaluaci&#243;n%20a%20Empresas%20-%20Nacionales%20y%20Municipales.xlsx" TargetMode="External"/><Relationship Id="rId2" Type="http://schemas.microsoft.com/office/2011/relationships/chartColorStyle" Target="colors67.xml"/><Relationship Id="rId1" Type="http://schemas.microsoft.com/office/2011/relationships/chartStyle" Target="style67.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psantizo\Desktop\Carpetas\Riesgos\Envejecimiento.xlsx" TargetMode="External"/><Relationship Id="rId2" Type="http://schemas.microsoft.com/office/2011/relationships/chartColorStyle" Target="colors68.xml"/><Relationship Id="rId1" Type="http://schemas.microsoft.com/office/2011/relationships/chartStyle" Target="style68.xml"/></Relationships>
</file>

<file path=word/charts/_rels/chart82.xml.rels><?xml version="1.0" encoding="UTF-8" standalone="yes"?>
<Relationships xmlns="http://schemas.openxmlformats.org/package/2006/relationships"><Relationship Id="rId1" Type="http://schemas.openxmlformats.org/officeDocument/2006/relationships/oleObject" Target="file:///C:\Users\psantizo\Desktop\Carpetas\Riesgos\Envejecimiento.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psantizo\Desktop\Carpetas\Riesgos\Nomina%20.xlsx" TargetMode="External"/></Relationships>
</file>

<file path=word/charts/_rels/chart84.xml.rels><?xml version="1.0" encoding="UTF-8" standalone="yes"?>
<Relationships xmlns="http://schemas.openxmlformats.org/package/2006/relationships"><Relationship Id="rId3" Type="http://schemas.openxmlformats.org/officeDocument/2006/relationships/oleObject" Target="file:///C:\Users\psantizo\Desktop\Carpetas\Riesgos\Nomina%20.xlsx" TargetMode="External"/><Relationship Id="rId2" Type="http://schemas.microsoft.com/office/2011/relationships/chartColorStyle" Target="colors69.xml"/><Relationship Id="rId1" Type="http://schemas.microsoft.com/office/2011/relationships/chartStyle" Target="style69.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psantizo\Desktop\Carpetas\Riesgos\Nomina%20.xlsx" TargetMode="External"/><Relationship Id="rId2" Type="http://schemas.microsoft.com/office/2011/relationships/chartColorStyle" Target="colors70.xml"/><Relationship Id="rId1" Type="http://schemas.microsoft.com/office/2011/relationships/chartStyle" Target="style70.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psantizo\Documents\Documentos%202022\Asistencia%20de%20Sostenibilidad%20fiscal\Tablas%2021%20JULIO.xlsx" TargetMode="External"/><Relationship Id="rId2" Type="http://schemas.microsoft.com/office/2011/relationships/chartColorStyle" Target="colors71.xml"/><Relationship Id="rId1" Type="http://schemas.microsoft.com/office/2011/relationships/chartStyle" Target="style71.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psantizo\Documents\Documentos%202022\Asistencia%20de%20Sostenibilidad%20fiscal\Tablas%2021%20JULIO.xlsx" TargetMode="External"/><Relationship Id="rId2" Type="http://schemas.microsoft.com/office/2011/relationships/chartColorStyle" Target="colors72.xml"/><Relationship Id="rId1" Type="http://schemas.microsoft.com/office/2011/relationships/chartStyle" Target="style72.xml"/></Relationships>
</file>

<file path=word/charts/_rels/chart88.xml.rels><?xml version="1.0" encoding="UTF-8" standalone="yes"?>
<Relationships xmlns="http://schemas.openxmlformats.org/package/2006/relationships"><Relationship Id="rId1" Type="http://schemas.openxmlformats.org/officeDocument/2006/relationships/oleObject" Target="file:///C:\Users\psantizo\Documents\Documentos%202022\Asistencia%20de%20Sostenibilidad%20fiscal\Tablas%2021%20JULIO.xlsx" TargetMode="External"/></Relationships>
</file>

<file path=word/charts/_rels/chart89.xml.rels><?xml version="1.0" encoding="UTF-8" standalone="yes"?>
<Relationships xmlns="http://schemas.openxmlformats.org/package/2006/relationships"><Relationship Id="rId3" Type="http://schemas.openxmlformats.org/officeDocument/2006/relationships/oleObject" Target="file:///C:\Users\psantizo\Desktop\Carpetas\Riesgos\Nomina%20.xlsx" TargetMode="External"/><Relationship Id="rId2" Type="http://schemas.microsoft.com/office/2011/relationships/chartColorStyle" Target="colors73.xml"/><Relationship Id="rId1" Type="http://schemas.microsoft.com/office/2011/relationships/chartStyle" Target="style7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docs.live.net/0cf8be92562e6368/DAPF/A&#241;os%20de%20Trabajo/2022/Riesgos%20Fiscales/DESVIACIONES%20MACROECONOMICAS%202da%20revision.xlsx" TargetMode="External"/></Relationships>
</file>

<file path=word/charts/_rels/chart90.xml.rels><?xml version="1.0" encoding="UTF-8" standalone="yes"?>
<Relationships xmlns="http://schemas.openxmlformats.org/package/2006/relationships"><Relationship Id="rId3" Type="http://schemas.openxmlformats.org/officeDocument/2006/relationships/oleObject" Target="file:///C:\Users\psantizo\Desktop\Carpetas\Riesgos\Nomina%20.xlsx" TargetMode="External"/><Relationship Id="rId2" Type="http://schemas.microsoft.com/office/2011/relationships/chartColorStyle" Target="colors74.xml"/><Relationship Id="rId1" Type="http://schemas.microsoft.com/office/2011/relationships/chartStyle" Target="style74.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psantizo\Desktop\Carpetas\Riesgos\Nomina%20.xlsx" TargetMode="External"/><Relationship Id="rId2" Type="http://schemas.microsoft.com/office/2011/relationships/chartColorStyle" Target="colors75.xml"/><Relationship Id="rId1" Type="http://schemas.microsoft.com/office/2011/relationships/chartStyle" Target="style75.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psantizo\Desktop\Carpetas\Riesgos\Nomina%20.xlsx" TargetMode="External"/><Relationship Id="rId2" Type="http://schemas.microsoft.com/office/2011/relationships/chartColorStyle" Target="colors76.xml"/><Relationship Id="rId1" Type="http://schemas.microsoft.com/office/2011/relationships/chartStyle" Target="style76.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psantizo\Desktop\Carpetas\Riesgos\Nomina%20.xlsx" TargetMode="External"/><Relationship Id="rId2" Type="http://schemas.microsoft.com/office/2011/relationships/chartColorStyle" Target="colors77.xml"/><Relationship Id="rId1" Type="http://schemas.microsoft.com/office/2011/relationships/chartStyle" Target="style77.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psantizo\Desktop\Carpetas\Riesgos\Nomina%20.xlsx" TargetMode="External"/><Relationship Id="rId2" Type="http://schemas.microsoft.com/office/2011/relationships/chartColorStyle" Target="colors78.xml"/><Relationship Id="rId1" Type="http://schemas.microsoft.com/office/2011/relationships/chartStyle" Target="style78.xm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23.xlsx"/></Relationships>
</file>

<file path=word/charts/_rels/chart96.xml.rels><?xml version="1.0" encoding="UTF-8" standalone="yes"?>
<Relationships xmlns="http://schemas.openxmlformats.org/package/2006/relationships"><Relationship Id="rId3" Type="http://schemas.openxmlformats.org/officeDocument/2006/relationships/oleObject" Target="file:///C:\Users\psantizo\AppData\Local\Microsoft\Windows\INetCache\Content.Outlook\3DLR37C2\igss.xlsx" TargetMode="External"/><Relationship Id="rId2" Type="http://schemas.microsoft.com/office/2011/relationships/chartColorStyle" Target="colors80.xml"/><Relationship Id="rId1" Type="http://schemas.microsoft.com/office/2011/relationships/chartStyle" Target="style80.xm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d.docs.live.net/0cf8be92562e6368/DAPF/A&#241;os%20de%20Trabajo/2022/IGSS/GRAFICOS%20EMA%20IVS.xlsx" TargetMode="External"/></Relationships>
</file>

<file path=word/charts/_rels/chart98.xml.rels><?xml version="1.0" encoding="UTF-8" standalone="yes"?>
<Relationships xmlns="http://schemas.openxmlformats.org/package/2006/relationships"><Relationship Id="rId3" Type="http://schemas.openxmlformats.org/officeDocument/2006/relationships/oleObject" Target="https://d.docs.live.net/0cf8be92562e6368/DAPF/A&#241;os%20de%20Trabajo/2022/Riesgos%20Fiscales/IGSS-CIFRAS-MENSUAL%2013%2009%202022.xlsx" TargetMode="External"/><Relationship Id="rId2" Type="http://schemas.microsoft.com/office/2011/relationships/chartColorStyle" Target="colors82.xml"/><Relationship Id="rId1" Type="http://schemas.microsoft.com/office/2011/relationships/chartStyle" Target="style82.xm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https://d.docs.live.net/0cf8be92562e6368/DAPF/A&#241;os%20de%20Trabajo/2022/INFORMACION%20PARA%20ANALISIS%20DE%20IGSS%20SOSTENIBLIDAD%20FISCAL/2.%20Informaci&#243;n%20incisos%202%5eJ%203%20%5eJ%205%5eJ%206%20y%2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22164989751262E-2"/>
          <c:y val="0.13575286877536213"/>
          <c:w val="0.84269090234762156"/>
          <c:h val="0.59843535985106588"/>
        </c:manualLayout>
      </c:layout>
      <c:lineChart>
        <c:grouping val="standard"/>
        <c:varyColors val="0"/>
        <c:ser>
          <c:idx val="0"/>
          <c:order val="0"/>
          <c:tx>
            <c:strRef>
              <c:f>Hoja1!$B$1</c:f>
              <c:strCache>
                <c:ptCount val="1"/>
                <c:pt idx="0">
                  <c:v>Apr. 2022 WEO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5"/>
              <c:layout>
                <c:manualLayout>
                  <c:x val="-1.6666666666666871E-2"/>
                  <c:y val="3.70370370370369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AF2-434E-979A-754B5A7186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strCache>
            </c:strRef>
          </c:cat>
          <c:val>
            <c:numRef>
              <c:f>Hoja1!$B$2:$B$17</c:f>
              <c:numCache>
                <c:formatCode>0.0</c:formatCode>
                <c:ptCount val="16"/>
                <c:pt idx="0">
                  <c:v>3.6</c:v>
                </c:pt>
                <c:pt idx="1">
                  <c:v>2.4</c:v>
                </c:pt>
                <c:pt idx="2">
                  <c:v>2.5</c:v>
                </c:pt>
                <c:pt idx="3">
                  <c:v>1.9</c:v>
                </c:pt>
                <c:pt idx="4">
                  <c:v>2.5</c:v>
                </c:pt>
                <c:pt idx="5">
                  <c:v>3.9</c:v>
                </c:pt>
                <c:pt idx="6">
                  <c:v>4.2</c:v>
                </c:pt>
                <c:pt idx="7">
                  <c:v>5.5</c:v>
                </c:pt>
                <c:pt idx="8">
                  <c:v>6.7</c:v>
                </c:pt>
                <c:pt idx="9">
                  <c:v>7.8</c:v>
                </c:pt>
                <c:pt idx="10">
                  <c:v>7.7</c:v>
                </c:pt>
                <c:pt idx="11">
                  <c:v>6.9</c:v>
                </c:pt>
                <c:pt idx="12">
                  <c:v>5.5</c:v>
                </c:pt>
                <c:pt idx="13">
                  <c:v>4.5</c:v>
                </c:pt>
                <c:pt idx="14">
                  <c:v>4.0999999999999996</c:v>
                </c:pt>
                <c:pt idx="15">
                  <c:v>3.9</c:v>
                </c:pt>
              </c:numCache>
            </c:numRef>
          </c:val>
          <c:smooth val="0"/>
          <c:extLst>
            <c:ext xmlns:c16="http://schemas.microsoft.com/office/drawing/2014/chart" uri="{C3380CC4-5D6E-409C-BE32-E72D297353CC}">
              <c16:uniqueId val="{00000001-EAF2-434E-979A-754B5A718676}"/>
            </c:ext>
          </c:extLst>
        </c:ser>
        <c:ser>
          <c:idx val="1"/>
          <c:order val="1"/>
          <c:tx>
            <c:strRef>
              <c:f>Hoja1!$C$1</c:f>
              <c:strCache>
                <c:ptCount val="1"/>
                <c:pt idx="0">
                  <c:v>Jul. 2022 WEO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F2-434E-979A-754B5A7186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2020Q1</c:v>
                </c:pt>
                <c:pt idx="1">
                  <c:v>2020Q2</c:v>
                </c:pt>
                <c:pt idx="2">
                  <c:v>2020Q3</c:v>
                </c:pt>
                <c:pt idx="3">
                  <c:v>2020Q4</c:v>
                </c:pt>
                <c:pt idx="4">
                  <c:v>2021Q1</c:v>
                </c:pt>
                <c:pt idx="5">
                  <c:v>2021Q2</c:v>
                </c:pt>
                <c:pt idx="6">
                  <c:v>2021Q3</c:v>
                </c:pt>
                <c:pt idx="7">
                  <c:v>2021Q4</c:v>
                </c:pt>
                <c:pt idx="8">
                  <c:v>2022Q1</c:v>
                </c:pt>
                <c:pt idx="9">
                  <c:v>2022Q2</c:v>
                </c:pt>
                <c:pt idx="10">
                  <c:v>2022Q3</c:v>
                </c:pt>
                <c:pt idx="11">
                  <c:v>2022Q4</c:v>
                </c:pt>
                <c:pt idx="12">
                  <c:v>2023Q1</c:v>
                </c:pt>
                <c:pt idx="13">
                  <c:v>2023Q2</c:v>
                </c:pt>
                <c:pt idx="14">
                  <c:v>2023Q3</c:v>
                </c:pt>
                <c:pt idx="15">
                  <c:v>2023Q4</c:v>
                </c:pt>
              </c:strCache>
            </c:strRef>
          </c:cat>
          <c:val>
            <c:numRef>
              <c:f>Hoja1!$C$2:$C$17</c:f>
              <c:numCache>
                <c:formatCode>0.0</c:formatCode>
                <c:ptCount val="16"/>
                <c:pt idx="0">
                  <c:v>3.7</c:v>
                </c:pt>
                <c:pt idx="1">
                  <c:v>2.4</c:v>
                </c:pt>
                <c:pt idx="2">
                  <c:v>2.5</c:v>
                </c:pt>
                <c:pt idx="3">
                  <c:v>2</c:v>
                </c:pt>
                <c:pt idx="4">
                  <c:v>2.6</c:v>
                </c:pt>
                <c:pt idx="5">
                  <c:v>4</c:v>
                </c:pt>
                <c:pt idx="6">
                  <c:v>4.2</c:v>
                </c:pt>
                <c:pt idx="7">
                  <c:v>5.6</c:v>
                </c:pt>
                <c:pt idx="8">
                  <c:v>7</c:v>
                </c:pt>
                <c:pt idx="9">
                  <c:v>8.6</c:v>
                </c:pt>
                <c:pt idx="10">
                  <c:v>9</c:v>
                </c:pt>
                <c:pt idx="11">
                  <c:v>8.3000000000000007</c:v>
                </c:pt>
                <c:pt idx="12">
                  <c:v>6.9</c:v>
                </c:pt>
                <c:pt idx="13">
                  <c:v>5.3</c:v>
                </c:pt>
                <c:pt idx="14">
                  <c:v>4.5</c:v>
                </c:pt>
                <c:pt idx="15">
                  <c:v>4.0999999999999996</c:v>
                </c:pt>
              </c:numCache>
            </c:numRef>
          </c:val>
          <c:smooth val="0"/>
          <c:extLst>
            <c:ext xmlns:c16="http://schemas.microsoft.com/office/drawing/2014/chart" uri="{C3380CC4-5D6E-409C-BE32-E72D297353CC}">
              <c16:uniqueId val="{00000004-EAF2-434E-979A-754B5A718676}"/>
            </c:ext>
          </c:extLst>
        </c:ser>
        <c:dLbls>
          <c:showLegendKey val="0"/>
          <c:showVal val="0"/>
          <c:showCatName val="0"/>
          <c:showSerName val="0"/>
          <c:showPercent val="0"/>
          <c:showBubbleSize val="0"/>
        </c:dLbls>
        <c:marker val="1"/>
        <c:smooth val="0"/>
        <c:axId val="399349328"/>
        <c:axId val="399356400"/>
      </c:lineChart>
      <c:catAx>
        <c:axId val="39934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99356400"/>
        <c:crosses val="autoZero"/>
        <c:auto val="1"/>
        <c:lblAlgn val="ctr"/>
        <c:lblOffset val="100"/>
        <c:noMultiLvlLbl val="0"/>
      </c:catAx>
      <c:valAx>
        <c:axId val="39935640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993493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pct5">
      <a:fgClr>
        <a:schemeClr val="accent5">
          <a:lumMod val="40000"/>
          <a:lumOff val="60000"/>
        </a:schemeClr>
      </a:fgClr>
      <a:bgClr>
        <a:schemeClr val="bg1"/>
      </a:bgClr>
    </a:pattFill>
    <a:ln w="9525" cap="flat" cmpd="sng" algn="ctr">
      <a:noFill/>
      <a:round/>
    </a:ln>
    <a:effectLst/>
  </c:spPr>
  <c:txPr>
    <a:bodyPr/>
    <a:lstStyle/>
    <a:p>
      <a:pPr>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3446073478104"/>
          <c:y val="8.3937428462418931E-2"/>
          <c:w val="0.80919677413204705"/>
          <c:h val="0.65980226336644965"/>
        </c:manualLayout>
      </c:layout>
      <c:barChart>
        <c:barDir val="col"/>
        <c:grouping val="clustered"/>
        <c:varyColors val="0"/>
        <c:ser>
          <c:idx val="0"/>
          <c:order val="0"/>
          <c:tx>
            <c:strRef>
              <c:f>'[DESVIACIONES MACROECONOMICAS 2da revision.xlsx]Pry 15 de Diciembre 2021'!$F$22</c:f>
              <c:strCache>
                <c:ptCount val="1"/>
                <c:pt idx="0">
                  <c:v>Pronostico PIBr 2022</c:v>
                </c:pt>
              </c:strCache>
            </c:strRef>
          </c:tx>
          <c:spPr>
            <a:solidFill>
              <a:srgbClr val="5B9BD5">
                <a:lumMod val="75000"/>
              </a:srgb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'[DESVIACIONES MACROECONOMICAS 2da revision.xlsx]Pry 15 de Diciembre 2021'!$G$21:$I$21</c:f>
              <c:strCache>
                <c:ptCount val="3"/>
                <c:pt idx="0">
                  <c:v>Dic/2021</c:v>
                </c:pt>
                <c:pt idx="1">
                  <c:v>Ene/2022</c:v>
                </c:pt>
                <c:pt idx="2">
                  <c:v>Abr/2022</c:v>
                </c:pt>
              </c:strCache>
            </c:strRef>
          </c:cat>
          <c:val>
            <c:numRef>
              <c:f>'[DESVIACIONES MACROECONOMICAS 2da revision.xlsx]Pry 15 de Diciembre 2021'!$G$22:$I$22</c:f>
              <c:numCache>
                <c:formatCode>General</c:formatCode>
                <c:ptCount val="3"/>
                <c:pt idx="0" formatCode="#,##0.0">
                  <c:v>4.5</c:v>
                </c:pt>
                <c:pt idx="1">
                  <c:v>4.5</c:v>
                </c:pt>
                <c:pt idx="2" formatCode="#,##0.0">
                  <c:v>4</c:v>
                </c:pt>
              </c:numCache>
            </c:numRef>
          </c:val>
          <c:extLst>
            <c:ext xmlns:c16="http://schemas.microsoft.com/office/drawing/2014/chart" uri="{C3380CC4-5D6E-409C-BE32-E72D297353CC}">
              <c16:uniqueId val="{00000000-9816-47D1-ABA8-1248D4068E09}"/>
            </c:ext>
          </c:extLst>
        </c:ser>
        <c:dLbls>
          <c:showLegendKey val="0"/>
          <c:showVal val="0"/>
          <c:showCatName val="0"/>
          <c:showSerName val="0"/>
          <c:showPercent val="0"/>
          <c:showBubbleSize val="0"/>
        </c:dLbls>
        <c:gapWidth val="78"/>
        <c:overlap val="-25"/>
        <c:axId val="210297823"/>
        <c:axId val="210279935"/>
      </c:barChart>
      <c:lineChart>
        <c:grouping val="standard"/>
        <c:varyColors val="0"/>
        <c:ser>
          <c:idx val="1"/>
          <c:order val="1"/>
          <c:tx>
            <c:strRef>
              <c:f>'[DESVIACIONES MACROECONOMICAS 2da revision.xlsx]Pry 15 de Diciembre 2021'!$F$23</c:f>
              <c:strCache>
                <c:ptCount val="1"/>
                <c:pt idx="0">
                  <c:v>Variación</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16"/>
            <c:spPr>
              <a:solidFill>
                <a:schemeClr val="accent2"/>
              </a:solidFill>
              <a:ln w="9525">
                <a:solidFill>
                  <a:schemeClr val="accent2"/>
                </a:solidFill>
              </a:ln>
              <a:effectLst>
                <a:outerShdw blurRad="50800" dist="38100" dir="2700000" algn="tl" rotWithShape="0">
                  <a:prstClr val="black">
                    <a:alpha val="40000"/>
                  </a:prstClr>
                </a:outerShdw>
              </a:effectLst>
            </c:spPr>
          </c:marker>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'[DESVIACIONES MACROECONOMICAS 2da revision.xlsx]Pry 15 de Diciembre 2021'!$G$23:$I$23</c:f>
              <c:numCache>
                <c:formatCode>#,##0.0</c:formatCode>
                <c:ptCount val="3"/>
                <c:pt idx="1">
                  <c:v>0</c:v>
                </c:pt>
                <c:pt idx="2">
                  <c:v>-0.5</c:v>
                </c:pt>
              </c:numCache>
            </c:numRef>
          </c:val>
          <c:smooth val="0"/>
          <c:extLst>
            <c:ext xmlns:c16="http://schemas.microsoft.com/office/drawing/2014/chart" uri="{C3380CC4-5D6E-409C-BE32-E72D297353CC}">
              <c16:uniqueId val="{00000001-9816-47D1-ABA8-1248D4068E09}"/>
            </c:ext>
          </c:extLst>
        </c:ser>
        <c:dLbls>
          <c:showLegendKey val="0"/>
          <c:showVal val="0"/>
          <c:showCatName val="0"/>
          <c:showSerName val="0"/>
          <c:showPercent val="0"/>
          <c:showBubbleSize val="0"/>
        </c:dLbls>
        <c:marker val="1"/>
        <c:smooth val="0"/>
        <c:axId val="210297823"/>
        <c:axId val="210279935"/>
      </c:lineChart>
      <c:catAx>
        <c:axId val="2102978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210279935"/>
        <c:crosses val="autoZero"/>
        <c:auto val="1"/>
        <c:lblAlgn val="ctr"/>
        <c:lblOffset val="100"/>
        <c:noMultiLvlLbl val="0"/>
      </c:catAx>
      <c:valAx>
        <c:axId val="21027993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210297823"/>
        <c:crosses val="autoZero"/>
        <c:crossBetween val="between"/>
      </c:valAx>
      <c:spPr>
        <a:noFill/>
        <a:ln>
          <a:noFill/>
        </a:ln>
        <a:effectLst/>
      </c:spPr>
    </c:plotArea>
    <c:legend>
      <c:legendPos val="b"/>
      <c:layout>
        <c:manualLayout>
          <c:xMode val="edge"/>
          <c:yMode val="edge"/>
          <c:x val="6.7403100036224281E-2"/>
          <c:y val="0.92543868872552704"/>
          <c:w val="0.86519379992755141"/>
          <c:h val="7.456131127447297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3.8142497812773402E-2"/>
          <c:w val="0.95377515310586192"/>
          <c:h val="0.74376267695732223"/>
        </c:manualLayout>
      </c:layout>
      <c:barChart>
        <c:barDir val="col"/>
        <c:grouping val="clustered"/>
        <c:varyColors val="0"/>
        <c:ser>
          <c:idx val="0"/>
          <c:order val="0"/>
          <c:tx>
            <c:strRef>
              <c:f>Hoja1!$A$2</c:f>
              <c:strCache>
                <c:ptCount val="1"/>
                <c:pt idx="0">
                  <c:v>Gasto</c:v>
                </c:pt>
              </c:strCache>
            </c:strRef>
          </c:tx>
          <c:spPr>
            <a:solidFill>
              <a:schemeClr val="accent1"/>
            </a:solidFill>
            <a:ln>
              <a:no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Hoja1!$B$1:$O$1</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Hoja1!$B$2:$O$2</c:f>
              <c:numCache>
                <c:formatCode>General</c:formatCode>
                <c:ptCount val="14"/>
                <c:pt idx="0">
                  <c:v>3.5</c:v>
                </c:pt>
                <c:pt idx="1">
                  <c:v>17.399999999999999</c:v>
                </c:pt>
                <c:pt idx="2">
                  <c:v>19.100000000000001</c:v>
                </c:pt>
                <c:pt idx="3">
                  <c:v>21.7</c:v>
                </c:pt>
                <c:pt idx="4">
                  <c:v>18</c:v>
                </c:pt>
                <c:pt idx="5">
                  <c:v>11.9</c:v>
                </c:pt>
                <c:pt idx="6">
                  <c:v>13</c:v>
                </c:pt>
                <c:pt idx="7">
                  <c:v>0</c:v>
                </c:pt>
                <c:pt idx="8">
                  <c:v>1.5</c:v>
                </c:pt>
                <c:pt idx="9">
                  <c:v>31</c:v>
                </c:pt>
                <c:pt idx="10">
                  <c:v>26.3</c:v>
                </c:pt>
                <c:pt idx="11">
                  <c:v>15.5</c:v>
                </c:pt>
                <c:pt idx="12">
                  <c:v>19.899999999999999</c:v>
                </c:pt>
                <c:pt idx="13">
                  <c:v>7.5</c:v>
                </c:pt>
              </c:numCache>
            </c:numRef>
          </c:val>
          <c:extLst>
            <c:ext xmlns:c16="http://schemas.microsoft.com/office/drawing/2014/chart" uri="{C3380CC4-5D6E-409C-BE32-E72D297353CC}">
              <c16:uniqueId val="{00000000-AA68-4F92-8B55-544DE65C4A2D}"/>
            </c:ext>
          </c:extLst>
        </c:ser>
        <c:dLbls>
          <c:showLegendKey val="0"/>
          <c:showVal val="0"/>
          <c:showCatName val="0"/>
          <c:showSerName val="0"/>
          <c:showPercent val="0"/>
          <c:showBubbleSize val="0"/>
        </c:dLbls>
        <c:gapWidth val="60"/>
        <c:overlap val="-27"/>
        <c:axId val="275718144"/>
        <c:axId val="275719680"/>
      </c:barChart>
      <c:catAx>
        <c:axId val="2757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75719680"/>
        <c:crosses val="autoZero"/>
        <c:auto val="1"/>
        <c:lblAlgn val="ctr"/>
        <c:lblOffset val="100"/>
        <c:noMultiLvlLbl val="0"/>
      </c:catAx>
      <c:valAx>
        <c:axId val="275719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75718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787567251768"/>
          <c:y val="3.0337457817772782E-2"/>
          <c:w val="0.85359789328659486"/>
          <c:h val="0.87284787076034098"/>
        </c:manualLayout>
      </c:layout>
      <c:lineChart>
        <c:grouping val="standard"/>
        <c:varyColors val="0"/>
        <c:ser>
          <c:idx val="1"/>
          <c:order val="0"/>
          <c:tx>
            <c:strRef>
              <c:f>Hoja1!$C$1</c:f>
              <c:strCache>
                <c:ptCount val="1"/>
                <c:pt idx="0">
                  <c:v>Cifras en US$ Dólares</c:v>
                </c:pt>
              </c:strCache>
            </c:strRef>
          </c:tx>
          <c:spPr>
            <a:ln w="28575" cap="rnd">
              <a:noFill/>
              <a:round/>
            </a:ln>
            <a:effectLst/>
          </c:spPr>
          <c:marker>
            <c:symbol val="diamond"/>
            <c:size val="10"/>
            <c:spPr>
              <a:solidFill>
                <a:schemeClr val="accent2"/>
              </a:solidFill>
              <a:ln w="9525">
                <a:solidFill>
                  <a:schemeClr val="tx1"/>
                </a:solidFill>
              </a:ln>
              <a:effectLst/>
            </c:spPr>
          </c:marker>
          <c:dPt>
            <c:idx val="0"/>
            <c:marker>
              <c:symbol val="diamond"/>
              <c:size val="10"/>
              <c:spPr>
                <a:solidFill>
                  <a:schemeClr val="bg2">
                    <a:lumMod val="50000"/>
                  </a:schemeClr>
                </a:solidFill>
                <a:ln w="9525">
                  <a:solidFill>
                    <a:schemeClr val="tx1"/>
                  </a:solidFill>
                </a:ln>
                <a:effectLst/>
              </c:spPr>
            </c:marker>
            <c:bubble3D val="0"/>
            <c:extLst>
              <c:ext xmlns:c16="http://schemas.microsoft.com/office/drawing/2014/chart" uri="{C3380CC4-5D6E-409C-BE32-E72D297353CC}">
                <c16:uniqueId val="{00000000-E1D0-4CAB-B4CC-363C310146BF}"/>
              </c:ext>
            </c:extLst>
          </c:dPt>
          <c:dPt>
            <c:idx val="1"/>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1-E1D0-4CAB-B4CC-363C310146BF}"/>
              </c:ext>
            </c:extLst>
          </c:dPt>
          <c:dPt>
            <c:idx val="2"/>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2-E1D0-4CAB-B4CC-363C310146BF}"/>
              </c:ext>
            </c:extLst>
          </c:dPt>
          <c:dPt>
            <c:idx val="3"/>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3-E1D0-4CAB-B4CC-363C310146BF}"/>
              </c:ext>
            </c:extLst>
          </c:dPt>
          <c:dPt>
            <c:idx val="5"/>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4-E1D0-4CAB-B4CC-363C310146BF}"/>
              </c:ext>
            </c:extLst>
          </c:dPt>
          <c:dPt>
            <c:idx val="6"/>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5-E1D0-4CAB-B4CC-363C310146BF}"/>
              </c:ext>
            </c:extLst>
          </c:dPt>
          <c:dPt>
            <c:idx val="7"/>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6-E1D0-4CAB-B4CC-363C310146BF}"/>
              </c:ext>
            </c:extLst>
          </c:dPt>
          <c:dPt>
            <c:idx val="8"/>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7-E1D0-4CAB-B4CC-363C310146BF}"/>
              </c:ext>
            </c:extLst>
          </c:dPt>
          <c:dPt>
            <c:idx val="11"/>
            <c:marker>
              <c:symbol val="diamond"/>
              <c:size val="10"/>
              <c:spPr>
                <a:solidFill>
                  <a:schemeClr val="bg2">
                    <a:lumMod val="50000"/>
                  </a:schemeClr>
                </a:solidFill>
                <a:ln w="9525">
                  <a:solidFill>
                    <a:schemeClr val="tx1"/>
                  </a:solidFill>
                </a:ln>
                <a:effectLst/>
              </c:spPr>
            </c:marker>
            <c:bubble3D val="0"/>
            <c:extLst>
              <c:ext xmlns:c16="http://schemas.microsoft.com/office/drawing/2014/chart" uri="{C3380CC4-5D6E-409C-BE32-E72D297353CC}">
                <c16:uniqueId val="{00000008-E1D0-4CAB-B4CC-363C310146BF}"/>
              </c:ext>
            </c:extLst>
          </c:dPt>
          <c:dPt>
            <c:idx val="12"/>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9-E1D0-4CAB-B4CC-363C310146BF}"/>
              </c:ext>
            </c:extLst>
          </c:dPt>
          <c:dPt>
            <c:idx val="13"/>
            <c:marker>
              <c:symbol val="diamond"/>
              <c:size val="10"/>
              <c:spPr>
                <a:solidFill>
                  <a:schemeClr val="bg2">
                    <a:lumMod val="50000"/>
                  </a:schemeClr>
                </a:solidFill>
                <a:ln w="9525">
                  <a:solidFill>
                    <a:schemeClr val="tx1"/>
                  </a:solidFill>
                </a:ln>
                <a:effectLst/>
              </c:spPr>
            </c:marker>
            <c:bubble3D val="0"/>
            <c:extLst>
              <c:ext xmlns:c16="http://schemas.microsoft.com/office/drawing/2014/chart" uri="{C3380CC4-5D6E-409C-BE32-E72D297353CC}">
                <c16:uniqueId val="{0000000A-E1D0-4CAB-B4CC-363C310146BF}"/>
              </c:ext>
            </c:extLst>
          </c:dPt>
          <c:dPt>
            <c:idx val="14"/>
            <c:marker>
              <c:symbol val="diamond"/>
              <c:size val="10"/>
              <c:spPr>
                <a:solidFill>
                  <a:schemeClr val="tx2">
                    <a:lumMod val="60000"/>
                    <a:lumOff val="40000"/>
                  </a:schemeClr>
                </a:solidFill>
                <a:ln w="9525">
                  <a:solidFill>
                    <a:schemeClr val="tx1"/>
                  </a:solidFill>
                </a:ln>
                <a:effectLst/>
              </c:spPr>
            </c:marker>
            <c:bubble3D val="0"/>
            <c:extLst>
              <c:ext xmlns:c16="http://schemas.microsoft.com/office/drawing/2014/chart" uri="{C3380CC4-5D6E-409C-BE32-E72D297353CC}">
                <c16:uniqueId val="{0000000B-E1D0-4CAB-B4CC-363C310146BF}"/>
              </c:ext>
            </c:extLst>
          </c:dPt>
          <c:dLbls>
            <c:dLbl>
              <c:idx val="0"/>
              <c:layout>
                <c:manualLayout>
                  <c:x val="-4.1619167482707976E-2"/>
                  <c:y val="-4.6031746031746035E-2"/>
                </c:manualLayout>
              </c:layout>
              <c:tx>
                <c:rich>
                  <a:bodyPr/>
                  <a:lstStyle/>
                  <a:p>
                    <a:fld id="{C252C0A2-3EF3-4528-A9CA-D11B9596535C}"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1D0-4CAB-B4CC-363C310146BF}"/>
                </c:ext>
              </c:extLst>
            </c:dLbl>
            <c:dLbl>
              <c:idx val="1"/>
              <c:layout>
                <c:manualLayout>
                  <c:x val="-0.10429424202899855"/>
                  <c:y val="-0.11984126984126998"/>
                </c:manualLayout>
              </c:layout>
              <c:tx>
                <c:rich>
                  <a:bodyPr/>
                  <a:lstStyle/>
                  <a:p>
                    <a:fld id="{BB7F4869-5C2F-4AF3-A87F-03D35BCEF6FE}"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1D0-4CAB-B4CC-363C310146BF}"/>
                </c:ext>
              </c:extLst>
            </c:dLbl>
            <c:dLbl>
              <c:idx val="2"/>
              <c:tx>
                <c:rich>
                  <a:bodyPr/>
                  <a:lstStyle/>
                  <a:p>
                    <a:fld id="{5CDC9479-9FBE-4990-8E76-4A0A4A940669}"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1D0-4CAB-B4CC-363C310146BF}"/>
                </c:ext>
              </c:extLst>
            </c:dLbl>
            <c:dLbl>
              <c:idx val="3"/>
              <c:layout>
                <c:manualLayout>
                  <c:x val="-6.2379421221864954E-2"/>
                  <c:y val="-0.05"/>
                </c:manualLayout>
              </c:layout>
              <c:tx>
                <c:rich>
                  <a:bodyPr/>
                  <a:lstStyle/>
                  <a:p>
                    <a:fld id="{61C4FB7B-966E-452A-8C09-178C78C826C3}"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1D0-4CAB-B4CC-363C310146BF}"/>
                </c:ext>
              </c:extLst>
            </c:dLbl>
            <c:dLbl>
              <c:idx val="4"/>
              <c:layout>
                <c:manualLayout>
                  <c:x val="-7.7227425194400262E-2"/>
                  <c:y val="-0.1615077802774653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50B9081-9FA7-43B7-8776-9F2A37578785}" type="CELLRANGE">
                      <a:rPr lang="en-US"/>
                      <a:pPr>
                        <a:defRPr sz="800" b="1"/>
                      </a:pPr>
                      <a:t>[CELLRANGE]</a:t>
                    </a:fld>
                    <a:endParaRPr lang="es-GT"/>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layout>
                    <c:manualLayout>
                      <c:w val="0.1233377463539493"/>
                      <c:h val="0.12857142857142856"/>
                    </c:manualLayout>
                  </c15:layout>
                  <c15:dlblFieldTable/>
                  <c15:showDataLabelsRange val="1"/>
                </c:ext>
                <c:ext xmlns:c16="http://schemas.microsoft.com/office/drawing/2014/chart" uri="{C3380CC4-5D6E-409C-BE32-E72D297353CC}">
                  <c16:uniqueId val="{0000000C-E1D0-4CAB-B4CC-363C310146BF}"/>
                </c:ext>
              </c:extLst>
            </c:dLbl>
            <c:dLbl>
              <c:idx val="5"/>
              <c:layout>
                <c:manualLayout>
                  <c:x val="-3.2169776879746682E-2"/>
                  <c:y val="-5.9920634920634923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AFC0C094-508E-4D2C-AA18-D78821F7711C}" type="CELLRANGE">
                      <a:rPr lang="en-US"/>
                      <a:pPr>
                        <a:defRPr sz="800" b="1"/>
                      </a:pPr>
                      <a:t>[CELLRANGE]</a:t>
                    </a:fld>
                    <a:endParaRPr lang="es-GT"/>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layout>
                    <c:manualLayout>
                      <c:w val="0.11205260995730992"/>
                      <c:h val="0.14761904761904765"/>
                    </c:manualLayout>
                  </c15:layout>
                  <c15:dlblFieldTable/>
                  <c15:showDataLabelsRange val="1"/>
                </c:ext>
                <c:ext xmlns:c16="http://schemas.microsoft.com/office/drawing/2014/chart" uri="{C3380CC4-5D6E-409C-BE32-E72D297353CC}">
                  <c16:uniqueId val="{00000004-E1D0-4CAB-B4CC-363C310146BF}"/>
                </c:ext>
              </c:extLst>
            </c:dLbl>
            <c:dLbl>
              <c:idx val="6"/>
              <c:layout>
                <c:manualLayout>
                  <c:x val="-9.6592717944278331E-2"/>
                  <c:y val="5.5158730158730192E-2"/>
                </c:manualLayout>
              </c:layout>
              <c:tx>
                <c:rich>
                  <a:bodyPr/>
                  <a:lstStyle/>
                  <a:p>
                    <a:fld id="{18071FCD-1320-4952-81B8-07A6089D9BDF}"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1D0-4CAB-B4CC-363C310146BF}"/>
                </c:ext>
              </c:extLst>
            </c:dLbl>
            <c:dLbl>
              <c:idx val="7"/>
              <c:layout>
                <c:manualLayout>
                  <c:x val="-3.3296118039181418E-3"/>
                  <c:y val="-1.6666666666666666E-2"/>
                </c:manualLayout>
              </c:layout>
              <c:tx>
                <c:rich>
                  <a:bodyPr/>
                  <a:lstStyle/>
                  <a:p>
                    <a:fld id="{47334972-18D8-4171-9360-7F81189F7054}"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1D0-4CAB-B4CC-363C310146BF}"/>
                </c:ext>
              </c:extLst>
            </c:dLbl>
            <c:dLbl>
              <c:idx val="8"/>
              <c:tx>
                <c:rich>
                  <a:bodyPr/>
                  <a:lstStyle/>
                  <a:p>
                    <a:fld id="{8B47974B-BC69-44E2-BBB0-F5F4EB01A4E4}"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1D0-4CAB-B4CC-363C310146BF}"/>
                </c:ext>
              </c:extLst>
            </c:dLbl>
            <c:dLbl>
              <c:idx val="9"/>
              <c:layout>
                <c:manualLayout>
                  <c:x val="-9.7012839684843435E-2"/>
                  <c:y val="-7.023762654668167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88029C73-6B5E-4F5D-9880-D7A6C8933160}" type="CELLRANGE">
                      <a:rPr lang="en-US"/>
                      <a:pPr>
                        <a:defRPr sz="800" b="1"/>
                      </a:pPr>
                      <a:t>[CELLRANGE]</a:t>
                    </a:fld>
                    <a:endParaRPr lang="es-GT"/>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layout>
                    <c:manualLayout>
                      <c:w val="0.16290841199045741"/>
                      <c:h val="0.12857142857142856"/>
                    </c:manualLayout>
                  </c15:layout>
                  <c15:dlblFieldTable/>
                  <c15:showDataLabelsRange val="1"/>
                </c:ext>
                <c:ext xmlns:c16="http://schemas.microsoft.com/office/drawing/2014/chart" uri="{C3380CC4-5D6E-409C-BE32-E72D297353CC}">
                  <c16:uniqueId val="{0000000D-E1D0-4CAB-B4CC-363C310146BF}"/>
                </c:ext>
              </c:extLst>
            </c:dLbl>
            <c:dLbl>
              <c:idx val="10"/>
              <c:layout>
                <c:manualLayout>
                  <c:x val="-7.5583527372842532E-2"/>
                  <c:y val="-5.7936507936508085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28ADD86D-8320-4534-AFE1-08DCDA2F15CB}" type="CELLRANGE">
                      <a:rPr lang="en-US"/>
                      <a:pPr>
                        <a:defRPr sz="800" b="1"/>
                      </a:pPr>
                      <a:t>[CELLRANGE]</a:t>
                    </a:fld>
                    <a:endParaRPr lang="es-GT"/>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layout>
                    <c:manualLayout>
                      <c:w val="0.11175189295716212"/>
                      <c:h val="8.8095238095238101E-2"/>
                    </c:manualLayout>
                  </c15:layout>
                  <c15:dlblFieldTable/>
                  <c15:showDataLabelsRange val="1"/>
                </c:ext>
                <c:ext xmlns:c16="http://schemas.microsoft.com/office/drawing/2014/chart" uri="{C3380CC4-5D6E-409C-BE32-E72D297353CC}">
                  <c16:uniqueId val="{0000000E-E1D0-4CAB-B4CC-363C310146BF}"/>
                </c:ext>
              </c:extLst>
            </c:dLbl>
            <c:dLbl>
              <c:idx val="11"/>
              <c:layout>
                <c:manualLayout>
                  <c:x val="-4.5768114687354776E-2"/>
                  <c:y val="5.3174603174603173E-2"/>
                </c:manualLayout>
              </c:layout>
              <c:tx>
                <c:rich>
                  <a:bodyPr/>
                  <a:lstStyle/>
                  <a:p>
                    <a:fld id="{0A3A4335-7E49-4EF4-B41D-E814A2F5820A}"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1D0-4CAB-B4CC-363C310146BF}"/>
                </c:ext>
              </c:extLst>
            </c:dLbl>
            <c:dLbl>
              <c:idx val="12"/>
              <c:layout>
                <c:manualLayout>
                  <c:x val="-7.4258967810540116E-2"/>
                  <c:y val="-0.1059522247219099"/>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97C56713-1066-4594-9ABC-93209A142883}" type="CELLRANGE">
                      <a:rPr lang="en-US"/>
                      <a:pPr>
                        <a:defRPr sz="800" b="1"/>
                      </a:pPr>
                      <a:t>[CELLRANGE]</a:t>
                    </a:fld>
                    <a:endParaRPr lang="es-GT"/>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layout>
                    <c:manualLayout>
                      <c:w val="0.14771297452562751"/>
                      <c:h val="0.13650793650793649"/>
                    </c:manualLayout>
                  </c15:layout>
                  <c15:dlblFieldTable/>
                  <c15:showDataLabelsRange val="1"/>
                </c:ext>
                <c:ext xmlns:c16="http://schemas.microsoft.com/office/drawing/2014/chart" uri="{C3380CC4-5D6E-409C-BE32-E72D297353CC}">
                  <c16:uniqueId val="{00000009-E1D0-4CAB-B4CC-363C310146BF}"/>
                </c:ext>
              </c:extLst>
            </c:dLbl>
            <c:dLbl>
              <c:idx val="13"/>
              <c:layout>
                <c:manualLayout>
                  <c:x val="-2.2041690385633098E-3"/>
                  <c:y val="-2.3809523809525265E-3"/>
                </c:manualLayout>
              </c:layout>
              <c:tx>
                <c:rich>
                  <a:bodyPr/>
                  <a:lstStyle/>
                  <a:p>
                    <a:fld id="{D05D37ED-3EEE-41A9-AFF6-88A464D8D07F}"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1D0-4CAB-B4CC-363C310146BF}"/>
                </c:ext>
              </c:extLst>
            </c:dLbl>
            <c:dLbl>
              <c:idx val="14"/>
              <c:layout>
                <c:manualLayout>
                  <c:x val="0"/>
                  <c:y val="-8.7698412698412692E-2"/>
                </c:manualLayout>
              </c:layout>
              <c:tx>
                <c:rich>
                  <a:bodyPr/>
                  <a:lstStyle/>
                  <a:p>
                    <a:fld id="{B184EC42-47C7-4D7C-93CE-618ACB30B6FF}"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1D0-4CAB-B4CC-363C310146B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Hoja1!$A$2:$A$16</c:f>
              <c:numCache>
                <c:formatCode>General</c:formatCode>
                <c:ptCount val="15"/>
                <c:pt idx="0">
                  <c:v>1994</c:v>
                </c:pt>
                <c:pt idx="1">
                  <c:v>1996</c:v>
                </c:pt>
                <c:pt idx="2">
                  <c:v>1998</c:v>
                </c:pt>
                <c:pt idx="3">
                  <c:v>1999</c:v>
                </c:pt>
                <c:pt idx="4">
                  <c:v>2001</c:v>
                </c:pt>
                <c:pt idx="5">
                  <c:v>2002</c:v>
                </c:pt>
                <c:pt idx="6">
                  <c:v>2005</c:v>
                </c:pt>
                <c:pt idx="7">
                  <c:v>2010</c:v>
                </c:pt>
                <c:pt idx="8">
                  <c:v>2011</c:v>
                </c:pt>
                <c:pt idx="9">
                  <c:v>2012</c:v>
                </c:pt>
                <c:pt idx="10">
                  <c:v>2013</c:v>
                </c:pt>
                <c:pt idx="11">
                  <c:v>2014</c:v>
                </c:pt>
                <c:pt idx="12">
                  <c:v>2015</c:v>
                </c:pt>
                <c:pt idx="13">
                  <c:v>2018</c:v>
                </c:pt>
                <c:pt idx="14">
                  <c:v>2020</c:v>
                </c:pt>
              </c:numCache>
            </c:numRef>
          </c:cat>
          <c:val>
            <c:numRef>
              <c:f>Hoja1!$C$2:$C$16</c:f>
              <c:numCache>
                <c:formatCode>#,##0.0</c:formatCode>
                <c:ptCount val="15"/>
                <c:pt idx="0">
                  <c:v>10000000</c:v>
                </c:pt>
                <c:pt idx="1">
                  <c:v>500000</c:v>
                </c:pt>
                <c:pt idx="2">
                  <c:v>748000000</c:v>
                </c:pt>
                <c:pt idx="3">
                  <c:v>1000000</c:v>
                </c:pt>
                <c:pt idx="4">
                  <c:v>14150000</c:v>
                </c:pt>
                <c:pt idx="5">
                  <c:v>100000</c:v>
                </c:pt>
                <c:pt idx="6">
                  <c:v>988300000</c:v>
                </c:pt>
                <c:pt idx="7">
                  <c:v>1150000000</c:v>
                </c:pt>
                <c:pt idx="8">
                  <c:v>61913000</c:v>
                </c:pt>
                <c:pt idx="9">
                  <c:v>210000000</c:v>
                </c:pt>
                <c:pt idx="10">
                  <c:v>2000000</c:v>
                </c:pt>
                <c:pt idx="11">
                  <c:v>100000000</c:v>
                </c:pt>
                <c:pt idx="12">
                  <c:v>5000000</c:v>
                </c:pt>
                <c:pt idx="13">
                  <c:v>44669000</c:v>
                </c:pt>
                <c:pt idx="14">
                  <c:v>386000000</c:v>
                </c:pt>
              </c:numCache>
            </c:numRef>
          </c:val>
          <c:smooth val="0"/>
          <c:extLst>
            <c:ext xmlns:c15="http://schemas.microsoft.com/office/drawing/2012/chart" uri="{02D57815-91ED-43cb-92C2-25804820EDAC}">
              <c15:datalabelsRange>
                <c15:f>Hoja1!$B$2:$B$16</c15:f>
                <c15:dlblRangeCache>
                  <c:ptCount val="15"/>
                  <c:pt idx="0">
                    <c:v>Sequía</c:v>
                  </c:pt>
                  <c:pt idx="1">
                    <c:v>Ciclón Tropical César y Douglas</c:v>
                  </c:pt>
                  <c:pt idx="2">
                    <c:v>Huracan Mitch</c:v>
                  </c:pt>
                  <c:pt idx="3">
                    <c:v>Inundación</c:v>
                  </c:pt>
                  <c:pt idx="4">
                    <c:v>Movimiento de tierra, sequía y ciclón tropical</c:v>
                  </c:pt>
                  <c:pt idx="5">
                    <c:v>Ciclón Tropical Isidoro</c:v>
                  </c:pt>
                  <c:pt idx="6">
                    <c:v>Ciclon Tropical Stan</c:v>
                  </c:pt>
                  <c:pt idx="7">
                    <c:v>Huracan Agatha y deslizamiento de tierra</c:v>
                  </c:pt>
                  <c:pt idx="8">
                    <c:v>Inundación</c:v>
                  </c:pt>
                  <c:pt idx="9">
                    <c:v>Terremoto San Marcos y otros</c:v>
                  </c:pt>
                  <c:pt idx="10">
                    <c:v>Movimiento de tierra</c:v>
                  </c:pt>
                  <c:pt idx="11">
                    <c:v>Sequía</c:v>
                  </c:pt>
                  <c:pt idx="12">
                    <c:v>Deslizamiento de Tierra El Cambray</c:v>
                  </c:pt>
                  <c:pt idx="13">
                    <c:v>Sequía</c:v>
                  </c:pt>
                  <c:pt idx="14">
                    <c:v>Huracan Eta e Iota</c:v>
                  </c:pt>
                </c15:dlblRangeCache>
              </c15:datalabelsRange>
            </c:ext>
            <c:ext xmlns:c16="http://schemas.microsoft.com/office/drawing/2014/chart" uri="{C3380CC4-5D6E-409C-BE32-E72D297353CC}">
              <c16:uniqueId val="{0000000F-E1D0-4CAB-B4CC-363C310146BF}"/>
            </c:ext>
          </c:extLst>
        </c:ser>
        <c:dLbls>
          <c:showLegendKey val="0"/>
          <c:showVal val="0"/>
          <c:showCatName val="0"/>
          <c:showSerName val="0"/>
          <c:showPercent val="0"/>
          <c:showBubbleSize val="0"/>
        </c:dLbls>
        <c:marker val="1"/>
        <c:smooth val="0"/>
        <c:axId val="2128573263"/>
        <c:axId val="2128575759"/>
      </c:lineChart>
      <c:catAx>
        <c:axId val="212857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28575759"/>
        <c:crosses val="autoZero"/>
        <c:auto val="1"/>
        <c:lblAlgn val="ctr"/>
        <c:lblOffset val="100"/>
        <c:noMultiLvlLbl val="0"/>
      </c:catAx>
      <c:valAx>
        <c:axId val="2128575759"/>
        <c:scaling>
          <c:orientation val="minMax"/>
          <c:max val="12000000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t>Cifras</a:t>
                </a:r>
                <a:r>
                  <a:rPr lang="es-GT" sz="900" baseline="0"/>
                  <a:t> en US$ dólares</a:t>
                </a:r>
                <a:endParaRPr lang="es-GT" sz="900"/>
              </a:p>
            </c:rich>
          </c:tx>
          <c:layout>
            <c:manualLayout>
              <c:xMode val="edge"/>
              <c:yMode val="edge"/>
              <c:x val="2.0744736023234106E-3"/>
              <c:y val="0.303161479815023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285732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Regalías!$B$4</c:f>
              <c:strCache>
                <c:ptCount val="1"/>
                <c:pt idx="0">
                  <c:v>% del PIB</c:v>
                </c:pt>
              </c:strCache>
            </c:strRef>
          </c:tx>
          <c:spPr>
            <a:ln w="22225" cap="rnd">
              <a:solidFill>
                <a:schemeClr val="accent1"/>
              </a:solidFill>
              <a:round/>
            </a:ln>
            <a:effectLst/>
          </c:spPr>
          <c:marker>
            <c:symbol val="circle"/>
            <c:size val="7"/>
            <c:spPr>
              <a:solidFill>
                <a:schemeClr val="lt1"/>
              </a:solidFill>
              <a:ln w="15875">
                <a:solidFill>
                  <a:schemeClr val="accent1"/>
                </a:solidFill>
                <a:round/>
              </a:ln>
              <a:effectLst/>
            </c:spPr>
          </c:marker>
          <c:cat>
            <c:numRef>
              <c:f>Regalías!$C$1:$AA$1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Regalías!$C$4:$AA$4</c:f>
              <c:numCache>
                <c:formatCode>General</c:formatCode>
                <c:ptCount val="15"/>
                <c:pt idx="0">
                  <c:v>3.6145057344133481E-4</c:v>
                </c:pt>
                <c:pt idx="1">
                  <c:v>5.4196048398361596E-3</c:v>
                </c:pt>
                <c:pt idx="2">
                  <c:v>7.9238283872198525E-3</c:v>
                </c:pt>
                <c:pt idx="3">
                  <c:v>1.0017595771599901E-2</c:v>
                </c:pt>
                <c:pt idx="4">
                  <c:v>5.7811452806925097E-3</c:v>
                </c:pt>
                <c:pt idx="5">
                  <c:v>4.3709734477033989E-3</c:v>
                </c:pt>
                <c:pt idx="6">
                  <c:v>4.8957547804209522E-3</c:v>
                </c:pt>
                <c:pt idx="7">
                  <c:v>3.4872277666484486E-3</c:v>
                </c:pt>
                <c:pt idx="8">
                  <c:v>9.2449980901121113E-3</c:v>
                </c:pt>
                <c:pt idx="9">
                  <c:v>2.9059419839504155E-3</c:v>
                </c:pt>
                <c:pt idx="10">
                  <c:v>1.8759874583152937E-3</c:v>
                </c:pt>
                <c:pt idx="11">
                  <c:v>6.7502209776268602E-4</c:v>
                </c:pt>
                <c:pt idx="12">
                  <c:v>6.4874519200594115E-4</c:v>
                </c:pt>
                <c:pt idx="13">
                  <c:v>9.1185147930125405E-4</c:v>
                </c:pt>
                <c:pt idx="14">
                  <c:v>1.1857455970431222E-3</c:v>
                </c:pt>
              </c:numCache>
            </c:numRef>
          </c:val>
          <c:smooth val="1"/>
          <c:extLst>
            <c:ext xmlns:c16="http://schemas.microsoft.com/office/drawing/2014/chart" uri="{C3380CC4-5D6E-409C-BE32-E72D297353CC}">
              <c16:uniqueId val="{00000000-1318-4F24-BBAB-2A0BEF28D254}"/>
            </c:ext>
          </c:extLst>
        </c:ser>
        <c:dLbls>
          <c:showLegendKey val="0"/>
          <c:showVal val="0"/>
          <c:showCatName val="0"/>
          <c:showSerName val="0"/>
          <c:showPercent val="0"/>
          <c:showBubbleSize val="0"/>
        </c:dLbls>
        <c:marker val="1"/>
        <c:smooth val="0"/>
        <c:axId val="1081883007"/>
        <c:axId val="929863439"/>
      </c:lineChart>
      <c:catAx>
        <c:axId val="108188300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29863439"/>
        <c:crosses val="autoZero"/>
        <c:auto val="1"/>
        <c:lblAlgn val="ctr"/>
        <c:lblOffset val="100"/>
        <c:noMultiLvlLbl val="0"/>
      </c:catAx>
      <c:valAx>
        <c:axId val="92986343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188300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Millones de barriles</c:v>
                </c:pt>
              </c:strCache>
            </c:strRef>
          </c:tx>
          <c:spPr>
            <a:solidFill>
              <a:schemeClr val="accent5">
                <a:lumMod val="50000"/>
              </a:schemeClr>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Hoja1!$A$2:$A$8</c:f>
              <c:numCache>
                <c:formatCode>General</c:formatCode>
                <c:ptCount val="7"/>
                <c:pt idx="0">
                  <c:v>2015</c:v>
                </c:pt>
                <c:pt idx="1">
                  <c:v>2016</c:v>
                </c:pt>
                <c:pt idx="2">
                  <c:v>2017</c:v>
                </c:pt>
                <c:pt idx="3">
                  <c:v>2018</c:v>
                </c:pt>
                <c:pt idx="4">
                  <c:v>2019</c:v>
                </c:pt>
                <c:pt idx="5">
                  <c:v>2020</c:v>
                </c:pt>
                <c:pt idx="6">
                  <c:v>2021</c:v>
                </c:pt>
              </c:numCache>
            </c:numRef>
          </c:cat>
          <c:val>
            <c:numRef>
              <c:f>Hoja1!$B$2:$B$8</c:f>
              <c:numCache>
                <c:formatCode>0.00</c:formatCode>
                <c:ptCount val="7"/>
                <c:pt idx="0">
                  <c:v>3.54</c:v>
                </c:pt>
                <c:pt idx="1">
                  <c:v>3.14</c:v>
                </c:pt>
                <c:pt idx="2">
                  <c:v>3.22</c:v>
                </c:pt>
                <c:pt idx="3">
                  <c:v>3.06</c:v>
                </c:pt>
                <c:pt idx="4">
                  <c:v>3.2</c:v>
                </c:pt>
                <c:pt idx="5">
                  <c:v>2.5499999999999998</c:v>
                </c:pt>
                <c:pt idx="6">
                  <c:v>2.2999999999999998</c:v>
                </c:pt>
              </c:numCache>
            </c:numRef>
          </c:val>
          <c:extLst>
            <c:ext xmlns:c16="http://schemas.microsoft.com/office/drawing/2014/chart" uri="{C3380CC4-5D6E-409C-BE32-E72D297353CC}">
              <c16:uniqueId val="{00000000-54B8-4D62-9FAB-CB9247DFC22E}"/>
            </c:ext>
          </c:extLst>
        </c:ser>
        <c:dLbls>
          <c:showLegendKey val="0"/>
          <c:showVal val="0"/>
          <c:showCatName val="0"/>
          <c:showSerName val="0"/>
          <c:showPercent val="0"/>
          <c:showBubbleSize val="0"/>
        </c:dLbls>
        <c:gapWidth val="56"/>
        <c:overlap val="-27"/>
        <c:axId val="148325248"/>
        <c:axId val="148322336"/>
      </c:barChart>
      <c:catAx>
        <c:axId val="14832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8322336"/>
        <c:crosses val="autoZero"/>
        <c:auto val="1"/>
        <c:lblAlgn val="ctr"/>
        <c:lblOffset val="100"/>
        <c:noMultiLvlLbl val="0"/>
      </c:catAx>
      <c:valAx>
        <c:axId val="148322336"/>
        <c:scaling>
          <c:orientation val="minMax"/>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b="1"/>
                  <a:t>Millones</a:t>
                </a:r>
                <a:r>
                  <a:rPr lang="es-GT" b="1" baseline="0"/>
                  <a:t> de barriles</a:t>
                </a:r>
                <a:endParaRPr lang="es-GT"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832524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48549139690871"/>
          <c:y val="8.9979550102249492E-2"/>
          <c:w val="0.81758858267716539"/>
          <c:h val="0.66803342833679535"/>
        </c:manualLayout>
      </c:layout>
      <c:barChart>
        <c:barDir val="col"/>
        <c:grouping val="clustered"/>
        <c:varyColors val="0"/>
        <c:ser>
          <c:idx val="0"/>
          <c:order val="0"/>
          <c:tx>
            <c:strRef>
              <c:f>'[DESVIACIONES MACROECONOMICAS 2da revision.xlsx]Pry 15 de Diciembre 2021'!$F$24</c:f>
              <c:strCache>
                <c:ptCount val="1"/>
                <c:pt idx="0">
                  <c:v>Pronostico PIBn 2022</c:v>
                </c:pt>
              </c:strCache>
            </c:strRef>
          </c:tx>
          <c:spPr>
            <a:solidFill>
              <a:srgbClr val="5B9BD5">
                <a:lumMod val="75000"/>
              </a:srgb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'[DESVIACIONES MACROECONOMICAS 2da revision.xlsx]Pry 15 de Diciembre 2021'!$G$21:$I$21</c:f>
              <c:strCache>
                <c:ptCount val="3"/>
                <c:pt idx="0">
                  <c:v>Dic/2021</c:v>
                </c:pt>
                <c:pt idx="1">
                  <c:v>Ene/2022</c:v>
                </c:pt>
                <c:pt idx="2">
                  <c:v>Abr/2022</c:v>
                </c:pt>
              </c:strCache>
            </c:strRef>
          </c:cat>
          <c:val>
            <c:numRef>
              <c:f>'[DESVIACIONES MACROECONOMICAS 2da revision.xlsx]Pry 15 de Diciembre 2021'!$G$24:$I$24</c:f>
              <c:numCache>
                <c:formatCode>0.0</c:formatCode>
                <c:ptCount val="3"/>
                <c:pt idx="0" formatCode="#,##0.0">
                  <c:v>8</c:v>
                </c:pt>
                <c:pt idx="1">
                  <c:v>8</c:v>
                </c:pt>
                <c:pt idx="2" formatCode="#,##0.0">
                  <c:v>7.7</c:v>
                </c:pt>
              </c:numCache>
            </c:numRef>
          </c:val>
          <c:extLst>
            <c:ext xmlns:c16="http://schemas.microsoft.com/office/drawing/2014/chart" uri="{C3380CC4-5D6E-409C-BE32-E72D297353CC}">
              <c16:uniqueId val="{00000000-62FB-41FE-BE51-94D15B2CFF09}"/>
            </c:ext>
          </c:extLst>
        </c:ser>
        <c:dLbls>
          <c:showLegendKey val="0"/>
          <c:showVal val="0"/>
          <c:showCatName val="0"/>
          <c:showSerName val="0"/>
          <c:showPercent val="0"/>
          <c:showBubbleSize val="0"/>
        </c:dLbls>
        <c:gapWidth val="75"/>
        <c:overlap val="-25"/>
        <c:axId val="210297823"/>
        <c:axId val="210279935"/>
      </c:barChart>
      <c:lineChart>
        <c:grouping val="standard"/>
        <c:varyColors val="0"/>
        <c:ser>
          <c:idx val="1"/>
          <c:order val="1"/>
          <c:tx>
            <c:strRef>
              <c:f>'[DESVIACIONES MACROECONOMICAS 2da revision.xlsx]Pry 15 de Diciembre 2021'!$F$25</c:f>
              <c:strCache>
                <c:ptCount val="1"/>
                <c:pt idx="0">
                  <c:v>Variación</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16"/>
            <c:spPr>
              <a:solidFill>
                <a:schemeClr val="accent2"/>
              </a:solidFill>
              <a:ln w="9525">
                <a:solidFill>
                  <a:schemeClr val="accent2"/>
                </a:solidFill>
              </a:ln>
              <a:effectLst>
                <a:outerShdw blurRad="50800" dist="38100" dir="2700000" algn="tl" rotWithShape="0">
                  <a:prstClr val="black">
                    <a:alpha val="40000"/>
                  </a:prstClr>
                </a:outerShdw>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'[DESVIACIONES MACROECONOMICAS 2da revision.xlsx]Pry 15 de Diciembre 2021'!$G$25:$I$25</c:f>
              <c:numCache>
                <c:formatCode>#,##0.0</c:formatCode>
                <c:ptCount val="3"/>
                <c:pt idx="1">
                  <c:v>0</c:v>
                </c:pt>
                <c:pt idx="2">
                  <c:v>-0.29999999999999982</c:v>
                </c:pt>
              </c:numCache>
            </c:numRef>
          </c:val>
          <c:smooth val="0"/>
          <c:extLst>
            <c:ext xmlns:c16="http://schemas.microsoft.com/office/drawing/2014/chart" uri="{C3380CC4-5D6E-409C-BE32-E72D297353CC}">
              <c16:uniqueId val="{00000001-62FB-41FE-BE51-94D15B2CFF09}"/>
            </c:ext>
          </c:extLst>
        </c:ser>
        <c:dLbls>
          <c:showLegendKey val="0"/>
          <c:showVal val="0"/>
          <c:showCatName val="0"/>
          <c:showSerName val="0"/>
          <c:showPercent val="0"/>
          <c:showBubbleSize val="0"/>
        </c:dLbls>
        <c:marker val="1"/>
        <c:smooth val="0"/>
        <c:axId val="210297823"/>
        <c:axId val="210279935"/>
      </c:lineChart>
      <c:catAx>
        <c:axId val="2102978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279935"/>
        <c:crosses val="autoZero"/>
        <c:auto val="1"/>
        <c:lblAlgn val="ctr"/>
        <c:lblOffset val="100"/>
        <c:noMultiLvlLbl val="0"/>
      </c:catAx>
      <c:valAx>
        <c:axId val="210279935"/>
        <c:scaling>
          <c:orientation val="minMax"/>
          <c:max val="8"/>
          <c:min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297823"/>
        <c:crosses val="autoZero"/>
        <c:crossBetween val="between"/>
      </c:valAx>
      <c:spPr>
        <a:noFill/>
        <a:ln>
          <a:noFill/>
        </a:ln>
        <a:effectLst/>
      </c:spPr>
    </c:plotArea>
    <c:legend>
      <c:legendPos val="b"/>
      <c:layout>
        <c:manualLayout>
          <c:xMode val="edge"/>
          <c:yMode val="edge"/>
          <c:x val="8.2721274424030336E-2"/>
          <c:y val="0.92825145323092284"/>
          <c:w val="0.83455745115193936"/>
          <c:h val="7.174854676907717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677943075751533E-2"/>
          <c:y val="3.1686225440646303E-2"/>
          <c:w val="0.92749717497971218"/>
          <c:h val="0.87799674889366675"/>
        </c:manualLayout>
      </c:layout>
      <c:areaChart>
        <c:grouping val="stacked"/>
        <c:varyColors val="0"/>
        <c:ser>
          <c:idx val="0"/>
          <c:order val="0"/>
          <c:tx>
            <c:strRef>
              <c:f>'Fanchart '!$AA$16</c:f>
              <c:strCache>
                <c:ptCount val="1"/>
                <c:pt idx="0">
                  <c:v>base</c:v>
                </c:pt>
              </c:strCache>
            </c:strRef>
          </c:tx>
          <c:spPr>
            <a:noFill/>
            <a:ln>
              <a:noFill/>
            </a:ln>
            <a:effectLst/>
          </c:spPr>
          <c:cat>
            <c:numRef>
              <c:f>'Fanchart '!$AD$14:$AL$14</c:f>
              <c:numCache>
                <c:formatCode>General</c:formatCode>
                <c:ptCount val="9"/>
                <c:pt idx="0">
                  <c:v>2019</c:v>
                </c:pt>
                <c:pt idx="1">
                  <c:v>2020</c:v>
                </c:pt>
                <c:pt idx="2">
                  <c:v>2021</c:v>
                </c:pt>
                <c:pt idx="3">
                  <c:v>2022</c:v>
                </c:pt>
                <c:pt idx="4">
                  <c:v>2023</c:v>
                </c:pt>
                <c:pt idx="5">
                  <c:v>2024</c:v>
                </c:pt>
                <c:pt idx="6">
                  <c:v>2025</c:v>
                </c:pt>
                <c:pt idx="7">
                  <c:v>2026</c:v>
                </c:pt>
                <c:pt idx="8">
                  <c:v>2027</c:v>
                </c:pt>
              </c:numCache>
            </c:numRef>
          </c:cat>
          <c:val>
            <c:numRef>
              <c:f>'Fanchart '!$AD$16:$AL$16</c:f>
              <c:numCache>
                <c:formatCode>_(* #,##0.00_);_(* \(#,##0.00\);_(* "-"??_);_(@_)</c:formatCode>
                <c:ptCount val="9"/>
                <c:pt idx="0">
                  <c:v>4.002315053092409</c:v>
                </c:pt>
                <c:pt idx="1">
                  <c:v>-1.7640829231526656</c:v>
                </c:pt>
                <c:pt idx="2">
                  <c:v>7.9807695126552094</c:v>
                </c:pt>
                <c:pt idx="3">
                  <c:v>1.976774527881576</c:v>
                </c:pt>
                <c:pt idx="4">
                  <c:v>0.73842984561769698</c:v>
                </c:pt>
                <c:pt idx="5">
                  <c:v>0.60010274868927627</c:v>
                </c:pt>
                <c:pt idx="6">
                  <c:v>0.43455008627094172</c:v>
                </c:pt>
                <c:pt idx="7">
                  <c:v>0.29323698096809236</c:v>
                </c:pt>
                <c:pt idx="8">
                  <c:v>0.12706210617854596</c:v>
                </c:pt>
              </c:numCache>
            </c:numRef>
          </c:val>
          <c:extLst>
            <c:ext xmlns:c16="http://schemas.microsoft.com/office/drawing/2014/chart" uri="{C3380CC4-5D6E-409C-BE32-E72D297353CC}">
              <c16:uniqueId val="{00000000-3A32-44DF-9320-4572F0FA4B28}"/>
            </c:ext>
          </c:extLst>
        </c:ser>
        <c:ser>
          <c:idx val="1"/>
          <c:order val="1"/>
          <c:tx>
            <c:strRef>
              <c:f>'Fanchart '!$AA$17</c:f>
              <c:strCache>
                <c:ptCount val="1"/>
                <c:pt idx="0">
                  <c:v>5-10</c:v>
                </c:pt>
              </c:strCache>
            </c:strRef>
          </c:tx>
          <c:spPr>
            <a:solidFill>
              <a:srgbClr val="F2F7FC"/>
            </a:solidFill>
            <a:ln w="25400">
              <a:noFill/>
            </a:ln>
            <a:effectLst/>
          </c:spPr>
          <c:val>
            <c:numRef>
              <c:f>'Fanchart '!$AD$17:$AL$17</c:f>
              <c:numCache>
                <c:formatCode>_(* #,##0.00_);_(* \(#,##0.00\);_(* "-"??_);_(@_)</c:formatCode>
                <c:ptCount val="9"/>
                <c:pt idx="0">
                  <c:v>0</c:v>
                </c:pt>
                <c:pt idx="1">
                  <c:v>0</c:v>
                </c:pt>
                <c:pt idx="2">
                  <c:v>0</c:v>
                </c:pt>
                <c:pt idx="3">
                  <c:v>0.22600182606741503</c:v>
                </c:pt>
                <c:pt idx="4">
                  <c:v>0.37036043034704247</c:v>
                </c:pt>
                <c:pt idx="5">
                  <c:v>0.42046739086870399</c:v>
                </c:pt>
                <c:pt idx="6">
                  <c:v>0.4552739270408912</c:v>
                </c:pt>
                <c:pt idx="7">
                  <c:v>0.50600867939010041</c:v>
                </c:pt>
                <c:pt idx="8">
                  <c:v>0.5409460322890558</c:v>
                </c:pt>
              </c:numCache>
            </c:numRef>
          </c:val>
          <c:extLst>
            <c:ext xmlns:c16="http://schemas.microsoft.com/office/drawing/2014/chart" uri="{C3380CC4-5D6E-409C-BE32-E72D297353CC}">
              <c16:uniqueId val="{00000001-3A32-44DF-9320-4572F0FA4B28}"/>
            </c:ext>
          </c:extLst>
        </c:ser>
        <c:ser>
          <c:idx val="2"/>
          <c:order val="2"/>
          <c:tx>
            <c:strRef>
              <c:f>'Fanchart '!$AA$18</c:f>
              <c:strCache>
                <c:ptCount val="1"/>
                <c:pt idx="0">
                  <c:v>10-15</c:v>
                </c:pt>
              </c:strCache>
            </c:strRef>
          </c:tx>
          <c:spPr>
            <a:solidFill>
              <a:schemeClr val="accent1">
                <a:lumMod val="20000"/>
                <a:lumOff val="80000"/>
              </a:schemeClr>
            </a:solidFill>
            <a:ln w="25400">
              <a:solidFill>
                <a:schemeClr val="accent1">
                  <a:lumMod val="20000"/>
                  <a:lumOff val="80000"/>
                </a:schemeClr>
              </a:solidFill>
            </a:ln>
            <a:effectLst/>
          </c:spPr>
          <c:val>
            <c:numRef>
              <c:f>'Fanchart '!$AD$18:$AL$18</c:f>
              <c:numCache>
                <c:formatCode>_(* #,##0.00_);_(* \(#,##0.00\);_(* "-"??_);_(@_)</c:formatCode>
                <c:ptCount val="9"/>
                <c:pt idx="0">
                  <c:v>0</c:v>
                </c:pt>
                <c:pt idx="1">
                  <c:v>0</c:v>
                </c:pt>
                <c:pt idx="2">
                  <c:v>0</c:v>
                </c:pt>
                <c:pt idx="3">
                  <c:v>0.15248235910160846</c:v>
                </c:pt>
                <c:pt idx="4">
                  <c:v>0.24837777015890938</c:v>
                </c:pt>
                <c:pt idx="5">
                  <c:v>0.28198140084955536</c:v>
                </c:pt>
                <c:pt idx="6">
                  <c:v>0.30532398589111187</c:v>
                </c:pt>
                <c:pt idx="7">
                  <c:v>0.339348637623623</c:v>
                </c:pt>
                <c:pt idx="8">
                  <c:v>0.36277895333031518</c:v>
                </c:pt>
              </c:numCache>
            </c:numRef>
          </c:val>
          <c:extLst>
            <c:ext xmlns:c16="http://schemas.microsoft.com/office/drawing/2014/chart" uri="{C3380CC4-5D6E-409C-BE32-E72D297353CC}">
              <c16:uniqueId val="{00000002-3A32-44DF-9320-4572F0FA4B28}"/>
            </c:ext>
          </c:extLst>
        </c:ser>
        <c:ser>
          <c:idx val="3"/>
          <c:order val="3"/>
          <c:tx>
            <c:strRef>
              <c:f>'Fanchart '!$AA$19</c:f>
              <c:strCache>
                <c:ptCount val="1"/>
                <c:pt idx="0">
                  <c:v>15-20</c:v>
                </c:pt>
              </c:strCache>
            </c:strRef>
          </c:tx>
          <c:spPr>
            <a:solidFill>
              <a:schemeClr val="accent1">
                <a:lumMod val="20000"/>
                <a:lumOff val="80000"/>
              </a:schemeClr>
            </a:solidFill>
            <a:ln w="25400">
              <a:solidFill>
                <a:schemeClr val="accent1">
                  <a:lumMod val="20000"/>
                  <a:lumOff val="80000"/>
                </a:schemeClr>
              </a:solidFill>
            </a:ln>
            <a:effectLst/>
          </c:spPr>
          <c:val>
            <c:numRef>
              <c:f>'Fanchart '!$AD$19:$AL$19</c:f>
              <c:numCache>
                <c:formatCode>_(* #,##0.00_);_(* \(#,##0.00\);_(* "-"??_);_(@_)</c:formatCode>
                <c:ptCount val="9"/>
                <c:pt idx="0">
                  <c:v>0</c:v>
                </c:pt>
                <c:pt idx="1">
                  <c:v>0</c:v>
                </c:pt>
                <c:pt idx="2">
                  <c:v>0</c:v>
                </c:pt>
                <c:pt idx="3">
                  <c:v>0.12118814522480692</c:v>
                </c:pt>
                <c:pt idx="4">
                  <c:v>0.1962497975116837</c:v>
                </c:pt>
                <c:pt idx="5">
                  <c:v>0.22280090840408584</c:v>
                </c:pt>
                <c:pt idx="6">
                  <c:v>0.24124449771916012</c:v>
                </c:pt>
                <c:pt idx="7">
                  <c:v>0.26812826839090187</c:v>
                </c:pt>
                <c:pt idx="8">
                  <c:v>0.28664117600792127</c:v>
                </c:pt>
              </c:numCache>
            </c:numRef>
          </c:val>
          <c:extLst>
            <c:ext xmlns:c16="http://schemas.microsoft.com/office/drawing/2014/chart" uri="{C3380CC4-5D6E-409C-BE32-E72D297353CC}">
              <c16:uniqueId val="{00000003-3A32-44DF-9320-4572F0FA4B28}"/>
            </c:ext>
          </c:extLst>
        </c:ser>
        <c:ser>
          <c:idx val="4"/>
          <c:order val="4"/>
          <c:tx>
            <c:strRef>
              <c:f>'Fanchart '!$AA$20</c:f>
              <c:strCache>
                <c:ptCount val="1"/>
                <c:pt idx="0">
                  <c:v>20-25</c:v>
                </c:pt>
              </c:strCache>
            </c:strRef>
          </c:tx>
          <c:spPr>
            <a:solidFill>
              <a:schemeClr val="accent1">
                <a:lumMod val="60000"/>
                <a:lumOff val="40000"/>
              </a:schemeClr>
            </a:solidFill>
            <a:ln w="25400">
              <a:solidFill>
                <a:schemeClr val="accent1">
                  <a:lumMod val="60000"/>
                  <a:lumOff val="40000"/>
                </a:schemeClr>
              </a:solidFill>
            </a:ln>
            <a:effectLst/>
          </c:spPr>
          <c:val>
            <c:numRef>
              <c:f>'Fanchart '!$AD$20:$AL$20</c:f>
              <c:numCache>
                <c:formatCode>_(* #,##0.00_);_(* \(#,##0.00\);_(* "-"??_);_(@_)</c:formatCode>
                <c:ptCount val="9"/>
                <c:pt idx="0">
                  <c:v>0</c:v>
                </c:pt>
                <c:pt idx="1">
                  <c:v>0</c:v>
                </c:pt>
                <c:pt idx="2">
                  <c:v>0</c:v>
                </c:pt>
                <c:pt idx="3">
                  <c:v>0.10396863780582333</c:v>
                </c:pt>
                <c:pt idx="4">
                  <c:v>0.16733897315945345</c:v>
                </c:pt>
                <c:pt idx="5">
                  <c:v>0.18997866853398104</c:v>
                </c:pt>
                <c:pt idx="6">
                  <c:v>0.20570521366417571</c:v>
                </c:pt>
                <c:pt idx="7">
                  <c:v>0.22862856255882047</c:v>
                </c:pt>
                <c:pt idx="8">
                  <c:v>0.24441421426449095</c:v>
                </c:pt>
              </c:numCache>
            </c:numRef>
          </c:val>
          <c:extLst>
            <c:ext xmlns:c16="http://schemas.microsoft.com/office/drawing/2014/chart" uri="{C3380CC4-5D6E-409C-BE32-E72D297353CC}">
              <c16:uniqueId val="{00000004-3A32-44DF-9320-4572F0FA4B28}"/>
            </c:ext>
          </c:extLst>
        </c:ser>
        <c:ser>
          <c:idx val="5"/>
          <c:order val="5"/>
          <c:tx>
            <c:strRef>
              <c:f>'Fanchart '!$AA$21</c:f>
              <c:strCache>
                <c:ptCount val="1"/>
                <c:pt idx="0">
                  <c:v>25-30</c:v>
                </c:pt>
              </c:strCache>
            </c:strRef>
          </c:tx>
          <c:spPr>
            <a:solidFill>
              <a:schemeClr val="accent1">
                <a:lumMod val="60000"/>
                <a:lumOff val="40000"/>
              </a:schemeClr>
            </a:solidFill>
            <a:ln w="25400">
              <a:solidFill>
                <a:schemeClr val="accent1">
                  <a:lumMod val="60000"/>
                  <a:lumOff val="40000"/>
                </a:schemeClr>
              </a:solidFill>
            </a:ln>
            <a:effectLst/>
          </c:spPr>
          <c:val>
            <c:numRef>
              <c:f>'Fanchart '!$AD$21:$AL$21</c:f>
              <c:numCache>
                <c:formatCode>_(* #,##0.00_);_(* \(#,##0.00\);_(* "-"??_);_(@_)</c:formatCode>
                <c:ptCount val="9"/>
                <c:pt idx="0">
                  <c:v>0</c:v>
                </c:pt>
                <c:pt idx="1">
                  <c:v>0</c:v>
                </c:pt>
                <c:pt idx="2">
                  <c:v>0</c:v>
                </c:pt>
                <c:pt idx="3">
                  <c:v>9.3367050035465304E-2</c:v>
                </c:pt>
                <c:pt idx="4">
                  <c:v>0.14928584462590844</c:v>
                </c:pt>
                <c:pt idx="5">
                  <c:v>0.1694830884732168</c:v>
                </c:pt>
                <c:pt idx="6">
                  <c:v>0.18351299751641026</c:v>
                </c:pt>
                <c:pt idx="7">
                  <c:v>0.2039632933248503</c:v>
                </c:pt>
                <c:pt idx="8">
                  <c:v>0.21804593231419056</c:v>
                </c:pt>
              </c:numCache>
            </c:numRef>
          </c:val>
          <c:extLst>
            <c:ext xmlns:c16="http://schemas.microsoft.com/office/drawing/2014/chart" uri="{C3380CC4-5D6E-409C-BE32-E72D297353CC}">
              <c16:uniqueId val="{00000005-3A32-44DF-9320-4572F0FA4B28}"/>
            </c:ext>
          </c:extLst>
        </c:ser>
        <c:ser>
          <c:idx val="6"/>
          <c:order val="6"/>
          <c:tx>
            <c:strRef>
              <c:f>'Fanchart '!$AA$22</c:f>
              <c:strCache>
                <c:ptCount val="1"/>
                <c:pt idx="0">
                  <c:v>30-35</c:v>
                </c:pt>
              </c:strCache>
            </c:strRef>
          </c:tx>
          <c:spPr>
            <a:solidFill>
              <a:schemeClr val="accent1">
                <a:lumMod val="75000"/>
              </a:schemeClr>
            </a:solidFill>
            <a:ln w="25400">
              <a:solidFill>
                <a:schemeClr val="accent1">
                  <a:lumMod val="75000"/>
                </a:schemeClr>
              </a:solidFill>
            </a:ln>
            <a:effectLst/>
          </c:spPr>
          <c:val>
            <c:numRef>
              <c:f>'Fanchart '!$AD$22:$AL$22</c:f>
              <c:numCache>
                <c:formatCode>_(* #,##0.00_);_(* \(#,##0.00\);_(* "-"??_);_(@_)</c:formatCode>
                <c:ptCount val="9"/>
                <c:pt idx="0">
                  <c:v>0</c:v>
                </c:pt>
                <c:pt idx="1">
                  <c:v>0</c:v>
                </c:pt>
                <c:pt idx="2">
                  <c:v>0</c:v>
                </c:pt>
                <c:pt idx="3">
                  <c:v>8.6518486329879796E-2</c:v>
                </c:pt>
                <c:pt idx="4">
                  <c:v>0.13732717800274097</c:v>
                </c:pt>
                <c:pt idx="5">
                  <c:v>0.15590650485006829</c:v>
                </c:pt>
                <c:pt idx="6">
                  <c:v>0.16881253637211269</c:v>
                </c:pt>
                <c:pt idx="7">
                  <c:v>0.18762464424296743</c:v>
                </c:pt>
                <c:pt idx="8">
                  <c:v>0.2005791817350091</c:v>
                </c:pt>
              </c:numCache>
            </c:numRef>
          </c:val>
          <c:extLst>
            <c:ext xmlns:c16="http://schemas.microsoft.com/office/drawing/2014/chart" uri="{C3380CC4-5D6E-409C-BE32-E72D297353CC}">
              <c16:uniqueId val="{00000006-3A32-44DF-9320-4572F0FA4B28}"/>
            </c:ext>
          </c:extLst>
        </c:ser>
        <c:ser>
          <c:idx val="7"/>
          <c:order val="7"/>
          <c:tx>
            <c:strRef>
              <c:f>'Fanchart '!$AA$23</c:f>
              <c:strCache>
                <c:ptCount val="1"/>
                <c:pt idx="0">
                  <c:v>35-40</c:v>
                </c:pt>
              </c:strCache>
            </c:strRef>
          </c:tx>
          <c:spPr>
            <a:solidFill>
              <a:schemeClr val="accent1">
                <a:lumMod val="75000"/>
              </a:schemeClr>
            </a:solidFill>
            <a:ln w="25400">
              <a:solidFill>
                <a:schemeClr val="accent1">
                  <a:lumMod val="75000"/>
                </a:schemeClr>
              </a:solidFill>
            </a:ln>
            <a:effectLst/>
          </c:spPr>
          <c:val>
            <c:numRef>
              <c:f>'Fanchart '!$AD$23:$AL$23</c:f>
              <c:numCache>
                <c:formatCode>_(* #,##0.00_);_(* \(#,##0.00\);_(* "-"??_);_(@_)</c:formatCode>
                <c:ptCount val="9"/>
                <c:pt idx="0">
                  <c:v>0</c:v>
                </c:pt>
                <c:pt idx="1">
                  <c:v>0</c:v>
                </c:pt>
                <c:pt idx="2">
                  <c:v>0</c:v>
                </c:pt>
                <c:pt idx="3">
                  <c:v>8.2097582865830798E-2</c:v>
                </c:pt>
                <c:pt idx="4">
                  <c:v>0.12923860468802895</c:v>
                </c:pt>
                <c:pt idx="5">
                  <c:v>0.14672360884171187</c:v>
                </c:pt>
                <c:pt idx="6">
                  <c:v>0.15886947486930469</c:v>
                </c:pt>
                <c:pt idx="7">
                  <c:v>0.17657354923994006</c:v>
                </c:pt>
                <c:pt idx="8">
                  <c:v>0.18876506423500405</c:v>
                </c:pt>
              </c:numCache>
            </c:numRef>
          </c:val>
          <c:extLst>
            <c:ext xmlns:c16="http://schemas.microsoft.com/office/drawing/2014/chart" uri="{C3380CC4-5D6E-409C-BE32-E72D297353CC}">
              <c16:uniqueId val="{00000007-3A32-44DF-9320-4572F0FA4B28}"/>
            </c:ext>
          </c:extLst>
        </c:ser>
        <c:ser>
          <c:idx val="8"/>
          <c:order val="8"/>
          <c:tx>
            <c:strRef>
              <c:f>'Fanchart '!$AA$24</c:f>
              <c:strCache>
                <c:ptCount val="1"/>
                <c:pt idx="0">
                  <c:v>40-45</c:v>
                </c:pt>
              </c:strCache>
            </c:strRef>
          </c:tx>
          <c:spPr>
            <a:solidFill>
              <a:srgbClr val="002060"/>
            </a:solidFill>
            <a:ln w="25400">
              <a:solidFill>
                <a:srgbClr val="002060"/>
              </a:solidFill>
            </a:ln>
            <a:effectLst/>
          </c:spPr>
          <c:val>
            <c:numRef>
              <c:f>'Fanchart '!$AD$24:$AL$24</c:f>
              <c:numCache>
                <c:formatCode>_(* #,##0.00_);_(* \(#,##0.00\);_(* "-"??_);_(@_)</c:formatCode>
                <c:ptCount val="9"/>
                <c:pt idx="0">
                  <c:v>0</c:v>
                </c:pt>
                <c:pt idx="1">
                  <c:v>0</c:v>
                </c:pt>
                <c:pt idx="2">
                  <c:v>0</c:v>
                </c:pt>
                <c:pt idx="3">
                  <c:v>7.9430361530277604E-2</c:v>
                </c:pt>
                <c:pt idx="4">
                  <c:v>0.12386013536984919</c:v>
                </c:pt>
                <c:pt idx="5">
                  <c:v>0.14061747336994035</c:v>
                </c:pt>
                <c:pt idx="6">
                  <c:v>0.15225786993715174</c:v>
                </c:pt>
                <c:pt idx="7">
                  <c:v>0.16922516119999154</c:v>
                </c:pt>
                <c:pt idx="8">
                  <c:v>0.18090930698055985</c:v>
                </c:pt>
              </c:numCache>
            </c:numRef>
          </c:val>
          <c:extLst>
            <c:ext xmlns:c16="http://schemas.microsoft.com/office/drawing/2014/chart" uri="{C3380CC4-5D6E-409C-BE32-E72D297353CC}">
              <c16:uniqueId val="{00000008-3A32-44DF-9320-4572F0FA4B28}"/>
            </c:ext>
          </c:extLst>
        </c:ser>
        <c:ser>
          <c:idx val="9"/>
          <c:order val="9"/>
          <c:tx>
            <c:strRef>
              <c:f>'Fanchart '!$AA$25</c:f>
              <c:strCache>
                <c:ptCount val="1"/>
                <c:pt idx="0">
                  <c:v>45-50</c:v>
                </c:pt>
              </c:strCache>
            </c:strRef>
          </c:tx>
          <c:spPr>
            <a:solidFill>
              <a:srgbClr val="002060"/>
            </a:solidFill>
            <a:ln w="25400">
              <a:solidFill>
                <a:srgbClr val="002060"/>
              </a:solidFill>
            </a:ln>
            <a:effectLst/>
          </c:spPr>
          <c:val>
            <c:numRef>
              <c:f>'Fanchart '!$AD$25:$AL$25</c:f>
              <c:numCache>
                <c:formatCode>_(* #,##0.00_);_(* \(#,##0.00\);_(* "-"??_);_(@_)</c:formatCode>
                <c:ptCount val="9"/>
                <c:pt idx="0">
                  <c:v>0</c:v>
                </c:pt>
                <c:pt idx="1">
                  <c:v>0</c:v>
                </c:pt>
                <c:pt idx="2">
                  <c:v>0</c:v>
                </c:pt>
                <c:pt idx="3">
                  <c:v>7.8171023157316721E-2</c:v>
                </c:pt>
                <c:pt idx="4">
                  <c:v>0.12042593367128163</c:v>
                </c:pt>
                <c:pt idx="5">
                  <c:v>0.13671865019771268</c:v>
                </c:pt>
                <c:pt idx="6">
                  <c:v>0.14803629990578582</c:v>
                </c:pt>
                <c:pt idx="7">
                  <c:v>0.16453314843657907</c:v>
                </c:pt>
                <c:pt idx="8">
                  <c:v>0.17589333434768539</c:v>
                </c:pt>
              </c:numCache>
            </c:numRef>
          </c:val>
          <c:extLst>
            <c:ext xmlns:c16="http://schemas.microsoft.com/office/drawing/2014/chart" uri="{C3380CC4-5D6E-409C-BE32-E72D297353CC}">
              <c16:uniqueId val="{00000009-3A32-44DF-9320-4572F0FA4B28}"/>
            </c:ext>
          </c:extLst>
        </c:ser>
        <c:ser>
          <c:idx val="10"/>
          <c:order val="10"/>
          <c:tx>
            <c:strRef>
              <c:f>'Fanchart '!$AA$26</c:f>
              <c:strCache>
                <c:ptCount val="1"/>
                <c:pt idx="0">
                  <c:v>50-55</c:v>
                </c:pt>
              </c:strCache>
            </c:strRef>
          </c:tx>
          <c:spPr>
            <a:solidFill>
              <a:srgbClr val="002060"/>
            </a:solidFill>
            <a:ln>
              <a:solidFill>
                <a:srgbClr val="002060"/>
              </a:solidFill>
            </a:ln>
            <a:effectLst/>
          </c:spPr>
          <c:val>
            <c:numRef>
              <c:f>'Fanchart '!$AD$26:$AL$26</c:f>
              <c:numCache>
                <c:formatCode>_(* #,##0.00_);_(* \(#,##0.00\);_(* "-"??_);_(@_)</c:formatCode>
                <c:ptCount val="9"/>
                <c:pt idx="0">
                  <c:v>0</c:v>
                </c:pt>
                <c:pt idx="1">
                  <c:v>0</c:v>
                </c:pt>
                <c:pt idx="2">
                  <c:v>0</c:v>
                </c:pt>
                <c:pt idx="3">
                  <c:v>7.8171023157316721E-2</c:v>
                </c:pt>
                <c:pt idx="4">
                  <c:v>0.1191054868474053</c:v>
                </c:pt>
                <c:pt idx="5">
                  <c:v>0.13521955692174759</c:v>
                </c:pt>
                <c:pt idx="6">
                  <c:v>0.14641311081295472</c:v>
                </c:pt>
                <c:pt idx="7">
                  <c:v>0.16272907462413366</c:v>
                </c:pt>
                <c:pt idx="8">
                  <c:v>0.17396469831722206</c:v>
                </c:pt>
              </c:numCache>
            </c:numRef>
          </c:val>
          <c:extLst>
            <c:ext xmlns:c16="http://schemas.microsoft.com/office/drawing/2014/chart" uri="{C3380CC4-5D6E-409C-BE32-E72D297353CC}">
              <c16:uniqueId val="{0000000A-3A32-44DF-9320-4572F0FA4B28}"/>
            </c:ext>
          </c:extLst>
        </c:ser>
        <c:ser>
          <c:idx val="11"/>
          <c:order val="11"/>
          <c:tx>
            <c:strRef>
              <c:f>'Fanchart '!$AA$27</c:f>
              <c:strCache>
                <c:ptCount val="1"/>
                <c:pt idx="0">
                  <c:v>55-60</c:v>
                </c:pt>
              </c:strCache>
            </c:strRef>
          </c:tx>
          <c:spPr>
            <a:solidFill>
              <a:srgbClr val="002060"/>
            </a:solidFill>
            <a:ln>
              <a:solidFill>
                <a:srgbClr val="002060"/>
              </a:solidFill>
            </a:ln>
            <a:effectLst/>
          </c:spPr>
          <c:val>
            <c:numRef>
              <c:f>'Fanchart '!$AD$27:$AL$27</c:f>
              <c:numCache>
                <c:formatCode>_(* #,##0.00_);_(* \(#,##0.00\);_(* "-"??_);_(@_)</c:formatCode>
                <c:ptCount val="9"/>
                <c:pt idx="0">
                  <c:v>0</c:v>
                </c:pt>
                <c:pt idx="1">
                  <c:v>0</c:v>
                </c:pt>
                <c:pt idx="2">
                  <c:v>0</c:v>
                </c:pt>
                <c:pt idx="3">
                  <c:v>7.9430361530277604E-2</c:v>
                </c:pt>
                <c:pt idx="4">
                  <c:v>0.11910548684740396</c:v>
                </c:pt>
                <c:pt idx="5">
                  <c:v>0.13521955692174759</c:v>
                </c:pt>
                <c:pt idx="6">
                  <c:v>0.14641311081295383</c:v>
                </c:pt>
                <c:pt idx="7">
                  <c:v>0.16272907462413366</c:v>
                </c:pt>
                <c:pt idx="8">
                  <c:v>0.17396469831722206</c:v>
                </c:pt>
              </c:numCache>
            </c:numRef>
          </c:val>
          <c:extLst>
            <c:ext xmlns:c16="http://schemas.microsoft.com/office/drawing/2014/chart" uri="{C3380CC4-5D6E-409C-BE32-E72D297353CC}">
              <c16:uniqueId val="{0000000B-3A32-44DF-9320-4572F0FA4B28}"/>
            </c:ext>
          </c:extLst>
        </c:ser>
        <c:ser>
          <c:idx val="12"/>
          <c:order val="12"/>
          <c:tx>
            <c:strRef>
              <c:f>'Fanchart '!$AA$28</c:f>
              <c:strCache>
                <c:ptCount val="1"/>
                <c:pt idx="0">
                  <c:v>60-65</c:v>
                </c:pt>
              </c:strCache>
            </c:strRef>
          </c:tx>
          <c:spPr>
            <a:solidFill>
              <a:schemeClr val="accent1">
                <a:lumMod val="75000"/>
              </a:schemeClr>
            </a:solidFill>
            <a:ln>
              <a:solidFill>
                <a:schemeClr val="accent1">
                  <a:lumMod val="75000"/>
                </a:schemeClr>
              </a:solidFill>
            </a:ln>
            <a:effectLst/>
          </c:spPr>
          <c:val>
            <c:numRef>
              <c:f>'Fanchart '!$AD$28:$AL$28</c:f>
              <c:numCache>
                <c:formatCode>_(* #,##0.00_);_(* \(#,##0.00\);_(* "-"??_);_(@_)</c:formatCode>
                <c:ptCount val="9"/>
                <c:pt idx="0">
                  <c:v>0</c:v>
                </c:pt>
                <c:pt idx="1">
                  <c:v>0</c:v>
                </c:pt>
                <c:pt idx="2">
                  <c:v>0</c:v>
                </c:pt>
                <c:pt idx="3">
                  <c:v>8.2097582865830798E-2</c:v>
                </c:pt>
                <c:pt idx="4">
                  <c:v>0.12148874178925473</c:v>
                </c:pt>
                <c:pt idx="5">
                  <c:v>0.1379252482026323</c:v>
                </c:pt>
                <c:pt idx="6">
                  <c:v>0.14934278079821528</c:v>
                </c:pt>
                <c:pt idx="7">
                  <c:v>0.16598522076438238</c:v>
                </c:pt>
                <c:pt idx="8">
                  <c:v>0.17744566496238701</c:v>
                </c:pt>
              </c:numCache>
            </c:numRef>
          </c:val>
          <c:extLst>
            <c:ext xmlns:c16="http://schemas.microsoft.com/office/drawing/2014/chart" uri="{C3380CC4-5D6E-409C-BE32-E72D297353CC}">
              <c16:uniqueId val="{0000000C-3A32-44DF-9320-4572F0FA4B28}"/>
            </c:ext>
          </c:extLst>
        </c:ser>
        <c:ser>
          <c:idx val="13"/>
          <c:order val="13"/>
          <c:tx>
            <c:strRef>
              <c:f>'Fanchart '!$AA$29</c:f>
              <c:strCache>
                <c:ptCount val="1"/>
                <c:pt idx="0">
                  <c:v>65-70</c:v>
                </c:pt>
              </c:strCache>
            </c:strRef>
          </c:tx>
          <c:spPr>
            <a:solidFill>
              <a:schemeClr val="accent1">
                <a:lumMod val="75000"/>
              </a:schemeClr>
            </a:solidFill>
            <a:ln>
              <a:solidFill>
                <a:schemeClr val="accent1">
                  <a:lumMod val="75000"/>
                </a:schemeClr>
              </a:solidFill>
            </a:ln>
            <a:effectLst/>
          </c:spPr>
          <c:val>
            <c:numRef>
              <c:f>'Fanchart '!$AD$29:$AL$29</c:f>
              <c:numCache>
                <c:formatCode>_(* #,##0.00_);_(* \(#,##0.00\);_(* "-"??_);_(@_)</c:formatCode>
                <c:ptCount val="9"/>
                <c:pt idx="0">
                  <c:v>0</c:v>
                </c:pt>
                <c:pt idx="1">
                  <c:v>0</c:v>
                </c:pt>
                <c:pt idx="2">
                  <c:v>0</c:v>
                </c:pt>
                <c:pt idx="3">
                  <c:v>8.6518486329879796E-2</c:v>
                </c:pt>
                <c:pt idx="4">
                  <c:v>0.12660836910764672</c:v>
                </c:pt>
                <c:pt idx="5">
                  <c:v>0.14373752231292913</c:v>
                </c:pt>
                <c:pt idx="6">
                  <c:v>0.1556361983537724</c:v>
                </c:pt>
                <c:pt idx="7">
                  <c:v>0.17297996330726662</c:v>
                </c:pt>
                <c:pt idx="8">
                  <c:v>0.18492335927786252</c:v>
                </c:pt>
              </c:numCache>
            </c:numRef>
          </c:val>
          <c:extLst>
            <c:ext xmlns:c16="http://schemas.microsoft.com/office/drawing/2014/chart" uri="{C3380CC4-5D6E-409C-BE32-E72D297353CC}">
              <c16:uniqueId val="{0000000D-3A32-44DF-9320-4572F0FA4B28}"/>
            </c:ext>
          </c:extLst>
        </c:ser>
        <c:ser>
          <c:idx val="14"/>
          <c:order val="14"/>
          <c:tx>
            <c:strRef>
              <c:f>'Fanchart '!$AA$30</c:f>
              <c:strCache>
                <c:ptCount val="1"/>
                <c:pt idx="0">
                  <c:v>70-75</c:v>
                </c:pt>
              </c:strCache>
            </c:strRef>
          </c:tx>
          <c:spPr>
            <a:solidFill>
              <a:schemeClr val="accent1">
                <a:lumMod val="60000"/>
                <a:lumOff val="40000"/>
              </a:schemeClr>
            </a:solidFill>
            <a:ln>
              <a:solidFill>
                <a:schemeClr val="accent1">
                  <a:lumMod val="60000"/>
                  <a:lumOff val="40000"/>
                </a:schemeClr>
              </a:solidFill>
            </a:ln>
            <a:effectLst/>
          </c:spPr>
          <c:val>
            <c:numRef>
              <c:f>'Fanchart '!$AD$30:$AL$30</c:f>
              <c:numCache>
                <c:formatCode>_(* #,##0.00_);_(* \(#,##0.00\);_(* "-"??_);_(@_)</c:formatCode>
                <c:ptCount val="9"/>
                <c:pt idx="0">
                  <c:v>0</c:v>
                </c:pt>
                <c:pt idx="1">
                  <c:v>0</c:v>
                </c:pt>
                <c:pt idx="2">
                  <c:v>0</c:v>
                </c:pt>
                <c:pt idx="3">
                  <c:v>9.3367050035465304E-2</c:v>
                </c:pt>
                <c:pt idx="4">
                  <c:v>0.13531883653656873</c:v>
                </c:pt>
                <c:pt idx="5">
                  <c:v>0.15362644999792519</c:v>
                </c:pt>
                <c:pt idx="6">
                  <c:v>0.16634373724773965</c:v>
                </c:pt>
                <c:pt idx="7">
                  <c:v>0.18488072742628781</c:v>
                </c:pt>
                <c:pt idx="8">
                  <c:v>0.19764581127048864</c:v>
                </c:pt>
              </c:numCache>
            </c:numRef>
          </c:val>
          <c:extLst>
            <c:ext xmlns:c16="http://schemas.microsoft.com/office/drawing/2014/chart" uri="{C3380CC4-5D6E-409C-BE32-E72D297353CC}">
              <c16:uniqueId val="{0000000E-3A32-44DF-9320-4572F0FA4B28}"/>
            </c:ext>
          </c:extLst>
        </c:ser>
        <c:ser>
          <c:idx val="15"/>
          <c:order val="15"/>
          <c:tx>
            <c:strRef>
              <c:f>'Fanchart '!$AA$31</c:f>
              <c:strCache>
                <c:ptCount val="1"/>
                <c:pt idx="0">
                  <c:v>75-80</c:v>
                </c:pt>
              </c:strCache>
            </c:strRef>
          </c:tx>
          <c:spPr>
            <a:solidFill>
              <a:schemeClr val="accent1">
                <a:lumMod val="60000"/>
                <a:lumOff val="40000"/>
              </a:schemeClr>
            </a:solidFill>
            <a:ln>
              <a:solidFill>
                <a:schemeClr val="accent1">
                  <a:lumMod val="60000"/>
                  <a:lumOff val="40000"/>
                </a:schemeClr>
              </a:solidFill>
            </a:ln>
            <a:effectLst/>
          </c:spPr>
          <c:val>
            <c:numRef>
              <c:f>'Fanchart '!$AD$31:$AL$31</c:f>
              <c:numCache>
                <c:formatCode>_(* #,##0.00_);_(* \(#,##0.00\);_(* "-"??_);_(@_)</c:formatCode>
                <c:ptCount val="9"/>
                <c:pt idx="0">
                  <c:v>0</c:v>
                </c:pt>
                <c:pt idx="1">
                  <c:v>0</c:v>
                </c:pt>
                <c:pt idx="2">
                  <c:v>0</c:v>
                </c:pt>
                <c:pt idx="3">
                  <c:v>0.10396863780582333</c:v>
                </c:pt>
                <c:pt idx="4">
                  <c:v>0.14940701138271217</c:v>
                </c:pt>
                <c:pt idx="5">
                  <c:v>0.16962064817430367</c:v>
                </c:pt>
                <c:pt idx="6">
                  <c:v>0.18366194448989059</c:v>
                </c:pt>
                <c:pt idx="7">
                  <c:v>0.20412883863037479</c:v>
                </c:pt>
                <c:pt idx="8">
                  <c:v>0.2182229076899791</c:v>
                </c:pt>
              </c:numCache>
            </c:numRef>
          </c:val>
          <c:extLst>
            <c:ext xmlns:c16="http://schemas.microsoft.com/office/drawing/2014/chart" uri="{C3380CC4-5D6E-409C-BE32-E72D297353CC}">
              <c16:uniqueId val="{0000000F-3A32-44DF-9320-4572F0FA4B28}"/>
            </c:ext>
          </c:extLst>
        </c:ser>
        <c:ser>
          <c:idx val="16"/>
          <c:order val="16"/>
          <c:tx>
            <c:strRef>
              <c:f>'Fanchart '!$AA$32</c:f>
              <c:strCache>
                <c:ptCount val="1"/>
                <c:pt idx="0">
                  <c:v>80-85</c:v>
                </c:pt>
              </c:strCache>
            </c:strRef>
          </c:tx>
          <c:spPr>
            <a:solidFill>
              <a:schemeClr val="accent1">
                <a:lumMod val="20000"/>
                <a:lumOff val="80000"/>
              </a:schemeClr>
            </a:solidFill>
            <a:ln>
              <a:solidFill>
                <a:schemeClr val="accent1">
                  <a:lumMod val="20000"/>
                  <a:lumOff val="80000"/>
                </a:schemeClr>
              </a:solidFill>
            </a:ln>
            <a:effectLst/>
          </c:spPr>
          <c:val>
            <c:numRef>
              <c:f>'Fanchart '!$AD$32:$AL$32</c:f>
              <c:numCache>
                <c:formatCode>_(* #,##0.00_);_(* \(#,##0.00\);_(* "-"??_);_(@_)</c:formatCode>
                <c:ptCount val="9"/>
                <c:pt idx="0">
                  <c:v>0</c:v>
                </c:pt>
                <c:pt idx="1">
                  <c:v>0</c:v>
                </c:pt>
                <c:pt idx="2">
                  <c:v>0</c:v>
                </c:pt>
                <c:pt idx="3">
                  <c:v>0.12118814522480559</c:v>
                </c:pt>
                <c:pt idx="4">
                  <c:v>0.17281545324292846</c:v>
                </c:pt>
                <c:pt idx="5">
                  <c:v>0.19619607488510127</c:v>
                </c:pt>
                <c:pt idx="6">
                  <c:v>0.2124373005440523</c:v>
                </c:pt>
                <c:pt idx="7">
                  <c:v>0.23611085879697091</c:v>
                </c:pt>
                <c:pt idx="8">
                  <c:v>0.25241312540435068</c:v>
                </c:pt>
              </c:numCache>
            </c:numRef>
          </c:val>
          <c:extLst>
            <c:ext xmlns:c16="http://schemas.microsoft.com/office/drawing/2014/chart" uri="{C3380CC4-5D6E-409C-BE32-E72D297353CC}">
              <c16:uniqueId val="{00000010-3A32-44DF-9320-4572F0FA4B28}"/>
            </c:ext>
          </c:extLst>
        </c:ser>
        <c:ser>
          <c:idx val="17"/>
          <c:order val="17"/>
          <c:tx>
            <c:strRef>
              <c:f>'Fanchart '!$AA$33</c:f>
              <c:strCache>
                <c:ptCount val="1"/>
                <c:pt idx="0">
                  <c:v>85-90</c:v>
                </c:pt>
              </c:strCache>
            </c:strRef>
          </c:tx>
          <c:spPr>
            <a:solidFill>
              <a:schemeClr val="accent1">
                <a:lumMod val="20000"/>
                <a:lumOff val="80000"/>
              </a:schemeClr>
            </a:solidFill>
            <a:ln>
              <a:solidFill>
                <a:schemeClr val="accent1">
                  <a:lumMod val="20000"/>
                  <a:lumOff val="80000"/>
                </a:schemeClr>
              </a:solidFill>
            </a:ln>
            <a:effectLst/>
          </c:spPr>
          <c:val>
            <c:numRef>
              <c:f>'Fanchart '!$AD$33:$AL$33</c:f>
              <c:numCache>
                <c:formatCode>_(* #,##0.00_);_(* \(#,##0.00\);_(* "-"??_);_(@_)</c:formatCode>
                <c:ptCount val="9"/>
                <c:pt idx="0">
                  <c:v>0</c:v>
                </c:pt>
                <c:pt idx="1">
                  <c:v>0</c:v>
                </c:pt>
                <c:pt idx="2">
                  <c:v>0</c:v>
                </c:pt>
                <c:pt idx="3">
                  <c:v>0.15248235910160979</c:v>
                </c:pt>
                <c:pt idx="4">
                  <c:v>0.21587346558703313</c:v>
                </c:pt>
                <c:pt idx="5">
                  <c:v>0.24507951010887297</c:v>
                </c:pt>
                <c:pt idx="6">
                  <c:v>0.26536733508393962</c:v>
                </c:pt>
                <c:pt idx="7">
                  <c:v>0.29493930313965189</c:v>
                </c:pt>
                <c:pt idx="8">
                  <c:v>0.31530337778355388</c:v>
                </c:pt>
              </c:numCache>
            </c:numRef>
          </c:val>
          <c:extLst>
            <c:ext xmlns:c16="http://schemas.microsoft.com/office/drawing/2014/chart" uri="{C3380CC4-5D6E-409C-BE32-E72D297353CC}">
              <c16:uniqueId val="{00000011-3A32-44DF-9320-4572F0FA4B28}"/>
            </c:ext>
          </c:extLst>
        </c:ser>
        <c:ser>
          <c:idx val="18"/>
          <c:order val="18"/>
          <c:tx>
            <c:strRef>
              <c:f>'Fanchart '!$AA$34</c:f>
              <c:strCache>
                <c:ptCount val="1"/>
                <c:pt idx="0">
                  <c:v>90-95</c:v>
                </c:pt>
              </c:strCache>
            </c:strRef>
          </c:tx>
          <c:spPr>
            <a:solidFill>
              <a:srgbClr val="F5F9FD"/>
            </a:solidFill>
            <a:ln>
              <a:solidFill>
                <a:srgbClr val="F5F9FD"/>
              </a:solidFill>
            </a:ln>
            <a:effectLst/>
          </c:spPr>
          <c:val>
            <c:numRef>
              <c:f>'Fanchart '!$AD$34:$AL$34</c:f>
              <c:numCache>
                <c:formatCode>_(* #,##0.00_);_(* \(#,##0.00\);_(* "-"??_);_(@_)</c:formatCode>
                <c:ptCount val="9"/>
                <c:pt idx="0">
                  <c:v>0</c:v>
                </c:pt>
                <c:pt idx="1">
                  <c:v>0</c:v>
                </c:pt>
                <c:pt idx="2">
                  <c:v>0</c:v>
                </c:pt>
                <c:pt idx="3">
                  <c:v>0.22600182606741459</c:v>
                </c:pt>
                <c:pt idx="4">
                  <c:v>0.31762969741805858</c:v>
                </c:pt>
                <c:pt idx="5">
                  <c:v>0.36060258924162802</c:v>
                </c:pt>
                <c:pt idx="6">
                  <c:v>0.39045348217363607</c:v>
                </c:pt>
                <c:pt idx="7">
                  <c:v>0.43396478283326623</c:v>
                </c:pt>
                <c:pt idx="8">
                  <c:v>0.46392786722509705</c:v>
                </c:pt>
              </c:numCache>
            </c:numRef>
          </c:val>
          <c:extLst>
            <c:ext xmlns:c16="http://schemas.microsoft.com/office/drawing/2014/chart" uri="{C3380CC4-5D6E-409C-BE32-E72D297353CC}">
              <c16:uniqueId val="{00000012-3A32-44DF-9320-4572F0FA4B28}"/>
            </c:ext>
          </c:extLst>
        </c:ser>
        <c:dLbls>
          <c:showLegendKey val="0"/>
          <c:showVal val="0"/>
          <c:showCatName val="0"/>
          <c:showSerName val="0"/>
          <c:showPercent val="0"/>
          <c:showBubbleSize val="0"/>
        </c:dLbls>
        <c:axId val="85952192"/>
        <c:axId val="85960928"/>
      </c:areaChart>
      <c:lineChart>
        <c:grouping val="standard"/>
        <c:varyColors val="0"/>
        <c:ser>
          <c:idx val="19"/>
          <c:order val="19"/>
          <c:tx>
            <c:strRef>
              <c:f>'Fanchart '!$AA$35</c:f>
              <c:strCache>
                <c:ptCount val="1"/>
                <c:pt idx="0">
                  <c:v>Escenario base</c:v>
                </c:pt>
              </c:strCache>
            </c:strRef>
          </c:tx>
          <c:spPr>
            <a:ln w="28575" cap="rnd">
              <a:solidFill>
                <a:schemeClr val="tx1"/>
              </a:solidFill>
              <a:round/>
            </a:ln>
            <a:effectLst/>
          </c:spPr>
          <c:marker>
            <c:symbol val="none"/>
          </c:marker>
          <c:val>
            <c:numRef>
              <c:f>'Fanchart '!$AD$35:$AL$35</c:f>
              <c:numCache>
                <c:formatCode>_-* #,##0.0_-;\-* #,##0.0_-;_-* "-"??_-;_-@_-</c:formatCode>
                <c:ptCount val="9"/>
                <c:pt idx="0">
                  <c:v>4.002315053092409</c:v>
                </c:pt>
                <c:pt idx="1">
                  <c:v>-1.7640829231526656</c:v>
                </c:pt>
                <c:pt idx="2">
                  <c:v>7.9807695126552094</c:v>
                </c:pt>
                <c:pt idx="3" formatCode="_(* #,##0.00_);_(* \(#,##0.00\);_(* &quot;-&quot;??_);_(@_)">
                  <c:v>3</c:v>
                </c:pt>
                <c:pt idx="4" formatCode="_(* #,##0.00_);_(* \(#,##0.00\);_(* &quot;-&quot;??_);_(@_)">
                  <c:v>2.5</c:v>
                </c:pt>
                <c:pt idx="5" formatCode="_(* #,##0.00_);_(* \(#,##0.00\);_(* &quot;-&quot;??_);_(@_)">
                  <c:v>2.6</c:v>
                </c:pt>
                <c:pt idx="6" formatCode="_(* #,##0.00_);_(* \(#,##0.00\);_(* &quot;-&quot;??_);_(@_)">
                  <c:v>2.6</c:v>
                </c:pt>
                <c:pt idx="7" formatCode="_(* #,##0.00_);_(* \(#,##0.00\);_(* &quot;-&quot;??_);_(@_)">
                  <c:v>2.7</c:v>
                </c:pt>
                <c:pt idx="8" formatCode="_(* #,##0.00_);_(* \(#,##0.00\);_(* &quot;-&quot;??_);_(@_)">
                  <c:v>2.7</c:v>
                </c:pt>
              </c:numCache>
            </c:numRef>
          </c:val>
          <c:smooth val="0"/>
          <c:extLst>
            <c:ext xmlns:c16="http://schemas.microsoft.com/office/drawing/2014/chart" uri="{C3380CC4-5D6E-409C-BE32-E72D297353CC}">
              <c16:uniqueId val="{00000013-3A32-44DF-9320-4572F0FA4B28}"/>
            </c:ext>
          </c:extLst>
        </c:ser>
        <c:dLbls>
          <c:showLegendKey val="0"/>
          <c:showVal val="0"/>
          <c:showCatName val="0"/>
          <c:showSerName val="0"/>
          <c:showPercent val="0"/>
          <c:showBubbleSize val="0"/>
        </c:dLbls>
        <c:marker val="1"/>
        <c:smooth val="0"/>
        <c:axId val="85952192"/>
        <c:axId val="85960928"/>
      </c:lineChart>
      <c:catAx>
        <c:axId val="8595219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GT"/>
          </a:p>
        </c:txPr>
        <c:crossAx val="85960928"/>
        <c:crosses val="autoZero"/>
        <c:auto val="1"/>
        <c:lblAlgn val="ctr"/>
        <c:lblOffset val="100"/>
        <c:noMultiLvlLbl val="0"/>
      </c:catAx>
      <c:valAx>
        <c:axId val="85960928"/>
        <c:scaling>
          <c:orientation val="minMax"/>
          <c:max val="8"/>
        </c:scaling>
        <c:delete val="0"/>
        <c:axPos val="l"/>
        <c:numFmt formatCode="_(* #,##0.00_);_(* \(#,##0.00\);_(* &quot;-&quot;??_);_(@_)"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GT"/>
          </a:p>
        </c:txPr>
        <c:crossAx val="85952192"/>
        <c:crosses val="autoZero"/>
        <c:crossBetween val="midCat"/>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ayout>
        <c:manualLayout>
          <c:xMode val="edge"/>
          <c:yMode val="edge"/>
          <c:x val="0.38555319124212362"/>
          <c:y val="0.8276734669103829"/>
          <c:w val="0.2068672889422454"/>
          <c:h val="8.338410755263595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GT"/>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G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38192252400167"/>
          <c:y val="8.0174927113702624E-2"/>
          <c:w val="0.79977568883184758"/>
          <c:h val="0.63525975069442853"/>
        </c:manualLayout>
      </c:layout>
      <c:barChart>
        <c:barDir val="col"/>
        <c:grouping val="clustered"/>
        <c:varyColors val="0"/>
        <c:ser>
          <c:idx val="0"/>
          <c:order val="0"/>
          <c:tx>
            <c:strRef>
              <c:f>'[DESVIACIONES MACROECONOMICAS 2da revision.xlsx]Pry 15 de Diciembre 2021'!$F$28</c:f>
              <c:strCache>
                <c:ptCount val="1"/>
                <c:pt idx="0">
                  <c:v>Pronostico Exportaciones 2022</c:v>
                </c:pt>
              </c:strCache>
            </c:strRef>
          </c:tx>
          <c:spPr>
            <a:solidFill>
              <a:srgbClr val="5B9BD5">
                <a:lumMod val="50000"/>
              </a:srgbClr>
            </a:solidFill>
            <a:ln>
              <a:noFill/>
            </a:ln>
            <a:effectLst>
              <a:outerShdw blurRad="50800" dist="38100" dir="2700000" algn="tl" rotWithShape="0">
                <a:prstClr val="black">
                  <a:alpha val="40000"/>
                </a:prstClr>
              </a:outerShdw>
            </a:effectLst>
          </c:spPr>
          <c:invertIfNegative val="0"/>
          <c:dLbls>
            <c:dLbl>
              <c:idx val="2"/>
              <c:layout>
                <c:manualLayout>
                  <c:x val="-8.9736277765779685E-17"/>
                  <c:y val="0.2038572346823993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0D-46DB-9E7E-6F6B8FF9C10F}"/>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'[DESVIACIONES MACROECONOMICAS 2da revision.xlsx]Pry 15 de Diciembre 2021'!$G$21:$I$21</c:f>
              <c:strCache>
                <c:ptCount val="3"/>
                <c:pt idx="0">
                  <c:v>Dic/2021</c:v>
                </c:pt>
                <c:pt idx="1">
                  <c:v>Ene/2022</c:v>
                </c:pt>
                <c:pt idx="2">
                  <c:v>Abr/2022</c:v>
                </c:pt>
              </c:strCache>
            </c:strRef>
          </c:cat>
          <c:val>
            <c:numRef>
              <c:f>'[DESVIACIONES MACROECONOMICAS 2da revision.xlsx]Pry 15 de Diciembre 2021'!$G$28:$I$28</c:f>
              <c:numCache>
                <c:formatCode>General</c:formatCode>
                <c:ptCount val="3"/>
                <c:pt idx="0" formatCode="#,##0.0">
                  <c:v>7.5</c:v>
                </c:pt>
                <c:pt idx="1">
                  <c:v>7.5</c:v>
                </c:pt>
                <c:pt idx="2" formatCode="#,##0.0">
                  <c:v>10</c:v>
                </c:pt>
              </c:numCache>
            </c:numRef>
          </c:val>
          <c:extLst>
            <c:ext xmlns:c16="http://schemas.microsoft.com/office/drawing/2014/chart" uri="{C3380CC4-5D6E-409C-BE32-E72D297353CC}">
              <c16:uniqueId val="{00000001-AC0D-46DB-9E7E-6F6B8FF9C10F}"/>
            </c:ext>
          </c:extLst>
        </c:ser>
        <c:dLbls>
          <c:showLegendKey val="0"/>
          <c:showVal val="0"/>
          <c:showCatName val="0"/>
          <c:showSerName val="0"/>
          <c:showPercent val="0"/>
          <c:showBubbleSize val="0"/>
        </c:dLbls>
        <c:gapWidth val="75"/>
        <c:overlap val="-25"/>
        <c:axId val="210297823"/>
        <c:axId val="210279935"/>
      </c:barChart>
      <c:lineChart>
        <c:grouping val="standard"/>
        <c:varyColors val="0"/>
        <c:ser>
          <c:idx val="1"/>
          <c:order val="1"/>
          <c:tx>
            <c:strRef>
              <c:f>'[DESVIACIONES MACROECONOMICAS 2da revision.xlsx]Pry 15 de Diciembre 2021'!$F$29</c:f>
              <c:strCache>
                <c:ptCount val="1"/>
                <c:pt idx="0">
                  <c:v>Variación</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14"/>
            <c:spPr>
              <a:solidFill>
                <a:schemeClr val="accent2"/>
              </a:solidFill>
              <a:ln w="9525">
                <a:solidFill>
                  <a:schemeClr val="accent2"/>
                </a:solidFill>
              </a:ln>
              <a:effectLst>
                <a:outerShdw blurRad="50800" dist="38100" dir="2700000" algn="tl" rotWithShape="0">
                  <a:prstClr val="black">
                    <a:alpha val="40000"/>
                  </a:prstClr>
                </a:outerShdw>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'[DESVIACIONES MACROECONOMICAS 2da revision.xlsx]Pry 15 de Diciembre 2021'!$G$29:$I$29</c:f>
              <c:numCache>
                <c:formatCode>#,##0.0</c:formatCode>
                <c:ptCount val="3"/>
                <c:pt idx="1">
                  <c:v>0</c:v>
                </c:pt>
                <c:pt idx="2">
                  <c:v>2.5</c:v>
                </c:pt>
              </c:numCache>
            </c:numRef>
          </c:val>
          <c:smooth val="0"/>
          <c:extLst>
            <c:ext xmlns:c16="http://schemas.microsoft.com/office/drawing/2014/chart" uri="{C3380CC4-5D6E-409C-BE32-E72D297353CC}">
              <c16:uniqueId val="{00000002-AC0D-46DB-9E7E-6F6B8FF9C10F}"/>
            </c:ext>
          </c:extLst>
        </c:ser>
        <c:dLbls>
          <c:showLegendKey val="0"/>
          <c:showVal val="0"/>
          <c:showCatName val="0"/>
          <c:showSerName val="0"/>
          <c:showPercent val="0"/>
          <c:showBubbleSize val="0"/>
        </c:dLbls>
        <c:marker val="1"/>
        <c:smooth val="0"/>
        <c:axId val="210297823"/>
        <c:axId val="210279935"/>
      </c:lineChart>
      <c:catAx>
        <c:axId val="21029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279935"/>
        <c:crosses val="autoZero"/>
        <c:auto val="1"/>
        <c:lblAlgn val="ctr"/>
        <c:lblOffset val="100"/>
        <c:noMultiLvlLbl val="0"/>
      </c:catAx>
      <c:valAx>
        <c:axId val="210279935"/>
        <c:scaling>
          <c:orientation val="minMax"/>
          <c:max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297823"/>
        <c:crosses val="autoZero"/>
        <c:crossBetween val="between"/>
      </c:valAx>
      <c:spPr>
        <a:noFill/>
        <a:ln>
          <a:noFill/>
        </a:ln>
        <a:effectLst/>
      </c:spPr>
    </c:plotArea>
    <c:legend>
      <c:legendPos val="b"/>
      <c:layout>
        <c:manualLayout>
          <c:xMode val="edge"/>
          <c:yMode val="edge"/>
          <c:x val="2.4044846817055356E-2"/>
          <c:y val="0.86712311471270176"/>
          <c:w val="0.97148935678194415"/>
          <c:h val="0.13287688528729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24680832916565"/>
          <c:y val="8.0174927113702624E-2"/>
          <c:w val="0.79859267960781122"/>
          <c:h val="0.76508229838617114"/>
        </c:manualLayout>
      </c:layout>
      <c:barChart>
        <c:barDir val="col"/>
        <c:grouping val="clustered"/>
        <c:varyColors val="0"/>
        <c:ser>
          <c:idx val="0"/>
          <c:order val="0"/>
          <c:tx>
            <c:strRef>
              <c:f>'[DESVIACIONES MACROECONOMICAS 2da revision.xlsx]Pry 15 de Diciembre 2021'!$F$26</c:f>
              <c:strCache>
                <c:ptCount val="1"/>
                <c:pt idx="0">
                  <c:v>Pronostico Importaciones 2022</c:v>
                </c:pt>
              </c:strCache>
            </c:strRef>
          </c:tx>
          <c:spPr>
            <a:solidFill>
              <a:srgbClr val="5B9BD5">
                <a:lumMod val="50000"/>
              </a:srgbClr>
            </a:solidFill>
            <a:ln>
              <a:noFill/>
            </a:ln>
            <a:effectLst>
              <a:outerShdw blurRad="50800" dist="38100" dir="2700000" algn="tl" rotWithShape="0">
                <a:prstClr val="black">
                  <a:alpha val="40000"/>
                </a:prstClr>
              </a:outerShdw>
            </a:effectLst>
          </c:spPr>
          <c:invertIfNegative val="0"/>
          <c:dLbls>
            <c:dLbl>
              <c:idx val="2"/>
              <c:layout>
                <c:manualLayout>
                  <c:x val="4.9260090642288621E-3"/>
                  <c:y val="0.1904162993900743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16-4630-B4E5-C05F621F840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'[DESVIACIONES MACROECONOMICAS 2da revision.xlsx]Pry 15 de Diciembre 2021'!$G$21:$I$21</c:f>
              <c:strCache>
                <c:ptCount val="3"/>
                <c:pt idx="0">
                  <c:v>Dic/2021</c:v>
                </c:pt>
                <c:pt idx="1">
                  <c:v>Ene/2022</c:v>
                </c:pt>
                <c:pt idx="2">
                  <c:v>Abr/2022</c:v>
                </c:pt>
              </c:strCache>
            </c:strRef>
          </c:cat>
          <c:val>
            <c:numRef>
              <c:f>'[DESVIACIONES MACROECONOMICAS 2da revision.xlsx]Pry 15 de Diciembre 2021'!$G$26:$I$26</c:f>
              <c:numCache>
                <c:formatCode>General</c:formatCode>
                <c:ptCount val="3"/>
                <c:pt idx="0" formatCode="#,##0.0">
                  <c:v>7.5</c:v>
                </c:pt>
                <c:pt idx="1">
                  <c:v>7.5</c:v>
                </c:pt>
                <c:pt idx="2" formatCode="#,##0.0">
                  <c:v>12</c:v>
                </c:pt>
              </c:numCache>
            </c:numRef>
          </c:val>
          <c:extLst>
            <c:ext xmlns:c16="http://schemas.microsoft.com/office/drawing/2014/chart" uri="{C3380CC4-5D6E-409C-BE32-E72D297353CC}">
              <c16:uniqueId val="{00000001-2316-4630-B4E5-C05F621F8409}"/>
            </c:ext>
          </c:extLst>
        </c:ser>
        <c:dLbls>
          <c:showLegendKey val="0"/>
          <c:showVal val="0"/>
          <c:showCatName val="0"/>
          <c:showSerName val="0"/>
          <c:showPercent val="0"/>
          <c:showBubbleSize val="0"/>
        </c:dLbls>
        <c:gapWidth val="75"/>
        <c:overlap val="-25"/>
        <c:axId val="210297823"/>
        <c:axId val="210279935"/>
      </c:barChart>
      <c:lineChart>
        <c:grouping val="standard"/>
        <c:varyColors val="0"/>
        <c:ser>
          <c:idx val="1"/>
          <c:order val="1"/>
          <c:tx>
            <c:strRef>
              <c:f>'[DESVIACIONES MACROECONOMICAS 2da revision.xlsx]Pry 15 de Diciembre 2021'!$F$27</c:f>
              <c:strCache>
                <c:ptCount val="1"/>
                <c:pt idx="0">
                  <c:v>Variación</c:v>
                </c:pt>
              </c:strCache>
            </c:strRef>
          </c:tx>
          <c:spPr>
            <a:ln w="28575" cap="rnd">
              <a:solidFill>
                <a:schemeClr val="accent2"/>
              </a:solidFill>
              <a:round/>
            </a:ln>
            <a:effectLst>
              <a:outerShdw blurRad="50800" dist="38100" dir="2700000" algn="tl" rotWithShape="0">
                <a:prstClr val="black">
                  <a:alpha val="40000"/>
                </a:prstClr>
              </a:outerShdw>
            </a:effectLst>
          </c:spPr>
          <c:marker>
            <c:symbol val="circle"/>
            <c:size val="14"/>
            <c:spPr>
              <a:solidFill>
                <a:schemeClr val="accent2"/>
              </a:solidFill>
              <a:ln w="9525">
                <a:solidFill>
                  <a:schemeClr val="accent2"/>
                </a:solidFill>
              </a:ln>
              <a:effectLst>
                <a:outerShdw blurRad="50800" dist="38100" dir="2700000" algn="tl" rotWithShape="0">
                  <a:prstClr val="black">
                    <a:alpha val="40000"/>
                  </a:prstClr>
                </a:outerShdw>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'[DESVIACIONES MACROECONOMICAS 2da revision.xlsx]Pry 15 de Diciembre 2021'!$G$27:$I$27</c:f>
              <c:numCache>
                <c:formatCode>#,##0.0</c:formatCode>
                <c:ptCount val="3"/>
                <c:pt idx="1">
                  <c:v>0</c:v>
                </c:pt>
                <c:pt idx="2">
                  <c:v>4.5</c:v>
                </c:pt>
              </c:numCache>
            </c:numRef>
          </c:val>
          <c:smooth val="0"/>
          <c:extLst>
            <c:ext xmlns:c16="http://schemas.microsoft.com/office/drawing/2014/chart" uri="{C3380CC4-5D6E-409C-BE32-E72D297353CC}">
              <c16:uniqueId val="{00000002-2316-4630-B4E5-C05F621F8409}"/>
            </c:ext>
          </c:extLst>
        </c:ser>
        <c:dLbls>
          <c:showLegendKey val="0"/>
          <c:showVal val="0"/>
          <c:showCatName val="0"/>
          <c:showSerName val="0"/>
          <c:showPercent val="0"/>
          <c:showBubbleSize val="0"/>
        </c:dLbls>
        <c:marker val="1"/>
        <c:smooth val="0"/>
        <c:axId val="210297823"/>
        <c:axId val="210279935"/>
      </c:lineChart>
      <c:catAx>
        <c:axId val="21029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279935"/>
        <c:crosses val="autoZero"/>
        <c:auto val="1"/>
        <c:lblAlgn val="ctr"/>
        <c:lblOffset val="100"/>
        <c:noMultiLvlLbl val="0"/>
      </c:catAx>
      <c:valAx>
        <c:axId val="210279935"/>
        <c:scaling>
          <c:orientation val="minMax"/>
          <c:max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297823"/>
        <c:crosses val="autoZero"/>
        <c:crossBetween val="between"/>
      </c:valAx>
      <c:spPr>
        <a:noFill/>
        <a:ln>
          <a:noFill/>
        </a:ln>
        <a:effectLst/>
      </c:spPr>
    </c:plotArea>
    <c:legend>
      <c:legendPos val="b"/>
      <c:layout>
        <c:manualLayout>
          <c:xMode val="edge"/>
          <c:yMode val="edge"/>
          <c:x val="1.5499908892481499E-3"/>
          <c:y val="0.85551683950850999"/>
          <c:w val="0.99689963052993558"/>
          <c:h val="0.144483160491490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900">
                <a:solidFill>
                  <a:sysClr val="windowText" lastClr="000000"/>
                </a:solidFill>
              </a:rPr>
              <a:t>En porcentajes del PIB</a:t>
            </a:r>
          </a:p>
        </c:rich>
      </c:tx>
      <c:layout>
        <c:manualLayout>
          <c:xMode val="edge"/>
          <c:yMode val="edge"/>
          <c:x val="0.29853247181752313"/>
          <c:y val="1.7885370360750107E-4"/>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7.0765192812436923E-3"/>
          <c:y val="0.21340662605853514"/>
          <c:w val="0.96209728363866076"/>
          <c:h val="0.50309850456762495"/>
        </c:manualLayout>
      </c:layout>
      <c:barChart>
        <c:barDir val="col"/>
        <c:grouping val="clustered"/>
        <c:varyColors val="0"/>
        <c:ser>
          <c:idx val="0"/>
          <c:order val="0"/>
          <c:tx>
            <c:strRef>
              <c:f>Hoja1!$B$1</c:f>
              <c:strCache>
                <c:ptCount val="1"/>
                <c:pt idx="0">
                  <c:v>Presupuesto Vigente</c:v>
                </c:pt>
              </c:strCache>
            </c:strRef>
          </c:tx>
          <c:spPr>
            <a:solidFill>
              <a:srgbClr val="70AD47">
                <a:lumMod val="50000"/>
              </a:srgbClr>
            </a:solidFill>
            <a:ln>
              <a:solidFill>
                <a:schemeClr val="tx1"/>
              </a:solidFill>
            </a:ln>
            <a:effectLst>
              <a:outerShdw blurRad="50800" dist="38100" dir="2700000" algn="tl" rotWithShape="0">
                <a:prstClr val="black">
                  <a:alpha val="40000"/>
                </a:prstClr>
              </a:outerShdw>
            </a:effectLst>
          </c:spPr>
          <c:invertIfNegative val="0"/>
          <c:dPt>
            <c:idx val="0"/>
            <c:invertIfNegative val="0"/>
            <c:bubble3D val="0"/>
            <c:extLst>
              <c:ext xmlns:c16="http://schemas.microsoft.com/office/drawing/2014/chart" uri="{C3380CC4-5D6E-409C-BE32-E72D297353CC}">
                <c16:uniqueId val="{00000000-3697-4FA2-A9EA-7D38CAC7EA33}"/>
              </c:ext>
            </c:extLst>
          </c:dPt>
          <c:dLbls>
            <c:dLbl>
              <c:idx val="0"/>
              <c:layout>
                <c:manualLayout>
                  <c:x val="-7.4555998802537E-3"/>
                  <c:y val="2.1342257652756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97-4FA2-A9EA-7D38CAC7EA33}"/>
                </c:ext>
              </c:extLst>
            </c:dLbl>
            <c:dLbl>
              <c:idx val="1"/>
              <c:layout>
                <c:manualLayout>
                  <c:x val="-1.1326816906507376E-2"/>
                  <c:y val="1.9088462998728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97-4FA2-A9EA-7D38CAC7EA33}"/>
                </c:ext>
              </c:extLst>
            </c:dLbl>
            <c:dLbl>
              <c:idx val="2"/>
              <c:layout>
                <c:manualLayout>
                  <c:x val="-1.381215469613266E-2"/>
                  <c:y val="4.77213075638268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97-4FA2-A9EA-7D38CAC7EA33}"/>
                </c:ext>
              </c:extLst>
            </c:dLbl>
            <c:dLbl>
              <c:idx val="3"/>
              <c:layout>
                <c:manualLayout>
                  <c:x val="-3.7925464887180881E-3"/>
                  <c:y val="-1.012599919776238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97-4FA2-A9EA-7D38CAC7EA33}"/>
                </c:ext>
              </c:extLst>
            </c:dLbl>
            <c:spPr>
              <a:noFill/>
              <a:ln>
                <a:noFill/>
              </a:ln>
              <a:effectLst/>
            </c:spPr>
            <c:txPr>
              <a:bodyPr rot="0" spcFirstLastPara="1" vertOverflow="ellipsis" vert="horz" wrap="square" anchor="ctr" anchorCtr="1"/>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Hoja1!$B$2:$B$5</c:f>
              <c:numCache>
                <c:formatCode>0.0</c:formatCode>
                <c:ptCount val="4"/>
                <c:pt idx="0">
                  <c:v>10.307136829631297</c:v>
                </c:pt>
                <c:pt idx="1">
                  <c:v>9.627527749116533</c:v>
                </c:pt>
                <c:pt idx="2">
                  <c:v>15.724249655889603</c:v>
                </c:pt>
                <c:pt idx="3">
                  <c:v>5.4</c:v>
                </c:pt>
              </c:numCache>
            </c:numRef>
          </c:val>
          <c:extLst>
            <c:ext xmlns:c16="http://schemas.microsoft.com/office/drawing/2014/chart" uri="{C3380CC4-5D6E-409C-BE32-E72D297353CC}">
              <c16:uniqueId val="{00000004-3697-4FA2-A9EA-7D38CAC7EA33}"/>
            </c:ext>
          </c:extLst>
        </c:ser>
        <c:ser>
          <c:idx val="1"/>
          <c:order val="1"/>
          <c:tx>
            <c:strRef>
              <c:f>Hoja1!$C$1</c:f>
              <c:strCache>
                <c:ptCount val="1"/>
                <c:pt idx="0">
                  <c:v>Presupuesto Operativo</c:v>
                </c:pt>
              </c:strCache>
            </c:strRef>
          </c:tx>
          <c:spPr>
            <a:solidFill>
              <a:srgbClr val="70AD47">
                <a:lumMod val="60000"/>
                <a:lumOff val="40000"/>
              </a:srgb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4.6304225234445164E-3"/>
                  <c:y val="-4.0334109179748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97-4FA2-A9EA-7D38CAC7EA33}"/>
                </c:ext>
              </c:extLst>
            </c:dLbl>
            <c:dLbl>
              <c:idx val="1"/>
              <c:layout>
                <c:manualLayout>
                  <c:x val="-5.3885837214645658E-3"/>
                  <c:y val="-2.7474207233529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97-4FA2-A9EA-7D38CAC7EA33}"/>
                </c:ext>
              </c:extLst>
            </c:dLbl>
            <c:dLbl>
              <c:idx val="2"/>
              <c:layout>
                <c:manualLayout>
                  <c:x val="1.326259946949594E-2"/>
                  <c:y val="-1.62177325183150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97-4FA2-A9EA-7D38CAC7EA33}"/>
                </c:ext>
              </c:extLst>
            </c:dLbl>
            <c:dLbl>
              <c:idx val="3"/>
              <c:layout>
                <c:manualLayout>
                  <c:x val="4.4208664898320073E-3"/>
                  <c:y val="-5.52333609500138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97-4FA2-A9EA-7D38CAC7EA33}"/>
                </c:ext>
              </c:extLst>
            </c:dLbl>
            <c:spPr>
              <a:noFill/>
              <a:ln>
                <a:noFill/>
              </a:ln>
              <a:effectLst/>
            </c:spPr>
            <c:txPr>
              <a:bodyPr rot="0" spcFirstLastPara="1" vertOverflow="ellipsis" vert="horz" wrap="square" anchor="ctr" anchorCtr="1"/>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Ingresos Totales</c:v>
                </c:pt>
                <c:pt idx="1">
                  <c:v>Ingresos Tributarios</c:v>
                </c:pt>
                <c:pt idx="2">
                  <c:v>Gasto Total</c:v>
                </c:pt>
                <c:pt idx="3">
                  <c:v>Déficit</c:v>
                </c:pt>
              </c:strCache>
            </c:strRef>
          </c:cat>
          <c:val>
            <c:numRef>
              <c:f>Hoja1!$C$2:$C$5</c:f>
              <c:numCache>
                <c:formatCode>0.0</c:formatCode>
                <c:ptCount val="4"/>
                <c:pt idx="0">
                  <c:v>10.34903936286122</c:v>
                </c:pt>
                <c:pt idx="1">
                  <c:v>9.6274224935876838</c:v>
                </c:pt>
                <c:pt idx="2">
                  <c:v>13.641763108298017</c:v>
                </c:pt>
                <c:pt idx="3">
                  <c:v>3.2927237454367999</c:v>
                </c:pt>
              </c:numCache>
            </c:numRef>
          </c:val>
          <c:extLst>
            <c:ext xmlns:c16="http://schemas.microsoft.com/office/drawing/2014/chart" uri="{C3380CC4-5D6E-409C-BE32-E72D297353CC}">
              <c16:uniqueId val="{00000009-3697-4FA2-A9EA-7D38CAC7EA33}"/>
            </c:ext>
          </c:extLst>
        </c:ser>
        <c:ser>
          <c:idx val="2"/>
          <c:order val="2"/>
          <c:tx>
            <c:strRef>
              <c:f>Hoja1!$D$1</c:f>
              <c:strCache>
                <c:ptCount val="1"/>
                <c:pt idx="0">
                  <c:v>Ejecución</c:v>
                </c:pt>
              </c:strCache>
            </c:strRef>
          </c:tx>
          <c:spPr>
            <a:solidFill>
              <a:srgbClr val="70AD47">
                <a:lumMod val="20000"/>
                <a:lumOff val="80000"/>
              </a:srgb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1.4909807361612935E-2"/>
                  <c:y val="-3.1226002410076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97-4FA2-A9EA-7D38CAC7EA33}"/>
                </c:ext>
              </c:extLst>
            </c:dLbl>
            <c:dLbl>
              <c:idx val="1"/>
              <c:layout>
                <c:manualLayout>
                  <c:x val="5.5194692175414414E-3"/>
                  <c:y val="-2.463097773155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97-4FA2-A9EA-7D38CAC7EA33}"/>
                </c:ext>
              </c:extLst>
            </c:dLbl>
            <c:dLbl>
              <c:idx val="2"/>
              <c:layout>
                <c:manualLayout>
                  <c:x val="3.5287913281396771E-2"/>
                  <c:y val="3.0075652308167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697-4FA2-A9EA-7D38CAC7EA33}"/>
                </c:ext>
              </c:extLst>
            </c:dLbl>
            <c:dLbl>
              <c:idx val="3"/>
              <c:layout>
                <c:manualLayout>
                  <c:x val="1.3812154696132469E-2"/>
                  <c:y val="4.7721307563827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697-4FA2-A9EA-7D38CAC7EA33}"/>
                </c:ext>
              </c:extLst>
            </c:dLbl>
            <c:spPr>
              <a:noFill/>
              <a:ln>
                <a:noFill/>
              </a:ln>
              <a:effectLst/>
            </c:spPr>
            <c:txPr>
              <a:bodyPr rot="0" spcFirstLastPara="1" vertOverflow="ellipsis" vert="horz" wrap="square" anchor="ctr" anchorCtr="1"/>
              <a:lstStyle/>
              <a:p>
                <a:pPr>
                  <a:defRPr sz="8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Hoja1!$D$2:$D$5</c:f>
              <c:numCache>
                <c:formatCode>0.0</c:formatCode>
                <c:ptCount val="4"/>
                <c:pt idx="0">
                  <c:v>12.37428783761087</c:v>
                </c:pt>
                <c:pt idx="1">
                  <c:v>11.731338280944151</c:v>
                </c:pt>
                <c:pt idx="2">
                  <c:v>13.54274698278561</c:v>
                </c:pt>
                <c:pt idx="3">
                  <c:v>1.2</c:v>
                </c:pt>
              </c:numCache>
            </c:numRef>
          </c:val>
          <c:extLst>
            <c:ext xmlns:c16="http://schemas.microsoft.com/office/drawing/2014/chart" uri="{C3380CC4-5D6E-409C-BE32-E72D297353CC}">
              <c16:uniqueId val="{0000000E-3697-4FA2-A9EA-7D38CAC7EA33}"/>
            </c:ext>
          </c:extLst>
        </c:ser>
        <c:dLbls>
          <c:showLegendKey val="0"/>
          <c:showVal val="0"/>
          <c:showCatName val="0"/>
          <c:showSerName val="0"/>
          <c:showPercent val="0"/>
          <c:showBubbleSize val="0"/>
        </c:dLbls>
        <c:gapWidth val="279"/>
        <c:axId val="900815472"/>
        <c:axId val="900825872"/>
      </c:barChart>
      <c:catAx>
        <c:axId val="90081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00825872"/>
        <c:crosses val="autoZero"/>
        <c:auto val="1"/>
        <c:lblAlgn val="ctr"/>
        <c:lblOffset val="100"/>
        <c:noMultiLvlLbl val="0"/>
      </c:catAx>
      <c:valAx>
        <c:axId val="900825872"/>
        <c:scaling>
          <c:orientation val="minMax"/>
        </c:scaling>
        <c:delete val="1"/>
        <c:axPos val="l"/>
        <c:numFmt formatCode="0.0" sourceLinked="1"/>
        <c:majorTickMark val="none"/>
        <c:minorTickMark val="none"/>
        <c:tickLblPos val="nextTo"/>
        <c:crossAx val="900815472"/>
        <c:crosses val="autoZero"/>
        <c:crossBetween val="between"/>
      </c:valAx>
      <c:spPr>
        <a:noFill/>
        <a:ln>
          <a:noFill/>
        </a:ln>
        <a:effectLst/>
      </c:spPr>
    </c:plotArea>
    <c:legend>
      <c:legendPos val="b"/>
      <c:layout>
        <c:manualLayout>
          <c:xMode val="edge"/>
          <c:yMode val="edge"/>
          <c:x val="0"/>
          <c:y val="0.89533713008326321"/>
          <c:w val="0.97073386383731208"/>
          <c:h val="7.476604302878728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14741105877239E-2"/>
          <c:y val="0.17496031746031745"/>
          <c:w val="0.93691332611230638"/>
          <c:h val="0.65704144197681558"/>
        </c:manualLayout>
      </c:layout>
      <c:barChart>
        <c:barDir val="col"/>
        <c:grouping val="clustered"/>
        <c:varyColors val="0"/>
        <c:ser>
          <c:idx val="0"/>
          <c:order val="0"/>
          <c:tx>
            <c:strRef>
              <c:f>Hoja1!$B$1</c:f>
              <c:strCache>
                <c:ptCount val="1"/>
                <c:pt idx="0">
                  <c:v>Obs-Vigente</c:v>
                </c:pt>
              </c:strCache>
            </c:strRef>
          </c:tx>
          <c:spPr>
            <a:solidFill>
              <a:srgbClr val="ED7D31">
                <a:lumMod val="75000"/>
              </a:srgb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0"/>
                  <c:y val="1.019887812340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0C-444B-A9CB-57A98BACF2E7}"/>
                </c:ext>
              </c:extLst>
            </c:dLbl>
            <c:dLbl>
              <c:idx val="1"/>
              <c:layout>
                <c:manualLayout>
                  <c:x val="-4.2114129290376926E-3"/>
                  <c:y val="1.019887812340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0C-444B-A9CB-57A98BACF2E7}"/>
                </c:ext>
              </c:extLst>
            </c:dLbl>
            <c:dLbl>
              <c:idx val="3"/>
              <c:layout>
                <c:manualLayout>
                  <c:x val="0"/>
                  <c:y val="2.9906542056074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0C-444B-A9CB-57A98BACF2E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Hoja1!$B$2:$B$5</c:f>
              <c:numCache>
                <c:formatCode>0.0</c:formatCode>
                <c:ptCount val="4"/>
                <c:pt idx="0">
                  <c:v>2.1</c:v>
                </c:pt>
                <c:pt idx="1">
                  <c:v>2.1038105318276177</c:v>
                </c:pt>
                <c:pt idx="2">
                  <c:v>-2.1815026731039922</c:v>
                </c:pt>
                <c:pt idx="3">
                  <c:v>-4.2</c:v>
                </c:pt>
              </c:numCache>
            </c:numRef>
          </c:val>
          <c:extLst>
            <c:ext xmlns:c16="http://schemas.microsoft.com/office/drawing/2014/chart" uri="{C3380CC4-5D6E-409C-BE32-E72D297353CC}">
              <c16:uniqueId val="{00000003-450C-444B-A9CB-57A98BACF2E7}"/>
            </c:ext>
          </c:extLst>
        </c:ser>
        <c:ser>
          <c:idx val="1"/>
          <c:order val="1"/>
          <c:tx>
            <c:strRef>
              <c:f>Hoja1!$C$1</c:f>
              <c:strCache>
                <c:ptCount val="1"/>
                <c:pt idx="0">
                  <c:v>Obs-Operativo</c:v>
                </c:pt>
              </c:strCache>
            </c:strRef>
          </c:tx>
          <c:spPr>
            <a:solidFill>
              <a:srgbClr val="C00000"/>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4.2114129290376926E-3"/>
                  <c:y val="1.5298317185109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0C-444B-A9CB-57A98BACF2E7}"/>
                </c:ext>
              </c:extLst>
            </c:dLbl>
            <c:dLbl>
              <c:idx val="1"/>
              <c:layout>
                <c:manualLayout>
                  <c:x val="0"/>
                  <c:y val="1.0198878123406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0C-444B-A9CB-57A98BACF2E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Hoja1!$C$2:$C$5</c:f>
              <c:numCache>
                <c:formatCode>0.0</c:formatCode>
                <c:ptCount val="4"/>
                <c:pt idx="0">
                  <c:v>2.1</c:v>
                </c:pt>
                <c:pt idx="1">
                  <c:v>2.1039157873564669</c:v>
                </c:pt>
                <c:pt idx="2">
                  <c:v>-9.9016125512406461E-2</c:v>
                </c:pt>
                <c:pt idx="3">
                  <c:v>-2.0927237454367997</c:v>
                </c:pt>
              </c:numCache>
            </c:numRef>
          </c:val>
          <c:extLst>
            <c:ext xmlns:c16="http://schemas.microsoft.com/office/drawing/2014/chart" uri="{C3380CC4-5D6E-409C-BE32-E72D297353CC}">
              <c16:uniqueId val="{00000006-450C-444B-A9CB-57A98BACF2E7}"/>
            </c:ext>
          </c:extLst>
        </c:ser>
        <c:dLbls>
          <c:showLegendKey val="0"/>
          <c:showVal val="0"/>
          <c:showCatName val="0"/>
          <c:showSerName val="0"/>
          <c:showPercent val="0"/>
          <c:showBubbleSize val="0"/>
        </c:dLbls>
        <c:gapWidth val="201"/>
        <c:axId val="1599237615"/>
        <c:axId val="1599228879"/>
      </c:barChart>
      <c:catAx>
        <c:axId val="15992376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599228879"/>
        <c:crosses val="autoZero"/>
        <c:auto val="1"/>
        <c:lblAlgn val="ctr"/>
        <c:lblOffset val="100"/>
        <c:noMultiLvlLbl val="0"/>
      </c:catAx>
      <c:valAx>
        <c:axId val="1599228879"/>
        <c:scaling>
          <c:orientation val="minMax"/>
        </c:scaling>
        <c:delete val="1"/>
        <c:axPos val="l"/>
        <c:numFmt formatCode="0.0" sourceLinked="1"/>
        <c:majorTickMark val="none"/>
        <c:minorTickMark val="none"/>
        <c:tickLblPos val="nextTo"/>
        <c:crossAx val="1599237615"/>
        <c:crosses val="autoZero"/>
        <c:crossBetween val="between"/>
      </c:valAx>
      <c:spPr>
        <a:noFill/>
        <a:ln>
          <a:noFill/>
        </a:ln>
        <a:effectLst/>
      </c:spPr>
    </c:plotArea>
    <c:legend>
      <c:legendPos val="b"/>
      <c:layout>
        <c:manualLayout>
          <c:xMode val="edge"/>
          <c:yMode val="edge"/>
          <c:x val="0.49302712713658742"/>
          <c:y val="0.19219384292924627"/>
          <c:w val="0.46910099598257737"/>
          <c:h val="0.121349233033418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GT" sz="900" b="1">
                <a:solidFill>
                  <a:sysClr val="windowText" lastClr="000000"/>
                </a:solidFill>
              </a:rPr>
              <a:t> </a:t>
            </a:r>
          </a:p>
          <a:p>
            <a:pPr>
              <a:defRPr sz="900">
                <a:solidFill>
                  <a:sysClr val="windowText" lastClr="000000"/>
                </a:solidFill>
              </a:defRPr>
            </a:pPr>
            <a:r>
              <a:rPr lang="es-GT" sz="900">
                <a:solidFill>
                  <a:sysClr val="windowText" lastClr="000000"/>
                </a:solidFill>
              </a:rPr>
              <a:t>En porcentajes del PIB</a:t>
            </a:r>
          </a:p>
        </c:rich>
      </c:tx>
      <c:layout>
        <c:manualLayout>
          <c:xMode val="edge"/>
          <c:yMode val="edge"/>
          <c:x val="0.29853247181752313"/>
          <c:y val="1.7885370360750107E-4"/>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20502081325116342"/>
          <c:w val="0.96209728363866076"/>
          <c:h val="0.50309850456762495"/>
        </c:manualLayout>
      </c:layout>
      <c:barChart>
        <c:barDir val="col"/>
        <c:grouping val="clustered"/>
        <c:varyColors val="0"/>
        <c:ser>
          <c:idx val="0"/>
          <c:order val="0"/>
          <c:tx>
            <c:strRef>
              <c:f>Hoja1!$B$1</c:f>
              <c:strCache>
                <c:ptCount val="1"/>
                <c:pt idx="0">
                  <c:v>Presupuesto Inicial</c:v>
                </c:pt>
              </c:strCache>
            </c:strRef>
          </c:tx>
          <c:spPr>
            <a:solidFill>
              <a:srgbClr val="FFC000">
                <a:lumMod val="75000"/>
              </a:srgbClr>
            </a:solidFill>
            <a:ln>
              <a:solidFill>
                <a:schemeClr val="tx1"/>
              </a:solidFill>
            </a:ln>
            <a:effectLst>
              <a:outerShdw blurRad="50800" dist="38100" dir="2700000" algn="tl" rotWithShape="0">
                <a:prstClr val="black">
                  <a:alpha val="40000"/>
                </a:prstClr>
              </a:outerShdw>
            </a:effectLst>
          </c:spPr>
          <c:invertIfNegative val="0"/>
          <c:dPt>
            <c:idx val="0"/>
            <c:invertIfNegative val="0"/>
            <c:bubble3D val="0"/>
            <c:extLst>
              <c:ext xmlns:c16="http://schemas.microsoft.com/office/drawing/2014/chart" uri="{C3380CC4-5D6E-409C-BE32-E72D297353CC}">
                <c16:uniqueId val="{00000000-1627-4DF8-99F9-721F22644315}"/>
              </c:ext>
            </c:extLst>
          </c:dPt>
          <c:dLbls>
            <c:dLbl>
              <c:idx val="0"/>
              <c:layout>
                <c:manualLayout>
                  <c:x val="-2.0718232044198912E-2"/>
                  <c:y val="4.7721307563827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27-4DF8-99F9-721F22644315}"/>
                </c:ext>
              </c:extLst>
            </c:dLbl>
            <c:dLbl>
              <c:idx val="1"/>
              <c:layout>
                <c:manualLayout>
                  <c:x val="-6.9060773480662981E-3"/>
                  <c:y val="1.90885230255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27-4DF8-99F9-721F22644315}"/>
                </c:ext>
              </c:extLst>
            </c:dLbl>
            <c:dLbl>
              <c:idx val="2"/>
              <c:layout>
                <c:manualLayout>
                  <c:x val="-1.381215469613266E-2"/>
                  <c:y val="4.77213075638268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27-4DF8-99F9-721F22644315}"/>
                </c:ext>
              </c:extLst>
            </c:dLbl>
            <c:dLbl>
              <c:idx val="3"/>
              <c:layout>
                <c:manualLayout>
                  <c:x val="-1.26342387871132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27-4DF8-99F9-721F22644315}"/>
                </c:ext>
              </c:extLst>
            </c:dLbl>
            <c:spPr>
              <a:noFill/>
              <a:ln>
                <a:noFill/>
              </a:ln>
              <a:effectLst/>
            </c:spPr>
            <c:txPr>
              <a:bodyPr rot="0" spcFirstLastPara="1" vertOverflow="ellipsis" vert="horz" wrap="square" anchor="ctr" anchorCtr="1"/>
              <a:lstStyle/>
              <a:p>
                <a:pPr>
                  <a:defRPr sz="8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Hoja1!$B$2:$B$5</c:f>
              <c:numCache>
                <c:formatCode>0.0</c:formatCode>
                <c:ptCount val="4"/>
                <c:pt idx="0">
                  <c:v>11.492819687198255</c:v>
                </c:pt>
                <c:pt idx="1">
                  <c:v>10.751170773613616</c:v>
                </c:pt>
                <c:pt idx="2">
                  <c:v>14.296948125311165</c:v>
                </c:pt>
                <c:pt idx="3">
                  <c:v>2.8041284381129099</c:v>
                </c:pt>
              </c:numCache>
            </c:numRef>
          </c:val>
          <c:extLst>
            <c:ext xmlns:c16="http://schemas.microsoft.com/office/drawing/2014/chart" uri="{C3380CC4-5D6E-409C-BE32-E72D297353CC}">
              <c16:uniqueId val="{00000004-1627-4DF8-99F9-721F22644315}"/>
            </c:ext>
          </c:extLst>
        </c:ser>
        <c:ser>
          <c:idx val="1"/>
          <c:order val="1"/>
          <c:tx>
            <c:strRef>
              <c:f>Hoja1!$C$1</c:f>
              <c:strCache>
                <c:ptCount val="1"/>
                <c:pt idx="0">
                  <c:v>Presupuesto Vigente</c:v>
                </c:pt>
              </c:strCache>
            </c:strRef>
          </c:tx>
          <c:spPr>
            <a:solidFill>
              <a:srgbClr val="FFC000"/>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4.2114129290376926E-3"/>
                  <c:y val="-2.35626767200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27-4DF8-99F9-721F22644315}"/>
                </c:ext>
              </c:extLst>
            </c:dLbl>
            <c:dLbl>
              <c:idx val="1"/>
              <c:layout>
                <c:manualLayout>
                  <c:x val="3.453038674033149E-3"/>
                  <c:y val="-1.9088523025530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27-4DF8-99F9-721F22644315}"/>
                </c:ext>
              </c:extLst>
            </c:dLbl>
            <c:dLbl>
              <c:idx val="2"/>
              <c:layout>
                <c:manualLayout>
                  <c:x val="0"/>
                  <c:y val="-1.2668445441834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27-4DF8-99F9-721F22644315}"/>
                </c:ext>
              </c:extLst>
            </c:dLbl>
            <c:spPr>
              <a:noFill/>
              <a:ln>
                <a:noFill/>
              </a:ln>
              <a:effectLst/>
            </c:spPr>
            <c:txPr>
              <a:bodyPr rot="0" spcFirstLastPara="1" vertOverflow="ellipsis" vert="horz" wrap="square" anchor="ctr" anchorCtr="1"/>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Hoja1!$C$2:$C$5</c:f>
              <c:numCache>
                <c:formatCode>0.0</c:formatCode>
                <c:ptCount val="4"/>
                <c:pt idx="0">
                  <c:v>11.492819687198255</c:v>
                </c:pt>
                <c:pt idx="1">
                  <c:v>10.751170773613616</c:v>
                </c:pt>
                <c:pt idx="2">
                  <c:v>15.272726725319227</c:v>
                </c:pt>
                <c:pt idx="3">
                  <c:v>3.7799070381209701</c:v>
                </c:pt>
              </c:numCache>
            </c:numRef>
          </c:val>
          <c:extLst>
            <c:ext xmlns:c16="http://schemas.microsoft.com/office/drawing/2014/chart" uri="{C3380CC4-5D6E-409C-BE32-E72D297353CC}">
              <c16:uniqueId val="{00000008-1627-4DF8-99F9-721F22644315}"/>
            </c:ext>
          </c:extLst>
        </c:ser>
        <c:ser>
          <c:idx val="2"/>
          <c:order val="2"/>
          <c:tx>
            <c:strRef>
              <c:f>Hoja1!$D$1</c:f>
              <c:strCache>
                <c:ptCount val="1"/>
                <c:pt idx="0">
                  <c:v>Est. Cierre</c:v>
                </c:pt>
              </c:strCache>
            </c:strRef>
          </c:tx>
          <c:spPr>
            <a:solidFill>
              <a:srgbClr val="FFC000">
                <a:lumMod val="20000"/>
                <a:lumOff val="80000"/>
              </a:srgb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2.375170570513805E-2"/>
                  <c:y val="1.9088365603686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27-4DF8-99F9-721F22644315}"/>
                </c:ext>
              </c:extLst>
            </c:dLbl>
            <c:dLbl>
              <c:idx val="1"/>
              <c:layout>
                <c:manualLayout>
                  <c:x val="2.7623801666701475E-2"/>
                  <c:y val="-2.7493355783357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27-4DF8-99F9-721F22644315}"/>
                </c:ext>
              </c:extLst>
            </c:dLbl>
            <c:dLbl>
              <c:idx val="2"/>
              <c:layout>
                <c:manualLayout>
                  <c:x val="2.6446346765087642E-2"/>
                  <c:y val="1.902899507966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27-4DF8-99F9-721F22644315}"/>
                </c:ext>
              </c:extLst>
            </c:dLbl>
            <c:dLbl>
              <c:idx val="3"/>
              <c:layout>
                <c:manualLayout>
                  <c:x val="1.3812154696132469E-2"/>
                  <c:y val="4.7721307563827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27-4DF8-99F9-721F22644315}"/>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Hoja1!$D$2:$D$5</c:f>
              <c:numCache>
                <c:formatCode>0.0</c:formatCode>
                <c:ptCount val="4"/>
                <c:pt idx="0">
                  <c:v>12.274449203654418</c:v>
                </c:pt>
                <c:pt idx="1">
                  <c:v>11.666573971871212</c:v>
                </c:pt>
                <c:pt idx="2">
                  <c:v>14.727105240238458</c:v>
                </c:pt>
                <c:pt idx="3">
                  <c:v>2.4</c:v>
                </c:pt>
              </c:numCache>
            </c:numRef>
          </c:val>
          <c:extLst>
            <c:ext xmlns:c16="http://schemas.microsoft.com/office/drawing/2014/chart" uri="{C3380CC4-5D6E-409C-BE32-E72D297353CC}">
              <c16:uniqueId val="{0000000D-1627-4DF8-99F9-721F22644315}"/>
            </c:ext>
          </c:extLst>
        </c:ser>
        <c:dLbls>
          <c:showLegendKey val="0"/>
          <c:showVal val="0"/>
          <c:showCatName val="0"/>
          <c:showSerName val="0"/>
          <c:showPercent val="0"/>
          <c:showBubbleSize val="0"/>
        </c:dLbls>
        <c:gapWidth val="279"/>
        <c:axId val="900815472"/>
        <c:axId val="900825872"/>
      </c:barChart>
      <c:catAx>
        <c:axId val="90081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00825872"/>
        <c:crosses val="autoZero"/>
        <c:auto val="1"/>
        <c:lblAlgn val="ctr"/>
        <c:lblOffset val="100"/>
        <c:noMultiLvlLbl val="0"/>
      </c:catAx>
      <c:valAx>
        <c:axId val="900825872"/>
        <c:scaling>
          <c:orientation val="minMax"/>
        </c:scaling>
        <c:delete val="1"/>
        <c:axPos val="l"/>
        <c:numFmt formatCode="0.0" sourceLinked="1"/>
        <c:majorTickMark val="none"/>
        <c:minorTickMark val="none"/>
        <c:tickLblPos val="nextTo"/>
        <c:crossAx val="900815472"/>
        <c:crosses val="autoZero"/>
        <c:crossBetween val="between"/>
      </c:valAx>
      <c:spPr>
        <a:noFill/>
        <a:ln>
          <a:noFill/>
        </a:ln>
        <a:effectLst/>
      </c:spPr>
    </c:plotArea>
    <c:legend>
      <c:legendPos val="b"/>
      <c:layout>
        <c:manualLayout>
          <c:xMode val="edge"/>
          <c:yMode val="edge"/>
          <c:x val="0"/>
          <c:y val="0.89533713008326321"/>
          <c:w val="0.97073386383731208"/>
          <c:h val="7.476604302878728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14741105877239E-2"/>
          <c:y val="3.3481023875231025E-2"/>
          <c:w val="0.91584734788757849"/>
          <c:h val="0.79852039395397123"/>
        </c:manualLayout>
      </c:layout>
      <c:barChart>
        <c:barDir val="col"/>
        <c:grouping val="clustered"/>
        <c:varyColors val="0"/>
        <c:ser>
          <c:idx val="0"/>
          <c:order val="0"/>
          <c:tx>
            <c:strRef>
              <c:f>Hoja1!$B$1</c:f>
              <c:strCache>
                <c:ptCount val="1"/>
                <c:pt idx="0">
                  <c:v>Est.-Aprobado</c:v>
                </c:pt>
              </c:strCache>
            </c:strRef>
          </c:tx>
          <c:spPr>
            <a:solidFill>
              <a:srgbClr val="ED7D31">
                <a:lumMod val="75000"/>
              </a:srgb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1.2634238787113086E-2"/>
                  <c:y val="5.0994390617033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DC-4195-9F27-6A36DFD3839E}"/>
                </c:ext>
              </c:extLst>
            </c:dLbl>
            <c:dLbl>
              <c:idx val="1"/>
              <c:layout>
                <c:manualLayout>
                  <c:x val="-1.2634238787113115E-2"/>
                  <c:y val="5.09943906170321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DC-4195-9F27-6A36DFD3839E}"/>
                </c:ext>
              </c:extLst>
            </c:dLbl>
            <c:dLbl>
              <c:idx val="3"/>
              <c:layout>
                <c:manualLayout>
                  <c:x val="-9.643201542912247E-3"/>
                  <c:y val="5.10594842992085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DC-4195-9F27-6A36DFD3839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Hoja1!$B$2:$B$5</c:f>
              <c:numCache>
                <c:formatCode>0.0</c:formatCode>
                <c:ptCount val="4"/>
                <c:pt idx="0">
                  <c:v>0.78162951645616374</c:v>
                </c:pt>
                <c:pt idx="1">
                  <c:v>0.91540319825759653</c:v>
                </c:pt>
                <c:pt idx="2">
                  <c:v>0.4301571149272938</c:v>
                </c:pt>
                <c:pt idx="3">
                  <c:v>-0.35147240152886994</c:v>
                </c:pt>
              </c:numCache>
            </c:numRef>
          </c:val>
          <c:extLst>
            <c:ext xmlns:c16="http://schemas.microsoft.com/office/drawing/2014/chart" uri="{C3380CC4-5D6E-409C-BE32-E72D297353CC}">
              <c16:uniqueId val="{00000003-A5DC-4195-9F27-6A36DFD3839E}"/>
            </c:ext>
          </c:extLst>
        </c:ser>
        <c:ser>
          <c:idx val="1"/>
          <c:order val="1"/>
          <c:tx>
            <c:strRef>
              <c:f>Hoja1!$C$1</c:f>
              <c:strCache>
                <c:ptCount val="1"/>
                <c:pt idx="0">
                  <c:v>Est.-Vigente</c:v>
                </c:pt>
              </c:strCache>
            </c:strRef>
          </c:tx>
          <c:spPr>
            <a:solidFill>
              <a:sysClr val="window" lastClr="FFFFFF">
                <a:lumMod val="50000"/>
              </a:sys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4.2114129290376926E-3"/>
                  <c:y val="5.0994390617033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DC-4195-9F27-6A36DFD3839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Ingresos Totales</c:v>
                </c:pt>
                <c:pt idx="1">
                  <c:v>Ingresos Tributarios</c:v>
                </c:pt>
                <c:pt idx="2">
                  <c:v>Gasto Total</c:v>
                </c:pt>
                <c:pt idx="3">
                  <c:v>Déficit</c:v>
                </c:pt>
              </c:strCache>
            </c:strRef>
          </c:cat>
          <c:val>
            <c:numRef>
              <c:f>Hoja1!$C$2:$C$5</c:f>
              <c:numCache>
                <c:formatCode>0.0</c:formatCode>
                <c:ptCount val="4"/>
                <c:pt idx="0">
                  <c:v>0.78162951645616374</c:v>
                </c:pt>
                <c:pt idx="1">
                  <c:v>0.91540319825759653</c:v>
                </c:pt>
                <c:pt idx="2">
                  <c:v>-0.6</c:v>
                </c:pt>
                <c:pt idx="3">
                  <c:v>-1.4</c:v>
                </c:pt>
              </c:numCache>
            </c:numRef>
          </c:val>
          <c:extLst>
            <c:ext xmlns:c16="http://schemas.microsoft.com/office/drawing/2014/chart" uri="{C3380CC4-5D6E-409C-BE32-E72D297353CC}">
              <c16:uniqueId val="{00000005-A5DC-4195-9F27-6A36DFD3839E}"/>
            </c:ext>
          </c:extLst>
        </c:ser>
        <c:dLbls>
          <c:showLegendKey val="0"/>
          <c:showVal val="0"/>
          <c:showCatName val="0"/>
          <c:showSerName val="0"/>
          <c:showPercent val="0"/>
          <c:showBubbleSize val="0"/>
        </c:dLbls>
        <c:gapWidth val="201"/>
        <c:axId val="1599237615"/>
        <c:axId val="1599228879"/>
      </c:barChart>
      <c:catAx>
        <c:axId val="159923761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599228879"/>
        <c:crosses val="autoZero"/>
        <c:auto val="1"/>
        <c:lblAlgn val="ctr"/>
        <c:lblOffset val="100"/>
        <c:noMultiLvlLbl val="0"/>
      </c:catAx>
      <c:valAx>
        <c:axId val="1599228879"/>
        <c:scaling>
          <c:orientation val="minMax"/>
        </c:scaling>
        <c:delete val="1"/>
        <c:axPos val="l"/>
        <c:numFmt formatCode="0.0" sourceLinked="1"/>
        <c:majorTickMark val="none"/>
        <c:minorTickMark val="none"/>
        <c:tickLblPos val="nextTo"/>
        <c:crossAx val="1599237615"/>
        <c:crosses val="autoZero"/>
        <c:crossBetween val="between"/>
      </c:valAx>
      <c:spPr>
        <a:noFill/>
        <a:ln>
          <a:noFill/>
        </a:ln>
        <a:effectLst/>
      </c:spPr>
    </c:plotArea>
    <c:legend>
      <c:legendPos val="b"/>
      <c:layout>
        <c:manualLayout>
          <c:xMode val="edge"/>
          <c:yMode val="edge"/>
          <c:x val="0.61960910864926833"/>
          <c:y val="3.2361951540623435E-3"/>
          <c:w val="0.3726691166979248"/>
          <c:h val="0.146808480698911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20714285714285E-2"/>
          <c:y val="9.7013888888888886E-2"/>
          <c:w val="0.80972936507936522"/>
          <c:h val="0.65207222222222216"/>
        </c:manualLayout>
      </c:layout>
      <c:lineChart>
        <c:grouping val="standard"/>
        <c:varyColors val="0"/>
        <c:ser>
          <c:idx val="0"/>
          <c:order val="0"/>
          <c:tx>
            <c:strRef>
              <c:f>'[Modelo Trimestral gasolinas EIA.xlsx]E_Shock'!$N$200</c:f>
              <c:strCache>
                <c:ptCount val="1"/>
                <c:pt idx="0">
                  <c:v>WTI</c:v>
                </c:pt>
              </c:strCache>
            </c:strRef>
          </c:tx>
          <c:spPr>
            <a:ln w="22225" cap="rnd">
              <a:solidFill>
                <a:schemeClr val="accent2"/>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27DE-4770-A1FA-93C4A56C7094}"/>
                </c:ext>
              </c:extLst>
            </c:dLbl>
            <c:dLbl>
              <c:idx val="1"/>
              <c:delete val="1"/>
              <c:extLst>
                <c:ext xmlns:c15="http://schemas.microsoft.com/office/drawing/2012/chart" uri="{CE6537A1-D6FC-4f65-9D91-7224C49458BB}"/>
                <c:ext xmlns:c16="http://schemas.microsoft.com/office/drawing/2014/chart" uri="{C3380CC4-5D6E-409C-BE32-E72D297353CC}">
                  <c16:uniqueId val="{00000001-27DE-4770-A1FA-93C4A56C7094}"/>
                </c:ext>
              </c:extLst>
            </c:dLbl>
            <c:dLbl>
              <c:idx val="2"/>
              <c:delete val="1"/>
              <c:extLst>
                <c:ext xmlns:c15="http://schemas.microsoft.com/office/drawing/2012/chart" uri="{CE6537A1-D6FC-4f65-9D91-7224C49458BB}"/>
                <c:ext xmlns:c16="http://schemas.microsoft.com/office/drawing/2014/chart" uri="{C3380CC4-5D6E-409C-BE32-E72D297353CC}">
                  <c16:uniqueId val="{00000002-27DE-4770-A1FA-93C4A56C7094}"/>
                </c:ext>
              </c:extLst>
            </c:dLbl>
            <c:dLbl>
              <c:idx val="3"/>
              <c:delete val="1"/>
              <c:extLst>
                <c:ext xmlns:c15="http://schemas.microsoft.com/office/drawing/2012/chart" uri="{CE6537A1-D6FC-4f65-9D91-7224C49458BB}"/>
                <c:ext xmlns:c16="http://schemas.microsoft.com/office/drawing/2014/chart" uri="{C3380CC4-5D6E-409C-BE32-E72D297353CC}">
                  <c16:uniqueId val="{00000003-27DE-4770-A1FA-93C4A56C7094}"/>
                </c:ext>
              </c:extLst>
            </c:dLbl>
            <c:dLbl>
              <c:idx val="5"/>
              <c:delete val="1"/>
              <c:extLst>
                <c:ext xmlns:c15="http://schemas.microsoft.com/office/drawing/2012/chart" uri="{CE6537A1-D6FC-4f65-9D91-7224C49458BB}"/>
                <c:ext xmlns:c16="http://schemas.microsoft.com/office/drawing/2014/chart" uri="{C3380CC4-5D6E-409C-BE32-E72D297353CC}">
                  <c16:uniqueId val="{00000004-27DE-4770-A1FA-93C4A56C7094}"/>
                </c:ext>
              </c:extLst>
            </c:dLbl>
            <c:dLbl>
              <c:idx val="6"/>
              <c:delete val="1"/>
              <c:extLst>
                <c:ext xmlns:c15="http://schemas.microsoft.com/office/drawing/2012/chart" uri="{CE6537A1-D6FC-4f65-9D91-7224C49458BB}"/>
                <c:ext xmlns:c16="http://schemas.microsoft.com/office/drawing/2014/chart" uri="{C3380CC4-5D6E-409C-BE32-E72D297353CC}">
                  <c16:uniqueId val="{00000005-27DE-4770-A1FA-93C4A56C7094}"/>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accent2"/>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EIA.xlsx]E_Shock'!$O$200:$V$200</c:f>
              <c:numCache>
                <c:formatCode>_-* #,##0.0_-;\-* #,##0.0_-;_-* "-"??_-;_-@_-</c:formatCode>
                <c:ptCount val="8"/>
                <c:pt idx="0">
                  <c:v>95.18</c:v>
                </c:pt>
                <c:pt idx="1">
                  <c:v>108.72333333333331</c:v>
                </c:pt>
                <c:pt idx="2">
                  <c:v>98.833333333333329</c:v>
                </c:pt>
                <c:pt idx="3">
                  <c:v>92.333333333333329</c:v>
                </c:pt>
                <c:pt idx="4">
                  <c:v>112</c:v>
                </c:pt>
                <c:pt idx="5">
                  <c:v>112</c:v>
                </c:pt>
                <c:pt idx="6">
                  <c:v>112</c:v>
                </c:pt>
                <c:pt idx="7">
                  <c:v>112</c:v>
                </c:pt>
              </c:numCache>
            </c:numRef>
          </c:val>
          <c:smooth val="0"/>
          <c:extLst>
            <c:ext xmlns:c16="http://schemas.microsoft.com/office/drawing/2014/chart" uri="{C3380CC4-5D6E-409C-BE32-E72D297353CC}">
              <c16:uniqueId val="{00000006-27DE-4770-A1FA-93C4A56C7094}"/>
            </c:ext>
          </c:extLst>
        </c:ser>
        <c:ser>
          <c:idx val="1"/>
          <c:order val="1"/>
          <c:spPr>
            <a:ln w="22225" cap="rnd">
              <a:solidFill>
                <a:srgbClr val="002060"/>
              </a:solidFill>
              <a:prstDash val="solid"/>
              <a:round/>
            </a:ln>
            <a:effectLst/>
          </c:spPr>
          <c:marker>
            <c:symbol val="none"/>
          </c:marker>
          <c:dLbls>
            <c:dLbl>
              <c:idx val="1"/>
              <c:layout>
                <c:manualLayout>
                  <c:x val="-0.15892128767008307"/>
                  <c:y val="-5.2453472222222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DE-4770-A1FA-93C4A56C7094}"/>
                </c:ext>
              </c:extLst>
            </c:dLbl>
            <c:dLbl>
              <c:idx val="3"/>
              <c:layout>
                <c:manualLayout>
                  <c:x val="-0.13607749755781681"/>
                  <c:y val="7.1018750000000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DE-4770-A1FA-93C4A56C7094}"/>
                </c:ext>
              </c:extLst>
            </c:dLbl>
            <c:dLbl>
              <c:idx val="4"/>
              <c:delete val="1"/>
              <c:extLst>
                <c:ext xmlns:c15="http://schemas.microsoft.com/office/drawing/2012/chart" uri="{CE6537A1-D6FC-4f65-9D91-7224C49458BB}"/>
                <c:ext xmlns:c16="http://schemas.microsoft.com/office/drawing/2014/chart" uri="{C3380CC4-5D6E-409C-BE32-E72D297353CC}">
                  <c16:uniqueId val="{00000009-27DE-4770-A1FA-93C4A56C7094}"/>
                </c:ext>
              </c:extLst>
            </c:dLbl>
            <c:dLbl>
              <c:idx val="5"/>
              <c:delete val="1"/>
              <c:extLst>
                <c:ext xmlns:c15="http://schemas.microsoft.com/office/drawing/2012/chart" uri="{CE6537A1-D6FC-4f65-9D91-7224C49458BB}"/>
                <c:ext xmlns:c16="http://schemas.microsoft.com/office/drawing/2014/chart" uri="{C3380CC4-5D6E-409C-BE32-E72D297353CC}">
                  <c16:uniqueId val="{0000000A-27DE-4770-A1FA-93C4A56C7094}"/>
                </c:ext>
              </c:extLst>
            </c:dLbl>
            <c:dLbl>
              <c:idx val="6"/>
              <c:delete val="1"/>
              <c:extLst>
                <c:ext xmlns:c15="http://schemas.microsoft.com/office/drawing/2012/chart" uri="{CE6537A1-D6FC-4f65-9D91-7224C49458BB}"/>
                <c:ext xmlns:c16="http://schemas.microsoft.com/office/drawing/2014/chart" uri="{C3380CC4-5D6E-409C-BE32-E72D297353CC}">
                  <c16:uniqueId val="{0000000B-27DE-4770-A1FA-93C4A56C7094}"/>
                </c:ext>
              </c:extLst>
            </c:dLbl>
            <c:dLbl>
              <c:idx val="7"/>
              <c:layout>
                <c:manualLayout>
                  <c:x val="-6.6890487280856614E-2"/>
                  <c:y val="7.1018750000000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DE-4770-A1FA-93C4A56C7094}"/>
                </c:ext>
              </c:extLst>
            </c:dLbl>
            <c:spPr>
              <a:noFill/>
              <a:ln>
                <a:noFill/>
              </a:ln>
              <a:effectLst/>
            </c:spPr>
            <c:txPr>
              <a:bodyPr wrap="square" lIns="38100" tIns="19050" rIns="38100" bIns="19050" anchor="ctr">
                <a:spAutoFit/>
              </a:bodyPr>
              <a:lstStyle/>
              <a:p>
                <a:pPr>
                  <a:defRPr sz="500" b="0">
                    <a:solidFill>
                      <a:srgbClr val="002060"/>
                    </a:solidFill>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EIA.xlsx]E_Shock'!$D$200:$K$200</c:f>
              <c:numCache>
                <c:formatCode>_-* #,##0.0_-;\-* #,##0.0_-;_-* "-"??_-;_-@_-</c:formatCode>
                <c:ptCount val="8"/>
                <c:pt idx="0" formatCode="_(* #,##0.00_);_(* \(#,##0.00\);_(* &quot;-&quot;??_);_(@_)">
                  <c:v>95.18</c:v>
                </c:pt>
                <c:pt idx="1">
                  <c:v>108.72333333333331</c:v>
                </c:pt>
                <c:pt idx="2">
                  <c:v>98.833333333333329</c:v>
                </c:pt>
                <c:pt idx="3">
                  <c:v>92.333333333333329</c:v>
                </c:pt>
                <c:pt idx="4">
                  <c:v>91</c:v>
                </c:pt>
                <c:pt idx="5">
                  <c:v>90</c:v>
                </c:pt>
                <c:pt idx="6">
                  <c:v>89</c:v>
                </c:pt>
                <c:pt idx="7">
                  <c:v>89</c:v>
                </c:pt>
              </c:numCache>
            </c:numRef>
          </c:val>
          <c:smooth val="0"/>
          <c:extLst>
            <c:ext xmlns:c16="http://schemas.microsoft.com/office/drawing/2014/chart" uri="{C3380CC4-5D6E-409C-BE32-E72D297353CC}">
              <c16:uniqueId val="{0000000D-27DE-4770-A1FA-93C4A56C7094}"/>
            </c:ext>
          </c:extLst>
        </c:ser>
        <c:dLbls>
          <c:showLegendKey val="0"/>
          <c:showVal val="0"/>
          <c:showCatName val="0"/>
          <c:showSerName val="0"/>
          <c:showPercent val="0"/>
          <c:showBubbleSize val="0"/>
        </c:dLbls>
        <c:smooth val="0"/>
        <c:axId val="1882650704"/>
        <c:axId val="1882651120"/>
      </c:lineChart>
      <c:catAx>
        <c:axId val="18826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882651120"/>
        <c:crosses val="autoZero"/>
        <c:auto val="1"/>
        <c:lblAlgn val="ctr"/>
        <c:lblOffset val="100"/>
        <c:noMultiLvlLbl val="1"/>
      </c:catAx>
      <c:valAx>
        <c:axId val="1882651120"/>
        <c:scaling>
          <c:orientation val="minMax"/>
          <c:min val="80"/>
        </c:scaling>
        <c:delete val="1"/>
        <c:axPos val="l"/>
        <c:numFmt formatCode="_-* #,##0.0_-;\-* #,##0.0_-;_-* &quot;-&quot;??_-;_-@_-" sourceLinked="1"/>
        <c:majorTickMark val="out"/>
        <c:minorTickMark val="none"/>
        <c:tickLblPos val="nextTo"/>
        <c:crossAx val="1882650704"/>
        <c:crosses val="autoZero"/>
        <c:crossBetween val="between"/>
        <c:majorUnit val="4"/>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03325808050211E-2"/>
          <c:y val="0.1354983960338291"/>
          <c:w val="0.90233926178808066"/>
          <c:h val="0.75537544473607465"/>
        </c:manualLayout>
      </c:layout>
      <c:lineChart>
        <c:grouping val="standard"/>
        <c:varyColors val="0"/>
        <c:ser>
          <c:idx val="0"/>
          <c:order val="0"/>
          <c:tx>
            <c:strRef>
              <c:f>materias_primas!$B$1</c:f>
              <c:strCache>
                <c:ptCount val="1"/>
                <c:pt idx="0">
                  <c:v>Energía</c:v>
                </c:pt>
              </c:strCache>
            </c:strRef>
          </c:tx>
          <c:spPr>
            <a:ln w="28575" cap="rnd">
              <a:solidFill>
                <a:schemeClr val="accent1"/>
              </a:solidFill>
              <a:round/>
            </a:ln>
            <a:effectLst/>
          </c:spPr>
          <c:marker>
            <c:symbol val="none"/>
          </c:marker>
          <c:cat>
            <c:numRef>
              <c:f>materias_primas!$A$2:$A$79</c:f>
              <c:numCache>
                <c:formatCode>[$-C0A]mmm\-yy;@</c:formatCode>
                <c:ptCount val="7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numCache>
            </c:numRef>
          </c:cat>
          <c:val>
            <c:numRef>
              <c:f>materias_primas!$B$2:$B$79</c:f>
              <c:numCache>
                <c:formatCode>General</c:formatCode>
                <c:ptCount val="78"/>
                <c:pt idx="0">
                  <c:v>40.86</c:v>
                </c:pt>
                <c:pt idx="1">
                  <c:v>42.84</c:v>
                </c:pt>
                <c:pt idx="2">
                  <c:v>48.74</c:v>
                </c:pt>
                <c:pt idx="3">
                  <c:v>52.28</c:v>
                </c:pt>
                <c:pt idx="4">
                  <c:v>57.65</c:v>
                </c:pt>
                <c:pt idx="5">
                  <c:v>60.23</c:v>
                </c:pt>
                <c:pt idx="6">
                  <c:v>57.28</c:v>
                </c:pt>
                <c:pt idx="7">
                  <c:v>58.42</c:v>
                </c:pt>
                <c:pt idx="8">
                  <c:v>59.09</c:v>
                </c:pt>
                <c:pt idx="9">
                  <c:v>64.39</c:v>
                </c:pt>
                <c:pt idx="10">
                  <c:v>60.93</c:v>
                </c:pt>
                <c:pt idx="11">
                  <c:v>69.59</c:v>
                </c:pt>
                <c:pt idx="12">
                  <c:v>70.23</c:v>
                </c:pt>
                <c:pt idx="13">
                  <c:v>70.099999999999994</c:v>
                </c:pt>
                <c:pt idx="14">
                  <c:v>65.94</c:v>
                </c:pt>
                <c:pt idx="15">
                  <c:v>67.44</c:v>
                </c:pt>
                <c:pt idx="16">
                  <c:v>64.87</c:v>
                </c:pt>
                <c:pt idx="17">
                  <c:v>60.61</c:v>
                </c:pt>
                <c:pt idx="18">
                  <c:v>62.91</c:v>
                </c:pt>
                <c:pt idx="19">
                  <c:v>66.41</c:v>
                </c:pt>
                <c:pt idx="20">
                  <c:v>70.739999999999995</c:v>
                </c:pt>
                <c:pt idx="21">
                  <c:v>73.28</c:v>
                </c:pt>
                <c:pt idx="22">
                  <c:v>78.95</c:v>
                </c:pt>
                <c:pt idx="23">
                  <c:v>80.83</c:v>
                </c:pt>
                <c:pt idx="24">
                  <c:v>87.41</c:v>
                </c:pt>
                <c:pt idx="25">
                  <c:v>82.11</c:v>
                </c:pt>
                <c:pt idx="26">
                  <c:v>82.81</c:v>
                </c:pt>
                <c:pt idx="27">
                  <c:v>88.4</c:v>
                </c:pt>
                <c:pt idx="28">
                  <c:v>94.6</c:v>
                </c:pt>
                <c:pt idx="29">
                  <c:v>93.67</c:v>
                </c:pt>
                <c:pt idx="30">
                  <c:v>93.03</c:v>
                </c:pt>
                <c:pt idx="31">
                  <c:v>91.99</c:v>
                </c:pt>
                <c:pt idx="32">
                  <c:v>98.72</c:v>
                </c:pt>
                <c:pt idx="33">
                  <c:v>100.22</c:v>
                </c:pt>
                <c:pt idx="34">
                  <c:v>84.44</c:v>
                </c:pt>
                <c:pt idx="35">
                  <c:v>74.900000000000006</c:v>
                </c:pt>
                <c:pt idx="36">
                  <c:v>76.2</c:v>
                </c:pt>
                <c:pt idx="37">
                  <c:v>80.09</c:v>
                </c:pt>
                <c:pt idx="38">
                  <c:v>82.22</c:v>
                </c:pt>
                <c:pt idx="39">
                  <c:v>86.43</c:v>
                </c:pt>
                <c:pt idx="40">
                  <c:v>85.18</c:v>
                </c:pt>
                <c:pt idx="41">
                  <c:v>76.34</c:v>
                </c:pt>
                <c:pt idx="42">
                  <c:v>77.040000000000006</c:v>
                </c:pt>
                <c:pt idx="43">
                  <c:v>71.59</c:v>
                </c:pt>
                <c:pt idx="44">
                  <c:v>75.56</c:v>
                </c:pt>
                <c:pt idx="45">
                  <c:v>72.67</c:v>
                </c:pt>
                <c:pt idx="46">
                  <c:v>76.62</c:v>
                </c:pt>
                <c:pt idx="47">
                  <c:v>79.08</c:v>
                </c:pt>
                <c:pt idx="48">
                  <c:v>76.06</c:v>
                </c:pt>
                <c:pt idx="49">
                  <c:v>66.31</c:v>
                </c:pt>
                <c:pt idx="50">
                  <c:v>42.65</c:v>
                </c:pt>
                <c:pt idx="51">
                  <c:v>31.63</c:v>
                </c:pt>
                <c:pt idx="52">
                  <c:v>39.25</c:v>
                </c:pt>
                <c:pt idx="53">
                  <c:v>48.52</c:v>
                </c:pt>
                <c:pt idx="54">
                  <c:v>51.65</c:v>
                </c:pt>
                <c:pt idx="55">
                  <c:v>54.3</c:v>
                </c:pt>
                <c:pt idx="56">
                  <c:v>51.17</c:v>
                </c:pt>
                <c:pt idx="57">
                  <c:v>51.62</c:v>
                </c:pt>
                <c:pt idx="58">
                  <c:v>55.3</c:v>
                </c:pt>
                <c:pt idx="59">
                  <c:v>63.75</c:v>
                </c:pt>
                <c:pt idx="60">
                  <c:v>69.88</c:v>
                </c:pt>
                <c:pt idx="61">
                  <c:v>80.38</c:v>
                </c:pt>
                <c:pt idx="62">
                  <c:v>80.77</c:v>
                </c:pt>
                <c:pt idx="63">
                  <c:v>80.8</c:v>
                </c:pt>
                <c:pt idx="64">
                  <c:v>86.28</c:v>
                </c:pt>
                <c:pt idx="65">
                  <c:v>93.92</c:v>
                </c:pt>
                <c:pt idx="66">
                  <c:v>98.29</c:v>
                </c:pt>
                <c:pt idx="67">
                  <c:v>96.32</c:v>
                </c:pt>
                <c:pt idx="68">
                  <c:v>107.18</c:v>
                </c:pt>
                <c:pt idx="69">
                  <c:v>123.37</c:v>
                </c:pt>
                <c:pt idx="70">
                  <c:v>115.01</c:v>
                </c:pt>
                <c:pt idx="71">
                  <c:v>112.37</c:v>
                </c:pt>
                <c:pt idx="72">
                  <c:v>121.31</c:v>
                </c:pt>
                <c:pt idx="73">
                  <c:v>131.27000000000001</c:v>
                </c:pt>
                <c:pt idx="74">
                  <c:v>163.19</c:v>
                </c:pt>
                <c:pt idx="75">
                  <c:v>153.19</c:v>
                </c:pt>
                <c:pt idx="76">
                  <c:v>160.93</c:v>
                </c:pt>
                <c:pt idx="77">
                  <c:v>171.24</c:v>
                </c:pt>
              </c:numCache>
            </c:numRef>
          </c:val>
          <c:smooth val="0"/>
          <c:extLst>
            <c:ext xmlns:c16="http://schemas.microsoft.com/office/drawing/2014/chart" uri="{C3380CC4-5D6E-409C-BE32-E72D297353CC}">
              <c16:uniqueId val="{00000000-91D3-4C24-9DEA-DB411D5C73E2}"/>
            </c:ext>
          </c:extLst>
        </c:ser>
        <c:ser>
          <c:idx val="1"/>
          <c:order val="1"/>
          <c:tx>
            <c:strRef>
              <c:f>materias_primas!$C$1</c:f>
              <c:strCache>
                <c:ptCount val="1"/>
                <c:pt idx="0">
                  <c:v>Metales y minerales</c:v>
                </c:pt>
              </c:strCache>
            </c:strRef>
          </c:tx>
          <c:spPr>
            <a:ln w="28575" cap="rnd">
              <a:solidFill>
                <a:schemeClr val="accent2"/>
              </a:solidFill>
              <a:round/>
            </a:ln>
            <a:effectLst/>
          </c:spPr>
          <c:marker>
            <c:symbol val="none"/>
          </c:marker>
          <c:cat>
            <c:numRef>
              <c:f>materias_primas!$A$2:$A$79</c:f>
              <c:numCache>
                <c:formatCode>[$-C0A]mmm\-yy;@</c:formatCode>
                <c:ptCount val="7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numCache>
            </c:numRef>
          </c:cat>
          <c:val>
            <c:numRef>
              <c:f>materias_primas!$C$2:$C$79</c:f>
              <c:numCache>
                <c:formatCode>General</c:formatCode>
                <c:ptCount val="78"/>
                <c:pt idx="0">
                  <c:v>55.21</c:v>
                </c:pt>
                <c:pt idx="1">
                  <c:v>57.68</c:v>
                </c:pt>
                <c:pt idx="2">
                  <c:v>61.19</c:v>
                </c:pt>
                <c:pt idx="3">
                  <c:v>62</c:v>
                </c:pt>
                <c:pt idx="4">
                  <c:v>59.98</c:v>
                </c:pt>
                <c:pt idx="5">
                  <c:v>60.26</c:v>
                </c:pt>
                <c:pt idx="6">
                  <c:v>63.49</c:v>
                </c:pt>
                <c:pt idx="7">
                  <c:v>63.78</c:v>
                </c:pt>
                <c:pt idx="8">
                  <c:v>62.83</c:v>
                </c:pt>
                <c:pt idx="9">
                  <c:v>64.13</c:v>
                </c:pt>
                <c:pt idx="10">
                  <c:v>71.53</c:v>
                </c:pt>
                <c:pt idx="11">
                  <c:v>73.540000000000006</c:v>
                </c:pt>
                <c:pt idx="12">
                  <c:v>74.540000000000006</c:v>
                </c:pt>
                <c:pt idx="13">
                  <c:v>77.94</c:v>
                </c:pt>
                <c:pt idx="14">
                  <c:v>77.34</c:v>
                </c:pt>
                <c:pt idx="15">
                  <c:v>74.040000000000006</c:v>
                </c:pt>
                <c:pt idx="16">
                  <c:v>72.239999999999995</c:v>
                </c:pt>
                <c:pt idx="17">
                  <c:v>71.709999999999994</c:v>
                </c:pt>
                <c:pt idx="18">
                  <c:v>75.39</c:v>
                </c:pt>
                <c:pt idx="19">
                  <c:v>81.56</c:v>
                </c:pt>
                <c:pt idx="20">
                  <c:v>82.68</c:v>
                </c:pt>
                <c:pt idx="21">
                  <c:v>83.39</c:v>
                </c:pt>
                <c:pt idx="22">
                  <c:v>83.46</c:v>
                </c:pt>
                <c:pt idx="23">
                  <c:v>84.11</c:v>
                </c:pt>
                <c:pt idx="24">
                  <c:v>88.57</c:v>
                </c:pt>
                <c:pt idx="25">
                  <c:v>88.61</c:v>
                </c:pt>
                <c:pt idx="26">
                  <c:v>84.47</c:v>
                </c:pt>
                <c:pt idx="27">
                  <c:v>86.45</c:v>
                </c:pt>
                <c:pt idx="28">
                  <c:v>86.79</c:v>
                </c:pt>
                <c:pt idx="29">
                  <c:v>86.98</c:v>
                </c:pt>
                <c:pt idx="30">
                  <c:v>79.77</c:v>
                </c:pt>
                <c:pt idx="31">
                  <c:v>78.12</c:v>
                </c:pt>
                <c:pt idx="32">
                  <c:v>77.44</c:v>
                </c:pt>
                <c:pt idx="33">
                  <c:v>79.349999999999994</c:v>
                </c:pt>
                <c:pt idx="34">
                  <c:v>77.5</c:v>
                </c:pt>
                <c:pt idx="35">
                  <c:v>76.069999999999993</c:v>
                </c:pt>
                <c:pt idx="36">
                  <c:v>75.77</c:v>
                </c:pt>
                <c:pt idx="37">
                  <c:v>80.12</c:v>
                </c:pt>
                <c:pt idx="38">
                  <c:v>81.099999999999994</c:v>
                </c:pt>
                <c:pt idx="39">
                  <c:v>81.599999999999994</c:v>
                </c:pt>
                <c:pt idx="40">
                  <c:v>78.650000000000006</c:v>
                </c:pt>
                <c:pt idx="41">
                  <c:v>78.53</c:v>
                </c:pt>
                <c:pt idx="42">
                  <c:v>81.03</c:v>
                </c:pt>
                <c:pt idx="43">
                  <c:v>76.05</c:v>
                </c:pt>
                <c:pt idx="44">
                  <c:v>77.319999999999993</c:v>
                </c:pt>
                <c:pt idx="45">
                  <c:v>76.459999999999994</c:v>
                </c:pt>
                <c:pt idx="46">
                  <c:v>76.22</c:v>
                </c:pt>
                <c:pt idx="47">
                  <c:v>77.47</c:v>
                </c:pt>
                <c:pt idx="48">
                  <c:v>77.7</c:v>
                </c:pt>
                <c:pt idx="49">
                  <c:v>73.02</c:v>
                </c:pt>
                <c:pt idx="50">
                  <c:v>68.709999999999994</c:v>
                </c:pt>
                <c:pt idx="51">
                  <c:v>65.55</c:v>
                </c:pt>
                <c:pt idx="52">
                  <c:v>68.010000000000005</c:v>
                </c:pt>
                <c:pt idx="53">
                  <c:v>73.680000000000007</c:v>
                </c:pt>
                <c:pt idx="54">
                  <c:v>79.09</c:v>
                </c:pt>
                <c:pt idx="55">
                  <c:v>83.48</c:v>
                </c:pt>
                <c:pt idx="56">
                  <c:v>85.12</c:v>
                </c:pt>
                <c:pt idx="57">
                  <c:v>85.49</c:v>
                </c:pt>
                <c:pt idx="58">
                  <c:v>90.28</c:v>
                </c:pt>
                <c:pt idx="59">
                  <c:v>99.65</c:v>
                </c:pt>
                <c:pt idx="60">
                  <c:v>102.84</c:v>
                </c:pt>
                <c:pt idx="61">
                  <c:v>106.39</c:v>
                </c:pt>
                <c:pt idx="62">
                  <c:v>110.22</c:v>
                </c:pt>
                <c:pt idx="63">
                  <c:v>115.32</c:v>
                </c:pt>
                <c:pt idx="64">
                  <c:v>125.79</c:v>
                </c:pt>
                <c:pt idx="65">
                  <c:v>124.27</c:v>
                </c:pt>
                <c:pt idx="66">
                  <c:v>124.52</c:v>
                </c:pt>
                <c:pt idx="67">
                  <c:v>119.04</c:v>
                </c:pt>
                <c:pt idx="68">
                  <c:v>116.81</c:v>
                </c:pt>
                <c:pt idx="69">
                  <c:v>121.38</c:v>
                </c:pt>
                <c:pt idx="70">
                  <c:v>114.02</c:v>
                </c:pt>
                <c:pt idx="71">
                  <c:v>116.72</c:v>
                </c:pt>
                <c:pt idx="72">
                  <c:v>125.23</c:v>
                </c:pt>
                <c:pt idx="73">
                  <c:v>131.18</c:v>
                </c:pt>
                <c:pt idx="74">
                  <c:v>141.28</c:v>
                </c:pt>
                <c:pt idx="75">
                  <c:v>138.09</c:v>
                </c:pt>
                <c:pt idx="76">
                  <c:v>122.46</c:v>
                </c:pt>
                <c:pt idx="77">
                  <c:v>115.7</c:v>
                </c:pt>
              </c:numCache>
            </c:numRef>
          </c:val>
          <c:smooth val="0"/>
          <c:extLst>
            <c:ext xmlns:c16="http://schemas.microsoft.com/office/drawing/2014/chart" uri="{C3380CC4-5D6E-409C-BE32-E72D297353CC}">
              <c16:uniqueId val="{00000001-91D3-4C24-9DEA-DB411D5C73E2}"/>
            </c:ext>
          </c:extLst>
        </c:ser>
        <c:ser>
          <c:idx val="2"/>
          <c:order val="2"/>
          <c:tx>
            <c:strRef>
              <c:f>materias_primas!$D$1</c:f>
              <c:strCache>
                <c:ptCount val="1"/>
                <c:pt idx="0">
                  <c:v>Agricultura</c:v>
                </c:pt>
              </c:strCache>
            </c:strRef>
          </c:tx>
          <c:spPr>
            <a:ln w="28575" cap="rnd">
              <a:solidFill>
                <a:schemeClr val="accent3"/>
              </a:solidFill>
              <a:round/>
            </a:ln>
            <a:effectLst/>
          </c:spPr>
          <c:marker>
            <c:symbol val="none"/>
          </c:marker>
          <c:cat>
            <c:numRef>
              <c:f>materias_primas!$A$2:$A$79</c:f>
              <c:numCache>
                <c:formatCode>[$-C0A]mmm\-yy;@</c:formatCode>
                <c:ptCount val="7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numCache>
            </c:numRef>
          </c:cat>
          <c:val>
            <c:numRef>
              <c:f>materias_primas!$D$2:$D$79</c:f>
              <c:numCache>
                <c:formatCode>General</c:formatCode>
                <c:ptCount val="78"/>
                <c:pt idx="0">
                  <c:v>82.3</c:v>
                </c:pt>
                <c:pt idx="1">
                  <c:v>82.53</c:v>
                </c:pt>
                <c:pt idx="2">
                  <c:v>84.41</c:v>
                </c:pt>
                <c:pt idx="3">
                  <c:v>86.89</c:v>
                </c:pt>
                <c:pt idx="4">
                  <c:v>89.62</c:v>
                </c:pt>
                <c:pt idx="5">
                  <c:v>92.57</c:v>
                </c:pt>
                <c:pt idx="6">
                  <c:v>90.35</c:v>
                </c:pt>
                <c:pt idx="7">
                  <c:v>89.15</c:v>
                </c:pt>
                <c:pt idx="8">
                  <c:v>88.61</c:v>
                </c:pt>
                <c:pt idx="9">
                  <c:v>87.39</c:v>
                </c:pt>
                <c:pt idx="10">
                  <c:v>87.88</c:v>
                </c:pt>
                <c:pt idx="11">
                  <c:v>87.66</c:v>
                </c:pt>
                <c:pt idx="12">
                  <c:v>89.47</c:v>
                </c:pt>
                <c:pt idx="13">
                  <c:v>89.28</c:v>
                </c:pt>
                <c:pt idx="14">
                  <c:v>87.68</c:v>
                </c:pt>
                <c:pt idx="15">
                  <c:v>86.81</c:v>
                </c:pt>
                <c:pt idx="16">
                  <c:v>88.15</c:v>
                </c:pt>
                <c:pt idx="17">
                  <c:v>87.11</c:v>
                </c:pt>
                <c:pt idx="18">
                  <c:v>87.5</c:v>
                </c:pt>
                <c:pt idx="19">
                  <c:v>85.55</c:v>
                </c:pt>
                <c:pt idx="20">
                  <c:v>86.1</c:v>
                </c:pt>
                <c:pt idx="21">
                  <c:v>85.3</c:v>
                </c:pt>
                <c:pt idx="22">
                  <c:v>85.58</c:v>
                </c:pt>
                <c:pt idx="23">
                  <c:v>84.85</c:v>
                </c:pt>
                <c:pt idx="24">
                  <c:v>87.03</c:v>
                </c:pt>
                <c:pt idx="25">
                  <c:v>88.67</c:v>
                </c:pt>
                <c:pt idx="26">
                  <c:v>90.04</c:v>
                </c:pt>
                <c:pt idx="27">
                  <c:v>91.66</c:v>
                </c:pt>
                <c:pt idx="28">
                  <c:v>91.85</c:v>
                </c:pt>
                <c:pt idx="29">
                  <c:v>88.94</c:v>
                </c:pt>
                <c:pt idx="30">
                  <c:v>86.35</c:v>
                </c:pt>
                <c:pt idx="31">
                  <c:v>84.84</c:v>
                </c:pt>
                <c:pt idx="32">
                  <c:v>82.65</c:v>
                </c:pt>
                <c:pt idx="33">
                  <c:v>83.39</c:v>
                </c:pt>
                <c:pt idx="34">
                  <c:v>82.23</c:v>
                </c:pt>
                <c:pt idx="35">
                  <c:v>82.63</c:v>
                </c:pt>
                <c:pt idx="36">
                  <c:v>83.5</c:v>
                </c:pt>
                <c:pt idx="37">
                  <c:v>83.76</c:v>
                </c:pt>
                <c:pt idx="38">
                  <c:v>83</c:v>
                </c:pt>
                <c:pt idx="39">
                  <c:v>83.08</c:v>
                </c:pt>
                <c:pt idx="40">
                  <c:v>82.24</c:v>
                </c:pt>
                <c:pt idx="41">
                  <c:v>84.49</c:v>
                </c:pt>
                <c:pt idx="42">
                  <c:v>83.26</c:v>
                </c:pt>
                <c:pt idx="43">
                  <c:v>80.77</c:v>
                </c:pt>
                <c:pt idx="44">
                  <c:v>80.77</c:v>
                </c:pt>
                <c:pt idx="45">
                  <c:v>82.28</c:v>
                </c:pt>
                <c:pt idx="46">
                  <c:v>85.31</c:v>
                </c:pt>
                <c:pt idx="47">
                  <c:v>87.26</c:v>
                </c:pt>
                <c:pt idx="48">
                  <c:v>88.31</c:v>
                </c:pt>
                <c:pt idx="49">
                  <c:v>85.84</c:v>
                </c:pt>
                <c:pt idx="50">
                  <c:v>83.07</c:v>
                </c:pt>
                <c:pt idx="51">
                  <c:v>81.34</c:v>
                </c:pt>
                <c:pt idx="52">
                  <c:v>81.36</c:v>
                </c:pt>
                <c:pt idx="53">
                  <c:v>83.36</c:v>
                </c:pt>
                <c:pt idx="54">
                  <c:v>84.3</c:v>
                </c:pt>
                <c:pt idx="55">
                  <c:v>87.13</c:v>
                </c:pt>
                <c:pt idx="56">
                  <c:v>89.85</c:v>
                </c:pt>
                <c:pt idx="57">
                  <c:v>92.02</c:v>
                </c:pt>
                <c:pt idx="58">
                  <c:v>95.62</c:v>
                </c:pt>
                <c:pt idx="59">
                  <c:v>98.1</c:v>
                </c:pt>
                <c:pt idx="60">
                  <c:v>103.12</c:v>
                </c:pt>
                <c:pt idx="61">
                  <c:v>104.57</c:v>
                </c:pt>
                <c:pt idx="62">
                  <c:v>103.69</c:v>
                </c:pt>
                <c:pt idx="63">
                  <c:v>106.21</c:v>
                </c:pt>
                <c:pt idx="64">
                  <c:v>111.96</c:v>
                </c:pt>
                <c:pt idx="65">
                  <c:v>109.24</c:v>
                </c:pt>
                <c:pt idx="66">
                  <c:v>108.39</c:v>
                </c:pt>
                <c:pt idx="67">
                  <c:v>109.45</c:v>
                </c:pt>
                <c:pt idx="68">
                  <c:v>109.2</c:v>
                </c:pt>
                <c:pt idx="69">
                  <c:v>111.56</c:v>
                </c:pt>
                <c:pt idx="70">
                  <c:v>113.15</c:v>
                </c:pt>
                <c:pt idx="71">
                  <c:v>113.91</c:v>
                </c:pt>
                <c:pt idx="72">
                  <c:v>118.69</c:v>
                </c:pt>
                <c:pt idx="73">
                  <c:v>124.01</c:v>
                </c:pt>
                <c:pt idx="74">
                  <c:v>132.81</c:v>
                </c:pt>
                <c:pt idx="75">
                  <c:v>134.46</c:v>
                </c:pt>
                <c:pt idx="76">
                  <c:v>133.83000000000001</c:v>
                </c:pt>
                <c:pt idx="77">
                  <c:v>128.9</c:v>
                </c:pt>
              </c:numCache>
            </c:numRef>
          </c:val>
          <c:smooth val="0"/>
          <c:extLst>
            <c:ext xmlns:c16="http://schemas.microsoft.com/office/drawing/2014/chart" uri="{C3380CC4-5D6E-409C-BE32-E72D297353CC}">
              <c16:uniqueId val="{00000002-91D3-4C24-9DEA-DB411D5C73E2}"/>
            </c:ext>
          </c:extLst>
        </c:ser>
        <c:ser>
          <c:idx val="3"/>
          <c:order val="3"/>
          <c:tx>
            <c:strRef>
              <c:f>materias_primas!$E$1</c:f>
              <c:strCache>
                <c:ptCount val="1"/>
                <c:pt idx="0">
                  <c:v>Metales preciosos</c:v>
                </c:pt>
              </c:strCache>
            </c:strRef>
          </c:tx>
          <c:spPr>
            <a:ln w="28575" cap="rnd">
              <a:solidFill>
                <a:schemeClr val="accent4"/>
              </a:solidFill>
              <a:round/>
            </a:ln>
            <a:effectLst/>
          </c:spPr>
          <c:marker>
            <c:symbol val="none"/>
          </c:marker>
          <c:cat>
            <c:numRef>
              <c:f>materias_primas!$A$2:$A$79</c:f>
              <c:numCache>
                <c:formatCode>[$-C0A]mmm\-yy;@</c:formatCode>
                <c:ptCount val="7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numCache>
            </c:numRef>
          </c:cat>
          <c:val>
            <c:numRef>
              <c:f>materias_primas!$E$2:$E$79</c:f>
              <c:numCache>
                <c:formatCode>General</c:formatCode>
                <c:ptCount val="78"/>
                <c:pt idx="0">
                  <c:v>84.73</c:v>
                </c:pt>
                <c:pt idx="1">
                  <c:v>92.31</c:v>
                </c:pt>
                <c:pt idx="2">
                  <c:v>95.59</c:v>
                </c:pt>
                <c:pt idx="3">
                  <c:v>96.3</c:v>
                </c:pt>
                <c:pt idx="4">
                  <c:v>98.12</c:v>
                </c:pt>
                <c:pt idx="5">
                  <c:v>99.32</c:v>
                </c:pt>
                <c:pt idx="6">
                  <c:v>105.9</c:v>
                </c:pt>
                <c:pt idx="7">
                  <c:v>105.81</c:v>
                </c:pt>
                <c:pt idx="8">
                  <c:v>104.58</c:v>
                </c:pt>
                <c:pt idx="9">
                  <c:v>98.99</c:v>
                </c:pt>
                <c:pt idx="10">
                  <c:v>96.96</c:v>
                </c:pt>
                <c:pt idx="11">
                  <c:v>90.82</c:v>
                </c:pt>
                <c:pt idx="12">
                  <c:v>93.58</c:v>
                </c:pt>
                <c:pt idx="13">
                  <c:v>97.29</c:v>
                </c:pt>
                <c:pt idx="14">
                  <c:v>96.74</c:v>
                </c:pt>
                <c:pt idx="15">
                  <c:v>99.37</c:v>
                </c:pt>
                <c:pt idx="16">
                  <c:v>96.77</c:v>
                </c:pt>
                <c:pt idx="17">
                  <c:v>97.85</c:v>
                </c:pt>
                <c:pt idx="18">
                  <c:v>95.61</c:v>
                </c:pt>
                <c:pt idx="19">
                  <c:v>99.4</c:v>
                </c:pt>
                <c:pt idx="20">
                  <c:v>101.81</c:v>
                </c:pt>
                <c:pt idx="21">
                  <c:v>99.06</c:v>
                </c:pt>
                <c:pt idx="22">
                  <c:v>99.28</c:v>
                </c:pt>
                <c:pt idx="23">
                  <c:v>97.35</c:v>
                </c:pt>
                <c:pt idx="24">
                  <c:v>102.67</c:v>
                </c:pt>
                <c:pt idx="25">
                  <c:v>102.11</c:v>
                </c:pt>
                <c:pt idx="26">
                  <c:v>101.56</c:v>
                </c:pt>
                <c:pt idx="27">
                  <c:v>102.3</c:v>
                </c:pt>
                <c:pt idx="28">
                  <c:v>100.13</c:v>
                </c:pt>
                <c:pt idx="29">
                  <c:v>98.74</c:v>
                </c:pt>
                <c:pt idx="30">
                  <c:v>95.08</c:v>
                </c:pt>
                <c:pt idx="31">
                  <c:v>92.05</c:v>
                </c:pt>
                <c:pt idx="32">
                  <c:v>91.17</c:v>
                </c:pt>
                <c:pt idx="33">
                  <c:v>92.6</c:v>
                </c:pt>
                <c:pt idx="34">
                  <c:v>92.74</c:v>
                </c:pt>
                <c:pt idx="35">
                  <c:v>94.91</c:v>
                </c:pt>
                <c:pt idx="36">
                  <c:v>98.37</c:v>
                </c:pt>
                <c:pt idx="37">
                  <c:v>100.37</c:v>
                </c:pt>
                <c:pt idx="38">
                  <c:v>98.72</c:v>
                </c:pt>
                <c:pt idx="39">
                  <c:v>97.63</c:v>
                </c:pt>
                <c:pt idx="40">
                  <c:v>97.01</c:v>
                </c:pt>
                <c:pt idx="41">
                  <c:v>102.1</c:v>
                </c:pt>
                <c:pt idx="42">
                  <c:v>106.3</c:v>
                </c:pt>
                <c:pt idx="43">
                  <c:v>113.23</c:v>
                </c:pt>
                <c:pt idx="44">
                  <c:v>114.93</c:v>
                </c:pt>
                <c:pt idx="45">
                  <c:v>113.35</c:v>
                </c:pt>
                <c:pt idx="46">
                  <c:v>111.38</c:v>
                </c:pt>
                <c:pt idx="47">
                  <c:v>111.93</c:v>
                </c:pt>
                <c:pt idx="48">
                  <c:v>118.03</c:v>
                </c:pt>
                <c:pt idx="49">
                  <c:v>120.2</c:v>
                </c:pt>
                <c:pt idx="50">
                  <c:v>116.65</c:v>
                </c:pt>
                <c:pt idx="51">
                  <c:v>122.6</c:v>
                </c:pt>
                <c:pt idx="52">
                  <c:v>125.87</c:v>
                </c:pt>
                <c:pt idx="53">
                  <c:v>128.34</c:v>
                </c:pt>
                <c:pt idx="54">
                  <c:v>138.44</c:v>
                </c:pt>
                <c:pt idx="55">
                  <c:v>152.33000000000001</c:v>
                </c:pt>
                <c:pt idx="56">
                  <c:v>148.11000000000001</c:v>
                </c:pt>
                <c:pt idx="57">
                  <c:v>145.25</c:v>
                </c:pt>
                <c:pt idx="58">
                  <c:v>143.02000000000001</c:v>
                </c:pt>
                <c:pt idx="59">
                  <c:v>143.59</c:v>
                </c:pt>
                <c:pt idx="60">
                  <c:v>145.12</c:v>
                </c:pt>
                <c:pt idx="61">
                  <c:v>142.94999999999999</c:v>
                </c:pt>
                <c:pt idx="62">
                  <c:v>135.63999999999999</c:v>
                </c:pt>
                <c:pt idx="63">
                  <c:v>138.38999999999999</c:v>
                </c:pt>
                <c:pt idx="64">
                  <c:v>145.84</c:v>
                </c:pt>
                <c:pt idx="65">
                  <c:v>144.18</c:v>
                </c:pt>
                <c:pt idx="66">
                  <c:v>141.16999999999999</c:v>
                </c:pt>
                <c:pt idx="67">
                  <c:v>137.99</c:v>
                </c:pt>
                <c:pt idx="68">
                  <c:v>136.52000000000001</c:v>
                </c:pt>
                <c:pt idx="69">
                  <c:v>136.93</c:v>
                </c:pt>
                <c:pt idx="70">
                  <c:v>140.54</c:v>
                </c:pt>
                <c:pt idx="71">
                  <c:v>136.82</c:v>
                </c:pt>
                <c:pt idx="72">
                  <c:v>139.13</c:v>
                </c:pt>
                <c:pt idx="73">
                  <c:v>142.16</c:v>
                </c:pt>
                <c:pt idx="74">
                  <c:v>149.63</c:v>
                </c:pt>
                <c:pt idx="75">
                  <c:v>148.05000000000001</c:v>
                </c:pt>
                <c:pt idx="76">
                  <c:v>139.94</c:v>
                </c:pt>
                <c:pt idx="77">
                  <c:v>138.85</c:v>
                </c:pt>
              </c:numCache>
            </c:numRef>
          </c:val>
          <c:smooth val="0"/>
          <c:extLst>
            <c:ext xmlns:c16="http://schemas.microsoft.com/office/drawing/2014/chart" uri="{C3380CC4-5D6E-409C-BE32-E72D297353CC}">
              <c16:uniqueId val="{00000003-91D3-4C24-9DEA-DB411D5C73E2}"/>
            </c:ext>
          </c:extLst>
        </c:ser>
        <c:dLbls>
          <c:showLegendKey val="0"/>
          <c:showVal val="0"/>
          <c:showCatName val="0"/>
          <c:showSerName val="0"/>
          <c:showPercent val="0"/>
          <c:showBubbleSize val="0"/>
        </c:dLbls>
        <c:smooth val="0"/>
        <c:axId val="1657366592"/>
        <c:axId val="1657346624"/>
      </c:lineChart>
      <c:dateAx>
        <c:axId val="1657366592"/>
        <c:scaling>
          <c:orientation val="minMax"/>
          <c:max val="44835"/>
        </c:scaling>
        <c:delete val="0"/>
        <c:axPos val="b"/>
        <c:numFmt formatCode="[$-C0A]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57346624"/>
        <c:crosses val="autoZero"/>
        <c:auto val="1"/>
        <c:lblOffset val="100"/>
        <c:baseTimeUnit val="months"/>
        <c:majorUnit val="6"/>
        <c:majorTimeUnit val="months"/>
      </c:dateAx>
      <c:valAx>
        <c:axId val="165734662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0"/>
                  <a:t>Porcentaje(%)</a:t>
                </a:r>
              </a:p>
            </c:rich>
          </c:tx>
          <c:layout>
            <c:manualLayout>
              <c:xMode val="edge"/>
              <c:yMode val="edge"/>
              <c:x val="6.993006993006993E-3"/>
              <c:y val="0.2466843377251110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57366592"/>
        <c:crosses val="autoZero"/>
        <c:crossBetween val="between"/>
      </c:valAx>
      <c:spPr>
        <a:noFill/>
        <a:ln>
          <a:noFill/>
        </a:ln>
        <a:effectLst/>
      </c:spPr>
    </c:plotArea>
    <c:legend>
      <c:legendPos val="t"/>
      <c:layout>
        <c:manualLayout>
          <c:xMode val="edge"/>
          <c:yMode val="edge"/>
          <c:x val="5.7795642677532441E-2"/>
          <c:y val="0"/>
          <c:w val="0.88440853110144446"/>
          <c:h val="0.104721810763753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20714285714285E-2"/>
          <c:y val="9.7013888888888886E-2"/>
          <c:w val="0.80972936507936522"/>
          <c:h val="0.65207222222222216"/>
        </c:manualLayout>
      </c:layout>
      <c:lineChart>
        <c:grouping val="standard"/>
        <c:varyColors val="0"/>
        <c:ser>
          <c:idx val="0"/>
          <c:order val="0"/>
          <c:tx>
            <c:strRef>
              <c:f>'[Modelo Trimestral gasolinas EIA.xlsx]E_Shock'!$N$201</c:f>
              <c:strCache>
                <c:ptCount val="1"/>
                <c:pt idx="0">
                  <c:v>ps</c:v>
                </c:pt>
              </c:strCache>
            </c:strRef>
          </c:tx>
          <c:spPr>
            <a:ln w="22225" cap="rnd">
              <a:solidFill>
                <a:schemeClr val="accent2"/>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51BF-4D63-9A47-FFF5715CD0E9}"/>
                </c:ext>
              </c:extLst>
            </c:dLbl>
            <c:dLbl>
              <c:idx val="1"/>
              <c:delete val="1"/>
              <c:extLst>
                <c:ext xmlns:c15="http://schemas.microsoft.com/office/drawing/2012/chart" uri="{CE6537A1-D6FC-4f65-9D91-7224C49458BB}"/>
                <c:ext xmlns:c16="http://schemas.microsoft.com/office/drawing/2014/chart" uri="{C3380CC4-5D6E-409C-BE32-E72D297353CC}">
                  <c16:uniqueId val="{00000001-51BF-4D63-9A47-FFF5715CD0E9}"/>
                </c:ext>
              </c:extLst>
            </c:dLbl>
            <c:dLbl>
              <c:idx val="2"/>
              <c:delete val="1"/>
              <c:extLst>
                <c:ext xmlns:c15="http://schemas.microsoft.com/office/drawing/2012/chart" uri="{CE6537A1-D6FC-4f65-9D91-7224C49458BB}"/>
                <c:ext xmlns:c16="http://schemas.microsoft.com/office/drawing/2014/chart" uri="{C3380CC4-5D6E-409C-BE32-E72D297353CC}">
                  <c16:uniqueId val="{00000002-51BF-4D63-9A47-FFF5715CD0E9}"/>
                </c:ext>
              </c:extLst>
            </c:dLbl>
            <c:dLbl>
              <c:idx val="3"/>
              <c:delete val="1"/>
              <c:extLst>
                <c:ext xmlns:c15="http://schemas.microsoft.com/office/drawing/2012/chart" uri="{CE6537A1-D6FC-4f65-9D91-7224C49458BB}"/>
                <c:ext xmlns:c16="http://schemas.microsoft.com/office/drawing/2014/chart" uri="{C3380CC4-5D6E-409C-BE32-E72D297353CC}">
                  <c16:uniqueId val="{00000003-51BF-4D63-9A47-FFF5715CD0E9}"/>
                </c:ext>
              </c:extLst>
            </c:dLbl>
            <c:dLbl>
              <c:idx val="5"/>
              <c:delete val="1"/>
              <c:extLst>
                <c:ext xmlns:c15="http://schemas.microsoft.com/office/drawing/2012/chart" uri="{CE6537A1-D6FC-4f65-9D91-7224C49458BB}"/>
                <c:ext xmlns:c16="http://schemas.microsoft.com/office/drawing/2014/chart" uri="{C3380CC4-5D6E-409C-BE32-E72D297353CC}">
                  <c16:uniqueId val="{00000004-51BF-4D63-9A47-FFF5715CD0E9}"/>
                </c:ext>
              </c:extLst>
            </c:dLbl>
            <c:dLbl>
              <c:idx val="6"/>
              <c:delete val="1"/>
              <c:extLst>
                <c:ext xmlns:c15="http://schemas.microsoft.com/office/drawing/2012/chart" uri="{CE6537A1-D6FC-4f65-9D91-7224C49458BB}"/>
                <c:ext xmlns:c16="http://schemas.microsoft.com/office/drawing/2014/chart" uri="{C3380CC4-5D6E-409C-BE32-E72D297353CC}">
                  <c16:uniqueId val="{00000005-51BF-4D63-9A47-FFF5715CD0E9}"/>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2"/>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EIA.xlsx]E_Shock'!$O$201:$V$201</c:f>
              <c:numCache>
                <c:formatCode>_-* #,##0.0_-;\-* #,##0.0_-;_-* "-"??_-;_-@_-</c:formatCode>
                <c:ptCount val="8"/>
                <c:pt idx="0">
                  <c:v>34.79</c:v>
                </c:pt>
                <c:pt idx="1">
                  <c:v>38.651870173292075</c:v>
                </c:pt>
                <c:pt idx="2">
                  <c:v>37.25932383431433</c:v>
                </c:pt>
                <c:pt idx="3">
                  <c:v>34.016755768200419</c:v>
                </c:pt>
                <c:pt idx="4">
                  <c:v>43.965233692847157</c:v>
                </c:pt>
                <c:pt idx="5">
                  <c:v>43.264281518804253</c:v>
                </c:pt>
                <c:pt idx="6">
                  <c:v>42.932735783243459</c:v>
                </c:pt>
                <c:pt idx="7">
                  <c:v>42.686246507421508</c:v>
                </c:pt>
              </c:numCache>
            </c:numRef>
          </c:val>
          <c:smooth val="0"/>
          <c:extLst>
            <c:ext xmlns:c16="http://schemas.microsoft.com/office/drawing/2014/chart" uri="{C3380CC4-5D6E-409C-BE32-E72D297353CC}">
              <c16:uniqueId val="{00000006-51BF-4D63-9A47-FFF5715CD0E9}"/>
            </c:ext>
          </c:extLst>
        </c:ser>
        <c:ser>
          <c:idx val="1"/>
          <c:order val="1"/>
          <c:spPr>
            <a:ln w="22225" cap="rnd">
              <a:solidFill>
                <a:schemeClr val="accent6"/>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51BF-4D63-9A47-FFF5715CD0E9}"/>
                </c:ext>
              </c:extLst>
            </c:dLbl>
            <c:dLbl>
              <c:idx val="1"/>
              <c:delete val="1"/>
              <c:extLst>
                <c:ext xmlns:c15="http://schemas.microsoft.com/office/drawing/2012/chart" uri="{CE6537A1-D6FC-4f65-9D91-7224C49458BB}"/>
                <c:ext xmlns:c16="http://schemas.microsoft.com/office/drawing/2014/chart" uri="{C3380CC4-5D6E-409C-BE32-E72D297353CC}">
                  <c16:uniqueId val="{00000008-51BF-4D63-9A47-FFF5715CD0E9}"/>
                </c:ext>
              </c:extLst>
            </c:dLbl>
            <c:dLbl>
              <c:idx val="2"/>
              <c:delete val="1"/>
              <c:extLst>
                <c:ext xmlns:c15="http://schemas.microsoft.com/office/drawing/2012/chart" uri="{CE6537A1-D6FC-4f65-9D91-7224C49458BB}"/>
                <c:ext xmlns:c16="http://schemas.microsoft.com/office/drawing/2014/chart" uri="{C3380CC4-5D6E-409C-BE32-E72D297353CC}">
                  <c16:uniqueId val="{00000009-51BF-4D63-9A47-FFF5715CD0E9}"/>
                </c:ext>
              </c:extLst>
            </c:dLbl>
            <c:dLbl>
              <c:idx val="3"/>
              <c:delete val="1"/>
              <c:extLst>
                <c:ext xmlns:c15="http://schemas.microsoft.com/office/drawing/2012/chart" uri="{CE6537A1-D6FC-4f65-9D91-7224C49458BB}"/>
                <c:ext xmlns:c16="http://schemas.microsoft.com/office/drawing/2014/chart" uri="{C3380CC4-5D6E-409C-BE32-E72D297353CC}">
                  <c16:uniqueId val="{0000000A-51BF-4D63-9A47-FFF5715CD0E9}"/>
                </c:ext>
              </c:extLst>
            </c:dLbl>
            <c:dLbl>
              <c:idx val="4"/>
              <c:layout>
                <c:manualLayout>
                  <c:x val="-0.12634523809523809"/>
                  <c:y val="8.8657638888888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BF-4D63-9A47-FFF5715CD0E9}"/>
                </c:ext>
              </c:extLst>
            </c:dLbl>
            <c:dLbl>
              <c:idx val="5"/>
              <c:delete val="1"/>
              <c:extLst>
                <c:ext xmlns:c15="http://schemas.microsoft.com/office/drawing/2012/chart" uri="{CE6537A1-D6FC-4f65-9D91-7224C49458BB}"/>
                <c:ext xmlns:c16="http://schemas.microsoft.com/office/drawing/2014/chart" uri="{C3380CC4-5D6E-409C-BE32-E72D297353CC}">
                  <c16:uniqueId val="{0000000C-51BF-4D63-9A47-FFF5715CD0E9}"/>
                </c:ext>
              </c:extLst>
            </c:dLbl>
            <c:dLbl>
              <c:idx val="6"/>
              <c:delete val="1"/>
              <c:extLst>
                <c:ext xmlns:c15="http://schemas.microsoft.com/office/drawing/2012/chart" uri="{CE6537A1-D6FC-4f65-9D91-7224C49458BB}"/>
                <c:ext xmlns:c16="http://schemas.microsoft.com/office/drawing/2014/chart" uri="{C3380CC4-5D6E-409C-BE32-E72D297353CC}">
                  <c16:uniqueId val="{0000000D-51BF-4D63-9A47-FFF5715CD0E9}"/>
                </c:ext>
              </c:extLst>
            </c:dLbl>
            <c:dLbl>
              <c:idx val="7"/>
              <c:layout>
                <c:manualLayout>
                  <c:x val="-5.6604761904761908E-2"/>
                  <c:y val="7.9838194444444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1BF-4D63-9A47-FFF5715CD0E9}"/>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6"/>
                    </a:solidFill>
                    <a:latin typeface="+mn-lt"/>
                    <a:ea typeface="+mn-ea"/>
                    <a:cs typeface="+mn-cs"/>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EIA.xlsx]E_Shock'!$Z$201:$AG$201</c:f>
              <c:numCache>
                <c:formatCode>_-* #,##0.0_-;\-* #,##0.0_-;_-* "-"??_-;_-@_-</c:formatCode>
                <c:ptCount val="8"/>
                <c:pt idx="0">
                  <c:v>34.79</c:v>
                </c:pt>
                <c:pt idx="1">
                  <c:v>38.651870173292075</c:v>
                </c:pt>
                <c:pt idx="2">
                  <c:v>37.25932383431433</c:v>
                </c:pt>
                <c:pt idx="3">
                  <c:v>34.016755768200419</c:v>
                </c:pt>
                <c:pt idx="4">
                  <c:v>41.965233692847157</c:v>
                </c:pt>
                <c:pt idx="5">
                  <c:v>41.264281518804253</c:v>
                </c:pt>
                <c:pt idx="6">
                  <c:v>40.932735783243459</c:v>
                </c:pt>
                <c:pt idx="7">
                  <c:v>40.686246507421508</c:v>
                </c:pt>
              </c:numCache>
            </c:numRef>
          </c:val>
          <c:smooth val="0"/>
          <c:extLst>
            <c:ext xmlns:c16="http://schemas.microsoft.com/office/drawing/2014/chart" uri="{C3380CC4-5D6E-409C-BE32-E72D297353CC}">
              <c16:uniqueId val="{0000000F-51BF-4D63-9A47-FFF5715CD0E9}"/>
            </c:ext>
          </c:extLst>
        </c:ser>
        <c:ser>
          <c:idx val="2"/>
          <c:order val="2"/>
          <c:spPr>
            <a:ln w="22225" cap="rnd">
              <a:solidFill>
                <a:srgbClr val="002060"/>
              </a:solidFill>
              <a:round/>
            </a:ln>
            <a:effectLst/>
          </c:spPr>
          <c:marker>
            <c:symbol val="none"/>
          </c:marker>
          <c:dLbls>
            <c:dLbl>
              <c:idx val="1"/>
              <c:layout>
                <c:manualLayout>
                  <c:x val="-0.10964333333333333"/>
                  <c:y val="-4.9021296296296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1BF-4D63-9A47-FFF5715CD0E9}"/>
                </c:ext>
              </c:extLst>
            </c:dLbl>
            <c:dLbl>
              <c:idx val="2"/>
              <c:layout>
                <c:manualLayout>
                  <c:x val="-7.0334126984127027E-2"/>
                  <c:y val="-3.138263888888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1BF-4D63-9A47-FFF5715CD0E9}"/>
                </c:ext>
              </c:extLst>
            </c:dLbl>
            <c:dLbl>
              <c:idx val="7"/>
              <c:layout>
                <c:manualLayout>
                  <c:x val="-4.9046111111111242E-2"/>
                  <c:y val="3.9173148148148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1BF-4D63-9A47-FFF5715CD0E9}"/>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mn-lt"/>
                    <a:ea typeface="+mn-ea"/>
                    <a:cs typeface="+mn-cs"/>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EIA.xlsx]E_Shock'!$D$201:$K$201</c:f>
              <c:numCache>
                <c:formatCode>_-* #,##0.0_-;\-* #,##0.0_-;_-* "-"??_-;_-@_-</c:formatCode>
                <c:ptCount val="8"/>
                <c:pt idx="0">
                  <c:v>34.79</c:v>
                </c:pt>
                <c:pt idx="1">
                  <c:v>38.651870173292075</c:v>
                </c:pt>
                <c:pt idx="2">
                  <c:v>37.25932383431433</c:v>
                </c:pt>
                <c:pt idx="3">
                  <c:v>34.016755768200419</c:v>
                </c:pt>
                <c:pt idx="4">
                  <c:v>34.835787519231658</c:v>
                </c:pt>
                <c:pt idx="5">
                  <c:v>33.77375155957602</c:v>
                </c:pt>
                <c:pt idx="6">
                  <c:v>33.191986380663693</c:v>
                </c:pt>
                <c:pt idx="7">
                  <c:v>32.285307232070011</c:v>
                </c:pt>
              </c:numCache>
            </c:numRef>
          </c:val>
          <c:smooth val="0"/>
          <c:extLst>
            <c:ext xmlns:c16="http://schemas.microsoft.com/office/drawing/2014/chart" uri="{C3380CC4-5D6E-409C-BE32-E72D297353CC}">
              <c16:uniqueId val="{00000013-51BF-4D63-9A47-FFF5715CD0E9}"/>
            </c:ext>
          </c:extLst>
        </c:ser>
        <c:dLbls>
          <c:showLegendKey val="0"/>
          <c:showVal val="0"/>
          <c:showCatName val="0"/>
          <c:showSerName val="0"/>
          <c:showPercent val="0"/>
          <c:showBubbleSize val="0"/>
        </c:dLbls>
        <c:smooth val="0"/>
        <c:axId val="1882650704"/>
        <c:axId val="1882651120"/>
      </c:lineChart>
      <c:catAx>
        <c:axId val="18826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882651120"/>
        <c:crosses val="autoZero"/>
        <c:auto val="1"/>
        <c:lblAlgn val="ctr"/>
        <c:lblOffset val="100"/>
        <c:noMultiLvlLbl val="1"/>
      </c:catAx>
      <c:valAx>
        <c:axId val="1882651120"/>
        <c:scaling>
          <c:orientation val="minMax"/>
          <c:min val="28"/>
        </c:scaling>
        <c:delete val="1"/>
        <c:axPos val="l"/>
        <c:numFmt formatCode="_-* #,##0.0_-;\-* #,##0.0_-;_-* &quot;-&quot;??_-;_-@_-" sourceLinked="1"/>
        <c:majorTickMark val="none"/>
        <c:minorTickMark val="none"/>
        <c:tickLblPos val="nextTo"/>
        <c:crossAx val="1882650704"/>
        <c:crosses val="autoZero"/>
        <c:crossBetween val="between"/>
        <c:majorUnit val="4"/>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27777777777773E-2"/>
          <c:y val="9.7013888888888886E-2"/>
          <c:w val="0.81980873015873024"/>
          <c:h val="0.65207222222222216"/>
        </c:manualLayout>
      </c:layout>
      <c:lineChart>
        <c:grouping val="standard"/>
        <c:varyColors val="0"/>
        <c:ser>
          <c:idx val="0"/>
          <c:order val="0"/>
          <c:tx>
            <c:strRef>
              <c:f>'[Modelo Trimestral gasolinas EIA.xlsx]E_Shock'!$N$202</c:f>
              <c:strCache>
                <c:ptCount val="1"/>
                <c:pt idx="0">
                  <c:v>pr</c:v>
                </c:pt>
              </c:strCache>
            </c:strRef>
          </c:tx>
          <c:spPr>
            <a:ln w="22225" cap="rnd">
              <a:solidFill>
                <a:schemeClr val="accent2"/>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C2E1-4ED9-83B3-A7DBCCBBAF01}"/>
                </c:ext>
              </c:extLst>
            </c:dLbl>
            <c:dLbl>
              <c:idx val="1"/>
              <c:delete val="1"/>
              <c:extLst>
                <c:ext xmlns:c15="http://schemas.microsoft.com/office/drawing/2012/chart" uri="{CE6537A1-D6FC-4f65-9D91-7224C49458BB}"/>
                <c:ext xmlns:c16="http://schemas.microsoft.com/office/drawing/2014/chart" uri="{C3380CC4-5D6E-409C-BE32-E72D297353CC}">
                  <c16:uniqueId val="{00000001-C2E1-4ED9-83B3-A7DBCCBBAF01}"/>
                </c:ext>
              </c:extLst>
            </c:dLbl>
            <c:dLbl>
              <c:idx val="2"/>
              <c:delete val="1"/>
              <c:extLst>
                <c:ext xmlns:c15="http://schemas.microsoft.com/office/drawing/2012/chart" uri="{CE6537A1-D6FC-4f65-9D91-7224C49458BB}"/>
                <c:ext xmlns:c16="http://schemas.microsoft.com/office/drawing/2014/chart" uri="{C3380CC4-5D6E-409C-BE32-E72D297353CC}">
                  <c16:uniqueId val="{00000002-C2E1-4ED9-83B3-A7DBCCBBAF01}"/>
                </c:ext>
              </c:extLst>
            </c:dLbl>
            <c:dLbl>
              <c:idx val="3"/>
              <c:delete val="1"/>
              <c:extLst>
                <c:ext xmlns:c15="http://schemas.microsoft.com/office/drawing/2012/chart" uri="{CE6537A1-D6FC-4f65-9D91-7224C49458BB}"/>
                <c:ext xmlns:c16="http://schemas.microsoft.com/office/drawing/2014/chart" uri="{C3380CC4-5D6E-409C-BE32-E72D297353CC}">
                  <c16:uniqueId val="{00000003-C2E1-4ED9-83B3-A7DBCCBBAF01}"/>
                </c:ext>
              </c:extLst>
            </c:dLbl>
            <c:dLbl>
              <c:idx val="5"/>
              <c:delete val="1"/>
              <c:extLst>
                <c:ext xmlns:c15="http://schemas.microsoft.com/office/drawing/2012/chart" uri="{CE6537A1-D6FC-4f65-9D91-7224C49458BB}"/>
                <c:ext xmlns:c16="http://schemas.microsoft.com/office/drawing/2014/chart" uri="{C3380CC4-5D6E-409C-BE32-E72D297353CC}">
                  <c16:uniqueId val="{00000004-C2E1-4ED9-83B3-A7DBCCBBAF01}"/>
                </c:ext>
              </c:extLst>
            </c:dLbl>
            <c:dLbl>
              <c:idx val="6"/>
              <c:delete val="1"/>
              <c:extLst>
                <c:ext xmlns:c15="http://schemas.microsoft.com/office/drawing/2012/chart" uri="{CE6537A1-D6FC-4f65-9D91-7224C49458BB}"/>
                <c:ext xmlns:c16="http://schemas.microsoft.com/office/drawing/2014/chart" uri="{C3380CC4-5D6E-409C-BE32-E72D297353CC}">
                  <c16:uniqueId val="{00000005-C2E1-4ED9-83B3-A7DBCCBBAF01}"/>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2"/>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EIA.xlsx]E_Shock'!$O$202:$V$202</c:f>
              <c:numCache>
                <c:formatCode>_-* #,##0.0_-;\-* #,##0.0_-;_-* "-"??_-;_-@_-</c:formatCode>
                <c:ptCount val="8"/>
                <c:pt idx="0">
                  <c:v>34.0625</c:v>
                </c:pt>
                <c:pt idx="1">
                  <c:v>37.43540014037071</c:v>
                </c:pt>
                <c:pt idx="2">
                  <c:v>36.271382980154613</c:v>
                </c:pt>
                <c:pt idx="3">
                  <c:v>33.209345219193615</c:v>
                </c:pt>
                <c:pt idx="4">
                  <c:v>43.110232385222524</c:v>
                </c:pt>
                <c:pt idx="5">
                  <c:v>41.88168323266369</c:v>
                </c:pt>
                <c:pt idx="6">
                  <c:v>41.78262447373951</c:v>
                </c:pt>
                <c:pt idx="7">
                  <c:v>41.679103505075602</c:v>
                </c:pt>
              </c:numCache>
            </c:numRef>
          </c:val>
          <c:smooth val="0"/>
          <c:extLst>
            <c:ext xmlns:c16="http://schemas.microsoft.com/office/drawing/2014/chart" uri="{C3380CC4-5D6E-409C-BE32-E72D297353CC}">
              <c16:uniqueId val="{00000006-C2E1-4ED9-83B3-A7DBCCBBAF01}"/>
            </c:ext>
          </c:extLst>
        </c:ser>
        <c:ser>
          <c:idx val="1"/>
          <c:order val="1"/>
          <c:spPr>
            <a:ln w="22225" cap="rnd">
              <a:solidFill>
                <a:schemeClr val="accent6"/>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C2E1-4ED9-83B3-A7DBCCBBAF01}"/>
                </c:ext>
              </c:extLst>
            </c:dLbl>
            <c:dLbl>
              <c:idx val="1"/>
              <c:delete val="1"/>
              <c:extLst>
                <c:ext xmlns:c15="http://schemas.microsoft.com/office/drawing/2012/chart" uri="{CE6537A1-D6FC-4f65-9D91-7224C49458BB}"/>
                <c:ext xmlns:c16="http://schemas.microsoft.com/office/drawing/2014/chart" uri="{C3380CC4-5D6E-409C-BE32-E72D297353CC}">
                  <c16:uniqueId val="{00000008-C2E1-4ED9-83B3-A7DBCCBBAF01}"/>
                </c:ext>
              </c:extLst>
            </c:dLbl>
            <c:dLbl>
              <c:idx val="2"/>
              <c:delete val="1"/>
              <c:extLst>
                <c:ext xmlns:c15="http://schemas.microsoft.com/office/drawing/2012/chart" uri="{CE6537A1-D6FC-4f65-9D91-7224C49458BB}"/>
                <c:ext xmlns:c16="http://schemas.microsoft.com/office/drawing/2014/chart" uri="{C3380CC4-5D6E-409C-BE32-E72D297353CC}">
                  <c16:uniqueId val="{00000009-C2E1-4ED9-83B3-A7DBCCBBAF01}"/>
                </c:ext>
              </c:extLst>
            </c:dLbl>
            <c:dLbl>
              <c:idx val="3"/>
              <c:delete val="1"/>
              <c:extLst>
                <c:ext xmlns:c15="http://schemas.microsoft.com/office/drawing/2012/chart" uri="{CE6537A1-D6FC-4f65-9D91-7224C49458BB}"/>
                <c:ext xmlns:c16="http://schemas.microsoft.com/office/drawing/2014/chart" uri="{C3380CC4-5D6E-409C-BE32-E72D297353CC}">
                  <c16:uniqueId val="{0000000A-C2E1-4ED9-83B3-A7DBCCBBAF01}"/>
                </c:ext>
              </c:extLst>
            </c:dLbl>
            <c:dLbl>
              <c:idx val="4"/>
              <c:layout>
                <c:manualLayout>
                  <c:x val="-0.11626596529044873"/>
                  <c:y val="8.865763888888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E1-4ED9-83B3-A7DBCCBBAF01}"/>
                </c:ext>
              </c:extLst>
            </c:dLbl>
            <c:dLbl>
              <c:idx val="5"/>
              <c:delete val="1"/>
              <c:extLst>
                <c:ext xmlns:c15="http://schemas.microsoft.com/office/drawing/2012/chart" uri="{CE6537A1-D6FC-4f65-9D91-7224C49458BB}"/>
                <c:ext xmlns:c16="http://schemas.microsoft.com/office/drawing/2014/chart" uri="{C3380CC4-5D6E-409C-BE32-E72D297353CC}">
                  <c16:uniqueId val="{0000000C-C2E1-4ED9-83B3-A7DBCCBBAF01}"/>
                </c:ext>
              </c:extLst>
            </c:dLbl>
            <c:dLbl>
              <c:idx val="6"/>
              <c:delete val="1"/>
              <c:extLst>
                <c:ext xmlns:c15="http://schemas.microsoft.com/office/drawing/2012/chart" uri="{CE6537A1-D6FC-4f65-9D91-7224C49458BB}"/>
                <c:ext xmlns:c16="http://schemas.microsoft.com/office/drawing/2014/chart" uri="{C3380CC4-5D6E-409C-BE32-E72D297353CC}">
                  <c16:uniqueId val="{0000000D-C2E1-4ED9-83B3-A7DBCCBBAF01}"/>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6"/>
                    </a:solidFill>
                    <a:latin typeface="+mn-lt"/>
                    <a:ea typeface="+mn-ea"/>
                    <a:cs typeface="+mn-cs"/>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EIA.xlsx]E_Shock'!$Z$202:$AG$202</c:f>
              <c:numCache>
                <c:formatCode>_-* #,##0.0_-;\-* #,##0.0_-;_-* "-"??_-;_-@_-</c:formatCode>
                <c:ptCount val="8"/>
                <c:pt idx="0">
                  <c:v>34.0625</c:v>
                </c:pt>
                <c:pt idx="1">
                  <c:v>37.43540014037071</c:v>
                </c:pt>
                <c:pt idx="2">
                  <c:v>36.271382980154613</c:v>
                </c:pt>
                <c:pt idx="3">
                  <c:v>33.209345219193615</c:v>
                </c:pt>
                <c:pt idx="4">
                  <c:v>41.110232385222524</c:v>
                </c:pt>
                <c:pt idx="5">
                  <c:v>39.88168323266369</c:v>
                </c:pt>
                <c:pt idx="6">
                  <c:v>39.78262447373951</c:v>
                </c:pt>
                <c:pt idx="7">
                  <c:v>39.679103505075602</c:v>
                </c:pt>
              </c:numCache>
            </c:numRef>
          </c:val>
          <c:smooth val="0"/>
          <c:extLst>
            <c:ext xmlns:c16="http://schemas.microsoft.com/office/drawing/2014/chart" uri="{C3380CC4-5D6E-409C-BE32-E72D297353CC}">
              <c16:uniqueId val="{0000000E-C2E1-4ED9-83B3-A7DBCCBBAF01}"/>
            </c:ext>
          </c:extLst>
        </c:ser>
        <c:ser>
          <c:idx val="2"/>
          <c:order val="2"/>
          <c:spPr>
            <a:ln w="22225" cap="rnd">
              <a:solidFill>
                <a:srgbClr val="002060"/>
              </a:solidFill>
              <a:round/>
            </a:ln>
            <a:effectLst/>
          </c:spPr>
          <c:marker>
            <c:symbol val="none"/>
          </c:marker>
          <c:dLbls>
            <c:dLbl>
              <c:idx val="1"/>
              <c:layout>
                <c:manualLayout>
                  <c:x val="-0.10964333333333333"/>
                  <c:y val="-4.9021296296296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E1-4ED9-83B3-A7DBCCBBAF01}"/>
                </c:ext>
              </c:extLst>
            </c:dLbl>
            <c:dLbl>
              <c:idx val="2"/>
              <c:layout>
                <c:manualLayout>
                  <c:x val="-6.0254444444444444E-2"/>
                  <c:y val="-3.1382407407407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E1-4ED9-83B3-A7DBCCBBAF01}"/>
                </c:ext>
              </c:extLst>
            </c:dLbl>
            <c:dLbl>
              <c:idx val="7"/>
              <c:layout>
                <c:manualLayout>
                  <c:x val="-4.9046111111111242E-2"/>
                  <c:y val="3.9173148148148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E1-4ED9-83B3-A7DBCCBBAF01}"/>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mn-lt"/>
                    <a:ea typeface="+mn-ea"/>
                    <a:cs typeface="+mn-cs"/>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EIA.xlsx]E_Shock'!$D$202:$K$202</c:f>
              <c:numCache>
                <c:formatCode>_-* #,##0.0_-;\-* #,##0.0_-;_-* "-"??_-;_-@_-</c:formatCode>
                <c:ptCount val="8"/>
                <c:pt idx="0">
                  <c:v>34.0625</c:v>
                </c:pt>
                <c:pt idx="1">
                  <c:v>37.43540014037071</c:v>
                </c:pt>
                <c:pt idx="2">
                  <c:v>36.271382980154613</c:v>
                </c:pt>
                <c:pt idx="3">
                  <c:v>33.209345219193615</c:v>
                </c:pt>
                <c:pt idx="4">
                  <c:v>34.100833657740907</c:v>
                </c:pt>
                <c:pt idx="5">
                  <c:v>32.742090308717607</c:v>
                </c:pt>
                <c:pt idx="6">
                  <c:v>32.323287725134684</c:v>
                </c:pt>
                <c:pt idx="7">
                  <c:v>31.517162786187036</c:v>
                </c:pt>
              </c:numCache>
            </c:numRef>
          </c:val>
          <c:smooth val="0"/>
          <c:extLst>
            <c:ext xmlns:c16="http://schemas.microsoft.com/office/drawing/2014/chart" uri="{C3380CC4-5D6E-409C-BE32-E72D297353CC}">
              <c16:uniqueId val="{00000012-C2E1-4ED9-83B3-A7DBCCBBAF01}"/>
            </c:ext>
          </c:extLst>
        </c:ser>
        <c:dLbls>
          <c:showLegendKey val="0"/>
          <c:showVal val="0"/>
          <c:showCatName val="0"/>
          <c:showSerName val="0"/>
          <c:showPercent val="0"/>
          <c:showBubbleSize val="0"/>
        </c:dLbls>
        <c:smooth val="0"/>
        <c:axId val="1882650704"/>
        <c:axId val="1882651120"/>
      </c:lineChart>
      <c:catAx>
        <c:axId val="18826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882651120"/>
        <c:crosses val="autoZero"/>
        <c:auto val="1"/>
        <c:lblAlgn val="ctr"/>
        <c:lblOffset val="100"/>
        <c:noMultiLvlLbl val="1"/>
      </c:catAx>
      <c:valAx>
        <c:axId val="1882651120"/>
        <c:scaling>
          <c:orientation val="minMax"/>
          <c:min val="28"/>
        </c:scaling>
        <c:delete val="1"/>
        <c:axPos val="l"/>
        <c:numFmt formatCode="_-* #,##0.0_-;\-* #,##0.0_-;_-* &quot;-&quot;??_-;_-@_-" sourceLinked="1"/>
        <c:majorTickMark val="none"/>
        <c:minorTickMark val="none"/>
        <c:tickLblPos val="nextTo"/>
        <c:crossAx val="1882650704"/>
        <c:crosses val="autoZero"/>
        <c:crossBetween val="between"/>
        <c:majorUnit val="4"/>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27777777777773E-2"/>
          <c:y val="9.7013888888888886E-2"/>
          <c:w val="0.81980873015873024"/>
          <c:h val="0.65207222222222216"/>
        </c:manualLayout>
      </c:layout>
      <c:lineChart>
        <c:grouping val="standard"/>
        <c:varyColors val="0"/>
        <c:ser>
          <c:idx val="0"/>
          <c:order val="0"/>
          <c:tx>
            <c:strRef>
              <c:f>'[Modelo Trimestral gasolinas EIA.xlsx]E_Shock'!$N$203</c:f>
              <c:strCache>
                <c:ptCount val="1"/>
                <c:pt idx="0">
                  <c:v>pd</c:v>
                </c:pt>
              </c:strCache>
            </c:strRef>
          </c:tx>
          <c:spPr>
            <a:ln w="22225" cap="rnd">
              <a:solidFill>
                <a:schemeClr val="accent2"/>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E77F-401E-827F-8DA7696BED28}"/>
                </c:ext>
              </c:extLst>
            </c:dLbl>
            <c:dLbl>
              <c:idx val="1"/>
              <c:delete val="1"/>
              <c:extLst>
                <c:ext xmlns:c15="http://schemas.microsoft.com/office/drawing/2012/chart" uri="{CE6537A1-D6FC-4f65-9D91-7224C49458BB}"/>
                <c:ext xmlns:c16="http://schemas.microsoft.com/office/drawing/2014/chart" uri="{C3380CC4-5D6E-409C-BE32-E72D297353CC}">
                  <c16:uniqueId val="{00000001-E77F-401E-827F-8DA7696BED28}"/>
                </c:ext>
              </c:extLst>
            </c:dLbl>
            <c:dLbl>
              <c:idx val="2"/>
              <c:delete val="1"/>
              <c:extLst>
                <c:ext xmlns:c15="http://schemas.microsoft.com/office/drawing/2012/chart" uri="{CE6537A1-D6FC-4f65-9D91-7224C49458BB}"/>
                <c:ext xmlns:c16="http://schemas.microsoft.com/office/drawing/2014/chart" uri="{C3380CC4-5D6E-409C-BE32-E72D297353CC}">
                  <c16:uniqueId val="{00000002-E77F-401E-827F-8DA7696BED28}"/>
                </c:ext>
              </c:extLst>
            </c:dLbl>
            <c:dLbl>
              <c:idx val="3"/>
              <c:delete val="1"/>
              <c:extLst>
                <c:ext xmlns:c15="http://schemas.microsoft.com/office/drawing/2012/chart" uri="{CE6537A1-D6FC-4f65-9D91-7224C49458BB}"/>
                <c:ext xmlns:c16="http://schemas.microsoft.com/office/drawing/2014/chart" uri="{C3380CC4-5D6E-409C-BE32-E72D297353CC}">
                  <c16:uniqueId val="{00000003-E77F-401E-827F-8DA7696BED28}"/>
                </c:ext>
              </c:extLst>
            </c:dLbl>
            <c:dLbl>
              <c:idx val="4"/>
              <c:layout>
                <c:manualLayout>
                  <c:x val="-0.13647431881931593"/>
                  <c:y val="-4.456041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7F-401E-827F-8DA7696BED28}"/>
                </c:ext>
              </c:extLst>
            </c:dLbl>
            <c:dLbl>
              <c:idx val="5"/>
              <c:layout>
                <c:manualLayout>
                  <c:x val="-0.15663333333333335"/>
                  <c:y val="-7.1018750000000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7F-401E-827F-8DA7696BED28}"/>
                </c:ext>
              </c:extLst>
            </c:dLbl>
            <c:dLbl>
              <c:idx val="6"/>
              <c:delete val="1"/>
              <c:extLst>
                <c:ext xmlns:c15="http://schemas.microsoft.com/office/drawing/2012/chart" uri="{CE6537A1-D6FC-4f65-9D91-7224C49458BB}"/>
                <c:ext xmlns:c16="http://schemas.microsoft.com/office/drawing/2014/chart" uri="{C3380CC4-5D6E-409C-BE32-E72D297353CC}">
                  <c16:uniqueId val="{00000006-E77F-401E-827F-8DA7696BED28}"/>
                </c:ext>
              </c:extLst>
            </c:dLbl>
            <c:dLbl>
              <c:idx val="7"/>
              <c:layout>
                <c:manualLayout>
                  <c:x val="-4.7117958049797508E-2"/>
                  <c:y val="-5.3379861111111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7F-401E-827F-8DA7696BED28}"/>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2"/>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EIA.xlsx]E_Shock'!$O$203:$V$203</c:f>
              <c:numCache>
                <c:formatCode>_-* #,##0.0_-;\-* #,##0.0_-;_-* "-"??_-;_-@_-</c:formatCode>
                <c:ptCount val="8"/>
                <c:pt idx="0">
                  <c:v>31.552499999999998</c:v>
                </c:pt>
                <c:pt idx="1">
                  <c:v>33.662792842305493</c:v>
                </c:pt>
                <c:pt idx="2">
                  <c:v>33.51266134354956</c:v>
                </c:pt>
                <c:pt idx="3">
                  <c:v>31.728624311078253</c:v>
                </c:pt>
                <c:pt idx="4">
                  <c:v>40.24667695855792</c:v>
                </c:pt>
                <c:pt idx="5">
                  <c:v>38.453961613672206</c:v>
                </c:pt>
                <c:pt idx="6">
                  <c:v>38.562398656606</c:v>
                </c:pt>
                <c:pt idx="7">
                  <c:v>39.619892006186916</c:v>
                </c:pt>
              </c:numCache>
            </c:numRef>
          </c:val>
          <c:smooth val="0"/>
          <c:extLst>
            <c:ext xmlns:c16="http://schemas.microsoft.com/office/drawing/2014/chart" uri="{C3380CC4-5D6E-409C-BE32-E72D297353CC}">
              <c16:uniqueId val="{00000008-E77F-401E-827F-8DA7696BED28}"/>
            </c:ext>
          </c:extLst>
        </c:ser>
        <c:ser>
          <c:idx val="1"/>
          <c:order val="1"/>
          <c:spPr>
            <a:ln w="22225" cap="rnd">
              <a:solidFill>
                <a:schemeClr val="accent6"/>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E77F-401E-827F-8DA7696BED28}"/>
                </c:ext>
              </c:extLst>
            </c:dLbl>
            <c:dLbl>
              <c:idx val="1"/>
              <c:delete val="1"/>
              <c:extLst>
                <c:ext xmlns:c15="http://schemas.microsoft.com/office/drawing/2012/chart" uri="{CE6537A1-D6FC-4f65-9D91-7224C49458BB}"/>
                <c:ext xmlns:c16="http://schemas.microsoft.com/office/drawing/2014/chart" uri="{C3380CC4-5D6E-409C-BE32-E72D297353CC}">
                  <c16:uniqueId val="{0000000A-E77F-401E-827F-8DA7696BED28}"/>
                </c:ext>
              </c:extLst>
            </c:dLbl>
            <c:dLbl>
              <c:idx val="2"/>
              <c:delete val="1"/>
              <c:extLst>
                <c:ext xmlns:c15="http://schemas.microsoft.com/office/drawing/2012/chart" uri="{CE6537A1-D6FC-4f65-9D91-7224C49458BB}"/>
                <c:ext xmlns:c16="http://schemas.microsoft.com/office/drawing/2014/chart" uri="{C3380CC4-5D6E-409C-BE32-E72D297353CC}">
                  <c16:uniqueId val="{0000000B-E77F-401E-827F-8DA7696BED28}"/>
                </c:ext>
              </c:extLst>
            </c:dLbl>
            <c:dLbl>
              <c:idx val="3"/>
              <c:delete val="1"/>
              <c:extLst>
                <c:ext xmlns:c15="http://schemas.microsoft.com/office/drawing/2012/chart" uri="{CE6537A1-D6FC-4f65-9D91-7224C49458BB}"/>
                <c:ext xmlns:c16="http://schemas.microsoft.com/office/drawing/2014/chart" uri="{C3380CC4-5D6E-409C-BE32-E72D297353CC}">
                  <c16:uniqueId val="{0000000C-E77F-401E-827F-8DA7696BED28}"/>
                </c:ext>
              </c:extLst>
            </c:dLbl>
            <c:dLbl>
              <c:idx val="4"/>
              <c:layout>
                <c:manualLayout>
                  <c:x val="-9.5214999999999994E-2"/>
                  <c:y val="-4.5052777777777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7F-401E-827F-8DA7696BED28}"/>
                </c:ext>
              </c:extLst>
            </c:dLbl>
            <c:dLbl>
              <c:idx val="5"/>
              <c:delete val="1"/>
              <c:extLst>
                <c:ext xmlns:c15="http://schemas.microsoft.com/office/drawing/2012/chart" uri="{CE6537A1-D6FC-4f65-9D91-7224C49458BB}"/>
                <c:ext xmlns:c16="http://schemas.microsoft.com/office/drawing/2014/chart" uri="{C3380CC4-5D6E-409C-BE32-E72D297353CC}">
                  <c16:uniqueId val="{0000000E-E77F-401E-827F-8DA7696BED28}"/>
                </c:ext>
              </c:extLst>
            </c:dLbl>
            <c:dLbl>
              <c:idx val="6"/>
              <c:delete val="1"/>
              <c:extLst>
                <c:ext xmlns:c15="http://schemas.microsoft.com/office/drawing/2012/chart" uri="{CE6537A1-D6FC-4f65-9D91-7224C49458BB}"/>
                <c:ext xmlns:c16="http://schemas.microsoft.com/office/drawing/2014/chart" uri="{C3380CC4-5D6E-409C-BE32-E72D297353CC}">
                  <c16:uniqueId val="{0000000F-E77F-401E-827F-8DA7696BED28}"/>
                </c:ext>
              </c:extLst>
            </c:dLbl>
            <c:dLbl>
              <c:idx val="7"/>
              <c:layout>
                <c:manualLayout>
                  <c:x val="-2.1141666666666666E-2"/>
                  <c:y val="-3.9173148148148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7F-401E-827F-8DA7696BED28}"/>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accent6"/>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EIA.xlsx]E_Shock'!$Z$203:$AG$203</c:f>
              <c:numCache>
                <c:formatCode>_-* #,##0.0_-;\-* #,##0.0_-;_-* "-"??_-;_-@_-</c:formatCode>
                <c:ptCount val="8"/>
                <c:pt idx="0">
                  <c:v>31.552499999999998</c:v>
                </c:pt>
                <c:pt idx="1">
                  <c:v>33.662792842305493</c:v>
                </c:pt>
                <c:pt idx="2">
                  <c:v>33.51266134354956</c:v>
                </c:pt>
                <c:pt idx="3">
                  <c:v>31.728624311078253</c:v>
                </c:pt>
                <c:pt idx="4">
                  <c:v>35.24667695855792</c:v>
                </c:pt>
                <c:pt idx="5">
                  <c:v>33.453961613672206</c:v>
                </c:pt>
                <c:pt idx="6">
                  <c:v>33.562398656606</c:v>
                </c:pt>
                <c:pt idx="7">
                  <c:v>34.619892006186916</c:v>
                </c:pt>
              </c:numCache>
            </c:numRef>
          </c:val>
          <c:smooth val="0"/>
          <c:extLst>
            <c:ext xmlns:c16="http://schemas.microsoft.com/office/drawing/2014/chart" uri="{C3380CC4-5D6E-409C-BE32-E72D297353CC}">
              <c16:uniqueId val="{00000011-E77F-401E-827F-8DA7696BED28}"/>
            </c:ext>
          </c:extLst>
        </c:ser>
        <c:ser>
          <c:idx val="2"/>
          <c:order val="2"/>
          <c:spPr>
            <a:ln w="22225" cap="rnd">
              <a:solidFill>
                <a:srgbClr val="002060"/>
              </a:solidFill>
              <a:round/>
            </a:ln>
            <a:effectLst/>
          </c:spPr>
          <c:marker>
            <c:symbol val="none"/>
          </c:marker>
          <c:dLbls>
            <c:dLbl>
              <c:idx val="1"/>
              <c:layout>
                <c:manualLayout>
                  <c:x val="-0.10964333333333333"/>
                  <c:y val="-4.9021296296296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77F-401E-827F-8DA7696BED28}"/>
                </c:ext>
              </c:extLst>
            </c:dLbl>
            <c:dLbl>
              <c:idx val="2"/>
              <c:layout>
                <c:manualLayout>
                  <c:x val="-7.0337527718430715E-2"/>
                  <c:y val="-3.138263888888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7F-401E-827F-8DA7696BED28}"/>
                </c:ext>
              </c:extLst>
            </c:dLbl>
            <c:dLbl>
              <c:idx val="3"/>
              <c:layout>
                <c:manualLayout>
                  <c:x val="-0.14655735700544881"/>
                  <c:y val="5.3379861111111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7F-401E-827F-8DA7696BED28}"/>
                </c:ext>
              </c:extLst>
            </c:dLbl>
            <c:dLbl>
              <c:idx val="4"/>
              <c:layout>
                <c:manualLayout>
                  <c:x val="-0.14655735700544889"/>
                  <c:y val="0.150393749999999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77F-401E-827F-8DA7696BED28}"/>
                </c:ext>
              </c:extLst>
            </c:dLbl>
            <c:dLbl>
              <c:idx val="5"/>
              <c:layout>
                <c:manualLayout>
                  <c:x val="-0.13647431881931602"/>
                  <c:y val="6.219930555555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77F-401E-827F-8DA7696BED28}"/>
                </c:ext>
              </c:extLst>
            </c:dLbl>
            <c:dLbl>
              <c:idx val="6"/>
              <c:layout>
                <c:manualLayout>
                  <c:x val="-0.13647431881931593"/>
                  <c:y val="6.219930555555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77F-401E-827F-8DA7696BED28}"/>
                </c:ext>
              </c:extLst>
            </c:dLbl>
            <c:dLbl>
              <c:idx val="7"/>
              <c:layout>
                <c:manualLayout>
                  <c:x val="-4.9046111111111242E-2"/>
                  <c:y val="3.9173148148148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77F-401E-827F-8DA7696BED28}"/>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mn-lt"/>
                    <a:ea typeface="+mn-ea"/>
                    <a:cs typeface="+mn-cs"/>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EIA.xlsx]E_Shock'!$D$203:$K$203</c:f>
              <c:numCache>
                <c:formatCode>_-* #,##0.0_-;\-* #,##0.0_-;_-* "-"??_-;_-@_-</c:formatCode>
                <c:ptCount val="8"/>
                <c:pt idx="0">
                  <c:v>31.552499999999998</c:v>
                </c:pt>
                <c:pt idx="1">
                  <c:v>33.662792842305493</c:v>
                </c:pt>
                <c:pt idx="2">
                  <c:v>33.51266134354956</c:v>
                </c:pt>
                <c:pt idx="3">
                  <c:v>31.728624311078253</c:v>
                </c:pt>
                <c:pt idx="4">
                  <c:v>31.943280433239668</c:v>
                </c:pt>
                <c:pt idx="5">
                  <c:v>28.332411431862557</c:v>
                </c:pt>
                <c:pt idx="6">
                  <c:v>28.230521503895911</c:v>
                </c:pt>
                <c:pt idx="7">
                  <c:v>29.049676876945178</c:v>
                </c:pt>
              </c:numCache>
            </c:numRef>
          </c:val>
          <c:smooth val="0"/>
          <c:extLst>
            <c:ext xmlns:c16="http://schemas.microsoft.com/office/drawing/2014/chart" uri="{C3380CC4-5D6E-409C-BE32-E72D297353CC}">
              <c16:uniqueId val="{00000019-E77F-401E-827F-8DA7696BED28}"/>
            </c:ext>
          </c:extLst>
        </c:ser>
        <c:dLbls>
          <c:showLegendKey val="0"/>
          <c:showVal val="0"/>
          <c:showCatName val="0"/>
          <c:showSerName val="0"/>
          <c:showPercent val="0"/>
          <c:showBubbleSize val="0"/>
        </c:dLbls>
        <c:smooth val="0"/>
        <c:axId val="1882650704"/>
        <c:axId val="1882651120"/>
      </c:lineChart>
      <c:catAx>
        <c:axId val="18826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882651120"/>
        <c:crosses val="autoZero"/>
        <c:auto val="1"/>
        <c:lblAlgn val="ctr"/>
        <c:lblOffset val="100"/>
        <c:noMultiLvlLbl val="1"/>
      </c:catAx>
      <c:valAx>
        <c:axId val="1882651120"/>
        <c:scaling>
          <c:orientation val="minMax"/>
          <c:max val="40"/>
          <c:min val="25"/>
        </c:scaling>
        <c:delete val="1"/>
        <c:axPos val="l"/>
        <c:numFmt formatCode="_-* #,##0.0_-;\-* #,##0.0_-;_-* &quot;-&quot;??_-;_-@_-" sourceLinked="1"/>
        <c:majorTickMark val="out"/>
        <c:minorTickMark val="none"/>
        <c:tickLblPos val="nextTo"/>
        <c:crossAx val="1882650704"/>
        <c:crosses val="autoZero"/>
        <c:crossBetween val="between"/>
        <c:majorUnit val="4"/>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20714285714285E-2"/>
          <c:y val="9.7013888888888886E-2"/>
          <c:w val="0.80972936507936522"/>
          <c:h val="0.65207222222222216"/>
        </c:manualLayout>
      </c:layout>
      <c:lineChart>
        <c:grouping val="standard"/>
        <c:varyColors val="0"/>
        <c:ser>
          <c:idx val="0"/>
          <c:order val="0"/>
          <c:tx>
            <c:strRef>
              <c:f>'[Modelo Trimestral gasolinas EIA.xlsx]E_Shock'!$N$204</c:f>
              <c:strCache>
                <c:ptCount val="1"/>
                <c:pt idx="0">
                  <c:v> cs </c:v>
                </c:pt>
              </c:strCache>
            </c:strRef>
          </c:tx>
          <c:spPr>
            <a:ln w="22225" cap="rnd">
              <a:solidFill>
                <a:schemeClr val="accent2"/>
              </a:solidFill>
              <a:prstDash val="sysDot"/>
              <a:round/>
            </a:ln>
            <a:effectLst/>
          </c:spPr>
          <c:marker>
            <c:symbol val="none"/>
          </c:marker>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EIA.xlsx]E_Shock'!$O$207:$V$207</c:f>
              <c:numCache>
                <c:formatCode>_-* #,##0.0_-;\-* #,##0.0_-;_-* "-"??_-;_-@_-</c:formatCode>
                <c:ptCount val="8"/>
                <c:pt idx="0">
                  <c:v>326.65156003199957</c:v>
                </c:pt>
                <c:pt idx="1">
                  <c:v>300.60519099024407</c:v>
                </c:pt>
                <c:pt idx="2">
                  <c:v>294.75650752344563</c:v>
                </c:pt>
                <c:pt idx="3">
                  <c:v>332.16640082603288</c:v>
                </c:pt>
                <c:pt idx="4">
                  <c:v>312.97768746501674</c:v>
                </c:pt>
                <c:pt idx="5">
                  <c:v>293.18802862752432</c:v>
                </c:pt>
                <c:pt idx="6">
                  <c:v>288.38723387283392</c:v>
                </c:pt>
                <c:pt idx="7">
                  <c:v>319.91056102728953</c:v>
                </c:pt>
              </c:numCache>
            </c:numRef>
          </c:val>
          <c:smooth val="0"/>
          <c:extLst>
            <c:ext xmlns:c16="http://schemas.microsoft.com/office/drawing/2014/chart" uri="{C3380CC4-5D6E-409C-BE32-E72D297353CC}">
              <c16:uniqueId val="{00000000-D50A-4C3E-BFE9-7742DC4CB2D1}"/>
            </c:ext>
          </c:extLst>
        </c:ser>
        <c:ser>
          <c:idx val="1"/>
          <c:order val="1"/>
          <c:spPr>
            <a:ln w="22225" cap="rnd">
              <a:solidFill>
                <a:schemeClr val="accent6"/>
              </a:solidFill>
              <a:prstDash val="sysDot"/>
              <a:round/>
            </a:ln>
            <a:effectLst/>
          </c:spPr>
          <c:marker>
            <c:symbol val="none"/>
          </c:marker>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EIA.xlsx]E_Shock'!$Z$207:$AG$207</c:f>
              <c:numCache>
                <c:formatCode>_-* #,##0.0_-;\-* #,##0.0_-;_-* "-"??_-;_-@_-</c:formatCode>
                <c:ptCount val="8"/>
                <c:pt idx="0">
                  <c:v>326.65156003199957</c:v>
                </c:pt>
                <c:pt idx="1">
                  <c:v>300.60519099024407</c:v>
                </c:pt>
                <c:pt idx="2">
                  <c:v>294.75650752344563</c:v>
                </c:pt>
                <c:pt idx="3">
                  <c:v>332.16640082603288</c:v>
                </c:pt>
                <c:pt idx="4">
                  <c:v>318.02120550661584</c:v>
                </c:pt>
                <c:pt idx="5">
                  <c:v>300.08956633572575</c:v>
                </c:pt>
                <c:pt idx="6">
                  <c:v>296.09866883251379</c:v>
                </c:pt>
                <c:pt idx="7">
                  <c:v>328.99169329022402</c:v>
                </c:pt>
              </c:numCache>
            </c:numRef>
          </c:val>
          <c:smooth val="0"/>
          <c:extLst>
            <c:ext xmlns:c16="http://schemas.microsoft.com/office/drawing/2014/chart" uri="{C3380CC4-5D6E-409C-BE32-E72D297353CC}">
              <c16:uniqueId val="{00000001-D50A-4C3E-BFE9-7742DC4CB2D1}"/>
            </c:ext>
          </c:extLst>
        </c:ser>
        <c:ser>
          <c:idx val="2"/>
          <c:order val="2"/>
          <c:spPr>
            <a:ln w="22225" cap="rnd">
              <a:solidFill>
                <a:srgbClr val="002060"/>
              </a:solidFill>
              <a:round/>
            </a:ln>
            <a:effectLst/>
          </c:spPr>
          <c:marker>
            <c:symbol val="none"/>
          </c:marker>
          <c:dLbls>
            <c:dLbl>
              <c:idx val="0"/>
              <c:layout>
                <c:manualLayout>
                  <c:x val="-0.12904126984126979"/>
                  <c:y val="-8.8657638888888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0A-4C3E-BFE9-7742DC4CB2D1}"/>
                </c:ext>
              </c:extLst>
            </c:dLbl>
            <c:dLbl>
              <c:idx val="1"/>
              <c:layout>
                <c:manualLayout>
                  <c:x val="-0.20967619047619049"/>
                  <c:y val="7.9838194444444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0A-4C3E-BFE9-7742DC4CB2D1}"/>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0A-4C3E-BFE9-7742DC4CB2D1}"/>
                </c:ext>
              </c:extLst>
            </c:dLbl>
            <c:dLbl>
              <c:idx val="3"/>
              <c:layout>
                <c:manualLayout>
                  <c:x val="-0.23991428571428572"/>
                  <c:y val="-9.282638888888928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0A-4C3E-BFE9-7742DC4CB2D1}"/>
                </c:ext>
              </c:extLst>
            </c:dLbl>
            <c:dLbl>
              <c:idx val="4"/>
              <c:layout>
                <c:manualLayout>
                  <c:x val="-0.14650396825396825"/>
                  <c:y val="-7.9838194444444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0A-4C3E-BFE9-7742DC4CB2D1}"/>
                </c:ext>
              </c:extLst>
            </c:dLbl>
            <c:dLbl>
              <c:idx val="5"/>
              <c:layout>
                <c:manualLayout>
                  <c:x val="-0.11888492063492063"/>
                  <c:y val="-6.219930555555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0A-4C3E-BFE9-7742DC4CB2D1}"/>
                </c:ext>
              </c:extLst>
            </c:dLbl>
            <c:dLbl>
              <c:idx val="6"/>
              <c:layout>
                <c:manualLayout>
                  <c:x val="-0.15658333333333344"/>
                  <c:y val="-0.141574305555555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0A-4C3E-BFE9-7742DC4CB2D1}"/>
                </c:ext>
              </c:extLst>
            </c:dLbl>
            <c:dLbl>
              <c:idx val="7"/>
              <c:layout>
                <c:manualLayout>
                  <c:x val="-9.2393112561059377E-17"/>
                  <c:y val="-8.865763888888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0A-4C3E-BFE9-7742DC4CB2D1}"/>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EIA.xlsx]E_Shock'!$D$207:$K$207</c:f>
              <c:numCache>
                <c:formatCode>_-* #,##0.0_-;\-* #,##0.0_-;_-* "-"??_-;_-@_-</c:formatCode>
                <c:ptCount val="8"/>
                <c:pt idx="0">
                  <c:v>326.65156003199957</c:v>
                </c:pt>
                <c:pt idx="1">
                  <c:v>300.57354329053328</c:v>
                </c:pt>
                <c:pt idx="2">
                  <c:v>294.80456231770393</c:v>
                </c:pt>
                <c:pt idx="3">
                  <c:v>332.22563344482774</c:v>
                </c:pt>
                <c:pt idx="4">
                  <c:v>327.85088879227328</c:v>
                </c:pt>
                <c:pt idx="5">
                  <c:v>315.33121406513004</c:v>
                </c:pt>
                <c:pt idx="6">
                  <c:v>314.44579482525887</c:v>
                </c:pt>
                <c:pt idx="7">
                  <c:v>352.18502538542265</c:v>
                </c:pt>
              </c:numCache>
            </c:numRef>
          </c:val>
          <c:smooth val="0"/>
          <c:extLst>
            <c:ext xmlns:c16="http://schemas.microsoft.com/office/drawing/2014/chart" uri="{C3380CC4-5D6E-409C-BE32-E72D297353CC}">
              <c16:uniqueId val="{0000000A-D50A-4C3E-BFE9-7742DC4CB2D1}"/>
            </c:ext>
          </c:extLst>
        </c:ser>
        <c:dLbls>
          <c:showLegendKey val="0"/>
          <c:showVal val="0"/>
          <c:showCatName val="0"/>
          <c:showSerName val="0"/>
          <c:showPercent val="0"/>
          <c:showBubbleSize val="0"/>
        </c:dLbls>
        <c:smooth val="0"/>
        <c:axId val="1882650704"/>
        <c:axId val="1882651120"/>
      </c:lineChart>
      <c:catAx>
        <c:axId val="18826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882651120"/>
        <c:crosses val="autoZero"/>
        <c:auto val="1"/>
        <c:lblAlgn val="ctr"/>
        <c:lblOffset val="100"/>
        <c:noMultiLvlLbl val="1"/>
      </c:catAx>
      <c:valAx>
        <c:axId val="1882651120"/>
        <c:scaling>
          <c:orientation val="minMax"/>
          <c:min val="265"/>
        </c:scaling>
        <c:delete val="1"/>
        <c:axPos val="l"/>
        <c:numFmt formatCode="_-* #,##0.0_-;\-* #,##0.0_-;_-* &quot;-&quot;??_-;_-@_-" sourceLinked="1"/>
        <c:majorTickMark val="out"/>
        <c:minorTickMark val="none"/>
        <c:tickLblPos val="nextTo"/>
        <c:crossAx val="1882650704"/>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20714285714285E-2"/>
          <c:y val="9.7013888888888886E-2"/>
          <c:w val="0.80972936507936522"/>
          <c:h val="0.65207222222222216"/>
        </c:manualLayout>
      </c:layout>
      <c:lineChart>
        <c:grouping val="standard"/>
        <c:varyColors val="0"/>
        <c:ser>
          <c:idx val="0"/>
          <c:order val="0"/>
          <c:tx>
            <c:strRef>
              <c:f>'[Modelo Trimestral gasolinas EIA.xlsx]E_Shock'!$N$204</c:f>
              <c:strCache>
                <c:ptCount val="1"/>
                <c:pt idx="0">
                  <c:v> cs </c:v>
                </c:pt>
              </c:strCache>
            </c:strRef>
          </c:tx>
          <c:spPr>
            <a:ln w="22225" cap="rnd">
              <a:solidFill>
                <a:schemeClr val="accent2"/>
              </a:solidFill>
              <a:prstDash val="sysDot"/>
              <a:round/>
            </a:ln>
            <a:effectLst/>
          </c:spPr>
          <c:marker>
            <c:symbol val="none"/>
          </c:marker>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EIA.xlsx]E_Shock'!$O$204:$V$204</c:f>
              <c:numCache>
                <c:formatCode>_-* #,##0.0_-;\-* #,##0.0_-;_-* "-"??_-;_-@_-</c:formatCode>
                <c:ptCount val="8"/>
                <c:pt idx="0">
                  <c:v>76.193570039999969</c:v>
                </c:pt>
                <c:pt idx="1">
                  <c:v>72.164064301215276</c:v>
                </c:pt>
                <c:pt idx="2">
                  <c:v>73.771813005688557</c:v>
                </c:pt>
                <c:pt idx="3">
                  <c:v>83.637909483534827</c:v>
                </c:pt>
                <c:pt idx="4">
                  <c:v>71.267401671470935</c:v>
                </c:pt>
                <c:pt idx="5">
                  <c:v>68.938140693038008</c:v>
                </c:pt>
                <c:pt idx="6">
                  <c:v>70.6940781166835</c:v>
                </c:pt>
                <c:pt idx="7">
                  <c:v>78.519006385461097</c:v>
                </c:pt>
              </c:numCache>
            </c:numRef>
          </c:val>
          <c:smooth val="0"/>
          <c:extLst>
            <c:ext xmlns:c16="http://schemas.microsoft.com/office/drawing/2014/chart" uri="{C3380CC4-5D6E-409C-BE32-E72D297353CC}">
              <c16:uniqueId val="{00000000-C40E-4CF5-9602-7979F61123DE}"/>
            </c:ext>
          </c:extLst>
        </c:ser>
        <c:ser>
          <c:idx val="1"/>
          <c:order val="1"/>
          <c:spPr>
            <a:ln w="22225" cap="rnd">
              <a:solidFill>
                <a:schemeClr val="accent6"/>
              </a:solidFill>
              <a:prstDash val="sysDot"/>
              <a:round/>
            </a:ln>
            <a:effectLst/>
          </c:spPr>
          <c:marker>
            <c:symbol val="none"/>
          </c:marker>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EIA.xlsx]E_Shock'!$Z$204:$AG$204</c:f>
              <c:numCache>
                <c:formatCode>_-* #,##0.0_-;\-* #,##0.0_-;_-* "-"??_-;_-@_-</c:formatCode>
                <c:ptCount val="8"/>
                <c:pt idx="0">
                  <c:v>76.193570039999969</c:v>
                </c:pt>
                <c:pt idx="1">
                  <c:v>72.164064301215276</c:v>
                </c:pt>
                <c:pt idx="2">
                  <c:v>73.771813005688557</c:v>
                </c:pt>
                <c:pt idx="3">
                  <c:v>83.637909483534827</c:v>
                </c:pt>
                <c:pt idx="4">
                  <c:v>72.11175124432161</c:v>
                </c:pt>
                <c:pt idx="5">
                  <c:v>70.154908823907434</c:v>
                </c:pt>
                <c:pt idx="6">
                  <c:v>72.158194317211354</c:v>
                </c:pt>
                <c:pt idx="7">
                  <c:v>80.288089696894062</c:v>
                </c:pt>
              </c:numCache>
            </c:numRef>
          </c:val>
          <c:smooth val="0"/>
          <c:extLst>
            <c:ext xmlns:c16="http://schemas.microsoft.com/office/drawing/2014/chart" uri="{C3380CC4-5D6E-409C-BE32-E72D297353CC}">
              <c16:uniqueId val="{00000001-C40E-4CF5-9602-7979F61123DE}"/>
            </c:ext>
          </c:extLst>
        </c:ser>
        <c:ser>
          <c:idx val="2"/>
          <c:order val="2"/>
          <c:spPr>
            <a:ln w="22225" cap="rnd">
              <a:solidFill>
                <a:srgbClr val="002060"/>
              </a:solidFill>
              <a:round/>
            </a:ln>
            <a:effectLst/>
          </c:spPr>
          <c:marker>
            <c:symbol val="none"/>
          </c:marker>
          <c:dLbls>
            <c:dLbl>
              <c:idx val="2"/>
              <c:layout>
                <c:manualLayout>
                  <c:x val="-0.17674206349206353"/>
                  <c:y val="-0.141574305555555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0E-4CF5-9602-7979F61123DE}"/>
                </c:ext>
              </c:extLst>
            </c:dLbl>
            <c:dLbl>
              <c:idx val="4"/>
              <c:layout>
                <c:manualLayout>
                  <c:x val="-0.13642460317460317"/>
                  <c:y val="-0.106296527777777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0E-4CF5-9602-7979F61123DE}"/>
                </c:ext>
              </c:extLst>
            </c:dLbl>
            <c:dLbl>
              <c:idx val="6"/>
              <c:layout>
                <c:manualLayout>
                  <c:x val="-0.15658333333333344"/>
                  <c:y val="-0.141574305555555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0E-4CF5-9602-7979F61123DE}"/>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EIA.xlsx]E_Shock'!$D$204:$K$204</c:f>
              <c:numCache>
                <c:formatCode>_-* #,##0.0_-;\-* #,##0.0_-;_-* "-"??_-;_-@_-</c:formatCode>
                <c:ptCount val="8"/>
                <c:pt idx="0">
                  <c:v>76.193570039999969</c:v>
                </c:pt>
                <c:pt idx="1">
                  <c:v>72.164064301215276</c:v>
                </c:pt>
                <c:pt idx="2">
                  <c:v>73.771813005688557</c:v>
                </c:pt>
                <c:pt idx="3">
                  <c:v>83.637909483534827</c:v>
                </c:pt>
                <c:pt idx="4">
                  <c:v>75.589719002426648</c:v>
                </c:pt>
                <c:pt idx="5">
                  <c:v>75.444481575870867</c:v>
                </c:pt>
                <c:pt idx="6">
                  <c:v>78.795804672396102</c:v>
                </c:pt>
                <c:pt idx="7">
                  <c:v>88.911824705084726</c:v>
                </c:pt>
              </c:numCache>
            </c:numRef>
          </c:val>
          <c:smooth val="0"/>
          <c:extLst>
            <c:ext xmlns:c16="http://schemas.microsoft.com/office/drawing/2014/chart" uri="{C3380CC4-5D6E-409C-BE32-E72D297353CC}">
              <c16:uniqueId val="{00000005-C40E-4CF5-9602-7979F61123DE}"/>
            </c:ext>
          </c:extLst>
        </c:ser>
        <c:dLbls>
          <c:showLegendKey val="0"/>
          <c:showVal val="0"/>
          <c:showCatName val="0"/>
          <c:showSerName val="0"/>
          <c:showPercent val="0"/>
          <c:showBubbleSize val="0"/>
        </c:dLbls>
        <c:smooth val="0"/>
        <c:axId val="1882650704"/>
        <c:axId val="1882651120"/>
      </c:lineChart>
      <c:catAx>
        <c:axId val="18826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882651120"/>
        <c:crosses val="autoZero"/>
        <c:auto val="1"/>
        <c:lblAlgn val="ctr"/>
        <c:lblOffset val="100"/>
        <c:noMultiLvlLbl val="1"/>
      </c:catAx>
      <c:valAx>
        <c:axId val="1882651120"/>
        <c:scaling>
          <c:orientation val="minMax"/>
          <c:min val="65"/>
        </c:scaling>
        <c:delete val="1"/>
        <c:axPos val="l"/>
        <c:numFmt formatCode="_-* #,##0.0_-;\-* #,##0.0_-;_-* &quot;-&quot;??_-;_-@_-" sourceLinked="1"/>
        <c:majorTickMark val="out"/>
        <c:minorTickMark val="none"/>
        <c:tickLblPos val="nextTo"/>
        <c:crossAx val="1882650704"/>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20714285714285E-2"/>
          <c:y val="9.7013888888888886E-2"/>
          <c:w val="0.80972936507936522"/>
          <c:h val="0.65207222222222216"/>
        </c:manualLayout>
      </c:layout>
      <c:lineChart>
        <c:grouping val="standard"/>
        <c:varyColors val="0"/>
        <c:ser>
          <c:idx val="0"/>
          <c:order val="0"/>
          <c:tx>
            <c:strRef>
              <c:f>'[Modelo Trimestral gasolinas EIA.xlsx]E_Shock'!$N$204</c:f>
              <c:strCache>
                <c:ptCount val="1"/>
                <c:pt idx="0">
                  <c:v> cs </c:v>
                </c:pt>
              </c:strCache>
            </c:strRef>
          </c:tx>
          <c:spPr>
            <a:ln w="22225" cap="rnd">
              <a:solidFill>
                <a:schemeClr val="accent2"/>
              </a:solidFill>
              <a:prstDash val="sysDot"/>
              <a:round/>
            </a:ln>
            <a:effectLst/>
          </c:spPr>
          <c:marker>
            <c:symbol val="none"/>
          </c:marker>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EIA.xlsx]E_Shock'!$O$205:$V$205</c:f>
              <c:numCache>
                <c:formatCode>_-* #,##0.0_-;\-* #,##0.0_-;_-* "-"??_-;_-@_-</c:formatCode>
                <c:ptCount val="8"/>
                <c:pt idx="0">
                  <c:v>86.019189354000005</c:v>
                </c:pt>
                <c:pt idx="1">
                  <c:v>82.221711712796875</c:v>
                </c:pt>
                <c:pt idx="2">
                  <c:v>82.782615792792726</c:v>
                </c:pt>
                <c:pt idx="3">
                  <c:v>92.556908900333681</c:v>
                </c:pt>
                <c:pt idx="4">
                  <c:v>82.240639840453014</c:v>
                </c:pt>
                <c:pt idx="5">
                  <c:v>80.424103437885691</c:v>
                </c:pt>
                <c:pt idx="6">
                  <c:v>80.994617402871626</c:v>
                </c:pt>
                <c:pt idx="7">
                  <c:v>88.617116711569523</c:v>
                </c:pt>
              </c:numCache>
            </c:numRef>
          </c:val>
          <c:smooth val="0"/>
          <c:extLst>
            <c:ext xmlns:c16="http://schemas.microsoft.com/office/drawing/2014/chart" uri="{C3380CC4-5D6E-409C-BE32-E72D297353CC}">
              <c16:uniqueId val="{00000000-0B79-4BCA-9AD3-0C1C2B495634}"/>
            </c:ext>
          </c:extLst>
        </c:ser>
        <c:ser>
          <c:idx val="1"/>
          <c:order val="1"/>
          <c:spPr>
            <a:ln w="22225" cap="rnd">
              <a:solidFill>
                <a:schemeClr val="accent6"/>
              </a:solidFill>
              <a:prstDash val="sysDot"/>
              <a:round/>
            </a:ln>
            <a:effectLst/>
          </c:spPr>
          <c:marker>
            <c:symbol val="none"/>
          </c:marker>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EIA.xlsx]E_Shock'!$Z$205:$AG$205</c:f>
              <c:numCache>
                <c:formatCode>_-* #,##0.0_-;\-* #,##0.0_-;_-* "-"??_-;_-@_-</c:formatCode>
                <c:ptCount val="8"/>
                <c:pt idx="0">
                  <c:v>86.019189354000005</c:v>
                </c:pt>
                <c:pt idx="1">
                  <c:v>82.221711712796875</c:v>
                </c:pt>
                <c:pt idx="2">
                  <c:v>82.782615792792726</c:v>
                </c:pt>
                <c:pt idx="3">
                  <c:v>92.556908900333681</c:v>
                </c:pt>
                <c:pt idx="4">
                  <c:v>83.216495425585634</c:v>
                </c:pt>
                <c:pt idx="5">
                  <c:v>81.709334652809474</c:v>
                </c:pt>
                <c:pt idx="6">
                  <c:v>82.399565340731101</c:v>
                </c:pt>
                <c:pt idx="7">
                  <c:v>90.214840116165732</c:v>
                </c:pt>
              </c:numCache>
            </c:numRef>
          </c:val>
          <c:smooth val="0"/>
          <c:extLst>
            <c:ext xmlns:c16="http://schemas.microsoft.com/office/drawing/2014/chart" uri="{C3380CC4-5D6E-409C-BE32-E72D297353CC}">
              <c16:uniqueId val="{00000001-0B79-4BCA-9AD3-0C1C2B495634}"/>
            </c:ext>
          </c:extLst>
        </c:ser>
        <c:ser>
          <c:idx val="2"/>
          <c:order val="2"/>
          <c:spPr>
            <a:ln w="22225" cap="rnd">
              <a:solidFill>
                <a:srgbClr val="002060"/>
              </a:solidFill>
              <a:round/>
            </a:ln>
            <a:effectLst/>
          </c:spPr>
          <c:marker>
            <c:symbol val="none"/>
          </c:marker>
          <c:dLbls>
            <c:dLbl>
              <c:idx val="2"/>
              <c:layout>
                <c:manualLayout>
                  <c:x val="-0.17674206349206353"/>
                  <c:y val="-0.141574305555555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79-4BCA-9AD3-0C1C2B495634}"/>
                </c:ext>
              </c:extLst>
            </c:dLbl>
            <c:dLbl>
              <c:idx val="4"/>
              <c:layout>
                <c:manualLayout>
                  <c:x val="-0.13642460317460317"/>
                  <c:y val="-0.106296527777777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79-4BCA-9AD3-0C1C2B495634}"/>
                </c:ext>
              </c:extLst>
            </c:dLbl>
            <c:dLbl>
              <c:idx val="6"/>
              <c:layout>
                <c:manualLayout>
                  <c:x val="-0.15658333333333344"/>
                  <c:y val="-0.141574305555555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79-4BCA-9AD3-0C1C2B495634}"/>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EIA.xlsx]E_Shock'!$D$205:$K$205</c:f>
              <c:numCache>
                <c:formatCode>_-* #,##0.0_-;\-* #,##0.0_-;_-* "-"??_-;_-@_-</c:formatCode>
                <c:ptCount val="8"/>
                <c:pt idx="0">
                  <c:v>86.019189354000005</c:v>
                </c:pt>
                <c:pt idx="1">
                  <c:v>82.190064013086044</c:v>
                </c:pt>
                <c:pt idx="2">
                  <c:v>82.830670587050975</c:v>
                </c:pt>
                <c:pt idx="3">
                  <c:v>92.616141519128504</c:v>
                </c:pt>
                <c:pt idx="4">
                  <c:v>87.135014087581808</c:v>
                </c:pt>
                <c:pt idx="5">
                  <c:v>86.887071015729759</c:v>
                </c:pt>
                <c:pt idx="6">
                  <c:v>88.24075479706174</c:v>
                </c:pt>
                <c:pt idx="7">
                  <c:v>97.399782425515994</c:v>
                </c:pt>
              </c:numCache>
            </c:numRef>
          </c:val>
          <c:smooth val="0"/>
          <c:extLst>
            <c:ext xmlns:c16="http://schemas.microsoft.com/office/drawing/2014/chart" uri="{C3380CC4-5D6E-409C-BE32-E72D297353CC}">
              <c16:uniqueId val="{00000005-0B79-4BCA-9AD3-0C1C2B495634}"/>
            </c:ext>
          </c:extLst>
        </c:ser>
        <c:dLbls>
          <c:showLegendKey val="0"/>
          <c:showVal val="0"/>
          <c:showCatName val="0"/>
          <c:showSerName val="0"/>
          <c:showPercent val="0"/>
          <c:showBubbleSize val="0"/>
        </c:dLbls>
        <c:smooth val="0"/>
        <c:axId val="1882650704"/>
        <c:axId val="1882651120"/>
      </c:lineChart>
      <c:catAx>
        <c:axId val="18826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882651120"/>
        <c:crosses val="autoZero"/>
        <c:auto val="1"/>
        <c:lblAlgn val="ctr"/>
        <c:lblOffset val="100"/>
        <c:noMultiLvlLbl val="1"/>
      </c:catAx>
      <c:valAx>
        <c:axId val="1882651120"/>
        <c:scaling>
          <c:orientation val="minMax"/>
          <c:min val="65"/>
        </c:scaling>
        <c:delete val="1"/>
        <c:axPos val="l"/>
        <c:numFmt formatCode="_-* #,##0.0_-;\-* #,##0.0_-;_-* &quot;-&quot;??_-;_-@_-" sourceLinked="1"/>
        <c:majorTickMark val="out"/>
        <c:minorTickMark val="none"/>
        <c:tickLblPos val="nextTo"/>
        <c:crossAx val="1882650704"/>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20714285714285E-2"/>
          <c:y val="9.7013888888888886E-2"/>
          <c:w val="0.80972936507936522"/>
          <c:h val="0.65207222222222216"/>
        </c:manualLayout>
      </c:layout>
      <c:lineChart>
        <c:grouping val="standard"/>
        <c:varyColors val="0"/>
        <c:ser>
          <c:idx val="0"/>
          <c:order val="0"/>
          <c:tx>
            <c:strRef>
              <c:f>'[Modelo Trimestral gasolinas EIA.xlsx]E_Shock'!$N$204</c:f>
              <c:strCache>
                <c:ptCount val="1"/>
                <c:pt idx="0">
                  <c:v> cs </c:v>
                </c:pt>
              </c:strCache>
            </c:strRef>
          </c:tx>
          <c:spPr>
            <a:ln w="22225" cap="rnd">
              <a:solidFill>
                <a:schemeClr val="accent2"/>
              </a:solidFill>
              <a:prstDash val="sysDot"/>
              <a:round/>
            </a:ln>
            <a:effectLst/>
          </c:spPr>
          <c:marker>
            <c:symbol val="none"/>
          </c:marker>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EIA.xlsx]E_Shock'!$O$206:$V$206</c:f>
              <c:numCache>
                <c:formatCode>_-* #,##0.0_-;\-* #,##0.0_-;_-* "-"??_-;_-@_-</c:formatCode>
                <c:ptCount val="8"/>
                <c:pt idx="0">
                  <c:v>164.43880063799958</c:v>
                </c:pt>
                <c:pt idx="1">
                  <c:v>146.21941497623195</c:v>
                </c:pt>
                <c:pt idx="2">
                  <c:v>138.20207872496437</c:v>
                </c:pt>
                <c:pt idx="3">
                  <c:v>155.97158244216439</c:v>
                </c:pt>
                <c:pt idx="4">
                  <c:v>159.46964595309279</c:v>
                </c:pt>
                <c:pt idx="5">
                  <c:v>143.82578449660065</c:v>
                </c:pt>
                <c:pt idx="6">
                  <c:v>136.69853835327882</c:v>
                </c:pt>
                <c:pt idx="7">
                  <c:v>152.77443793025893</c:v>
                </c:pt>
              </c:numCache>
            </c:numRef>
          </c:val>
          <c:smooth val="0"/>
          <c:extLst>
            <c:ext xmlns:c16="http://schemas.microsoft.com/office/drawing/2014/chart" uri="{C3380CC4-5D6E-409C-BE32-E72D297353CC}">
              <c16:uniqueId val="{00000000-0E13-4614-9F2B-B6AF11D1E8BA}"/>
            </c:ext>
          </c:extLst>
        </c:ser>
        <c:ser>
          <c:idx val="1"/>
          <c:order val="1"/>
          <c:spPr>
            <a:ln w="22225" cap="rnd">
              <a:solidFill>
                <a:schemeClr val="accent6"/>
              </a:solidFill>
              <a:prstDash val="sysDot"/>
              <a:round/>
            </a:ln>
            <a:effectLst/>
          </c:spPr>
          <c:marker>
            <c:symbol val="none"/>
          </c:marker>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EIA.xlsx]E_Shock'!$Z$206:$AG$206</c:f>
              <c:numCache>
                <c:formatCode>_-* #,##0.0_-;\-* #,##0.0_-;_-* "-"??_-;_-@_-</c:formatCode>
                <c:ptCount val="8"/>
                <c:pt idx="0">
                  <c:v>164.43880063799958</c:v>
                </c:pt>
                <c:pt idx="1">
                  <c:v>146.21941497623195</c:v>
                </c:pt>
                <c:pt idx="2">
                  <c:v>138.20207872496437</c:v>
                </c:pt>
                <c:pt idx="3">
                  <c:v>155.97158244216439</c:v>
                </c:pt>
                <c:pt idx="4">
                  <c:v>162.69295883670861</c:v>
                </c:pt>
                <c:pt idx="5">
                  <c:v>148.22532285900883</c:v>
                </c:pt>
                <c:pt idx="6">
                  <c:v>141.54090917457137</c:v>
                </c:pt>
                <c:pt idx="7">
                  <c:v>158.48876347716424</c:v>
                </c:pt>
              </c:numCache>
            </c:numRef>
          </c:val>
          <c:smooth val="0"/>
          <c:extLst>
            <c:ext xmlns:c16="http://schemas.microsoft.com/office/drawing/2014/chart" uri="{C3380CC4-5D6E-409C-BE32-E72D297353CC}">
              <c16:uniqueId val="{00000001-0E13-4614-9F2B-B6AF11D1E8BA}"/>
            </c:ext>
          </c:extLst>
        </c:ser>
        <c:ser>
          <c:idx val="2"/>
          <c:order val="2"/>
          <c:spPr>
            <a:ln w="22225" cap="rnd">
              <a:solidFill>
                <a:srgbClr val="002060"/>
              </a:solidFill>
              <a:round/>
            </a:ln>
            <a:effectLst/>
          </c:spPr>
          <c:marker>
            <c:symbol val="none"/>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13-4614-9F2B-B6AF11D1E8BA}"/>
                </c:ext>
              </c:extLst>
            </c:dLbl>
            <c:dLbl>
              <c:idx val="2"/>
              <c:layout>
                <c:manualLayout>
                  <c:x val="-0.17674206349206353"/>
                  <c:y val="-0.141574305555555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13-4614-9F2B-B6AF11D1E8BA}"/>
                </c:ext>
              </c:extLst>
            </c:dLbl>
            <c:dLbl>
              <c:idx val="4"/>
              <c:layout>
                <c:manualLayout>
                  <c:x val="-0.13642460317460317"/>
                  <c:y val="-0.106296527777777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13-4614-9F2B-B6AF11D1E8BA}"/>
                </c:ext>
              </c:extLst>
            </c:dLbl>
            <c:dLbl>
              <c:idx val="5"/>
              <c:layout>
                <c:manualLayout>
                  <c:x val="-0.15927936507936508"/>
                  <c:y val="-0.106296527777777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13-4614-9F2B-B6AF11D1E8BA}"/>
                </c:ext>
              </c:extLst>
            </c:dLbl>
            <c:dLbl>
              <c:idx val="6"/>
              <c:layout>
                <c:manualLayout>
                  <c:x val="-0.17674206349206351"/>
                  <c:y val="-9.7477083333333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13-4614-9F2B-B6AF11D1E8BA}"/>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206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'[Modelo Trimestral gasolinas EIA.xlsx]E_Shock'!$Z$199:$AG$199</c:f>
              <c:strCache>
                <c:ptCount val="8"/>
                <c:pt idx="0">
                  <c:v> I 2022 </c:v>
                </c:pt>
                <c:pt idx="1">
                  <c:v> II 2022 </c:v>
                </c:pt>
                <c:pt idx="2">
                  <c:v> III 2022 </c:v>
                </c:pt>
                <c:pt idx="3">
                  <c:v> IV 2022 </c:v>
                </c:pt>
                <c:pt idx="4">
                  <c:v> I 2023 </c:v>
                </c:pt>
                <c:pt idx="5">
                  <c:v> II 2023 </c:v>
                </c:pt>
                <c:pt idx="6">
                  <c:v> III 2023 </c:v>
                </c:pt>
                <c:pt idx="7">
                  <c:v> IV 2023 </c:v>
                </c:pt>
              </c:strCache>
            </c:strRef>
          </c:cat>
          <c:val>
            <c:numRef>
              <c:f>'[Modelo Trimestral gasolinas EIA.xlsx]E_Shock'!$D$206:$K$206</c:f>
              <c:numCache>
                <c:formatCode>_-* #,##0.0_-;\-* #,##0.0_-;_-* "-"??_-;_-@_-</c:formatCode>
                <c:ptCount val="8"/>
                <c:pt idx="0">
                  <c:v>164.43880063799958</c:v>
                </c:pt>
                <c:pt idx="1">
                  <c:v>146.21941497623195</c:v>
                </c:pt>
                <c:pt idx="2">
                  <c:v>138.20207872496437</c:v>
                </c:pt>
                <c:pt idx="3">
                  <c:v>155.97158244216439</c:v>
                </c:pt>
                <c:pt idx="4">
                  <c:v>165.12615570226481</c:v>
                </c:pt>
                <c:pt idx="5">
                  <c:v>152.99966147352941</c:v>
                </c:pt>
                <c:pt idx="6">
                  <c:v>147.40923535580103</c:v>
                </c:pt>
                <c:pt idx="7">
                  <c:v>165.87341825482193</c:v>
                </c:pt>
              </c:numCache>
            </c:numRef>
          </c:val>
          <c:smooth val="0"/>
          <c:extLst>
            <c:ext xmlns:c16="http://schemas.microsoft.com/office/drawing/2014/chart" uri="{C3380CC4-5D6E-409C-BE32-E72D297353CC}">
              <c16:uniqueId val="{00000007-0E13-4614-9F2B-B6AF11D1E8BA}"/>
            </c:ext>
          </c:extLst>
        </c:ser>
        <c:dLbls>
          <c:showLegendKey val="0"/>
          <c:showVal val="0"/>
          <c:showCatName val="0"/>
          <c:showSerName val="0"/>
          <c:showPercent val="0"/>
          <c:showBubbleSize val="0"/>
        </c:dLbls>
        <c:smooth val="0"/>
        <c:axId val="1882650704"/>
        <c:axId val="1882651120"/>
      </c:lineChart>
      <c:catAx>
        <c:axId val="18826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882651120"/>
        <c:crosses val="autoZero"/>
        <c:auto val="1"/>
        <c:lblAlgn val="ctr"/>
        <c:lblOffset val="100"/>
        <c:noMultiLvlLbl val="1"/>
      </c:catAx>
      <c:valAx>
        <c:axId val="1882651120"/>
        <c:scaling>
          <c:orientation val="minMax"/>
          <c:max val="190"/>
          <c:min val="120"/>
        </c:scaling>
        <c:delete val="1"/>
        <c:axPos val="l"/>
        <c:numFmt formatCode="_-* #,##0.0_-;\-* #,##0.0_-;_-* &quot;-&quot;??_-;_-@_-" sourceLinked="1"/>
        <c:majorTickMark val="out"/>
        <c:minorTickMark val="none"/>
        <c:tickLblPos val="nextTo"/>
        <c:crossAx val="1882650704"/>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5833333333334"/>
          <c:y val="7.7611111111111117E-2"/>
          <c:w val="0.76520515873015871"/>
          <c:h val="0.57099778054871508"/>
        </c:manualLayout>
      </c:layout>
      <c:lineChart>
        <c:grouping val="standard"/>
        <c:varyColors val="0"/>
        <c:ser>
          <c:idx val="0"/>
          <c:order val="0"/>
          <c:tx>
            <c:strRef>
              <c:f>'[Comercio exterior GASOLINA Y DIESEL.xlsx]PYbase ec 2'!$J$2</c:f>
              <c:strCache>
                <c:ptCount val="1"/>
                <c:pt idx="0">
                  <c:v>Precio WTI en USD$</c:v>
                </c:pt>
              </c:strCache>
            </c:strRef>
          </c:tx>
          <c:spPr>
            <a:ln w="22225" cap="rnd">
              <a:solidFill>
                <a:srgbClr val="C00000"/>
              </a:solidFill>
              <a:prstDash val="sysDash"/>
              <a:round/>
            </a:ln>
            <a:effectLst/>
          </c:spPr>
          <c:marker>
            <c:symbol val="none"/>
          </c:marker>
          <c:cat>
            <c:numRef>
              <c:f>'[Comercio exterior GASOLINA Y DIESEL.xlsx]PYbase ec 2'!$A$3:$A$22</c:f>
              <c:numCache>
                <c:formatCode>yyyy</c:formatCode>
                <c:ptCount val="20"/>
                <c:pt idx="0">
                  <c:v>37257</c:v>
                </c:pt>
                <c:pt idx="1">
                  <c:v>37622</c:v>
                </c:pt>
                <c:pt idx="2">
                  <c:v>37987</c:v>
                </c:pt>
                <c:pt idx="3">
                  <c:v>38353</c:v>
                </c:pt>
                <c:pt idx="4">
                  <c:v>38718</c:v>
                </c:pt>
                <c:pt idx="5">
                  <c:v>39083</c:v>
                </c:pt>
                <c:pt idx="6">
                  <c:v>39448</c:v>
                </c:pt>
                <c:pt idx="7">
                  <c:v>39814</c:v>
                </c:pt>
                <c:pt idx="8">
                  <c:v>40179</c:v>
                </c:pt>
                <c:pt idx="9">
                  <c:v>40544</c:v>
                </c:pt>
                <c:pt idx="10">
                  <c:v>40909</c:v>
                </c:pt>
                <c:pt idx="11">
                  <c:v>41275</c:v>
                </c:pt>
                <c:pt idx="12">
                  <c:v>41640</c:v>
                </c:pt>
                <c:pt idx="13">
                  <c:v>42005</c:v>
                </c:pt>
                <c:pt idx="14">
                  <c:v>42370</c:v>
                </c:pt>
                <c:pt idx="15">
                  <c:v>42736</c:v>
                </c:pt>
                <c:pt idx="16">
                  <c:v>43101</c:v>
                </c:pt>
                <c:pt idx="17">
                  <c:v>43466</c:v>
                </c:pt>
                <c:pt idx="18">
                  <c:v>43831</c:v>
                </c:pt>
                <c:pt idx="19">
                  <c:v>44197</c:v>
                </c:pt>
              </c:numCache>
            </c:numRef>
          </c:cat>
          <c:val>
            <c:numRef>
              <c:f>'[Comercio exterior GASOLINA Y DIESEL.xlsx]PYbase ec 2'!$J$3:$J$22</c:f>
              <c:numCache>
                <c:formatCode>_-* #,##0.0_-;\-* #,##0.0_-;_-* "-"??_-;_-@_-</c:formatCode>
                <c:ptCount val="20"/>
                <c:pt idx="1">
                  <c:v>18.71657754010694</c:v>
                </c:pt>
                <c:pt idx="2">
                  <c:v>33.558558558558559</c:v>
                </c:pt>
                <c:pt idx="3">
                  <c:v>36.449048422066966</c:v>
                </c:pt>
                <c:pt idx="4">
                  <c:v>16.613700564971751</c:v>
                </c:pt>
                <c:pt idx="5">
                  <c:v>9.5230885692657097</c:v>
                </c:pt>
                <c:pt idx="6">
                  <c:v>37.779928117224216</c:v>
                </c:pt>
                <c:pt idx="7">
                  <c:v>-37.844888130831741</c:v>
                </c:pt>
                <c:pt idx="8">
                  <c:v>28.297013720742541</c:v>
                </c:pt>
                <c:pt idx="9">
                  <c:v>19.375943633618505</c:v>
                </c:pt>
                <c:pt idx="10">
                  <c:v>-0.87478920741989441</c:v>
                </c:pt>
                <c:pt idx="11">
                  <c:v>4.17862838915471</c:v>
                </c:pt>
                <c:pt idx="12">
                  <c:v>-4.9091651357419863</c:v>
                </c:pt>
                <c:pt idx="13">
                  <c:v>-47.772888268756041</c:v>
                </c:pt>
                <c:pt idx="14">
                  <c:v>-11.035758323057948</c:v>
                </c:pt>
                <c:pt idx="15">
                  <c:v>17.348117348117341</c:v>
                </c:pt>
                <c:pt idx="16">
                  <c:v>28.405511811023644</c:v>
                </c:pt>
                <c:pt idx="17">
                  <c:v>-12.632224436608936</c:v>
                </c:pt>
                <c:pt idx="18">
                  <c:v>-31.286190559747325</c:v>
                </c:pt>
                <c:pt idx="19">
                  <c:v>73.978549540347302</c:v>
                </c:pt>
              </c:numCache>
            </c:numRef>
          </c:val>
          <c:smooth val="0"/>
          <c:extLst>
            <c:ext xmlns:c16="http://schemas.microsoft.com/office/drawing/2014/chart" uri="{C3380CC4-5D6E-409C-BE32-E72D297353CC}">
              <c16:uniqueId val="{00000000-9465-4C0E-B6A6-E481F863AE82}"/>
            </c:ext>
          </c:extLst>
        </c:ser>
        <c:ser>
          <c:idx val="1"/>
          <c:order val="1"/>
          <c:tx>
            <c:strRef>
              <c:f>'[Comercio exterior GASOLINA Y DIESEL.xlsx]PYbase ec 2'!$N$2</c:f>
              <c:strCache>
                <c:ptCount val="1"/>
                <c:pt idx="0">
                  <c:v>Precio medio de gasolinas y diésel</c:v>
                </c:pt>
              </c:strCache>
            </c:strRef>
          </c:tx>
          <c:spPr>
            <a:ln w="22225" cap="rnd">
              <a:solidFill>
                <a:srgbClr val="002060"/>
              </a:solidFill>
              <a:round/>
            </a:ln>
            <a:effectLst/>
          </c:spPr>
          <c:marker>
            <c:symbol val="none"/>
          </c:marker>
          <c:cat>
            <c:numRef>
              <c:f>'[Comercio exterior GASOLINA Y DIESEL.xlsx]PYbase ec 2'!$A$3:$A$22</c:f>
              <c:numCache>
                <c:formatCode>yyyy</c:formatCode>
                <c:ptCount val="20"/>
                <c:pt idx="0">
                  <c:v>37257</c:v>
                </c:pt>
                <c:pt idx="1">
                  <c:v>37622</c:v>
                </c:pt>
                <c:pt idx="2">
                  <c:v>37987</c:v>
                </c:pt>
                <c:pt idx="3">
                  <c:v>38353</c:v>
                </c:pt>
                <c:pt idx="4">
                  <c:v>38718</c:v>
                </c:pt>
                <c:pt idx="5">
                  <c:v>39083</c:v>
                </c:pt>
                <c:pt idx="6">
                  <c:v>39448</c:v>
                </c:pt>
                <c:pt idx="7">
                  <c:v>39814</c:v>
                </c:pt>
                <c:pt idx="8">
                  <c:v>40179</c:v>
                </c:pt>
                <c:pt idx="9">
                  <c:v>40544</c:v>
                </c:pt>
                <c:pt idx="10">
                  <c:v>40909</c:v>
                </c:pt>
                <c:pt idx="11">
                  <c:v>41275</c:v>
                </c:pt>
                <c:pt idx="12">
                  <c:v>41640</c:v>
                </c:pt>
                <c:pt idx="13">
                  <c:v>42005</c:v>
                </c:pt>
                <c:pt idx="14">
                  <c:v>42370</c:v>
                </c:pt>
                <c:pt idx="15">
                  <c:v>42736</c:v>
                </c:pt>
                <c:pt idx="16">
                  <c:v>43101</c:v>
                </c:pt>
                <c:pt idx="17">
                  <c:v>43466</c:v>
                </c:pt>
                <c:pt idx="18">
                  <c:v>43831</c:v>
                </c:pt>
                <c:pt idx="19">
                  <c:v>44197</c:v>
                </c:pt>
              </c:numCache>
            </c:numRef>
          </c:cat>
          <c:val>
            <c:numRef>
              <c:f>'[Comercio exterior GASOLINA Y DIESEL.xlsx]PYbase ec 2'!$N$3:$N$22</c:f>
              <c:numCache>
                <c:formatCode>_-* #,##0.0_-;\-* #,##0.0_-;_-* "-"??_-;_-@_-</c:formatCode>
                <c:ptCount val="20"/>
                <c:pt idx="1">
                  <c:v>20.657391749164304</c:v>
                </c:pt>
                <c:pt idx="2">
                  <c:v>9.7887118128937516</c:v>
                </c:pt>
                <c:pt idx="3">
                  <c:v>36.850304249463704</c:v>
                </c:pt>
                <c:pt idx="4">
                  <c:v>17.213760396871521</c:v>
                </c:pt>
                <c:pt idx="5">
                  <c:v>19.761204619751638</c:v>
                </c:pt>
                <c:pt idx="6">
                  <c:v>32.434496463846529</c:v>
                </c:pt>
                <c:pt idx="7">
                  <c:v>-23.407720587766093</c:v>
                </c:pt>
                <c:pt idx="8">
                  <c:v>17.64467835751698</c:v>
                </c:pt>
                <c:pt idx="9">
                  <c:v>23.278100319543753</c:v>
                </c:pt>
                <c:pt idx="10">
                  <c:v>8.0997447963616196</c:v>
                </c:pt>
                <c:pt idx="11">
                  <c:v>-7.3853009655524033</c:v>
                </c:pt>
                <c:pt idx="12">
                  <c:v>-14.915168204597279</c:v>
                </c:pt>
                <c:pt idx="13">
                  <c:v>-35.891332013566384</c:v>
                </c:pt>
                <c:pt idx="14">
                  <c:v>-15.194153043145647</c:v>
                </c:pt>
                <c:pt idx="15">
                  <c:v>24.659023971018158</c:v>
                </c:pt>
                <c:pt idx="16">
                  <c:v>9.610693193497994</c:v>
                </c:pt>
                <c:pt idx="17">
                  <c:v>-14.28209518555343</c:v>
                </c:pt>
                <c:pt idx="18">
                  <c:v>-11.143341189291689</c:v>
                </c:pt>
                <c:pt idx="19">
                  <c:v>54.006759045023244</c:v>
                </c:pt>
              </c:numCache>
            </c:numRef>
          </c:val>
          <c:smooth val="0"/>
          <c:extLst>
            <c:ext xmlns:c16="http://schemas.microsoft.com/office/drawing/2014/chart" uri="{C3380CC4-5D6E-409C-BE32-E72D297353CC}">
              <c16:uniqueId val="{00000001-9465-4C0E-B6A6-E481F863AE82}"/>
            </c:ext>
          </c:extLst>
        </c:ser>
        <c:dLbls>
          <c:showLegendKey val="0"/>
          <c:showVal val="0"/>
          <c:showCatName val="0"/>
          <c:showSerName val="0"/>
          <c:showPercent val="0"/>
          <c:showBubbleSize val="0"/>
        </c:dLbls>
        <c:smooth val="0"/>
        <c:axId val="1174311680"/>
        <c:axId val="1174303776"/>
      </c:lineChart>
      <c:dateAx>
        <c:axId val="1174311680"/>
        <c:scaling>
          <c:orientation val="minMax"/>
          <c:min val="40179"/>
        </c:scaling>
        <c:delete val="0"/>
        <c:axPos val="b"/>
        <c:numFmt formatCode="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4303776"/>
        <c:crosses val="autoZero"/>
        <c:auto val="1"/>
        <c:lblOffset val="100"/>
        <c:baseTimeUnit val="years"/>
      </c:dateAx>
      <c:valAx>
        <c:axId val="1174303776"/>
        <c:scaling>
          <c:orientation val="minMax"/>
          <c:max val="90"/>
          <c:min val="-6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4311680"/>
        <c:crosses val="autoZero"/>
        <c:crossBetween val="between"/>
      </c:valAx>
      <c:spPr>
        <a:noFill/>
        <a:ln>
          <a:noFill/>
        </a:ln>
        <a:effectLst/>
      </c:spPr>
    </c:plotArea>
    <c:legend>
      <c:legendPos val="b"/>
      <c:layout>
        <c:manualLayout>
          <c:xMode val="edge"/>
          <c:yMode val="edge"/>
          <c:x val="2.4024206349206337E-2"/>
          <c:y val="0.84381740942176042"/>
          <c:w val="0.9469115079365078"/>
          <c:h val="0.1138490678355927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73595059690119"/>
          <c:y val="7.7628793225123505E-2"/>
          <c:w val="0.62188293751587498"/>
          <c:h val="0.57039482967854827"/>
        </c:manualLayout>
      </c:layout>
      <c:lineChart>
        <c:grouping val="standard"/>
        <c:varyColors val="0"/>
        <c:ser>
          <c:idx val="0"/>
          <c:order val="0"/>
          <c:tx>
            <c:strRef>
              <c:f>'PYbase ec'!$J$2</c:f>
              <c:strCache>
                <c:ptCount val="1"/>
                <c:pt idx="0">
                  <c:v>Precio WTI en USD$</c:v>
                </c:pt>
              </c:strCache>
            </c:strRef>
          </c:tx>
          <c:spPr>
            <a:ln w="22225" cap="rnd">
              <a:solidFill>
                <a:srgbClr val="002060"/>
              </a:solidFill>
              <a:round/>
            </a:ln>
            <a:effectLst/>
          </c:spPr>
          <c:marker>
            <c:symbol val="none"/>
          </c:marker>
          <c:cat>
            <c:numRef>
              <c:f>'PYbase ec'!$A$3:$A$22</c:f>
              <c:numCache>
                <c:formatCode>yyyy</c:formatCode>
                <c:ptCount val="20"/>
                <c:pt idx="0">
                  <c:v>37257</c:v>
                </c:pt>
                <c:pt idx="1">
                  <c:v>37622</c:v>
                </c:pt>
                <c:pt idx="2">
                  <c:v>37987</c:v>
                </c:pt>
                <c:pt idx="3">
                  <c:v>38353</c:v>
                </c:pt>
                <c:pt idx="4">
                  <c:v>38718</c:v>
                </c:pt>
                <c:pt idx="5">
                  <c:v>39083</c:v>
                </c:pt>
                <c:pt idx="6">
                  <c:v>39448</c:v>
                </c:pt>
                <c:pt idx="7">
                  <c:v>39814</c:v>
                </c:pt>
                <c:pt idx="8">
                  <c:v>40179</c:v>
                </c:pt>
                <c:pt idx="9">
                  <c:v>40544</c:v>
                </c:pt>
                <c:pt idx="10">
                  <c:v>40909</c:v>
                </c:pt>
                <c:pt idx="11">
                  <c:v>41275</c:v>
                </c:pt>
                <c:pt idx="12">
                  <c:v>41640</c:v>
                </c:pt>
                <c:pt idx="13">
                  <c:v>42005</c:v>
                </c:pt>
                <c:pt idx="14">
                  <c:v>42370</c:v>
                </c:pt>
                <c:pt idx="15">
                  <c:v>42736</c:v>
                </c:pt>
                <c:pt idx="16">
                  <c:v>43101</c:v>
                </c:pt>
                <c:pt idx="17">
                  <c:v>43466</c:v>
                </c:pt>
                <c:pt idx="18">
                  <c:v>43831</c:v>
                </c:pt>
                <c:pt idx="19">
                  <c:v>44197</c:v>
                </c:pt>
              </c:numCache>
            </c:numRef>
          </c:cat>
          <c:val>
            <c:numRef>
              <c:f>'PYbase ec'!$J$3:$J$22</c:f>
              <c:numCache>
                <c:formatCode>_-* #,##0.0_-;\-* #,##0.0_-;_-* "-"??_-;_-@_-</c:formatCode>
                <c:ptCount val="20"/>
                <c:pt idx="1">
                  <c:v>18.71657754010694</c:v>
                </c:pt>
                <c:pt idx="2">
                  <c:v>33.558558558558559</c:v>
                </c:pt>
                <c:pt idx="3">
                  <c:v>36.449048422066966</c:v>
                </c:pt>
                <c:pt idx="4">
                  <c:v>16.613700564971751</c:v>
                </c:pt>
                <c:pt idx="5">
                  <c:v>9.5230885692657097</c:v>
                </c:pt>
                <c:pt idx="6">
                  <c:v>37.779928117224216</c:v>
                </c:pt>
                <c:pt idx="7">
                  <c:v>-37.844888130831741</c:v>
                </c:pt>
                <c:pt idx="8">
                  <c:v>28.297013720742541</c:v>
                </c:pt>
                <c:pt idx="9">
                  <c:v>19.375943633618505</c:v>
                </c:pt>
                <c:pt idx="10">
                  <c:v>-0.87478920741989441</c:v>
                </c:pt>
                <c:pt idx="11">
                  <c:v>4.17862838915471</c:v>
                </c:pt>
                <c:pt idx="12">
                  <c:v>-4.9091651357419863</c:v>
                </c:pt>
                <c:pt idx="13">
                  <c:v>-47.772888268756041</c:v>
                </c:pt>
                <c:pt idx="14">
                  <c:v>-11.035758323057948</c:v>
                </c:pt>
                <c:pt idx="15">
                  <c:v>17.348117348117341</c:v>
                </c:pt>
                <c:pt idx="16">
                  <c:v>28.405511811023644</c:v>
                </c:pt>
                <c:pt idx="17">
                  <c:v>-12.632224436608936</c:v>
                </c:pt>
                <c:pt idx="18">
                  <c:v>-31.286190559747325</c:v>
                </c:pt>
                <c:pt idx="19">
                  <c:v>73.978549540347302</c:v>
                </c:pt>
              </c:numCache>
            </c:numRef>
          </c:val>
          <c:smooth val="0"/>
          <c:extLst>
            <c:ext xmlns:c16="http://schemas.microsoft.com/office/drawing/2014/chart" uri="{C3380CC4-5D6E-409C-BE32-E72D297353CC}">
              <c16:uniqueId val="{00000000-21C5-42BC-AB18-E5F6820644B5}"/>
            </c:ext>
          </c:extLst>
        </c:ser>
        <c:dLbls>
          <c:showLegendKey val="0"/>
          <c:showVal val="0"/>
          <c:showCatName val="0"/>
          <c:showSerName val="0"/>
          <c:showPercent val="0"/>
          <c:showBubbleSize val="0"/>
        </c:dLbls>
        <c:marker val="1"/>
        <c:smooth val="0"/>
        <c:axId val="1174311680"/>
        <c:axId val="1174303776"/>
      </c:lineChart>
      <c:lineChart>
        <c:grouping val="standard"/>
        <c:varyColors val="0"/>
        <c:ser>
          <c:idx val="1"/>
          <c:order val="1"/>
          <c:tx>
            <c:strRef>
              <c:f>'PYbase ec'!$R$2</c:f>
              <c:strCache>
                <c:ptCount val="1"/>
                <c:pt idx="0">
                  <c:v>IVA importaciones en USD$</c:v>
                </c:pt>
              </c:strCache>
            </c:strRef>
          </c:tx>
          <c:spPr>
            <a:ln w="22225" cap="rnd">
              <a:solidFill>
                <a:srgbClr val="C00000"/>
              </a:solidFill>
              <a:prstDash val="sysDash"/>
              <a:round/>
            </a:ln>
            <a:effectLst/>
          </c:spPr>
          <c:marker>
            <c:symbol val="none"/>
          </c:marker>
          <c:cat>
            <c:numRef>
              <c:f>'PYbase ec'!$A$3:$A$22</c:f>
              <c:numCache>
                <c:formatCode>yyyy</c:formatCode>
                <c:ptCount val="20"/>
                <c:pt idx="0">
                  <c:v>37257</c:v>
                </c:pt>
                <c:pt idx="1">
                  <c:v>37622</c:v>
                </c:pt>
                <c:pt idx="2">
                  <c:v>37987</c:v>
                </c:pt>
                <c:pt idx="3">
                  <c:v>38353</c:v>
                </c:pt>
                <c:pt idx="4">
                  <c:v>38718</c:v>
                </c:pt>
                <c:pt idx="5">
                  <c:v>39083</c:v>
                </c:pt>
                <c:pt idx="6">
                  <c:v>39448</c:v>
                </c:pt>
                <c:pt idx="7">
                  <c:v>39814</c:v>
                </c:pt>
                <c:pt idx="8">
                  <c:v>40179</c:v>
                </c:pt>
                <c:pt idx="9">
                  <c:v>40544</c:v>
                </c:pt>
                <c:pt idx="10">
                  <c:v>40909</c:v>
                </c:pt>
                <c:pt idx="11">
                  <c:v>41275</c:v>
                </c:pt>
                <c:pt idx="12">
                  <c:v>41640</c:v>
                </c:pt>
                <c:pt idx="13">
                  <c:v>42005</c:v>
                </c:pt>
                <c:pt idx="14">
                  <c:v>42370</c:v>
                </c:pt>
                <c:pt idx="15">
                  <c:v>42736</c:v>
                </c:pt>
                <c:pt idx="16">
                  <c:v>43101</c:v>
                </c:pt>
                <c:pt idx="17">
                  <c:v>43466</c:v>
                </c:pt>
                <c:pt idx="18">
                  <c:v>43831</c:v>
                </c:pt>
                <c:pt idx="19">
                  <c:v>44197</c:v>
                </c:pt>
              </c:numCache>
            </c:numRef>
          </c:cat>
          <c:val>
            <c:numRef>
              <c:f>'PYbase ec'!$R$3:$R$22</c:f>
              <c:numCache>
                <c:formatCode>_-* #,##0.0_-;\-* #,##0.0_-;_-* "-"??_-;_-@_-</c:formatCode>
                <c:ptCount val="20"/>
                <c:pt idx="1">
                  <c:v>10.72050835298279</c:v>
                </c:pt>
                <c:pt idx="2">
                  <c:v>9.9030140864291951</c:v>
                </c:pt>
                <c:pt idx="3">
                  <c:v>8.7374131788406686</c:v>
                </c:pt>
                <c:pt idx="4">
                  <c:v>19.093433983608747</c:v>
                </c:pt>
                <c:pt idx="5">
                  <c:v>22.279249949014627</c:v>
                </c:pt>
                <c:pt idx="6">
                  <c:v>5.2615598278064795</c:v>
                </c:pt>
                <c:pt idx="7">
                  <c:v>-15.075971254264701</c:v>
                </c:pt>
                <c:pt idx="8">
                  <c:v>7.5861343964740655</c:v>
                </c:pt>
                <c:pt idx="9">
                  <c:v>19.895965043380244</c:v>
                </c:pt>
                <c:pt idx="10">
                  <c:v>8.5600722697185603</c:v>
                </c:pt>
                <c:pt idx="11">
                  <c:v>-0.84124066396204</c:v>
                </c:pt>
                <c:pt idx="12">
                  <c:v>4.3805143587477318</c:v>
                </c:pt>
                <c:pt idx="13">
                  <c:v>-0.56597638766947966</c:v>
                </c:pt>
                <c:pt idx="14">
                  <c:v>-2.6256232454911554</c:v>
                </c:pt>
                <c:pt idx="15">
                  <c:v>8.9647909841680899</c:v>
                </c:pt>
                <c:pt idx="16">
                  <c:v>12.125209097956002</c:v>
                </c:pt>
                <c:pt idx="17">
                  <c:v>0.44075932330120793</c:v>
                </c:pt>
                <c:pt idx="18">
                  <c:v>-7.5198714359080014</c:v>
                </c:pt>
                <c:pt idx="19">
                  <c:v>41.878518606468134</c:v>
                </c:pt>
              </c:numCache>
            </c:numRef>
          </c:val>
          <c:smooth val="0"/>
          <c:extLst>
            <c:ext xmlns:c16="http://schemas.microsoft.com/office/drawing/2014/chart" uri="{C3380CC4-5D6E-409C-BE32-E72D297353CC}">
              <c16:uniqueId val="{00000001-21C5-42BC-AB18-E5F6820644B5}"/>
            </c:ext>
          </c:extLst>
        </c:ser>
        <c:dLbls>
          <c:showLegendKey val="0"/>
          <c:showVal val="0"/>
          <c:showCatName val="0"/>
          <c:showSerName val="0"/>
          <c:showPercent val="0"/>
          <c:showBubbleSize val="0"/>
        </c:dLbls>
        <c:marker val="1"/>
        <c:smooth val="0"/>
        <c:axId val="2023272672"/>
        <c:axId val="915294128"/>
      </c:lineChart>
      <c:dateAx>
        <c:axId val="1174311680"/>
        <c:scaling>
          <c:orientation val="minMax"/>
        </c:scaling>
        <c:delete val="0"/>
        <c:axPos val="b"/>
        <c:numFmt formatCode="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4303776"/>
        <c:crosses val="autoZero"/>
        <c:auto val="1"/>
        <c:lblOffset val="100"/>
        <c:baseTimeUnit val="years"/>
      </c:dateAx>
      <c:valAx>
        <c:axId val="11743037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WTI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4311680"/>
        <c:crosses val="autoZero"/>
        <c:crossBetween val="between"/>
      </c:valAx>
      <c:valAx>
        <c:axId val="91529412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IVA</a:t>
                </a:r>
                <a:r>
                  <a:rPr lang="es-GT" baseline="0">
                    <a:latin typeface="Times New Roman" panose="02020603050405020304" pitchFamily="18" charset="0"/>
                    <a:cs typeface="Times New Roman" panose="02020603050405020304" pitchFamily="18" charset="0"/>
                  </a:rPr>
                  <a:t> importaciones</a:t>
                </a:r>
                <a:endParaRPr lang="es-G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23272672"/>
        <c:crosses val="max"/>
        <c:crossBetween val="between"/>
      </c:valAx>
      <c:dateAx>
        <c:axId val="2023272672"/>
        <c:scaling>
          <c:orientation val="minMax"/>
        </c:scaling>
        <c:delete val="1"/>
        <c:axPos val="b"/>
        <c:numFmt formatCode="yyyy" sourceLinked="1"/>
        <c:majorTickMark val="out"/>
        <c:minorTickMark val="none"/>
        <c:tickLblPos val="nextTo"/>
        <c:crossAx val="915294128"/>
        <c:crosses val="autoZero"/>
        <c:auto val="1"/>
        <c:lblOffset val="100"/>
        <c:baseTimeUnit val="years"/>
        <c:majorUnit val="1"/>
        <c:minorUnit val="1"/>
      </c:dateAx>
      <c:spPr>
        <a:noFill/>
        <a:ln>
          <a:noFill/>
        </a:ln>
        <a:effectLst/>
      </c:spPr>
    </c:plotArea>
    <c:legend>
      <c:legendPos val="b"/>
      <c:layout>
        <c:manualLayout>
          <c:xMode val="edge"/>
          <c:yMode val="edge"/>
          <c:x val="0.05"/>
          <c:y val="0.89383248406581495"/>
          <c:w val="0.9"/>
          <c:h val="0.1061673540807399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es-G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41428571428572"/>
          <c:y val="5.5555555555555552E-2"/>
          <c:w val="0.82121388888888902"/>
          <c:h val="0.72964861111111112"/>
        </c:manualLayout>
      </c:layout>
      <c:lineChart>
        <c:grouping val="standard"/>
        <c:varyColors val="0"/>
        <c:ser>
          <c:idx val="0"/>
          <c:order val="0"/>
          <c:tx>
            <c:strRef>
              <c:f>Hoja5!$AE$3</c:f>
              <c:strCache>
                <c:ptCount val="1"/>
                <c:pt idx="0">
                  <c:v>Mundo</c:v>
                </c:pt>
              </c:strCache>
            </c:strRef>
          </c:tx>
          <c:spPr>
            <a:ln w="19050" cap="rnd">
              <a:solidFill>
                <a:srgbClr val="002060"/>
              </a:solidFill>
              <a:round/>
            </a:ln>
            <a:effectLst/>
          </c:spPr>
          <c:marker>
            <c:symbol val="none"/>
          </c:marker>
          <c:cat>
            <c:numRef>
              <c:f>Hoja5!$AA$4:$AA$519</c:f>
              <c:numCache>
                <c:formatCode>mm/dd/yyyy</c:formatCode>
                <c:ptCount val="516"/>
                <c:pt idx="0">
                  <c:v>44252</c:v>
                </c:pt>
                <c:pt idx="1">
                  <c:v>44253</c:v>
                </c:pt>
                <c:pt idx="2">
                  <c:v>44254</c:v>
                </c:pt>
                <c:pt idx="3">
                  <c:v>44255</c:v>
                </c:pt>
                <c:pt idx="4">
                  <c:v>44256</c:v>
                </c:pt>
                <c:pt idx="5">
                  <c:v>44257</c:v>
                </c:pt>
                <c:pt idx="6">
                  <c:v>44258</c:v>
                </c:pt>
                <c:pt idx="7">
                  <c:v>44259</c:v>
                </c:pt>
                <c:pt idx="8">
                  <c:v>44260</c:v>
                </c:pt>
                <c:pt idx="9">
                  <c:v>44261</c:v>
                </c:pt>
                <c:pt idx="10">
                  <c:v>44262</c:v>
                </c:pt>
                <c:pt idx="11">
                  <c:v>44263</c:v>
                </c:pt>
                <c:pt idx="12">
                  <c:v>44264</c:v>
                </c:pt>
                <c:pt idx="13">
                  <c:v>44265</c:v>
                </c:pt>
                <c:pt idx="14">
                  <c:v>44266</c:v>
                </c:pt>
                <c:pt idx="15">
                  <c:v>44267</c:v>
                </c:pt>
                <c:pt idx="16">
                  <c:v>44268</c:v>
                </c:pt>
                <c:pt idx="17">
                  <c:v>44269</c:v>
                </c:pt>
                <c:pt idx="18">
                  <c:v>44270</c:v>
                </c:pt>
                <c:pt idx="19">
                  <c:v>44271</c:v>
                </c:pt>
                <c:pt idx="20">
                  <c:v>44272</c:v>
                </c:pt>
                <c:pt idx="21">
                  <c:v>44273</c:v>
                </c:pt>
                <c:pt idx="22">
                  <c:v>44274</c:v>
                </c:pt>
                <c:pt idx="23">
                  <c:v>44275</c:v>
                </c:pt>
                <c:pt idx="24">
                  <c:v>44276</c:v>
                </c:pt>
                <c:pt idx="25">
                  <c:v>44277</c:v>
                </c:pt>
                <c:pt idx="26">
                  <c:v>44278</c:v>
                </c:pt>
                <c:pt idx="27">
                  <c:v>44279</c:v>
                </c:pt>
                <c:pt idx="28">
                  <c:v>44280</c:v>
                </c:pt>
                <c:pt idx="29">
                  <c:v>44281</c:v>
                </c:pt>
                <c:pt idx="30">
                  <c:v>44282</c:v>
                </c:pt>
                <c:pt idx="31">
                  <c:v>44283</c:v>
                </c:pt>
                <c:pt idx="32">
                  <c:v>44284</c:v>
                </c:pt>
                <c:pt idx="33">
                  <c:v>44285</c:v>
                </c:pt>
                <c:pt idx="34">
                  <c:v>44286</c:v>
                </c:pt>
                <c:pt idx="35">
                  <c:v>44287</c:v>
                </c:pt>
                <c:pt idx="36">
                  <c:v>44288</c:v>
                </c:pt>
                <c:pt idx="37">
                  <c:v>44289</c:v>
                </c:pt>
                <c:pt idx="38">
                  <c:v>44290</c:v>
                </c:pt>
                <c:pt idx="39">
                  <c:v>44291</c:v>
                </c:pt>
                <c:pt idx="40">
                  <c:v>44292</c:v>
                </c:pt>
                <c:pt idx="41">
                  <c:v>44293</c:v>
                </c:pt>
                <c:pt idx="42">
                  <c:v>44294</c:v>
                </c:pt>
                <c:pt idx="43">
                  <c:v>44295</c:v>
                </c:pt>
                <c:pt idx="44">
                  <c:v>44296</c:v>
                </c:pt>
                <c:pt idx="45">
                  <c:v>44297</c:v>
                </c:pt>
                <c:pt idx="46">
                  <c:v>44298</c:v>
                </c:pt>
                <c:pt idx="47">
                  <c:v>44299</c:v>
                </c:pt>
                <c:pt idx="48">
                  <c:v>44300</c:v>
                </c:pt>
                <c:pt idx="49">
                  <c:v>44301</c:v>
                </c:pt>
                <c:pt idx="50">
                  <c:v>44302</c:v>
                </c:pt>
                <c:pt idx="51">
                  <c:v>44303</c:v>
                </c:pt>
                <c:pt idx="52">
                  <c:v>44304</c:v>
                </c:pt>
                <c:pt idx="53">
                  <c:v>44305</c:v>
                </c:pt>
                <c:pt idx="54">
                  <c:v>44306</c:v>
                </c:pt>
                <c:pt idx="55">
                  <c:v>44307</c:v>
                </c:pt>
                <c:pt idx="56">
                  <c:v>44308</c:v>
                </c:pt>
                <c:pt idx="57">
                  <c:v>44309</c:v>
                </c:pt>
                <c:pt idx="58">
                  <c:v>44310</c:v>
                </c:pt>
                <c:pt idx="59">
                  <c:v>44311</c:v>
                </c:pt>
                <c:pt idx="60">
                  <c:v>44312</c:v>
                </c:pt>
                <c:pt idx="61">
                  <c:v>44313</c:v>
                </c:pt>
                <c:pt idx="62">
                  <c:v>44314</c:v>
                </c:pt>
                <c:pt idx="63">
                  <c:v>44315</c:v>
                </c:pt>
                <c:pt idx="64">
                  <c:v>44316</c:v>
                </c:pt>
                <c:pt idx="65">
                  <c:v>44317</c:v>
                </c:pt>
                <c:pt idx="66">
                  <c:v>44318</c:v>
                </c:pt>
                <c:pt idx="67">
                  <c:v>44319</c:v>
                </c:pt>
                <c:pt idx="68">
                  <c:v>44320</c:v>
                </c:pt>
                <c:pt idx="69">
                  <c:v>44321</c:v>
                </c:pt>
                <c:pt idx="70">
                  <c:v>44322</c:v>
                </c:pt>
                <c:pt idx="71">
                  <c:v>44323</c:v>
                </c:pt>
                <c:pt idx="72">
                  <c:v>44324</c:v>
                </c:pt>
                <c:pt idx="73">
                  <c:v>44325</c:v>
                </c:pt>
                <c:pt idx="74">
                  <c:v>44326</c:v>
                </c:pt>
                <c:pt idx="75">
                  <c:v>44327</c:v>
                </c:pt>
                <c:pt idx="76">
                  <c:v>44328</c:v>
                </c:pt>
                <c:pt idx="77">
                  <c:v>44329</c:v>
                </c:pt>
                <c:pt idx="78">
                  <c:v>44330</c:v>
                </c:pt>
                <c:pt idx="79">
                  <c:v>44331</c:v>
                </c:pt>
                <c:pt idx="80">
                  <c:v>44332</c:v>
                </c:pt>
                <c:pt idx="81">
                  <c:v>44333</c:v>
                </c:pt>
                <c:pt idx="82">
                  <c:v>44334</c:v>
                </c:pt>
                <c:pt idx="83">
                  <c:v>44335</c:v>
                </c:pt>
                <c:pt idx="84">
                  <c:v>44336</c:v>
                </c:pt>
                <c:pt idx="85">
                  <c:v>44337</c:v>
                </c:pt>
                <c:pt idx="86">
                  <c:v>44338</c:v>
                </c:pt>
                <c:pt idx="87">
                  <c:v>44339</c:v>
                </c:pt>
                <c:pt idx="88">
                  <c:v>44340</c:v>
                </c:pt>
                <c:pt idx="89">
                  <c:v>44341</c:v>
                </c:pt>
                <c:pt idx="90">
                  <c:v>44342</c:v>
                </c:pt>
                <c:pt idx="91">
                  <c:v>44343</c:v>
                </c:pt>
                <c:pt idx="92">
                  <c:v>44344</c:v>
                </c:pt>
                <c:pt idx="93">
                  <c:v>44345</c:v>
                </c:pt>
                <c:pt idx="94">
                  <c:v>44346</c:v>
                </c:pt>
                <c:pt idx="95">
                  <c:v>44347</c:v>
                </c:pt>
                <c:pt idx="96">
                  <c:v>44348</c:v>
                </c:pt>
                <c:pt idx="97">
                  <c:v>44349</c:v>
                </c:pt>
                <c:pt idx="98">
                  <c:v>44350</c:v>
                </c:pt>
                <c:pt idx="99">
                  <c:v>44351</c:v>
                </c:pt>
                <c:pt idx="100">
                  <c:v>44352</c:v>
                </c:pt>
                <c:pt idx="101">
                  <c:v>44353</c:v>
                </c:pt>
                <c:pt idx="102">
                  <c:v>44354</c:v>
                </c:pt>
                <c:pt idx="103">
                  <c:v>44355</c:v>
                </c:pt>
                <c:pt idx="104">
                  <c:v>44356</c:v>
                </c:pt>
                <c:pt idx="105">
                  <c:v>44357</c:v>
                </c:pt>
                <c:pt idx="106">
                  <c:v>44358</c:v>
                </c:pt>
                <c:pt idx="107">
                  <c:v>44359</c:v>
                </c:pt>
                <c:pt idx="108">
                  <c:v>44360</c:v>
                </c:pt>
                <c:pt idx="109">
                  <c:v>44361</c:v>
                </c:pt>
                <c:pt idx="110">
                  <c:v>44362</c:v>
                </c:pt>
                <c:pt idx="111">
                  <c:v>44363</c:v>
                </c:pt>
                <c:pt idx="112">
                  <c:v>44364</c:v>
                </c:pt>
                <c:pt idx="113">
                  <c:v>44365</c:v>
                </c:pt>
                <c:pt idx="114">
                  <c:v>44366</c:v>
                </c:pt>
                <c:pt idx="115">
                  <c:v>44367</c:v>
                </c:pt>
                <c:pt idx="116">
                  <c:v>44368</c:v>
                </c:pt>
                <c:pt idx="117">
                  <c:v>44369</c:v>
                </c:pt>
                <c:pt idx="118">
                  <c:v>44370</c:v>
                </c:pt>
                <c:pt idx="119">
                  <c:v>44371</c:v>
                </c:pt>
                <c:pt idx="120">
                  <c:v>44372</c:v>
                </c:pt>
                <c:pt idx="121">
                  <c:v>44373</c:v>
                </c:pt>
                <c:pt idx="122">
                  <c:v>44374</c:v>
                </c:pt>
                <c:pt idx="123">
                  <c:v>44375</c:v>
                </c:pt>
                <c:pt idx="124">
                  <c:v>44376</c:v>
                </c:pt>
                <c:pt idx="125">
                  <c:v>44377</c:v>
                </c:pt>
                <c:pt idx="126">
                  <c:v>44378</c:v>
                </c:pt>
                <c:pt idx="127">
                  <c:v>44379</c:v>
                </c:pt>
                <c:pt idx="128">
                  <c:v>44380</c:v>
                </c:pt>
                <c:pt idx="129">
                  <c:v>44381</c:v>
                </c:pt>
                <c:pt idx="130">
                  <c:v>44382</c:v>
                </c:pt>
                <c:pt idx="131">
                  <c:v>44383</c:v>
                </c:pt>
                <c:pt idx="132">
                  <c:v>44384</c:v>
                </c:pt>
                <c:pt idx="133">
                  <c:v>44385</c:v>
                </c:pt>
                <c:pt idx="134">
                  <c:v>44386</c:v>
                </c:pt>
                <c:pt idx="135">
                  <c:v>44387</c:v>
                </c:pt>
                <c:pt idx="136">
                  <c:v>44388</c:v>
                </c:pt>
                <c:pt idx="137">
                  <c:v>44389</c:v>
                </c:pt>
                <c:pt idx="138">
                  <c:v>44390</c:v>
                </c:pt>
                <c:pt idx="139">
                  <c:v>44391</c:v>
                </c:pt>
                <c:pt idx="140">
                  <c:v>44392</c:v>
                </c:pt>
                <c:pt idx="141">
                  <c:v>44393</c:v>
                </c:pt>
                <c:pt idx="142">
                  <c:v>44394</c:v>
                </c:pt>
                <c:pt idx="143">
                  <c:v>44395</c:v>
                </c:pt>
                <c:pt idx="144">
                  <c:v>44396</c:v>
                </c:pt>
                <c:pt idx="145">
                  <c:v>44397</c:v>
                </c:pt>
                <c:pt idx="146">
                  <c:v>44398</c:v>
                </c:pt>
                <c:pt idx="147">
                  <c:v>44399</c:v>
                </c:pt>
                <c:pt idx="148">
                  <c:v>44400</c:v>
                </c:pt>
                <c:pt idx="149">
                  <c:v>44401</c:v>
                </c:pt>
                <c:pt idx="150">
                  <c:v>44402</c:v>
                </c:pt>
                <c:pt idx="151">
                  <c:v>44403</c:v>
                </c:pt>
                <c:pt idx="152">
                  <c:v>44404</c:v>
                </c:pt>
                <c:pt idx="153">
                  <c:v>44405</c:v>
                </c:pt>
                <c:pt idx="154">
                  <c:v>44406</c:v>
                </c:pt>
                <c:pt idx="155">
                  <c:v>44407</c:v>
                </c:pt>
                <c:pt idx="156">
                  <c:v>44408</c:v>
                </c:pt>
                <c:pt idx="157">
                  <c:v>44409</c:v>
                </c:pt>
                <c:pt idx="158">
                  <c:v>44410</c:v>
                </c:pt>
                <c:pt idx="159">
                  <c:v>44411</c:v>
                </c:pt>
                <c:pt idx="160">
                  <c:v>44412</c:v>
                </c:pt>
                <c:pt idx="161">
                  <c:v>44413</c:v>
                </c:pt>
                <c:pt idx="162">
                  <c:v>44414</c:v>
                </c:pt>
                <c:pt idx="163">
                  <c:v>44415</c:v>
                </c:pt>
                <c:pt idx="164">
                  <c:v>44416</c:v>
                </c:pt>
                <c:pt idx="165">
                  <c:v>44417</c:v>
                </c:pt>
                <c:pt idx="166">
                  <c:v>44418</c:v>
                </c:pt>
                <c:pt idx="167">
                  <c:v>44419</c:v>
                </c:pt>
                <c:pt idx="168">
                  <c:v>44420</c:v>
                </c:pt>
                <c:pt idx="169">
                  <c:v>44421</c:v>
                </c:pt>
                <c:pt idx="170">
                  <c:v>44422</c:v>
                </c:pt>
                <c:pt idx="171">
                  <c:v>44423</c:v>
                </c:pt>
                <c:pt idx="172">
                  <c:v>44424</c:v>
                </c:pt>
                <c:pt idx="173">
                  <c:v>44425</c:v>
                </c:pt>
                <c:pt idx="174">
                  <c:v>44426</c:v>
                </c:pt>
                <c:pt idx="175">
                  <c:v>44427</c:v>
                </c:pt>
                <c:pt idx="176">
                  <c:v>44428</c:v>
                </c:pt>
                <c:pt idx="177">
                  <c:v>44429</c:v>
                </c:pt>
                <c:pt idx="178">
                  <c:v>44430</c:v>
                </c:pt>
                <c:pt idx="179">
                  <c:v>44431</c:v>
                </c:pt>
                <c:pt idx="180">
                  <c:v>44432</c:v>
                </c:pt>
                <c:pt idx="181">
                  <c:v>44433</c:v>
                </c:pt>
                <c:pt idx="182">
                  <c:v>44434</c:v>
                </c:pt>
                <c:pt idx="183">
                  <c:v>44435</c:v>
                </c:pt>
                <c:pt idx="184">
                  <c:v>44436</c:v>
                </c:pt>
                <c:pt idx="185">
                  <c:v>44437</c:v>
                </c:pt>
                <c:pt idx="186">
                  <c:v>44438</c:v>
                </c:pt>
                <c:pt idx="187">
                  <c:v>44439</c:v>
                </c:pt>
                <c:pt idx="188">
                  <c:v>44440</c:v>
                </c:pt>
                <c:pt idx="189">
                  <c:v>44441</c:v>
                </c:pt>
                <c:pt idx="190">
                  <c:v>44442</c:v>
                </c:pt>
                <c:pt idx="191">
                  <c:v>44443</c:v>
                </c:pt>
                <c:pt idx="192">
                  <c:v>44444</c:v>
                </c:pt>
                <c:pt idx="193">
                  <c:v>44445</c:v>
                </c:pt>
                <c:pt idx="194">
                  <c:v>44446</c:v>
                </c:pt>
                <c:pt idx="195">
                  <c:v>44447</c:v>
                </c:pt>
                <c:pt idx="196">
                  <c:v>44448</c:v>
                </c:pt>
                <c:pt idx="197">
                  <c:v>44449</c:v>
                </c:pt>
                <c:pt idx="198">
                  <c:v>44450</c:v>
                </c:pt>
                <c:pt idx="199">
                  <c:v>44451</c:v>
                </c:pt>
                <c:pt idx="200">
                  <c:v>44452</c:v>
                </c:pt>
                <c:pt idx="201">
                  <c:v>44453</c:v>
                </c:pt>
                <c:pt idx="202">
                  <c:v>44454</c:v>
                </c:pt>
                <c:pt idx="203">
                  <c:v>44455</c:v>
                </c:pt>
                <c:pt idx="204">
                  <c:v>44456</c:v>
                </c:pt>
                <c:pt idx="205">
                  <c:v>44457</c:v>
                </c:pt>
                <c:pt idx="206">
                  <c:v>44458</c:v>
                </c:pt>
                <c:pt idx="207">
                  <c:v>44459</c:v>
                </c:pt>
                <c:pt idx="208">
                  <c:v>44460</c:v>
                </c:pt>
                <c:pt idx="209">
                  <c:v>44461</c:v>
                </c:pt>
                <c:pt idx="210">
                  <c:v>44462</c:v>
                </c:pt>
                <c:pt idx="211">
                  <c:v>44463</c:v>
                </c:pt>
                <c:pt idx="212">
                  <c:v>44464</c:v>
                </c:pt>
                <c:pt idx="213">
                  <c:v>44465</c:v>
                </c:pt>
                <c:pt idx="214">
                  <c:v>44466</c:v>
                </c:pt>
                <c:pt idx="215">
                  <c:v>44467</c:v>
                </c:pt>
                <c:pt idx="216">
                  <c:v>44468</c:v>
                </c:pt>
                <c:pt idx="217">
                  <c:v>44469</c:v>
                </c:pt>
                <c:pt idx="218">
                  <c:v>44470</c:v>
                </c:pt>
                <c:pt idx="219">
                  <c:v>44471</c:v>
                </c:pt>
                <c:pt idx="220">
                  <c:v>44472</c:v>
                </c:pt>
                <c:pt idx="221">
                  <c:v>44473</c:v>
                </c:pt>
                <c:pt idx="222">
                  <c:v>44474</c:v>
                </c:pt>
                <c:pt idx="223">
                  <c:v>44475</c:v>
                </c:pt>
                <c:pt idx="224">
                  <c:v>44476</c:v>
                </c:pt>
                <c:pt idx="225">
                  <c:v>44477</c:v>
                </c:pt>
                <c:pt idx="226">
                  <c:v>44478</c:v>
                </c:pt>
                <c:pt idx="227">
                  <c:v>44479</c:v>
                </c:pt>
                <c:pt idx="228">
                  <c:v>44480</c:v>
                </c:pt>
                <c:pt idx="229">
                  <c:v>44481</c:v>
                </c:pt>
                <c:pt idx="230">
                  <c:v>44482</c:v>
                </c:pt>
                <c:pt idx="231">
                  <c:v>44483</c:v>
                </c:pt>
                <c:pt idx="232">
                  <c:v>44484</c:v>
                </c:pt>
                <c:pt idx="233">
                  <c:v>44485</c:v>
                </c:pt>
                <c:pt idx="234">
                  <c:v>44486</c:v>
                </c:pt>
                <c:pt idx="235">
                  <c:v>44487</c:v>
                </c:pt>
                <c:pt idx="236">
                  <c:v>44488</c:v>
                </c:pt>
                <c:pt idx="237">
                  <c:v>44489</c:v>
                </c:pt>
                <c:pt idx="238">
                  <c:v>44490</c:v>
                </c:pt>
                <c:pt idx="239">
                  <c:v>44491</c:v>
                </c:pt>
                <c:pt idx="240">
                  <c:v>44492</c:v>
                </c:pt>
                <c:pt idx="241">
                  <c:v>44493</c:v>
                </c:pt>
                <c:pt idx="242">
                  <c:v>44494</c:v>
                </c:pt>
                <c:pt idx="243">
                  <c:v>44495</c:v>
                </c:pt>
                <c:pt idx="244">
                  <c:v>44496</c:v>
                </c:pt>
                <c:pt idx="245">
                  <c:v>44497</c:v>
                </c:pt>
                <c:pt idx="246">
                  <c:v>44498</c:v>
                </c:pt>
                <c:pt idx="247">
                  <c:v>44499</c:v>
                </c:pt>
                <c:pt idx="248">
                  <c:v>44500</c:v>
                </c:pt>
                <c:pt idx="249">
                  <c:v>44501</c:v>
                </c:pt>
                <c:pt idx="250">
                  <c:v>44502</c:v>
                </c:pt>
                <c:pt idx="251">
                  <c:v>44503</c:v>
                </c:pt>
                <c:pt idx="252">
                  <c:v>44504</c:v>
                </c:pt>
                <c:pt idx="253">
                  <c:v>44505</c:v>
                </c:pt>
                <c:pt idx="254">
                  <c:v>44506</c:v>
                </c:pt>
                <c:pt idx="255">
                  <c:v>44507</c:v>
                </c:pt>
                <c:pt idx="256">
                  <c:v>44508</c:v>
                </c:pt>
                <c:pt idx="257">
                  <c:v>44509</c:v>
                </c:pt>
                <c:pt idx="258">
                  <c:v>44510</c:v>
                </c:pt>
                <c:pt idx="259">
                  <c:v>44511</c:v>
                </c:pt>
                <c:pt idx="260">
                  <c:v>44512</c:v>
                </c:pt>
                <c:pt idx="261">
                  <c:v>44513</c:v>
                </c:pt>
                <c:pt idx="262">
                  <c:v>44514</c:v>
                </c:pt>
                <c:pt idx="263">
                  <c:v>44515</c:v>
                </c:pt>
                <c:pt idx="264">
                  <c:v>44516</c:v>
                </c:pt>
                <c:pt idx="265">
                  <c:v>44517</c:v>
                </c:pt>
                <c:pt idx="266">
                  <c:v>44518</c:v>
                </c:pt>
                <c:pt idx="267">
                  <c:v>44519</c:v>
                </c:pt>
                <c:pt idx="268">
                  <c:v>44520</c:v>
                </c:pt>
                <c:pt idx="269">
                  <c:v>44521</c:v>
                </c:pt>
                <c:pt idx="270">
                  <c:v>44522</c:v>
                </c:pt>
                <c:pt idx="271">
                  <c:v>44523</c:v>
                </c:pt>
                <c:pt idx="272">
                  <c:v>44524</c:v>
                </c:pt>
                <c:pt idx="273">
                  <c:v>44525</c:v>
                </c:pt>
                <c:pt idx="274">
                  <c:v>44526</c:v>
                </c:pt>
                <c:pt idx="275">
                  <c:v>44527</c:v>
                </c:pt>
                <c:pt idx="276">
                  <c:v>44528</c:v>
                </c:pt>
                <c:pt idx="277">
                  <c:v>44529</c:v>
                </c:pt>
                <c:pt idx="278">
                  <c:v>44530</c:v>
                </c:pt>
                <c:pt idx="279">
                  <c:v>44531</c:v>
                </c:pt>
                <c:pt idx="280">
                  <c:v>44532</c:v>
                </c:pt>
                <c:pt idx="281">
                  <c:v>44533</c:v>
                </c:pt>
                <c:pt idx="282">
                  <c:v>44534</c:v>
                </c:pt>
                <c:pt idx="283">
                  <c:v>44535</c:v>
                </c:pt>
                <c:pt idx="284">
                  <c:v>44536</c:v>
                </c:pt>
                <c:pt idx="285">
                  <c:v>44537</c:v>
                </c:pt>
                <c:pt idx="286">
                  <c:v>44538</c:v>
                </c:pt>
                <c:pt idx="287">
                  <c:v>44539</c:v>
                </c:pt>
                <c:pt idx="288">
                  <c:v>44540</c:v>
                </c:pt>
                <c:pt idx="289">
                  <c:v>44541</c:v>
                </c:pt>
                <c:pt idx="290">
                  <c:v>44542</c:v>
                </c:pt>
                <c:pt idx="291">
                  <c:v>44543</c:v>
                </c:pt>
                <c:pt idx="292">
                  <c:v>44544</c:v>
                </c:pt>
                <c:pt idx="293">
                  <c:v>44545</c:v>
                </c:pt>
                <c:pt idx="294">
                  <c:v>44546</c:v>
                </c:pt>
                <c:pt idx="295">
                  <c:v>44547</c:v>
                </c:pt>
                <c:pt idx="296">
                  <c:v>44548</c:v>
                </c:pt>
                <c:pt idx="297">
                  <c:v>44549</c:v>
                </c:pt>
                <c:pt idx="298">
                  <c:v>44550</c:v>
                </c:pt>
                <c:pt idx="299">
                  <c:v>44551</c:v>
                </c:pt>
                <c:pt idx="300">
                  <c:v>44552</c:v>
                </c:pt>
                <c:pt idx="301">
                  <c:v>44553</c:v>
                </c:pt>
                <c:pt idx="302">
                  <c:v>44554</c:v>
                </c:pt>
                <c:pt idx="303">
                  <c:v>44555</c:v>
                </c:pt>
                <c:pt idx="304">
                  <c:v>44556</c:v>
                </c:pt>
                <c:pt idx="305">
                  <c:v>44557</c:v>
                </c:pt>
                <c:pt idx="306">
                  <c:v>44558</c:v>
                </c:pt>
                <c:pt idx="307">
                  <c:v>44559</c:v>
                </c:pt>
                <c:pt idx="308">
                  <c:v>44560</c:v>
                </c:pt>
                <c:pt idx="309">
                  <c:v>44561</c:v>
                </c:pt>
                <c:pt idx="310">
                  <c:v>44562</c:v>
                </c:pt>
                <c:pt idx="311">
                  <c:v>44563</c:v>
                </c:pt>
                <c:pt idx="312">
                  <c:v>44564</c:v>
                </c:pt>
                <c:pt idx="313">
                  <c:v>44565</c:v>
                </c:pt>
                <c:pt idx="314">
                  <c:v>44566</c:v>
                </c:pt>
                <c:pt idx="315">
                  <c:v>44567</c:v>
                </c:pt>
                <c:pt idx="316">
                  <c:v>44568</c:v>
                </c:pt>
                <c:pt idx="317">
                  <c:v>44569</c:v>
                </c:pt>
                <c:pt idx="318">
                  <c:v>44570</c:v>
                </c:pt>
                <c:pt idx="319">
                  <c:v>44571</c:v>
                </c:pt>
                <c:pt idx="320">
                  <c:v>44572</c:v>
                </c:pt>
                <c:pt idx="321">
                  <c:v>44573</c:v>
                </c:pt>
                <c:pt idx="322">
                  <c:v>44574</c:v>
                </c:pt>
                <c:pt idx="323">
                  <c:v>44575</c:v>
                </c:pt>
                <c:pt idx="324">
                  <c:v>44576</c:v>
                </c:pt>
                <c:pt idx="325">
                  <c:v>44577</c:v>
                </c:pt>
                <c:pt idx="326">
                  <c:v>44578</c:v>
                </c:pt>
                <c:pt idx="327">
                  <c:v>44579</c:v>
                </c:pt>
                <c:pt idx="328">
                  <c:v>44580</c:v>
                </c:pt>
                <c:pt idx="329">
                  <c:v>44581</c:v>
                </c:pt>
                <c:pt idx="330">
                  <c:v>44582</c:v>
                </c:pt>
                <c:pt idx="331">
                  <c:v>44583</c:v>
                </c:pt>
                <c:pt idx="332">
                  <c:v>44584</c:v>
                </c:pt>
                <c:pt idx="333">
                  <c:v>44585</c:v>
                </c:pt>
                <c:pt idx="334">
                  <c:v>44586</c:v>
                </c:pt>
                <c:pt idx="335">
                  <c:v>44587</c:v>
                </c:pt>
                <c:pt idx="336">
                  <c:v>44588</c:v>
                </c:pt>
                <c:pt idx="337">
                  <c:v>44589</c:v>
                </c:pt>
                <c:pt idx="338">
                  <c:v>44590</c:v>
                </c:pt>
                <c:pt idx="339">
                  <c:v>44591</c:v>
                </c:pt>
                <c:pt idx="340">
                  <c:v>44592</c:v>
                </c:pt>
                <c:pt idx="341">
                  <c:v>44593</c:v>
                </c:pt>
                <c:pt idx="342">
                  <c:v>44594</c:v>
                </c:pt>
                <c:pt idx="343">
                  <c:v>44595</c:v>
                </c:pt>
                <c:pt idx="344">
                  <c:v>44596</c:v>
                </c:pt>
                <c:pt idx="345">
                  <c:v>44597</c:v>
                </c:pt>
                <c:pt idx="346">
                  <c:v>44598</c:v>
                </c:pt>
                <c:pt idx="347">
                  <c:v>44599</c:v>
                </c:pt>
                <c:pt idx="348">
                  <c:v>44600</c:v>
                </c:pt>
                <c:pt idx="349">
                  <c:v>44601</c:v>
                </c:pt>
                <c:pt idx="350">
                  <c:v>44602</c:v>
                </c:pt>
                <c:pt idx="351">
                  <c:v>44603</c:v>
                </c:pt>
                <c:pt idx="352">
                  <c:v>44604</c:v>
                </c:pt>
                <c:pt idx="353">
                  <c:v>44605</c:v>
                </c:pt>
                <c:pt idx="354">
                  <c:v>44606</c:v>
                </c:pt>
                <c:pt idx="355">
                  <c:v>44607</c:v>
                </c:pt>
                <c:pt idx="356">
                  <c:v>44608</c:v>
                </c:pt>
                <c:pt idx="357">
                  <c:v>44609</c:v>
                </c:pt>
                <c:pt idx="358">
                  <c:v>44610</c:v>
                </c:pt>
                <c:pt idx="359">
                  <c:v>44611</c:v>
                </c:pt>
                <c:pt idx="360">
                  <c:v>44612</c:v>
                </c:pt>
                <c:pt idx="361">
                  <c:v>44613</c:v>
                </c:pt>
                <c:pt idx="362">
                  <c:v>44614</c:v>
                </c:pt>
                <c:pt idx="363">
                  <c:v>44615</c:v>
                </c:pt>
                <c:pt idx="364">
                  <c:v>44616</c:v>
                </c:pt>
                <c:pt idx="365">
                  <c:v>44617</c:v>
                </c:pt>
                <c:pt idx="366">
                  <c:v>44618</c:v>
                </c:pt>
                <c:pt idx="367">
                  <c:v>44619</c:v>
                </c:pt>
                <c:pt idx="368">
                  <c:v>44620</c:v>
                </c:pt>
                <c:pt idx="369">
                  <c:v>44621</c:v>
                </c:pt>
                <c:pt idx="370">
                  <c:v>44622</c:v>
                </c:pt>
                <c:pt idx="371">
                  <c:v>44623</c:v>
                </c:pt>
                <c:pt idx="372">
                  <c:v>44624</c:v>
                </c:pt>
                <c:pt idx="373">
                  <c:v>44625</c:v>
                </c:pt>
                <c:pt idx="374">
                  <c:v>44626</c:v>
                </c:pt>
                <c:pt idx="375">
                  <c:v>44627</c:v>
                </c:pt>
                <c:pt idx="376">
                  <c:v>44628</c:v>
                </c:pt>
                <c:pt idx="377">
                  <c:v>44629</c:v>
                </c:pt>
                <c:pt idx="378">
                  <c:v>44630</c:v>
                </c:pt>
                <c:pt idx="379">
                  <c:v>44631</c:v>
                </c:pt>
                <c:pt idx="380">
                  <c:v>44632</c:v>
                </c:pt>
                <c:pt idx="381">
                  <c:v>44633</c:v>
                </c:pt>
                <c:pt idx="382">
                  <c:v>44634</c:v>
                </c:pt>
                <c:pt idx="383">
                  <c:v>44635</c:v>
                </c:pt>
                <c:pt idx="384">
                  <c:v>44636</c:v>
                </c:pt>
                <c:pt idx="385">
                  <c:v>44637</c:v>
                </c:pt>
                <c:pt idx="386">
                  <c:v>44638</c:v>
                </c:pt>
                <c:pt idx="387">
                  <c:v>44639</c:v>
                </c:pt>
                <c:pt idx="388">
                  <c:v>44640</c:v>
                </c:pt>
                <c:pt idx="389">
                  <c:v>44641</c:v>
                </c:pt>
                <c:pt idx="390">
                  <c:v>44642</c:v>
                </c:pt>
                <c:pt idx="391">
                  <c:v>44643</c:v>
                </c:pt>
                <c:pt idx="392">
                  <c:v>44644</c:v>
                </c:pt>
                <c:pt idx="393">
                  <c:v>44645</c:v>
                </c:pt>
                <c:pt idx="394">
                  <c:v>44646</c:v>
                </c:pt>
                <c:pt idx="395">
                  <c:v>44647</c:v>
                </c:pt>
                <c:pt idx="396">
                  <c:v>44648</c:v>
                </c:pt>
                <c:pt idx="397">
                  <c:v>44649</c:v>
                </c:pt>
                <c:pt idx="398">
                  <c:v>44650</c:v>
                </c:pt>
                <c:pt idx="399">
                  <c:v>44651</c:v>
                </c:pt>
                <c:pt idx="400">
                  <c:v>44652</c:v>
                </c:pt>
                <c:pt idx="401">
                  <c:v>44653</c:v>
                </c:pt>
                <c:pt idx="402">
                  <c:v>44654</c:v>
                </c:pt>
                <c:pt idx="403">
                  <c:v>44655</c:v>
                </c:pt>
                <c:pt idx="404">
                  <c:v>44656</c:v>
                </c:pt>
                <c:pt idx="405">
                  <c:v>44657</c:v>
                </c:pt>
                <c:pt idx="406">
                  <c:v>44658</c:v>
                </c:pt>
                <c:pt idx="407">
                  <c:v>44659</c:v>
                </c:pt>
                <c:pt idx="408">
                  <c:v>44660</c:v>
                </c:pt>
                <c:pt idx="409">
                  <c:v>44661</c:v>
                </c:pt>
                <c:pt idx="410">
                  <c:v>44662</c:v>
                </c:pt>
                <c:pt idx="411">
                  <c:v>44663</c:v>
                </c:pt>
                <c:pt idx="412">
                  <c:v>44664</c:v>
                </c:pt>
                <c:pt idx="413">
                  <c:v>44665</c:v>
                </c:pt>
                <c:pt idx="414">
                  <c:v>44666</c:v>
                </c:pt>
                <c:pt idx="415">
                  <c:v>44667</c:v>
                </c:pt>
                <c:pt idx="416">
                  <c:v>44668</c:v>
                </c:pt>
                <c:pt idx="417">
                  <c:v>44669</c:v>
                </c:pt>
                <c:pt idx="418">
                  <c:v>44670</c:v>
                </c:pt>
                <c:pt idx="419">
                  <c:v>44671</c:v>
                </c:pt>
                <c:pt idx="420">
                  <c:v>44672</c:v>
                </c:pt>
                <c:pt idx="421">
                  <c:v>44673</c:v>
                </c:pt>
                <c:pt idx="422">
                  <c:v>44674</c:v>
                </c:pt>
                <c:pt idx="423">
                  <c:v>44675</c:v>
                </c:pt>
                <c:pt idx="424">
                  <c:v>44676</c:v>
                </c:pt>
                <c:pt idx="425">
                  <c:v>44677</c:v>
                </c:pt>
                <c:pt idx="426">
                  <c:v>44678</c:v>
                </c:pt>
                <c:pt idx="427">
                  <c:v>44679</c:v>
                </c:pt>
                <c:pt idx="428">
                  <c:v>44680</c:v>
                </c:pt>
                <c:pt idx="429">
                  <c:v>44681</c:v>
                </c:pt>
                <c:pt idx="430">
                  <c:v>44682</c:v>
                </c:pt>
                <c:pt idx="431">
                  <c:v>44683</c:v>
                </c:pt>
                <c:pt idx="432">
                  <c:v>44684</c:v>
                </c:pt>
                <c:pt idx="433">
                  <c:v>44685</c:v>
                </c:pt>
                <c:pt idx="434">
                  <c:v>44686</c:v>
                </c:pt>
                <c:pt idx="435">
                  <c:v>44687</c:v>
                </c:pt>
                <c:pt idx="436">
                  <c:v>44688</c:v>
                </c:pt>
                <c:pt idx="437">
                  <c:v>44689</c:v>
                </c:pt>
                <c:pt idx="438">
                  <c:v>44690</c:v>
                </c:pt>
                <c:pt idx="439">
                  <c:v>44691</c:v>
                </c:pt>
                <c:pt idx="440">
                  <c:v>44692</c:v>
                </c:pt>
                <c:pt idx="441">
                  <c:v>44693</c:v>
                </c:pt>
                <c:pt idx="442">
                  <c:v>44694</c:v>
                </c:pt>
                <c:pt idx="443">
                  <c:v>44695</c:v>
                </c:pt>
                <c:pt idx="444">
                  <c:v>44696</c:v>
                </c:pt>
                <c:pt idx="445">
                  <c:v>44697</c:v>
                </c:pt>
                <c:pt idx="446">
                  <c:v>44698</c:v>
                </c:pt>
                <c:pt idx="447">
                  <c:v>44699</c:v>
                </c:pt>
                <c:pt idx="448">
                  <c:v>44700</c:v>
                </c:pt>
                <c:pt idx="449">
                  <c:v>44701</c:v>
                </c:pt>
                <c:pt idx="450">
                  <c:v>44702</c:v>
                </c:pt>
                <c:pt idx="451">
                  <c:v>44703</c:v>
                </c:pt>
                <c:pt idx="452">
                  <c:v>44704</c:v>
                </c:pt>
                <c:pt idx="453">
                  <c:v>44705</c:v>
                </c:pt>
                <c:pt idx="454">
                  <c:v>44706</c:v>
                </c:pt>
                <c:pt idx="455">
                  <c:v>44707</c:v>
                </c:pt>
                <c:pt idx="456">
                  <c:v>44708</c:v>
                </c:pt>
                <c:pt idx="457">
                  <c:v>44709</c:v>
                </c:pt>
                <c:pt idx="458">
                  <c:v>44710</c:v>
                </c:pt>
                <c:pt idx="459">
                  <c:v>44711</c:v>
                </c:pt>
                <c:pt idx="460">
                  <c:v>44712</c:v>
                </c:pt>
                <c:pt idx="461">
                  <c:v>44713</c:v>
                </c:pt>
                <c:pt idx="462">
                  <c:v>44714</c:v>
                </c:pt>
                <c:pt idx="463">
                  <c:v>44715</c:v>
                </c:pt>
                <c:pt idx="464">
                  <c:v>44716</c:v>
                </c:pt>
                <c:pt idx="465">
                  <c:v>44717</c:v>
                </c:pt>
                <c:pt idx="466">
                  <c:v>44718</c:v>
                </c:pt>
                <c:pt idx="467">
                  <c:v>44719</c:v>
                </c:pt>
                <c:pt idx="468">
                  <c:v>44720</c:v>
                </c:pt>
                <c:pt idx="469">
                  <c:v>44721</c:v>
                </c:pt>
                <c:pt idx="470">
                  <c:v>44722</c:v>
                </c:pt>
                <c:pt idx="471">
                  <c:v>44723</c:v>
                </c:pt>
                <c:pt idx="472">
                  <c:v>44724</c:v>
                </c:pt>
                <c:pt idx="473">
                  <c:v>44725</c:v>
                </c:pt>
                <c:pt idx="474">
                  <c:v>44726</c:v>
                </c:pt>
                <c:pt idx="475">
                  <c:v>44727</c:v>
                </c:pt>
                <c:pt idx="476">
                  <c:v>44728</c:v>
                </c:pt>
                <c:pt idx="477">
                  <c:v>44729</c:v>
                </c:pt>
                <c:pt idx="478">
                  <c:v>44730</c:v>
                </c:pt>
                <c:pt idx="479">
                  <c:v>44731</c:v>
                </c:pt>
                <c:pt idx="480">
                  <c:v>44732</c:v>
                </c:pt>
                <c:pt idx="481">
                  <c:v>44733</c:v>
                </c:pt>
                <c:pt idx="482">
                  <c:v>44734</c:v>
                </c:pt>
                <c:pt idx="483">
                  <c:v>44735</c:v>
                </c:pt>
                <c:pt idx="484">
                  <c:v>44736</c:v>
                </c:pt>
                <c:pt idx="485">
                  <c:v>44737</c:v>
                </c:pt>
                <c:pt idx="486">
                  <c:v>44738</c:v>
                </c:pt>
                <c:pt idx="487">
                  <c:v>44739</c:v>
                </c:pt>
                <c:pt idx="488">
                  <c:v>44740</c:v>
                </c:pt>
                <c:pt idx="489">
                  <c:v>44741</c:v>
                </c:pt>
                <c:pt idx="490">
                  <c:v>44742</c:v>
                </c:pt>
                <c:pt idx="491">
                  <c:v>44743</c:v>
                </c:pt>
                <c:pt idx="492">
                  <c:v>44744</c:v>
                </c:pt>
                <c:pt idx="493">
                  <c:v>44745</c:v>
                </c:pt>
                <c:pt idx="494">
                  <c:v>44746</c:v>
                </c:pt>
                <c:pt idx="495">
                  <c:v>44747</c:v>
                </c:pt>
                <c:pt idx="496">
                  <c:v>44748</c:v>
                </c:pt>
                <c:pt idx="497">
                  <c:v>44749</c:v>
                </c:pt>
                <c:pt idx="498">
                  <c:v>44750</c:v>
                </c:pt>
                <c:pt idx="499">
                  <c:v>44751</c:v>
                </c:pt>
                <c:pt idx="500">
                  <c:v>44752</c:v>
                </c:pt>
                <c:pt idx="501">
                  <c:v>44753</c:v>
                </c:pt>
                <c:pt idx="502">
                  <c:v>44754</c:v>
                </c:pt>
                <c:pt idx="503">
                  <c:v>44755</c:v>
                </c:pt>
                <c:pt idx="504">
                  <c:v>44756</c:v>
                </c:pt>
                <c:pt idx="505">
                  <c:v>44757</c:v>
                </c:pt>
                <c:pt idx="506">
                  <c:v>44758</c:v>
                </c:pt>
                <c:pt idx="507">
                  <c:v>44759</c:v>
                </c:pt>
                <c:pt idx="508">
                  <c:v>44760</c:v>
                </c:pt>
                <c:pt idx="509">
                  <c:v>44761</c:v>
                </c:pt>
                <c:pt idx="510">
                  <c:v>44762</c:v>
                </c:pt>
                <c:pt idx="511">
                  <c:v>44763</c:v>
                </c:pt>
                <c:pt idx="512">
                  <c:v>44764</c:v>
                </c:pt>
                <c:pt idx="513">
                  <c:v>44765</c:v>
                </c:pt>
                <c:pt idx="514">
                  <c:v>44766</c:v>
                </c:pt>
                <c:pt idx="515">
                  <c:v>44767</c:v>
                </c:pt>
              </c:numCache>
            </c:numRef>
          </c:cat>
          <c:val>
            <c:numRef>
              <c:f>Hoja5!$AE$4:$AE$519</c:f>
              <c:numCache>
                <c:formatCode>_-* #,##0.0_-;\-* #,##0.0_-;_-* "-"??_-;_-@_-</c:formatCode>
                <c:ptCount val="516"/>
                <c:pt idx="0">
                  <c:v>1.8384352866542262</c:v>
                </c:pt>
                <c:pt idx="1">
                  <c:v>1.9003281596084252</c:v>
                </c:pt>
                <c:pt idx="2">
                  <c:v>1.9391261680406182</c:v>
                </c:pt>
                <c:pt idx="3">
                  <c:v>1.9643134946192231</c:v>
                </c:pt>
                <c:pt idx="4">
                  <c:v>2.0128389690925017</c:v>
                </c:pt>
                <c:pt idx="5">
                  <c:v>2.1147060488405955</c:v>
                </c:pt>
                <c:pt idx="6">
                  <c:v>2.184659425136092</c:v>
                </c:pt>
                <c:pt idx="7">
                  <c:v>2.2659486155941599</c:v>
                </c:pt>
                <c:pt idx="8">
                  <c:v>2.350115129449907</c:v>
                </c:pt>
                <c:pt idx="9">
                  <c:v>2.4096602584341134</c:v>
                </c:pt>
                <c:pt idx="10">
                  <c:v>2.4449179008208035</c:v>
                </c:pt>
                <c:pt idx="11">
                  <c:v>2.518002162931547</c:v>
                </c:pt>
                <c:pt idx="12">
                  <c:v>2.5938056939008516</c:v>
                </c:pt>
                <c:pt idx="13">
                  <c:v>2.6820331890934597</c:v>
                </c:pt>
                <c:pt idx="14">
                  <c:v>2.7566448060149469</c:v>
                </c:pt>
                <c:pt idx="15">
                  <c:v>2.8511650616929716</c:v>
                </c:pt>
                <c:pt idx="16">
                  <c:v>2.9243475120727167</c:v>
                </c:pt>
                <c:pt idx="17">
                  <c:v>2.9606147893063226</c:v>
                </c:pt>
                <c:pt idx="18">
                  <c:v>3.0500312020724043</c:v>
                </c:pt>
                <c:pt idx="19">
                  <c:v>3.1330724576302926</c:v>
                </c:pt>
                <c:pt idx="20">
                  <c:v>3.2215918498827061</c:v>
                </c:pt>
                <c:pt idx="21">
                  <c:v>3.3138709071151879</c:v>
                </c:pt>
                <c:pt idx="22">
                  <c:v>3.4322064454928816</c:v>
                </c:pt>
                <c:pt idx="23">
                  <c:v>3.51594313596555</c:v>
                </c:pt>
                <c:pt idx="24">
                  <c:v>3.5559993348949686</c:v>
                </c:pt>
                <c:pt idx="25">
                  <c:v>3.6528281401528355</c:v>
                </c:pt>
                <c:pt idx="26">
                  <c:v>3.7449361707673949</c:v>
                </c:pt>
                <c:pt idx="27">
                  <c:v>3.8560914485898046</c:v>
                </c:pt>
                <c:pt idx="28">
                  <c:v>3.9590281053150411</c:v>
                </c:pt>
                <c:pt idx="29">
                  <c:v>4.082117796784428</c:v>
                </c:pt>
                <c:pt idx="30">
                  <c:v>4.162328281765455</c:v>
                </c:pt>
                <c:pt idx="31">
                  <c:v>4.2011903540605156</c:v>
                </c:pt>
                <c:pt idx="32">
                  <c:v>4.2959625032336888</c:v>
                </c:pt>
                <c:pt idx="33">
                  <c:v>4.3972605942269682</c:v>
                </c:pt>
                <c:pt idx="34">
                  <c:v>4.5337742126025544</c:v>
                </c:pt>
                <c:pt idx="35">
                  <c:v>4.6635936440774763</c:v>
                </c:pt>
                <c:pt idx="36">
                  <c:v>4.7858307817009882</c:v>
                </c:pt>
                <c:pt idx="37">
                  <c:v>4.871326617550408</c:v>
                </c:pt>
                <c:pt idx="38">
                  <c:v>4.9394260612617478</c:v>
                </c:pt>
                <c:pt idx="39">
                  <c:v>5.047533279865644</c:v>
                </c:pt>
                <c:pt idx="40">
                  <c:v>5.1809756637591216</c:v>
                </c:pt>
                <c:pt idx="41">
                  <c:v>5.3216465173077658</c:v>
                </c:pt>
                <c:pt idx="42">
                  <c:v>5.4821913668293965</c:v>
                </c:pt>
                <c:pt idx="43">
                  <c:v>5.6299849157532114</c:v>
                </c:pt>
                <c:pt idx="44">
                  <c:v>5.7366170724488343</c:v>
                </c:pt>
                <c:pt idx="45">
                  <c:v>5.8150999319288017</c:v>
                </c:pt>
                <c:pt idx="46">
                  <c:v>5.9390962022857128</c:v>
                </c:pt>
                <c:pt idx="47">
                  <c:v>6.0555789080508449</c:v>
                </c:pt>
                <c:pt idx="48">
                  <c:v>6.1858140276416878</c:v>
                </c:pt>
                <c:pt idx="49">
                  <c:v>6.2986501505640113</c:v>
                </c:pt>
                <c:pt idx="50">
                  <c:v>6.4220104224023018</c:v>
                </c:pt>
                <c:pt idx="51">
                  <c:v>6.5035479662170532</c:v>
                </c:pt>
                <c:pt idx="52">
                  <c:v>6.5678623697415413</c:v>
                </c:pt>
                <c:pt idx="53">
                  <c:v>6.6658861360949757</c:v>
                </c:pt>
                <c:pt idx="54">
                  <c:v>6.7616808416204623</c:v>
                </c:pt>
                <c:pt idx="55">
                  <c:v>6.8681606459285671</c:v>
                </c:pt>
                <c:pt idx="56">
                  <c:v>6.978095739168845</c:v>
                </c:pt>
                <c:pt idx="57">
                  <c:v>7.0868524467475842</c:v>
                </c:pt>
                <c:pt idx="58">
                  <c:v>7.1404729011432897</c:v>
                </c:pt>
                <c:pt idx="59">
                  <c:v>7.2390565530383437</c:v>
                </c:pt>
                <c:pt idx="60">
                  <c:v>7.3277074867214411</c:v>
                </c:pt>
                <c:pt idx="61">
                  <c:v>7.4263685285720138</c:v>
                </c:pt>
                <c:pt idx="62">
                  <c:v>7.5584589588723441</c:v>
                </c:pt>
                <c:pt idx="63">
                  <c:v>7.6712685054694756</c:v>
                </c:pt>
                <c:pt idx="64">
                  <c:v>7.7798878303890611</c:v>
                </c:pt>
                <c:pt idx="65">
                  <c:v>7.8345797329779563</c:v>
                </c:pt>
                <c:pt idx="66">
                  <c:v>7.8785955262072633</c:v>
                </c:pt>
                <c:pt idx="67">
                  <c:v>7.946438828257298</c:v>
                </c:pt>
                <c:pt idx="68">
                  <c:v>8.0383879951582315</c:v>
                </c:pt>
                <c:pt idx="69">
                  <c:v>8.1420367128056821</c:v>
                </c:pt>
                <c:pt idx="70">
                  <c:v>8.2497314673483313</c:v>
                </c:pt>
                <c:pt idx="71">
                  <c:v>8.3745312353466712</c:v>
                </c:pt>
                <c:pt idx="72">
                  <c:v>8.4370319247886378</c:v>
                </c:pt>
                <c:pt idx="73">
                  <c:v>8.4912110003907966</c:v>
                </c:pt>
                <c:pt idx="74">
                  <c:v>8.5894083473191891</c:v>
                </c:pt>
                <c:pt idx="75">
                  <c:v>8.7058140930027594</c:v>
                </c:pt>
                <c:pt idx="76">
                  <c:v>8.817312056228598</c:v>
                </c:pt>
                <c:pt idx="77">
                  <c:v>8.9144815113102762</c:v>
                </c:pt>
                <c:pt idx="78">
                  <c:v>9.0188027414759446</c:v>
                </c:pt>
                <c:pt idx="79">
                  <c:v>9.0974419739292589</c:v>
                </c:pt>
                <c:pt idx="80">
                  <c:v>9.1661688313234411</c:v>
                </c:pt>
                <c:pt idx="81">
                  <c:v>9.261570088388579</c:v>
                </c:pt>
                <c:pt idx="82">
                  <c:v>9.3769950387103727</c:v>
                </c:pt>
                <c:pt idx="83">
                  <c:v>9.4861918740037936</c:v>
                </c:pt>
                <c:pt idx="84">
                  <c:v>9.6151144240419164</c:v>
                </c:pt>
                <c:pt idx="85">
                  <c:v>9.7341328551295412</c:v>
                </c:pt>
                <c:pt idx="86">
                  <c:v>9.8404798157417392</c:v>
                </c:pt>
                <c:pt idx="87">
                  <c:v>9.9123431093825491</c:v>
                </c:pt>
                <c:pt idx="88">
                  <c:v>10.02928973765019</c:v>
                </c:pt>
                <c:pt idx="89">
                  <c:v>10.133930060725087</c:v>
                </c:pt>
                <c:pt idx="90">
                  <c:v>10.265275848185972</c:v>
                </c:pt>
                <c:pt idx="91">
                  <c:v>10.390570388464877</c:v>
                </c:pt>
                <c:pt idx="92">
                  <c:v>10.529324307608036</c:v>
                </c:pt>
                <c:pt idx="93">
                  <c:v>10.650753964934346</c:v>
                </c:pt>
                <c:pt idx="94">
                  <c:v>10.728777921322413</c:v>
                </c:pt>
                <c:pt idx="95">
                  <c:v>10.836190337179112</c:v>
                </c:pt>
                <c:pt idx="96">
                  <c:v>10.978144680571658</c:v>
                </c:pt>
                <c:pt idx="97">
                  <c:v>11.127555781976968</c:v>
                </c:pt>
                <c:pt idx="98">
                  <c:v>11.263508060825494</c:v>
                </c:pt>
                <c:pt idx="99">
                  <c:v>11.440648801318117</c:v>
                </c:pt>
                <c:pt idx="100">
                  <c:v>11.545672394955277</c:v>
                </c:pt>
                <c:pt idx="101">
                  <c:v>11.640642033281399</c:v>
                </c:pt>
                <c:pt idx="102">
                  <c:v>11.77093359279406</c:v>
                </c:pt>
                <c:pt idx="103">
                  <c:v>11.945396307041243</c:v>
                </c:pt>
                <c:pt idx="104">
                  <c:v>12.119740717446929</c:v>
                </c:pt>
                <c:pt idx="105">
                  <c:v>20.135138535034912</c:v>
                </c:pt>
                <c:pt idx="106">
                  <c:v>20.310087006852921</c:v>
                </c:pt>
                <c:pt idx="107">
                  <c:v>20.43151043100686</c:v>
                </c:pt>
                <c:pt idx="108">
                  <c:v>20.538858530133659</c:v>
                </c:pt>
                <c:pt idx="109">
                  <c:v>20.675570788207196</c:v>
                </c:pt>
                <c:pt idx="110">
                  <c:v>20.837024846433497</c:v>
                </c:pt>
                <c:pt idx="111">
                  <c:v>20.995689566346329</c:v>
                </c:pt>
                <c:pt idx="112">
                  <c:v>21.192488999176497</c:v>
                </c:pt>
                <c:pt idx="113">
                  <c:v>21.370059664199012</c:v>
                </c:pt>
                <c:pt idx="114">
                  <c:v>21.498962553825301</c:v>
                </c:pt>
                <c:pt idx="115">
                  <c:v>21.622630400479459</c:v>
                </c:pt>
                <c:pt idx="116">
                  <c:v>21.835825997254428</c:v>
                </c:pt>
                <c:pt idx="117">
                  <c:v>22.017753472755974</c:v>
                </c:pt>
                <c:pt idx="118">
                  <c:v>22.168017696957985</c:v>
                </c:pt>
                <c:pt idx="119">
                  <c:v>22.364288827338985</c:v>
                </c:pt>
                <c:pt idx="120">
                  <c:v>22.56532767712801</c:v>
                </c:pt>
                <c:pt idx="121">
                  <c:v>22.72873461480857</c:v>
                </c:pt>
                <c:pt idx="122">
                  <c:v>23.044335834895648</c:v>
                </c:pt>
                <c:pt idx="123">
                  <c:v>23.175530218220388</c:v>
                </c:pt>
                <c:pt idx="124">
                  <c:v>23.349188815301908</c:v>
                </c:pt>
                <c:pt idx="125">
                  <c:v>23.490168065484276</c:v>
                </c:pt>
                <c:pt idx="126">
                  <c:v>23.706144112296492</c:v>
                </c:pt>
                <c:pt idx="127">
                  <c:v>23.841351040277882</c:v>
                </c:pt>
                <c:pt idx="128">
                  <c:v>23.998979195004758</c:v>
                </c:pt>
                <c:pt idx="129">
                  <c:v>24.119989371209648</c:v>
                </c:pt>
                <c:pt idx="130">
                  <c:v>24.294521130800252</c:v>
                </c:pt>
                <c:pt idx="131">
                  <c:v>24.441727914416816</c:v>
                </c:pt>
                <c:pt idx="132">
                  <c:v>24.607553588486947</c:v>
                </c:pt>
                <c:pt idx="133">
                  <c:v>24.816336036007876</c:v>
                </c:pt>
                <c:pt idx="134">
                  <c:v>24.947702255125044</c:v>
                </c:pt>
                <c:pt idx="135">
                  <c:v>25.092527562309385</c:v>
                </c:pt>
                <c:pt idx="136">
                  <c:v>25.186922218932008</c:v>
                </c:pt>
                <c:pt idx="137">
                  <c:v>25.325773466596257</c:v>
                </c:pt>
                <c:pt idx="138">
                  <c:v>25.51378585852526</c:v>
                </c:pt>
                <c:pt idx="139">
                  <c:v>25.687331601049852</c:v>
                </c:pt>
                <c:pt idx="140">
                  <c:v>25.859720350463917</c:v>
                </c:pt>
                <c:pt idx="141">
                  <c:v>26.023116844736006</c:v>
                </c:pt>
                <c:pt idx="142">
                  <c:v>26.153633468551586</c:v>
                </c:pt>
                <c:pt idx="143">
                  <c:v>26.227473031847225</c:v>
                </c:pt>
                <c:pt idx="144">
                  <c:v>26.39953429316656</c:v>
                </c:pt>
                <c:pt idx="145">
                  <c:v>26.560596571854926</c:v>
                </c:pt>
                <c:pt idx="146">
                  <c:v>26.680662100040443</c:v>
                </c:pt>
                <c:pt idx="147">
                  <c:v>26.844062008017477</c:v>
                </c:pt>
                <c:pt idx="148">
                  <c:v>27.000820401296867</c:v>
                </c:pt>
                <c:pt idx="149">
                  <c:v>27.115933655070151</c:v>
                </c:pt>
                <c:pt idx="150">
                  <c:v>27.218617621769088</c:v>
                </c:pt>
                <c:pt idx="151">
                  <c:v>27.431882731691488</c:v>
                </c:pt>
                <c:pt idx="152">
                  <c:v>27.596507805731207</c:v>
                </c:pt>
                <c:pt idx="153">
                  <c:v>27.777570615055993</c:v>
                </c:pt>
                <c:pt idx="154">
                  <c:v>27.974151659272913</c:v>
                </c:pt>
                <c:pt idx="155">
                  <c:v>28.163536992758821</c:v>
                </c:pt>
                <c:pt idx="156">
                  <c:v>28.287491413621733</c:v>
                </c:pt>
                <c:pt idx="157">
                  <c:v>28.481738077891368</c:v>
                </c:pt>
                <c:pt idx="158">
                  <c:v>28.627833270673221</c:v>
                </c:pt>
                <c:pt idx="159">
                  <c:v>28.921957469516872</c:v>
                </c:pt>
                <c:pt idx="160">
                  <c:v>29.083798920038078</c:v>
                </c:pt>
                <c:pt idx="161">
                  <c:v>29.273842466411477</c:v>
                </c:pt>
                <c:pt idx="162">
                  <c:v>29.44858745612785</c:v>
                </c:pt>
                <c:pt idx="163">
                  <c:v>29.593466118256195</c:v>
                </c:pt>
                <c:pt idx="164">
                  <c:v>29.753902879764478</c:v>
                </c:pt>
                <c:pt idx="165">
                  <c:v>29.983222757850115</c:v>
                </c:pt>
                <c:pt idx="166">
                  <c:v>30.166492729717771</c:v>
                </c:pt>
                <c:pt idx="167">
                  <c:v>30.35237829496036</c:v>
                </c:pt>
                <c:pt idx="168">
                  <c:v>30.492432001227709</c:v>
                </c:pt>
                <c:pt idx="169">
                  <c:v>30.758421253059847</c:v>
                </c:pt>
                <c:pt idx="170">
                  <c:v>30.910970017116895</c:v>
                </c:pt>
                <c:pt idx="171">
                  <c:v>31.037888343049662</c:v>
                </c:pt>
                <c:pt idx="172">
                  <c:v>31.265323451416442</c:v>
                </c:pt>
                <c:pt idx="173">
                  <c:v>31.454954938315851</c:v>
                </c:pt>
                <c:pt idx="174">
                  <c:v>31.620433223655731</c:v>
                </c:pt>
                <c:pt idx="175">
                  <c:v>31.776645525290164</c:v>
                </c:pt>
                <c:pt idx="176">
                  <c:v>32.004828576411185</c:v>
                </c:pt>
                <c:pt idx="177">
                  <c:v>32.157599180716481</c:v>
                </c:pt>
                <c:pt idx="178">
                  <c:v>32.258660297369566</c:v>
                </c:pt>
                <c:pt idx="179">
                  <c:v>32.373458428246046</c:v>
                </c:pt>
                <c:pt idx="180">
                  <c:v>32.570839695476316</c:v>
                </c:pt>
                <c:pt idx="181">
                  <c:v>32.787716088003691</c:v>
                </c:pt>
                <c:pt idx="182">
                  <c:v>38.655223597603324</c:v>
                </c:pt>
                <c:pt idx="183">
                  <c:v>38.924366076053097</c:v>
                </c:pt>
                <c:pt idx="184">
                  <c:v>39.096966133803477</c:v>
                </c:pt>
                <c:pt idx="185">
                  <c:v>39.264904474006158</c:v>
                </c:pt>
                <c:pt idx="186">
                  <c:v>39.415468320355835</c:v>
                </c:pt>
                <c:pt idx="187">
                  <c:v>39.598606270345442</c:v>
                </c:pt>
                <c:pt idx="188">
                  <c:v>39.873419089721693</c:v>
                </c:pt>
                <c:pt idx="189">
                  <c:v>40.040314189048736</c:v>
                </c:pt>
                <c:pt idx="190">
                  <c:v>40.184007107084881</c:v>
                </c:pt>
                <c:pt idx="191">
                  <c:v>40.294499279042711</c:v>
                </c:pt>
                <c:pt idx="192">
                  <c:v>40.457610248504224</c:v>
                </c:pt>
                <c:pt idx="193">
                  <c:v>40.870646219120893</c:v>
                </c:pt>
                <c:pt idx="194">
                  <c:v>41.079420499036651</c:v>
                </c:pt>
                <c:pt idx="195">
                  <c:v>41.306782263320443</c:v>
                </c:pt>
                <c:pt idx="196">
                  <c:v>41.604143539489954</c:v>
                </c:pt>
                <c:pt idx="197">
                  <c:v>41.772825713357577</c:v>
                </c:pt>
                <c:pt idx="198">
                  <c:v>41.951075060853924</c:v>
                </c:pt>
                <c:pt idx="199">
                  <c:v>42.139266343565581</c:v>
                </c:pt>
                <c:pt idx="200">
                  <c:v>42.314882574001587</c:v>
                </c:pt>
                <c:pt idx="201">
                  <c:v>42.451209740870219</c:v>
                </c:pt>
                <c:pt idx="202">
                  <c:v>42.618086557910765</c:v>
                </c:pt>
                <c:pt idx="203">
                  <c:v>42.789445569548775</c:v>
                </c:pt>
                <c:pt idx="204">
                  <c:v>42.93552626040627</c:v>
                </c:pt>
                <c:pt idx="205">
                  <c:v>43.293966177682982</c:v>
                </c:pt>
                <c:pt idx="206">
                  <c:v>43.447299272060341</c:v>
                </c:pt>
                <c:pt idx="207">
                  <c:v>43.589711203636213</c:v>
                </c:pt>
                <c:pt idx="208">
                  <c:v>43.771892317415443</c:v>
                </c:pt>
                <c:pt idx="209">
                  <c:v>43.931162299859004</c:v>
                </c:pt>
                <c:pt idx="210">
                  <c:v>44.105333420486822</c:v>
                </c:pt>
                <c:pt idx="211">
                  <c:v>44.276298642293987</c:v>
                </c:pt>
                <c:pt idx="212">
                  <c:v>44.397317403334654</c:v>
                </c:pt>
                <c:pt idx="213">
                  <c:v>44.490397252531309</c:v>
                </c:pt>
                <c:pt idx="214">
                  <c:v>44.797596674642342</c:v>
                </c:pt>
                <c:pt idx="215">
                  <c:v>44.923434651462351</c:v>
                </c:pt>
                <c:pt idx="216">
                  <c:v>45.133610459553118</c:v>
                </c:pt>
                <c:pt idx="217">
                  <c:v>45.320533070429029</c:v>
                </c:pt>
                <c:pt idx="218">
                  <c:v>45.460540198588859</c:v>
                </c:pt>
                <c:pt idx="219">
                  <c:v>45.590292986957174</c:v>
                </c:pt>
                <c:pt idx="220">
                  <c:v>45.747710263221698</c:v>
                </c:pt>
                <c:pt idx="221">
                  <c:v>45.862668408356797</c:v>
                </c:pt>
                <c:pt idx="222">
                  <c:v>46.025461169943704</c:v>
                </c:pt>
                <c:pt idx="223">
                  <c:v>46.154306797830316</c:v>
                </c:pt>
                <c:pt idx="224">
                  <c:v>46.264428987388484</c:v>
                </c:pt>
                <c:pt idx="225">
                  <c:v>46.442709601893483</c:v>
                </c:pt>
                <c:pt idx="226">
                  <c:v>46.553204264591592</c:v>
                </c:pt>
                <c:pt idx="227">
                  <c:v>46.71511775693056</c:v>
                </c:pt>
                <c:pt idx="228">
                  <c:v>46.810880689713322</c:v>
                </c:pt>
                <c:pt idx="229">
                  <c:v>46.930123047202223</c:v>
                </c:pt>
                <c:pt idx="230">
                  <c:v>47.039629872191675</c:v>
                </c:pt>
                <c:pt idx="231">
                  <c:v>47.165993964161018</c:v>
                </c:pt>
                <c:pt idx="232">
                  <c:v>47.255354202515669</c:v>
                </c:pt>
                <c:pt idx="233">
                  <c:v>47.333991007445462</c:v>
                </c:pt>
                <c:pt idx="234">
                  <c:v>47.486374168882449</c:v>
                </c:pt>
                <c:pt idx="235">
                  <c:v>47.6366139534857</c:v>
                </c:pt>
                <c:pt idx="236">
                  <c:v>47.76445047754617</c:v>
                </c:pt>
                <c:pt idx="237">
                  <c:v>47.974727318660065</c:v>
                </c:pt>
                <c:pt idx="238">
                  <c:v>48.175417161369829</c:v>
                </c:pt>
                <c:pt idx="239">
                  <c:v>48.307782913295938</c:v>
                </c:pt>
                <c:pt idx="240">
                  <c:v>48.451789260019765</c:v>
                </c:pt>
                <c:pt idx="241">
                  <c:v>48.55102334914104</c:v>
                </c:pt>
                <c:pt idx="242">
                  <c:v>48.630386173253285</c:v>
                </c:pt>
                <c:pt idx="243">
                  <c:v>48.752363565860264</c:v>
                </c:pt>
                <c:pt idx="244">
                  <c:v>48.84352219455522</c:v>
                </c:pt>
                <c:pt idx="245">
                  <c:v>48.982868454723715</c:v>
                </c:pt>
                <c:pt idx="246">
                  <c:v>49.137517696722313</c:v>
                </c:pt>
                <c:pt idx="247">
                  <c:v>49.2771112355626</c:v>
                </c:pt>
                <c:pt idx="248">
                  <c:v>49.384466566686548</c:v>
                </c:pt>
                <c:pt idx="249">
                  <c:v>49.478112496667137</c:v>
                </c:pt>
                <c:pt idx="250">
                  <c:v>49.565877864713173</c:v>
                </c:pt>
                <c:pt idx="251">
                  <c:v>49.658666878891559</c:v>
                </c:pt>
                <c:pt idx="252">
                  <c:v>49.774474063020776</c:v>
                </c:pt>
                <c:pt idx="253">
                  <c:v>49.907216435106179</c:v>
                </c:pt>
                <c:pt idx="254">
                  <c:v>49.988539117802794</c:v>
                </c:pt>
                <c:pt idx="255">
                  <c:v>50.084251881766164</c:v>
                </c:pt>
                <c:pt idx="256">
                  <c:v>50.171154783578622</c:v>
                </c:pt>
                <c:pt idx="257">
                  <c:v>50.285832676180796</c:v>
                </c:pt>
                <c:pt idx="258">
                  <c:v>50.44341234365406</c:v>
                </c:pt>
                <c:pt idx="259">
                  <c:v>50.655043894611765</c:v>
                </c:pt>
                <c:pt idx="260">
                  <c:v>50.753994494502088</c:v>
                </c:pt>
                <c:pt idx="261">
                  <c:v>50.858511481681525</c:v>
                </c:pt>
                <c:pt idx="262">
                  <c:v>50.963248109166024</c:v>
                </c:pt>
                <c:pt idx="263">
                  <c:v>51.035106573046498</c:v>
                </c:pt>
                <c:pt idx="264">
                  <c:v>51.111234974936735</c:v>
                </c:pt>
                <c:pt idx="265">
                  <c:v>51.206654463714976</c:v>
                </c:pt>
                <c:pt idx="266">
                  <c:v>51.299952107287353</c:v>
                </c:pt>
                <c:pt idx="267">
                  <c:v>52.985188091511489</c:v>
                </c:pt>
                <c:pt idx="268">
                  <c:v>53.102226864526045</c:v>
                </c:pt>
                <c:pt idx="269">
                  <c:v>53.181397661413257</c:v>
                </c:pt>
                <c:pt idx="270">
                  <c:v>53.271799572867927</c:v>
                </c:pt>
                <c:pt idx="271">
                  <c:v>53.367495824614032</c:v>
                </c:pt>
                <c:pt idx="272">
                  <c:v>53.520204919013494</c:v>
                </c:pt>
                <c:pt idx="273">
                  <c:v>53.596809153443516</c:v>
                </c:pt>
                <c:pt idx="274">
                  <c:v>53.713820857042151</c:v>
                </c:pt>
                <c:pt idx="275">
                  <c:v>53.797781423342691</c:v>
                </c:pt>
                <c:pt idx="276">
                  <c:v>53.920146309391392</c:v>
                </c:pt>
                <c:pt idx="277">
                  <c:v>54.052829358870788</c:v>
                </c:pt>
                <c:pt idx="278">
                  <c:v>54.173519203117991</c:v>
                </c:pt>
                <c:pt idx="279">
                  <c:v>54.30674241451041</c:v>
                </c:pt>
                <c:pt idx="280">
                  <c:v>54.614715344232735</c:v>
                </c:pt>
                <c:pt idx="281">
                  <c:v>54.692578553047774</c:v>
                </c:pt>
                <c:pt idx="282">
                  <c:v>54.80288422292525</c:v>
                </c:pt>
                <c:pt idx="283">
                  <c:v>54.89731746705715</c:v>
                </c:pt>
                <c:pt idx="284">
                  <c:v>54.997545867283115</c:v>
                </c:pt>
                <c:pt idx="285">
                  <c:v>55.072041013649098</c:v>
                </c:pt>
                <c:pt idx="286">
                  <c:v>55.187410004496442</c:v>
                </c:pt>
                <c:pt idx="287">
                  <c:v>55.322767615942922</c:v>
                </c:pt>
                <c:pt idx="288">
                  <c:v>55.38257924149346</c:v>
                </c:pt>
                <c:pt idx="289">
                  <c:v>55.523808248444539</c:v>
                </c:pt>
                <c:pt idx="290">
                  <c:v>55.59843864074324</c:v>
                </c:pt>
                <c:pt idx="291">
                  <c:v>55.651069449431013</c:v>
                </c:pt>
                <c:pt idx="292">
                  <c:v>55.74856782130616</c:v>
                </c:pt>
                <c:pt idx="293">
                  <c:v>55.841415715573241</c:v>
                </c:pt>
                <c:pt idx="294">
                  <c:v>55.898427243318025</c:v>
                </c:pt>
                <c:pt idx="295">
                  <c:v>55.996502531329483</c:v>
                </c:pt>
                <c:pt idx="296">
                  <c:v>56.163384898801404</c:v>
                </c:pt>
                <c:pt idx="297">
                  <c:v>56.238806575263837</c:v>
                </c:pt>
                <c:pt idx="298">
                  <c:v>56.356833868728032</c:v>
                </c:pt>
                <c:pt idx="299">
                  <c:v>56.432138467754079</c:v>
                </c:pt>
                <c:pt idx="300">
                  <c:v>56.500429407669671</c:v>
                </c:pt>
                <c:pt idx="301">
                  <c:v>56.608424479744336</c:v>
                </c:pt>
                <c:pt idx="302">
                  <c:v>56.685482762219216</c:v>
                </c:pt>
                <c:pt idx="303">
                  <c:v>56.73274569688229</c:v>
                </c:pt>
                <c:pt idx="304">
                  <c:v>56.766621648512725</c:v>
                </c:pt>
                <c:pt idx="305">
                  <c:v>56.846658628778911</c:v>
                </c:pt>
                <c:pt idx="306">
                  <c:v>57.402029014582411</c:v>
                </c:pt>
                <c:pt idx="307">
                  <c:v>57.482372419119457</c:v>
                </c:pt>
                <c:pt idx="308">
                  <c:v>57.556602459687802</c:v>
                </c:pt>
                <c:pt idx="309">
                  <c:v>57.643169566723486</c:v>
                </c:pt>
                <c:pt idx="310">
                  <c:v>57.701253465626138</c:v>
                </c:pt>
                <c:pt idx="311">
                  <c:v>57.784500074501707</c:v>
                </c:pt>
                <c:pt idx="312">
                  <c:v>57.898066780856425</c:v>
                </c:pt>
                <c:pt idx="313">
                  <c:v>58.059121751687535</c:v>
                </c:pt>
                <c:pt idx="314">
                  <c:v>58.179550637156453</c:v>
                </c:pt>
                <c:pt idx="315">
                  <c:v>58.305104758088312</c:v>
                </c:pt>
                <c:pt idx="316">
                  <c:v>58.485769617919544</c:v>
                </c:pt>
                <c:pt idx="317">
                  <c:v>58.541971933227963</c:v>
                </c:pt>
                <c:pt idx="318">
                  <c:v>58.654268109174232</c:v>
                </c:pt>
                <c:pt idx="319">
                  <c:v>58.931766705170496</c:v>
                </c:pt>
                <c:pt idx="320">
                  <c:v>59.052294423719346</c:v>
                </c:pt>
                <c:pt idx="321">
                  <c:v>59.180619031727346</c:v>
                </c:pt>
                <c:pt idx="322">
                  <c:v>59.285410569288111</c:v>
                </c:pt>
                <c:pt idx="323">
                  <c:v>59.380742515499442</c:v>
                </c:pt>
                <c:pt idx="324">
                  <c:v>59.499413696933686</c:v>
                </c:pt>
                <c:pt idx="325">
                  <c:v>59.597329843077787</c:v>
                </c:pt>
                <c:pt idx="326">
                  <c:v>59.71145254082181</c:v>
                </c:pt>
                <c:pt idx="327">
                  <c:v>59.773166940223952</c:v>
                </c:pt>
                <c:pt idx="328">
                  <c:v>59.916762555025713</c:v>
                </c:pt>
                <c:pt idx="329">
                  <c:v>60.003466501056423</c:v>
                </c:pt>
                <c:pt idx="330">
                  <c:v>60.121577923382574</c:v>
                </c:pt>
                <c:pt idx="331">
                  <c:v>60.204777182906163</c:v>
                </c:pt>
                <c:pt idx="332">
                  <c:v>60.280064877771046</c:v>
                </c:pt>
                <c:pt idx="333">
                  <c:v>60.337341448096716</c:v>
                </c:pt>
                <c:pt idx="334">
                  <c:v>60.400982314991502</c:v>
                </c:pt>
                <c:pt idx="335">
                  <c:v>60.469195422434275</c:v>
                </c:pt>
                <c:pt idx="336">
                  <c:v>60.515877243368301</c:v>
                </c:pt>
                <c:pt idx="337">
                  <c:v>60.62344766319071</c:v>
                </c:pt>
                <c:pt idx="338">
                  <c:v>60.680997291982209</c:v>
                </c:pt>
                <c:pt idx="339">
                  <c:v>60.732980862211726</c:v>
                </c:pt>
                <c:pt idx="340">
                  <c:v>60.794545488470099</c:v>
                </c:pt>
                <c:pt idx="341">
                  <c:v>60.857337430160932</c:v>
                </c:pt>
                <c:pt idx="342">
                  <c:v>60.927343428086047</c:v>
                </c:pt>
                <c:pt idx="343">
                  <c:v>60.974367163179046</c:v>
                </c:pt>
                <c:pt idx="344">
                  <c:v>61.04814007072472</c:v>
                </c:pt>
                <c:pt idx="345">
                  <c:v>61.09464125609356</c:v>
                </c:pt>
                <c:pt idx="346">
                  <c:v>61.163993036430305</c:v>
                </c:pt>
                <c:pt idx="347">
                  <c:v>61.241756539774151</c:v>
                </c:pt>
                <c:pt idx="348">
                  <c:v>61.300286875423971</c:v>
                </c:pt>
                <c:pt idx="349">
                  <c:v>61.363633847609378</c:v>
                </c:pt>
                <c:pt idx="350">
                  <c:v>61.412691088810192</c:v>
                </c:pt>
                <c:pt idx="351">
                  <c:v>61.474012065038686</c:v>
                </c:pt>
                <c:pt idx="352">
                  <c:v>61.514641639965951</c:v>
                </c:pt>
                <c:pt idx="353">
                  <c:v>61.602716441400538</c:v>
                </c:pt>
                <c:pt idx="354">
                  <c:v>61.644032183665807</c:v>
                </c:pt>
                <c:pt idx="355">
                  <c:v>61.716335352154275</c:v>
                </c:pt>
                <c:pt idx="356">
                  <c:v>61.76674282745239</c:v>
                </c:pt>
                <c:pt idx="357">
                  <c:v>61.806307541372682</c:v>
                </c:pt>
                <c:pt idx="358">
                  <c:v>61.955606483605408</c:v>
                </c:pt>
                <c:pt idx="359">
                  <c:v>62.068028941348075</c:v>
                </c:pt>
                <c:pt idx="360">
                  <c:v>62.123329912116546</c:v>
                </c:pt>
                <c:pt idx="361">
                  <c:v>62.22930313525363</c:v>
                </c:pt>
                <c:pt idx="362">
                  <c:v>62.28621197369624</c:v>
                </c:pt>
                <c:pt idx="363">
                  <c:v>62.319001153391277</c:v>
                </c:pt>
                <c:pt idx="364">
                  <c:v>62.516425193080217</c:v>
                </c:pt>
                <c:pt idx="365">
                  <c:v>62.574496119904069</c:v>
                </c:pt>
                <c:pt idx="366">
                  <c:v>62.612609402340333</c:v>
                </c:pt>
                <c:pt idx="367">
                  <c:v>62.654277160802565</c:v>
                </c:pt>
                <c:pt idx="368">
                  <c:v>62.956934168032177</c:v>
                </c:pt>
                <c:pt idx="369">
                  <c:v>62.979274085383132</c:v>
                </c:pt>
                <c:pt idx="370">
                  <c:v>63.003742321335999</c:v>
                </c:pt>
                <c:pt idx="371">
                  <c:v>63.022406993365919</c:v>
                </c:pt>
                <c:pt idx="372">
                  <c:v>63.058323278514059</c:v>
                </c:pt>
                <c:pt idx="373">
                  <c:v>63.11152982750643</c:v>
                </c:pt>
                <c:pt idx="374">
                  <c:v>63.208610387182574</c:v>
                </c:pt>
                <c:pt idx="375">
                  <c:v>63.227656799929221</c:v>
                </c:pt>
                <c:pt idx="376">
                  <c:v>63.262474390461335</c:v>
                </c:pt>
                <c:pt idx="377">
                  <c:v>63.296220128213008</c:v>
                </c:pt>
                <c:pt idx="378">
                  <c:v>63.337246021641448</c:v>
                </c:pt>
                <c:pt idx="379">
                  <c:v>63.360400044405871</c:v>
                </c:pt>
                <c:pt idx="380">
                  <c:v>63.382413093186329</c:v>
                </c:pt>
                <c:pt idx="381">
                  <c:v>63.424345021838171</c:v>
                </c:pt>
                <c:pt idx="382">
                  <c:v>63.479674339001072</c:v>
                </c:pt>
                <c:pt idx="383">
                  <c:v>63.535372917892595</c:v>
                </c:pt>
                <c:pt idx="384">
                  <c:v>63.552069639593093</c:v>
                </c:pt>
                <c:pt idx="385">
                  <c:v>63.601140396536813</c:v>
                </c:pt>
                <c:pt idx="386">
                  <c:v>63.650985938070349</c:v>
                </c:pt>
                <c:pt idx="387">
                  <c:v>63.670342504876601</c:v>
                </c:pt>
                <c:pt idx="388">
                  <c:v>63.695562324868973</c:v>
                </c:pt>
                <c:pt idx="389">
                  <c:v>63.739456514341995</c:v>
                </c:pt>
                <c:pt idx="390">
                  <c:v>63.777608219923962</c:v>
                </c:pt>
                <c:pt idx="391">
                  <c:v>63.835082544912972</c:v>
                </c:pt>
                <c:pt idx="392">
                  <c:v>63.897228449263963</c:v>
                </c:pt>
                <c:pt idx="393">
                  <c:v>63.930707500799059</c:v>
                </c:pt>
                <c:pt idx="394">
                  <c:v>63.97671976775915</c:v>
                </c:pt>
                <c:pt idx="395">
                  <c:v>64.016367523213148</c:v>
                </c:pt>
                <c:pt idx="396">
                  <c:v>64.036913070809618</c:v>
                </c:pt>
                <c:pt idx="397">
                  <c:v>64.070287789406805</c:v>
                </c:pt>
                <c:pt idx="398">
                  <c:v>64.111036679643689</c:v>
                </c:pt>
                <c:pt idx="399">
                  <c:v>64.231374924924538</c:v>
                </c:pt>
                <c:pt idx="400">
                  <c:v>64.256672400382826</c:v>
                </c:pt>
                <c:pt idx="401">
                  <c:v>64.26942697560871</c:v>
                </c:pt>
                <c:pt idx="402">
                  <c:v>64.282895887560116</c:v>
                </c:pt>
                <c:pt idx="403">
                  <c:v>64.315162896831552</c:v>
                </c:pt>
                <c:pt idx="404">
                  <c:v>64.348874358456868</c:v>
                </c:pt>
                <c:pt idx="405">
                  <c:v>64.370024814570229</c:v>
                </c:pt>
                <c:pt idx="406">
                  <c:v>64.408503805953302</c:v>
                </c:pt>
                <c:pt idx="407">
                  <c:v>64.42686162383842</c:v>
                </c:pt>
                <c:pt idx="408">
                  <c:v>64.466162572156335</c:v>
                </c:pt>
                <c:pt idx="409">
                  <c:v>64.505843061247788</c:v>
                </c:pt>
                <c:pt idx="410">
                  <c:v>64.53689075832834</c:v>
                </c:pt>
                <c:pt idx="411">
                  <c:v>64.56823562474635</c:v>
                </c:pt>
                <c:pt idx="412">
                  <c:v>64.580941636858512</c:v>
                </c:pt>
                <c:pt idx="413">
                  <c:v>64.595362820770347</c:v>
                </c:pt>
                <c:pt idx="414">
                  <c:v>64.601924126045049</c:v>
                </c:pt>
                <c:pt idx="415">
                  <c:v>64.605571897362921</c:v>
                </c:pt>
                <c:pt idx="416">
                  <c:v>64.617533418355862</c:v>
                </c:pt>
                <c:pt idx="417">
                  <c:v>64.658770594833911</c:v>
                </c:pt>
                <c:pt idx="418">
                  <c:v>64.680893703990577</c:v>
                </c:pt>
                <c:pt idx="419">
                  <c:v>64.690402996355402</c:v>
                </c:pt>
                <c:pt idx="420">
                  <c:v>64.704881087993058</c:v>
                </c:pt>
                <c:pt idx="421">
                  <c:v>64.718137705426727</c:v>
                </c:pt>
                <c:pt idx="422">
                  <c:v>64.74018178099216</c:v>
                </c:pt>
                <c:pt idx="423">
                  <c:v>64.763529550477443</c:v>
                </c:pt>
                <c:pt idx="424">
                  <c:v>64.777752094691337</c:v>
                </c:pt>
                <c:pt idx="425">
                  <c:v>64.910325551598532</c:v>
                </c:pt>
                <c:pt idx="426">
                  <c:v>64.955904846980985</c:v>
                </c:pt>
                <c:pt idx="427">
                  <c:v>64.974303945409275</c:v>
                </c:pt>
                <c:pt idx="428">
                  <c:v>64.994017674256597</c:v>
                </c:pt>
                <c:pt idx="429">
                  <c:v>65.011346601470208</c:v>
                </c:pt>
                <c:pt idx="430">
                  <c:v>65.051530485608055</c:v>
                </c:pt>
                <c:pt idx="431">
                  <c:v>65.056155625939397</c:v>
                </c:pt>
                <c:pt idx="432">
                  <c:v>65.064973415471812</c:v>
                </c:pt>
                <c:pt idx="433">
                  <c:v>65.072328622084015</c:v>
                </c:pt>
                <c:pt idx="434">
                  <c:v>65.094708315419297</c:v>
                </c:pt>
                <c:pt idx="435">
                  <c:v>65.115749950204915</c:v>
                </c:pt>
                <c:pt idx="436">
                  <c:v>65.125957117651396</c:v>
                </c:pt>
                <c:pt idx="437">
                  <c:v>65.210145403358695</c:v>
                </c:pt>
                <c:pt idx="438">
                  <c:v>65.217890050488791</c:v>
                </c:pt>
                <c:pt idx="439">
                  <c:v>65.230554769414425</c:v>
                </c:pt>
                <c:pt idx="440">
                  <c:v>65.240548112497592</c:v>
                </c:pt>
                <c:pt idx="441">
                  <c:v>65.265814422094024</c:v>
                </c:pt>
                <c:pt idx="442">
                  <c:v>65.277211847309246</c:v>
                </c:pt>
                <c:pt idx="443">
                  <c:v>65.287173354432937</c:v>
                </c:pt>
                <c:pt idx="444">
                  <c:v>65.308185947439782</c:v>
                </c:pt>
                <c:pt idx="445">
                  <c:v>65.326020583433149</c:v>
                </c:pt>
                <c:pt idx="446">
                  <c:v>65.333258004581296</c:v>
                </c:pt>
                <c:pt idx="447">
                  <c:v>65.345984890867044</c:v>
                </c:pt>
                <c:pt idx="448">
                  <c:v>65.354419346620432</c:v>
                </c:pt>
                <c:pt idx="449">
                  <c:v>65.369581355079518</c:v>
                </c:pt>
                <c:pt idx="450">
                  <c:v>65.377370886108011</c:v>
                </c:pt>
                <c:pt idx="451">
                  <c:v>65.444799827594053</c:v>
                </c:pt>
                <c:pt idx="452">
                  <c:v>65.449319838456319</c:v>
                </c:pt>
                <c:pt idx="453">
                  <c:v>65.46395053534853</c:v>
                </c:pt>
                <c:pt idx="454">
                  <c:v>65.472118861192811</c:v>
                </c:pt>
                <c:pt idx="455">
                  <c:v>65.4934747338406</c:v>
                </c:pt>
                <c:pt idx="456">
                  <c:v>65.504002991845866</c:v>
                </c:pt>
                <c:pt idx="457">
                  <c:v>65.511372118788273</c:v>
                </c:pt>
                <c:pt idx="458">
                  <c:v>65.537311446636977</c:v>
                </c:pt>
                <c:pt idx="459">
                  <c:v>65.564811280164506</c:v>
                </c:pt>
                <c:pt idx="460">
                  <c:v>65.573662915949299</c:v>
                </c:pt>
                <c:pt idx="461">
                  <c:v>65.597250795325991</c:v>
                </c:pt>
                <c:pt idx="462">
                  <c:v>65.601940758121302</c:v>
                </c:pt>
                <c:pt idx="463">
                  <c:v>65.628187888366213</c:v>
                </c:pt>
                <c:pt idx="464">
                  <c:v>65.637601457915608</c:v>
                </c:pt>
                <c:pt idx="465">
                  <c:v>65.731219850676268</c:v>
                </c:pt>
                <c:pt idx="466">
                  <c:v>65.735492279426325</c:v>
                </c:pt>
                <c:pt idx="467">
                  <c:v>65.745287880489499</c:v>
                </c:pt>
                <c:pt idx="468">
                  <c:v>65.774836468006924</c:v>
                </c:pt>
                <c:pt idx="469">
                  <c:v>65.782072915616993</c:v>
                </c:pt>
                <c:pt idx="470">
                  <c:v>65.79326041062123</c:v>
                </c:pt>
                <c:pt idx="471">
                  <c:v>65.799056464393274</c:v>
                </c:pt>
                <c:pt idx="472">
                  <c:v>65.808688827143172</c:v>
                </c:pt>
                <c:pt idx="473">
                  <c:v>65.818295587105936</c:v>
                </c:pt>
                <c:pt idx="474">
                  <c:v>65.824914925364766</c:v>
                </c:pt>
                <c:pt idx="475">
                  <c:v>65.836658538191827</c:v>
                </c:pt>
                <c:pt idx="476">
                  <c:v>65.8683403499316</c:v>
                </c:pt>
                <c:pt idx="477">
                  <c:v>65.879356451660712</c:v>
                </c:pt>
                <c:pt idx="478">
                  <c:v>65.911544010110291</c:v>
                </c:pt>
                <c:pt idx="479">
                  <c:v>66.02347972410071</c:v>
                </c:pt>
                <c:pt idx="480">
                  <c:v>66.036207988511791</c:v>
                </c:pt>
                <c:pt idx="481">
                  <c:v>66.04568607708471</c:v>
                </c:pt>
                <c:pt idx="482">
                  <c:v>66.052175846275716</c:v>
                </c:pt>
                <c:pt idx="483">
                  <c:v>66.082265076153519</c:v>
                </c:pt>
                <c:pt idx="484">
                  <c:v>66.0912960958117</c:v>
                </c:pt>
                <c:pt idx="485">
                  <c:v>66.09757596007843</c:v>
                </c:pt>
                <c:pt idx="486">
                  <c:v>66.330463754072838</c:v>
                </c:pt>
                <c:pt idx="487">
                  <c:v>66.353487221588011</c:v>
                </c:pt>
                <c:pt idx="488">
                  <c:v>66.362132454656944</c:v>
                </c:pt>
                <c:pt idx="489">
                  <c:v>66.397088262309424</c:v>
                </c:pt>
                <c:pt idx="490">
                  <c:v>66.404469210785621</c:v>
                </c:pt>
                <c:pt idx="491">
                  <c:v>66.410062515770434</c:v>
                </c:pt>
                <c:pt idx="492">
                  <c:v>66.4194256889201</c:v>
                </c:pt>
                <c:pt idx="493">
                  <c:v>66.47032553426196</c:v>
                </c:pt>
                <c:pt idx="494">
                  <c:v>66.475369156889954</c:v>
                </c:pt>
                <c:pt idx="495">
                  <c:v>66.484169599743865</c:v>
                </c:pt>
                <c:pt idx="496">
                  <c:v>66.50925950929792</c:v>
                </c:pt>
                <c:pt idx="497">
                  <c:v>66.544862732415581</c:v>
                </c:pt>
                <c:pt idx="498">
                  <c:v>66.577139881655029</c:v>
                </c:pt>
                <c:pt idx="499">
                  <c:v>66.578788296557931</c:v>
                </c:pt>
                <c:pt idx="500">
                  <c:v>66.747458497171536</c:v>
                </c:pt>
                <c:pt idx="501">
                  <c:v>66.755640351402079</c:v>
                </c:pt>
                <c:pt idx="502">
                  <c:v>66.766129958681304</c:v>
                </c:pt>
                <c:pt idx="503">
                  <c:v>66.772503472253788</c:v>
                </c:pt>
                <c:pt idx="504">
                  <c:v>66.779686033899068</c:v>
                </c:pt>
                <c:pt idx="505">
                  <c:v>66.787497096555441</c:v>
                </c:pt>
                <c:pt idx="506">
                  <c:v>66.792247368138163</c:v>
                </c:pt>
                <c:pt idx="507">
                  <c:v>66.861286048514373</c:v>
                </c:pt>
                <c:pt idx="508">
                  <c:v>66.867004965197935</c:v>
                </c:pt>
                <c:pt idx="509">
                  <c:v>66.877907175615292</c:v>
                </c:pt>
                <c:pt idx="510">
                  <c:v>66.912949413219721</c:v>
                </c:pt>
                <c:pt idx="511">
                  <c:v>66.916837193282177</c:v>
                </c:pt>
                <c:pt idx="512">
                  <c:v>66.927152663678982</c:v>
                </c:pt>
                <c:pt idx="513">
                  <c:v>66.930103166796073</c:v>
                </c:pt>
                <c:pt idx="514">
                  <c:v>66.935649236219078</c:v>
                </c:pt>
                <c:pt idx="515">
                  <c:v>66.938006690283132</c:v>
                </c:pt>
              </c:numCache>
            </c:numRef>
          </c:val>
          <c:smooth val="0"/>
          <c:extLst>
            <c:ext xmlns:c16="http://schemas.microsoft.com/office/drawing/2014/chart" uri="{C3380CC4-5D6E-409C-BE32-E72D297353CC}">
              <c16:uniqueId val="{00000000-BE8B-4B6F-B75B-09617859FFF2}"/>
            </c:ext>
          </c:extLst>
        </c:ser>
        <c:ser>
          <c:idx val="1"/>
          <c:order val="1"/>
          <c:tx>
            <c:strRef>
              <c:f>Hoja5!$AF$3</c:f>
              <c:strCache>
                <c:ptCount val="1"/>
                <c:pt idx="0">
                  <c:v>Guatemala</c:v>
                </c:pt>
              </c:strCache>
            </c:strRef>
          </c:tx>
          <c:spPr>
            <a:ln w="19050" cap="rnd">
              <a:solidFill>
                <a:srgbClr val="C00000"/>
              </a:solidFill>
              <a:round/>
            </a:ln>
            <a:effectLst/>
          </c:spPr>
          <c:marker>
            <c:symbol val="none"/>
          </c:marker>
          <c:cat>
            <c:numRef>
              <c:f>Hoja5!$AA$4:$AA$519</c:f>
              <c:numCache>
                <c:formatCode>mm/dd/yyyy</c:formatCode>
                <c:ptCount val="516"/>
                <c:pt idx="0">
                  <c:v>44252</c:v>
                </c:pt>
                <c:pt idx="1">
                  <c:v>44253</c:v>
                </c:pt>
                <c:pt idx="2">
                  <c:v>44254</c:v>
                </c:pt>
                <c:pt idx="3">
                  <c:v>44255</c:v>
                </c:pt>
                <c:pt idx="4">
                  <c:v>44256</c:v>
                </c:pt>
                <c:pt idx="5">
                  <c:v>44257</c:v>
                </c:pt>
                <c:pt idx="6">
                  <c:v>44258</c:v>
                </c:pt>
                <c:pt idx="7">
                  <c:v>44259</c:v>
                </c:pt>
                <c:pt idx="8">
                  <c:v>44260</c:v>
                </c:pt>
                <c:pt idx="9">
                  <c:v>44261</c:v>
                </c:pt>
                <c:pt idx="10">
                  <c:v>44262</c:v>
                </c:pt>
                <c:pt idx="11">
                  <c:v>44263</c:v>
                </c:pt>
                <c:pt idx="12">
                  <c:v>44264</c:v>
                </c:pt>
                <c:pt idx="13">
                  <c:v>44265</c:v>
                </c:pt>
                <c:pt idx="14">
                  <c:v>44266</c:v>
                </c:pt>
                <c:pt idx="15">
                  <c:v>44267</c:v>
                </c:pt>
                <c:pt idx="16">
                  <c:v>44268</c:v>
                </c:pt>
                <c:pt idx="17">
                  <c:v>44269</c:v>
                </c:pt>
                <c:pt idx="18">
                  <c:v>44270</c:v>
                </c:pt>
                <c:pt idx="19">
                  <c:v>44271</c:v>
                </c:pt>
                <c:pt idx="20">
                  <c:v>44272</c:v>
                </c:pt>
                <c:pt idx="21">
                  <c:v>44273</c:v>
                </c:pt>
                <c:pt idx="22">
                  <c:v>44274</c:v>
                </c:pt>
                <c:pt idx="23">
                  <c:v>44275</c:v>
                </c:pt>
                <c:pt idx="24">
                  <c:v>44276</c:v>
                </c:pt>
                <c:pt idx="25">
                  <c:v>44277</c:v>
                </c:pt>
                <c:pt idx="26">
                  <c:v>44278</c:v>
                </c:pt>
                <c:pt idx="27">
                  <c:v>44279</c:v>
                </c:pt>
                <c:pt idx="28">
                  <c:v>44280</c:v>
                </c:pt>
                <c:pt idx="29">
                  <c:v>44281</c:v>
                </c:pt>
                <c:pt idx="30">
                  <c:v>44282</c:v>
                </c:pt>
                <c:pt idx="31">
                  <c:v>44283</c:v>
                </c:pt>
                <c:pt idx="32">
                  <c:v>44284</c:v>
                </c:pt>
                <c:pt idx="33">
                  <c:v>44285</c:v>
                </c:pt>
                <c:pt idx="34">
                  <c:v>44286</c:v>
                </c:pt>
                <c:pt idx="35">
                  <c:v>44287</c:v>
                </c:pt>
                <c:pt idx="36">
                  <c:v>44288</c:v>
                </c:pt>
                <c:pt idx="37">
                  <c:v>44289</c:v>
                </c:pt>
                <c:pt idx="38">
                  <c:v>44290</c:v>
                </c:pt>
                <c:pt idx="39">
                  <c:v>44291</c:v>
                </c:pt>
                <c:pt idx="40">
                  <c:v>44292</c:v>
                </c:pt>
                <c:pt idx="41">
                  <c:v>44293</c:v>
                </c:pt>
                <c:pt idx="42">
                  <c:v>44294</c:v>
                </c:pt>
                <c:pt idx="43">
                  <c:v>44295</c:v>
                </c:pt>
                <c:pt idx="44">
                  <c:v>44296</c:v>
                </c:pt>
                <c:pt idx="45">
                  <c:v>44297</c:v>
                </c:pt>
                <c:pt idx="46">
                  <c:v>44298</c:v>
                </c:pt>
                <c:pt idx="47">
                  <c:v>44299</c:v>
                </c:pt>
                <c:pt idx="48">
                  <c:v>44300</c:v>
                </c:pt>
                <c:pt idx="49">
                  <c:v>44301</c:v>
                </c:pt>
                <c:pt idx="50">
                  <c:v>44302</c:v>
                </c:pt>
                <c:pt idx="51">
                  <c:v>44303</c:v>
                </c:pt>
                <c:pt idx="52">
                  <c:v>44304</c:v>
                </c:pt>
                <c:pt idx="53">
                  <c:v>44305</c:v>
                </c:pt>
                <c:pt idx="54">
                  <c:v>44306</c:v>
                </c:pt>
                <c:pt idx="55">
                  <c:v>44307</c:v>
                </c:pt>
                <c:pt idx="56">
                  <c:v>44308</c:v>
                </c:pt>
                <c:pt idx="57">
                  <c:v>44309</c:v>
                </c:pt>
                <c:pt idx="58">
                  <c:v>44310</c:v>
                </c:pt>
                <c:pt idx="59">
                  <c:v>44311</c:v>
                </c:pt>
                <c:pt idx="60">
                  <c:v>44312</c:v>
                </c:pt>
                <c:pt idx="61">
                  <c:v>44313</c:v>
                </c:pt>
                <c:pt idx="62">
                  <c:v>44314</c:v>
                </c:pt>
                <c:pt idx="63">
                  <c:v>44315</c:v>
                </c:pt>
                <c:pt idx="64">
                  <c:v>44316</c:v>
                </c:pt>
                <c:pt idx="65">
                  <c:v>44317</c:v>
                </c:pt>
                <c:pt idx="66">
                  <c:v>44318</c:v>
                </c:pt>
                <c:pt idx="67">
                  <c:v>44319</c:v>
                </c:pt>
                <c:pt idx="68">
                  <c:v>44320</c:v>
                </c:pt>
                <c:pt idx="69">
                  <c:v>44321</c:v>
                </c:pt>
                <c:pt idx="70">
                  <c:v>44322</c:v>
                </c:pt>
                <c:pt idx="71">
                  <c:v>44323</c:v>
                </c:pt>
                <c:pt idx="72">
                  <c:v>44324</c:v>
                </c:pt>
                <c:pt idx="73">
                  <c:v>44325</c:v>
                </c:pt>
                <c:pt idx="74">
                  <c:v>44326</c:v>
                </c:pt>
                <c:pt idx="75">
                  <c:v>44327</c:v>
                </c:pt>
                <c:pt idx="76">
                  <c:v>44328</c:v>
                </c:pt>
                <c:pt idx="77">
                  <c:v>44329</c:v>
                </c:pt>
                <c:pt idx="78">
                  <c:v>44330</c:v>
                </c:pt>
                <c:pt idx="79">
                  <c:v>44331</c:v>
                </c:pt>
                <c:pt idx="80">
                  <c:v>44332</c:v>
                </c:pt>
                <c:pt idx="81">
                  <c:v>44333</c:v>
                </c:pt>
                <c:pt idx="82">
                  <c:v>44334</c:v>
                </c:pt>
                <c:pt idx="83">
                  <c:v>44335</c:v>
                </c:pt>
                <c:pt idx="84">
                  <c:v>44336</c:v>
                </c:pt>
                <c:pt idx="85">
                  <c:v>44337</c:v>
                </c:pt>
                <c:pt idx="86">
                  <c:v>44338</c:v>
                </c:pt>
                <c:pt idx="87">
                  <c:v>44339</c:v>
                </c:pt>
                <c:pt idx="88">
                  <c:v>44340</c:v>
                </c:pt>
                <c:pt idx="89">
                  <c:v>44341</c:v>
                </c:pt>
                <c:pt idx="90">
                  <c:v>44342</c:v>
                </c:pt>
                <c:pt idx="91">
                  <c:v>44343</c:v>
                </c:pt>
                <c:pt idx="92">
                  <c:v>44344</c:v>
                </c:pt>
                <c:pt idx="93">
                  <c:v>44345</c:v>
                </c:pt>
                <c:pt idx="94">
                  <c:v>44346</c:v>
                </c:pt>
                <c:pt idx="95">
                  <c:v>44347</c:v>
                </c:pt>
                <c:pt idx="96">
                  <c:v>44348</c:v>
                </c:pt>
                <c:pt idx="97">
                  <c:v>44349</c:v>
                </c:pt>
                <c:pt idx="98">
                  <c:v>44350</c:v>
                </c:pt>
                <c:pt idx="99">
                  <c:v>44351</c:v>
                </c:pt>
                <c:pt idx="100">
                  <c:v>44352</c:v>
                </c:pt>
                <c:pt idx="101">
                  <c:v>44353</c:v>
                </c:pt>
                <c:pt idx="102">
                  <c:v>44354</c:v>
                </c:pt>
                <c:pt idx="103">
                  <c:v>44355</c:v>
                </c:pt>
                <c:pt idx="104">
                  <c:v>44356</c:v>
                </c:pt>
                <c:pt idx="105">
                  <c:v>44357</c:v>
                </c:pt>
                <c:pt idx="106">
                  <c:v>44358</c:v>
                </c:pt>
                <c:pt idx="107">
                  <c:v>44359</c:v>
                </c:pt>
                <c:pt idx="108">
                  <c:v>44360</c:v>
                </c:pt>
                <c:pt idx="109">
                  <c:v>44361</c:v>
                </c:pt>
                <c:pt idx="110">
                  <c:v>44362</c:v>
                </c:pt>
                <c:pt idx="111">
                  <c:v>44363</c:v>
                </c:pt>
                <c:pt idx="112">
                  <c:v>44364</c:v>
                </c:pt>
                <c:pt idx="113">
                  <c:v>44365</c:v>
                </c:pt>
                <c:pt idx="114">
                  <c:v>44366</c:v>
                </c:pt>
                <c:pt idx="115">
                  <c:v>44367</c:v>
                </c:pt>
                <c:pt idx="116">
                  <c:v>44368</c:v>
                </c:pt>
                <c:pt idx="117">
                  <c:v>44369</c:v>
                </c:pt>
                <c:pt idx="118">
                  <c:v>44370</c:v>
                </c:pt>
                <c:pt idx="119">
                  <c:v>44371</c:v>
                </c:pt>
                <c:pt idx="120">
                  <c:v>44372</c:v>
                </c:pt>
                <c:pt idx="121">
                  <c:v>44373</c:v>
                </c:pt>
                <c:pt idx="122">
                  <c:v>44374</c:v>
                </c:pt>
                <c:pt idx="123">
                  <c:v>44375</c:v>
                </c:pt>
                <c:pt idx="124">
                  <c:v>44376</c:v>
                </c:pt>
                <c:pt idx="125">
                  <c:v>44377</c:v>
                </c:pt>
                <c:pt idx="126">
                  <c:v>44378</c:v>
                </c:pt>
                <c:pt idx="127">
                  <c:v>44379</c:v>
                </c:pt>
                <c:pt idx="128">
                  <c:v>44380</c:v>
                </c:pt>
                <c:pt idx="129">
                  <c:v>44381</c:v>
                </c:pt>
                <c:pt idx="130">
                  <c:v>44382</c:v>
                </c:pt>
                <c:pt idx="131">
                  <c:v>44383</c:v>
                </c:pt>
                <c:pt idx="132">
                  <c:v>44384</c:v>
                </c:pt>
                <c:pt idx="133">
                  <c:v>44385</c:v>
                </c:pt>
                <c:pt idx="134">
                  <c:v>44386</c:v>
                </c:pt>
                <c:pt idx="135">
                  <c:v>44387</c:v>
                </c:pt>
                <c:pt idx="136">
                  <c:v>44388</c:v>
                </c:pt>
                <c:pt idx="137">
                  <c:v>44389</c:v>
                </c:pt>
                <c:pt idx="138">
                  <c:v>44390</c:v>
                </c:pt>
                <c:pt idx="139">
                  <c:v>44391</c:v>
                </c:pt>
                <c:pt idx="140">
                  <c:v>44392</c:v>
                </c:pt>
                <c:pt idx="141">
                  <c:v>44393</c:v>
                </c:pt>
                <c:pt idx="142">
                  <c:v>44394</c:v>
                </c:pt>
                <c:pt idx="143">
                  <c:v>44395</c:v>
                </c:pt>
                <c:pt idx="144">
                  <c:v>44396</c:v>
                </c:pt>
                <c:pt idx="145">
                  <c:v>44397</c:v>
                </c:pt>
                <c:pt idx="146">
                  <c:v>44398</c:v>
                </c:pt>
                <c:pt idx="147">
                  <c:v>44399</c:v>
                </c:pt>
                <c:pt idx="148">
                  <c:v>44400</c:v>
                </c:pt>
                <c:pt idx="149">
                  <c:v>44401</c:v>
                </c:pt>
                <c:pt idx="150">
                  <c:v>44402</c:v>
                </c:pt>
                <c:pt idx="151">
                  <c:v>44403</c:v>
                </c:pt>
                <c:pt idx="152">
                  <c:v>44404</c:v>
                </c:pt>
                <c:pt idx="153">
                  <c:v>44405</c:v>
                </c:pt>
                <c:pt idx="154">
                  <c:v>44406</c:v>
                </c:pt>
                <c:pt idx="155">
                  <c:v>44407</c:v>
                </c:pt>
                <c:pt idx="156">
                  <c:v>44408</c:v>
                </c:pt>
                <c:pt idx="157">
                  <c:v>44409</c:v>
                </c:pt>
                <c:pt idx="158">
                  <c:v>44410</c:v>
                </c:pt>
                <c:pt idx="159">
                  <c:v>44411</c:v>
                </c:pt>
                <c:pt idx="160">
                  <c:v>44412</c:v>
                </c:pt>
                <c:pt idx="161">
                  <c:v>44413</c:v>
                </c:pt>
                <c:pt idx="162">
                  <c:v>44414</c:v>
                </c:pt>
                <c:pt idx="163">
                  <c:v>44415</c:v>
                </c:pt>
                <c:pt idx="164">
                  <c:v>44416</c:v>
                </c:pt>
                <c:pt idx="165">
                  <c:v>44417</c:v>
                </c:pt>
                <c:pt idx="166">
                  <c:v>44418</c:v>
                </c:pt>
                <c:pt idx="167">
                  <c:v>44419</c:v>
                </c:pt>
                <c:pt idx="168">
                  <c:v>44420</c:v>
                </c:pt>
                <c:pt idx="169">
                  <c:v>44421</c:v>
                </c:pt>
                <c:pt idx="170">
                  <c:v>44422</c:v>
                </c:pt>
                <c:pt idx="171">
                  <c:v>44423</c:v>
                </c:pt>
                <c:pt idx="172">
                  <c:v>44424</c:v>
                </c:pt>
                <c:pt idx="173">
                  <c:v>44425</c:v>
                </c:pt>
                <c:pt idx="174">
                  <c:v>44426</c:v>
                </c:pt>
                <c:pt idx="175">
                  <c:v>44427</c:v>
                </c:pt>
                <c:pt idx="176">
                  <c:v>44428</c:v>
                </c:pt>
                <c:pt idx="177">
                  <c:v>44429</c:v>
                </c:pt>
                <c:pt idx="178">
                  <c:v>44430</c:v>
                </c:pt>
                <c:pt idx="179">
                  <c:v>44431</c:v>
                </c:pt>
                <c:pt idx="180">
                  <c:v>44432</c:v>
                </c:pt>
                <c:pt idx="181">
                  <c:v>44433</c:v>
                </c:pt>
                <c:pt idx="182">
                  <c:v>44434</c:v>
                </c:pt>
                <c:pt idx="183">
                  <c:v>44435</c:v>
                </c:pt>
                <c:pt idx="184">
                  <c:v>44436</c:v>
                </c:pt>
                <c:pt idx="185">
                  <c:v>44437</c:v>
                </c:pt>
                <c:pt idx="186">
                  <c:v>44438</c:v>
                </c:pt>
                <c:pt idx="187">
                  <c:v>44439</c:v>
                </c:pt>
                <c:pt idx="188">
                  <c:v>44440</c:v>
                </c:pt>
                <c:pt idx="189">
                  <c:v>44441</c:v>
                </c:pt>
                <c:pt idx="190">
                  <c:v>44442</c:v>
                </c:pt>
                <c:pt idx="191">
                  <c:v>44443</c:v>
                </c:pt>
                <c:pt idx="192">
                  <c:v>44444</c:v>
                </c:pt>
                <c:pt idx="193">
                  <c:v>44445</c:v>
                </c:pt>
                <c:pt idx="194">
                  <c:v>44446</c:v>
                </c:pt>
                <c:pt idx="195">
                  <c:v>44447</c:v>
                </c:pt>
                <c:pt idx="196">
                  <c:v>44448</c:v>
                </c:pt>
                <c:pt idx="197">
                  <c:v>44449</c:v>
                </c:pt>
                <c:pt idx="198">
                  <c:v>44450</c:v>
                </c:pt>
                <c:pt idx="199">
                  <c:v>44451</c:v>
                </c:pt>
                <c:pt idx="200">
                  <c:v>44452</c:v>
                </c:pt>
                <c:pt idx="201">
                  <c:v>44453</c:v>
                </c:pt>
                <c:pt idx="202">
                  <c:v>44454</c:v>
                </c:pt>
                <c:pt idx="203">
                  <c:v>44455</c:v>
                </c:pt>
                <c:pt idx="204">
                  <c:v>44456</c:v>
                </c:pt>
                <c:pt idx="205">
                  <c:v>44457</c:v>
                </c:pt>
                <c:pt idx="206">
                  <c:v>44458</c:v>
                </c:pt>
                <c:pt idx="207">
                  <c:v>44459</c:v>
                </c:pt>
                <c:pt idx="208">
                  <c:v>44460</c:v>
                </c:pt>
                <c:pt idx="209">
                  <c:v>44461</c:v>
                </c:pt>
                <c:pt idx="210">
                  <c:v>44462</c:v>
                </c:pt>
                <c:pt idx="211">
                  <c:v>44463</c:v>
                </c:pt>
                <c:pt idx="212">
                  <c:v>44464</c:v>
                </c:pt>
                <c:pt idx="213">
                  <c:v>44465</c:v>
                </c:pt>
                <c:pt idx="214">
                  <c:v>44466</c:v>
                </c:pt>
                <c:pt idx="215">
                  <c:v>44467</c:v>
                </c:pt>
                <c:pt idx="216">
                  <c:v>44468</c:v>
                </c:pt>
                <c:pt idx="217">
                  <c:v>44469</c:v>
                </c:pt>
                <c:pt idx="218">
                  <c:v>44470</c:v>
                </c:pt>
                <c:pt idx="219">
                  <c:v>44471</c:v>
                </c:pt>
                <c:pt idx="220">
                  <c:v>44472</c:v>
                </c:pt>
                <c:pt idx="221">
                  <c:v>44473</c:v>
                </c:pt>
                <c:pt idx="222">
                  <c:v>44474</c:v>
                </c:pt>
                <c:pt idx="223">
                  <c:v>44475</c:v>
                </c:pt>
                <c:pt idx="224">
                  <c:v>44476</c:v>
                </c:pt>
                <c:pt idx="225">
                  <c:v>44477</c:v>
                </c:pt>
                <c:pt idx="226">
                  <c:v>44478</c:v>
                </c:pt>
                <c:pt idx="227">
                  <c:v>44479</c:v>
                </c:pt>
                <c:pt idx="228">
                  <c:v>44480</c:v>
                </c:pt>
                <c:pt idx="229">
                  <c:v>44481</c:v>
                </c:pt>
                <c:pt idx="230">
                  <c:v>44482</c:v>
                </c:pt>
                <c:pt idx="231">
                  <c:v>44483</c:v>
                </c:pt>
                <c:pt idx="232">
                  <c:v>44484</c:v>
                </c:pt>
                <c:pt idx="233">
                  <c:v>44485</c:v>
                </c:pt>
                <c:pt idx="234">
                  <c:v>44486</c:v>
                </c:pt>
                <c:pt idx="235">
                  <c:v>44487</c:v>
                </c:pt>
                <c:pt idx="236">
                  <c:v>44488</c:v>
                </c:pt>
                <c:pt idx="237">
                  <c:v>44489</c:v>
                </c:pt>
                <c:pt idx="238">
                  <c:v>44490</c:v>
                </c:pt>
                <c:pt idx="239">
                  <c:v>44491</c:v>
                </c:pt>
                <c:pt idx="240">
                  <c:v>44492</c:v>
                </c:pt>
                <c:pt idx="241">
                  <c:v>44493</c:v>
                </c:pt>
                <c:pt idx="242">
                  <c:v>44494</c:v>
                </c:pt>
                <c:pt idx="243">
                  <c:v>44495</c:v>
                </c:pt>
                <c:pt idx="244">
                  <c:v>44496</c:v>
                </c:pt>
                <c:pt idx="245">
                  <c:v>44497</c:v>
                </c:pt>
                <c:pt idx="246">
                  <c:v>44498</c:v>
                </c:pt>
                <c:pt idx="247">
                  <c:v>44499</c:v>
                </c:pt>
                <c:pt idx="248">
                  <c:v>44500</c:v>
                </c:pt>
                <c:pt idx="249">
                  <c:v>44501</c:v>
                </c:pt>
                <c:pt idx="250">
                  <c:v>44502</c:v>
                </c:pt>
                <c:pt idx="251">
                  <c:v>44503</c:v>
                </c:pt>
                <c:pt idx="252">
                  <c:v>44504</c:v>
                </c:pt>
                <c:pt idx="253">
                  <c:v>44505</c:v>
                </c:pt>
                <c:pt idx="254">
                  <c:v>44506</c:v>
                </c:pt>
                <c:pt idx="255">
                  <c:v>44507</c:v>
                </c:pt>
                <c:pt idx="256">
                  <c:v>44508</c:v>
                </c:pt>
                <c:pt idx="257">
                  <c:v>44509</c:v>
                </c:pt>
                <c:pt idx="258">
                  <c:v>44510</c:v>
                </c:pt>
                <c:pt idx="259">
                  <c:v>44511</c:v>
                </c:pt>
                <c:pt idx="260">
                  <c:v>44512</c:v>
                </c:pt>
                <c:pt idx="261">
                  <c:v>44513</c:v>
                </c:pt>
                <c:pt idx="262">
                  <c:v>44514</c:v>
                </c:pt>
                <c:pt idx="263">
                  <c:v>44515</c:v>
                </c:pt>
                <c:pt idx="264">
                  <c:v>44516</c:v>
                </c:pt>
                <c:pt idx="265">
                  <c:v>44517</c:v>
                </c:pt>
                <c:pt idx="266">
                  <c:v>44518</c:v>
                </c:pt>
                <c:pt idx="267">
                  <c:v>44519</c:v>
                </c:pt>
                <c:pt idx="268">
                  <c:v>44520</c:v>
                </c:pt>
                <c:pt idx="269">
                  <c:v>44521</c:v>
                </c:pt>
                <c:pt idx="270">
                  <c:v>44522</c:v>
                </c:pt>
                <c:pt idx="271">
                  <c:v>44523</c:v>
                </c:pt>
                <c:pt idx="272">
                  <c:v>44524</c:v>
                </c:pt>
                <c:pt idx="273">
                  <c:v>44525</c:v>
                </c:pt>
                <c:pt idx="274">
                  <c:v>44526</c:v>
                </c:pt>
                <c:pt idx="275">
                  <c:v>44527</c:v>
                </c:pt>
                <c:pt idx="276">
                  <c:v>44528</c:v>
                </c:pt>
                <c:pt idx="277">
                  <c:v>44529</c:v>
                </c:pt>
                <c:pt idx="278">
                  <c:v>44530</c:v>
                </c:pt>
                <c:pt idx="279">
                  <c:v>44531</c:v>
                </c:pt>
                <c:pt idx="280">
                  <c:v>44532</c:v>
                </c:pt>
                <c:pt idx="281">
                  <c:v>44533</c:v>
                </c:pt>
                <c:pt idx="282">
                  <c:v>44534</c:v>
                </c:pt>
                <c:pt idx="283">
                  <c:v>44535</c:v>
                </c:pt>
                <c:pt idx="284">
                  <c:v>44536</c:v>
                </c:pt>
                <c:pt idx="285">
                  <c:v>44537</c:v>
                </c:pt>
                <c:pt idx="286">
                  <c:v>44538</c:v>
                </c:pt>
                <c:pt idx="287">
                  <c:v>44539</c:v>
                </c:pt>
                <c:pt idx="288">
                  <c:v>44540</c:v>
                </c:pt>
                <c:pt idx="289">
                  <c:v>44541</c:v>
                </c:pt>
                <c:pt idx="290">
                  <c:v>44542</c:v>
                </c:pt>
                <c:pt idx="291">
                  <c:v>44543</c:v>
                </c:pt>
                <c:pt idx="292">
                  <c:v>44544</c:v>
                </c:pt>
                <c:pt idx="293">
                  <c:v>44545</c:v>
                </c:pt>
                <c:pt idx="294">
                  <c:v>44546</c:v>
                </c:pt>
                <c:pt idx="295">
                  <c:v>44547</c:v>
                </c:pt>
                <c:pt idx="296">
                  <c:v>44548</c:v>
                </c:pt>
                <c:pt idx="297">
                  <c:v>44549</c:v>
                </c:pt>
                <c:pt idx="298">
                  <c:v>44550</c:v>
                </c:pt>
                <c:pt idx="299">
                  <c:v>44551</c:v>
                </c:pt>
                <c:pt idx="300">
                  <c:v>44552</c:v>
                </c:pt>
                <c:pt idx="301">
                  <c:v>44553</c:v>
                </c:pt>
                <c:pt idx="302">
                  <c:v>44554</c:v>
                </c:pt>
                <c:pt idx="303">
                  <c:v>44555</c:v>
                </c:pt>
                <c:pt idx="304">
                  <c:v>44556</c:v>
                </c:pt>
                <c:pt idx="305">
                  <c:v>44557</c:v>
                </c:pt>
                <c:pt idx="306">
                  <c:v>44558</c:v>
                </c:pt>
                <c:pt idx="307">
                  <c:v>44559</c:v>
                </c:pt>
                <c:pt idx="308">
                  <c:v>44560</c:v>
                </c:pt>
                <c:pt idx="309">
                  <c:v>44561</c:v>
                </c:pt>
                <c:pt idx="310">
                  <c:v>44562</c:v>
                </c:pt>
                <c:pt idx="311">
                  <c:v>44563</c:v>
                </c:pt>
                <c:pt idx="312">
                  <c:v>44564</c:v>
                </c:pt>
                <c:pt idx="313">
                  <c:v>44565</c:v>
                </c:pt>
                <c:pt idx="314">
                  <c:v>44566</c:v>
                </c:pt>
                <c:pt idx="315">
                  <c:v>44567</c:v>
                </c:pt>
                <c:pt idx="316">
                  <c:v>44568</c:v>
                </c:pt>
                <c:pt idx="317">
                  <c:v>44569</c:v>
                </c:pt>
                <c:pt idx="318">
                  <c:v>44570</c:v>
                </c:pt>
                <c:pt idx="319">
                  <c:v>44571</c:v>
                </c:pt>
                <c:pt idx="320">
                  <c:v>44572</c:v>
                </c:pt>
                <c:pt idx="321">
                  <c:v>44573</c:v>
                </c:pt>
                <c:pt idx="322">
                  <c:v>44574</c:v>
                </c:pt>
                <c:pt idx="323">
                  <c:v>44575</c:v>
                </c:pt>
                <c:pt idx="324">
                  <c:v>44576</c:v>
                </c:pt>
                <c:pt idx="325">
                  <c:v>44577</c:v>
                </c:pt>
                <c:pt idx="326">
                  <c:v>44578</c:v>
                </c:pt>
                <c:pt idx="327">
                  <c:v>44579</c:v>
                </c:pt>
                <c:pt idx="328">
                  <c:v>44580</c:v>
                </c:pt>
                <c:pt idx="329">
                  <c:v>44581</c:v>
                </c:pt>
                <c:pt idx="330">
                  <c:v>44582</c:v>
                </c:pt>
                <c:pt idx="331">
                  <c:v>44583</c:v>
                </c:pt>
                <c:pt idx="332">
                  <c:v>44584</c:v>
                </c:pt>
                <c:pt idx="333">
                  <c:v>44585</c:v>
                </c:pt>
                <c:pt idx="334">
                  <c:v>44586</c:v>
                </c:pt>
                <c:pt idx="335">
                  <c:v>44587</c:v>
                </c:pt>
                <c:pt idx="336">
                  <c:v>44588</c:v>
                </c:pt>
                <c:pt idx="337">
                  <c:v>44589</c:v>
                </c:pt>
                <c:pt idx="338">
                  <c:v>44590</c:v>
                </c:pt>
                <c:pt idx="339">
                  <c:v>44591</c:v>
                </c:pt>
                <c:pt idx="340">
                  <c:v>44592</c:v>
                </c:pt>
                <c:pt idx="341">
                  <c:v>44593</c:v>
                </c:pt>
                <c:pt idx="342">
                  <c:v>44594</c:v>
                </c:pt>
                <c:pt idx="343">
                  <c:v>44595</c:v>
                </c:pt>
                <c:pt idx="344">
                  <c:v>44596</c:v>
                </c:pt>
                <c:pt idx="345">
                  <c:v>44597</c:v>
                </c:pt>
                <c:pt idx="346">
                  <c:v>44598</c:v>
                </c:pt>
                <c:pt idx="347">
                  <c:v>44599</c:v>
                </c:pt>
                <c:pt idx="348">
                  <c:v>44600</c:v>
                </c:pt>
                <c:pt idx="349">
                  <c:v>44601</c:v>
                </c:pt>
                <c:pt idx="350">
                  <c:v>44602</c:v>
                </c:pt>
                <c:pt idx="351">
                  <c:v>44603</c:v>
                </c:pt>
                <c:pt idx="352">
                  <c:v>44604</c:v>
                </c:pt>
                <c:pt idx="353">
                  <c:v>44605</c:v>
                </c:pt>
                <c:pt idx="354">
                  <c:v>44606</c:v>
                </c:pt>
                <c:pt idx="355">
                  <c:v>44607</c:v>
                </c:pt>
                <c:pt idx="356">
                  <c:v>44608</c:v>
                </c:pt>
                <c:pt idx="357">
                  <c:v>44609</c:v>
                </c:pt>
                <c:pt idx="358">
                  <c:v>44610</c:v>
                </c:pt>
                <c:pt idx="359">
                  <c:v>44611</c:v>
                </c:pt>
                <c:pt idx="360">
                  <c:v>44612</c:v>
                </c:pt>
                <c:pt idx="361">
                  <c:v>44613</c:v>
                </c:pt>
                <c:pt idx="362">
                  <c:v>44614</c:v>
                </c:pt>
                <c:pt idx="363">
                  <c:v>44615</c:v>
                </c:pt>
                <c:pt idx="364">
                  <c:v>44616</c:v>
                </c:pt>
                <c:pt idx="365">
                  <c:v>44617</c:v>
                </c:pt>
                <c:pt idx="366">
                  <c:v>44618</c:v>
                </c:pt>
                <c:pt idx="367">
                  <c:v>44619</c:v>
                </c:pt>
                <c:pt idx="368">
                  <c:v>44620</c:v>
                </c:pt>
                <c:pt idx="369">
                  <c:v>44621</c:v>
                </c:pt>
                <c:pt idx="370">
                  <c:v>44622</c:v>
                </c:pt>
                <c:pt idx="371">
                  <c:v>44623</c:v>
                </c:pt>
                <c:pt idx="372">
                  <c:v>44624</c:v>
                </c:pt>
                <c:pt idx="373">
                  <c:v>44625</c:v>
                </c:pt>
                <c:pt idx="374">
                  <c:v>44626</c:v>
                </c:pt>
                <c:pt idx="375">
                  <c:v>44627</c:v>
                </c:pt>
                <c:pt idx="376">
                  <c:v>44628</c:v>
                </c:pt>
                <c:pt idx="377">
                  <c:v>44629</c:v>
                </c:pt>
                <c:pt idx="378">
                  <c:v>44630</c:v>
                </c:pt>
                <c:pt idx="379">
                  <c:v>44631</c:v>
                </c:pt>
                <c:pt idx="380">
                  <c:v>44632</c:v>
                </c:pt>
                <c:pt idx="381">
                  <c:v>44633</c:v>
                </c:pt>
                <c:pt idx="382">
                  <c:v>44634</c:v>
                </c:pt>
                <c:pt idx="383">
                  <c:v>44635</c:v>
                </c:pt>
                <c:pt idx="384">
                  <c:v>44636</c:v>
                </c:pt>
                <c:pt idx="385">
                  <c:v>44637</c:v>
                </c:pt>
                <c:pt idx="386">
                  <c:v>44638</c:v>
                </c:pt>
                <c:pt idx="387">
                  <c:v>44639</c:v>
                </c:pt>
                <c:pt idx="388">
                  <c:v>44640</c:v>
                </c:pt>
                <c:pt idx="389">
                  <c:v>44641</c:v>
                </c:pt>
                <c:pt idx="390">
                  <c:v>44642</c:v>
                </c:pt>
                <c:pt idx="391">
                  <c:v>44643</c:v>
                </c:pt>
                <c:pt idx="392">
                  <c:v>44644</c:v>
                </c:pt>
                <c:pt idx="393">
                  <c:v>44645</c:v>
                </c:pt>
                <c:pt idx="394">
                  <c:v>44646</c:v>
                </c:pt>
                <c:pt idx="395">
                  <c:v>44647</c:v>
                </c:pt>
                <c:pt idx="396">
                  <c:v>44648</c:v>
                </c:pt>
                <c:pt idx="397">
                  <c:v>44649</c:v>
                </c:pt>
                <c:pt idx="398">
                  <c:v>44650</c:v>
                </c:pt>
                <c:pt idx="399">
                  <c:v>44651</c:v>
                </c:pt>
                <c:pt idx="400">
                  <c:v>44652</c:v>
                </c:pt>
                <c:pt idx="401">
                  <c:v>44653</c:v>
                </c:pt>
                <c:pt idx="402">
                  <c:v>44654</c:v>
                </c:pt>
                <c:pt idx="403">
                  <c:v>44655</c:v>
                </c:pt>
                <c:pt idx="404">
                  <c:v>44656</c:v>
                </c:pt>
                <c:pt idx="405">
                  <c:v>44657</c:v>
                </c:pt>
                <c:pt idx="406">
                  <c:v>44658</c:v>
                </c:pt>
                <c:pt idx="407">
                  <c:v>44659</c:v>
                </c:pt>
                <c:pt idx="408">
                  <c:v>44660</c:v>
                </c:pt>
                <c:pt idx="409">
                  <c:v>44661</c:v>
                </c:pt>
                <c:pt idx="410">
                  <c:v>44662</c:v>
                </c:pt>
                <c:pt idx="411">
                  <c:v>44663</c:v>
                </c:pt>
                <c:pt idx="412">
                  <c:v>44664</c:v>
                </c:pt>
                <c:pt idx="413">
                  <c:v>44665</c:v>
                </c:pt>
                <c:pt idx="414">
                  <c:v>44666</c:v>
                </c:pt>
                <c:pt idx="415">
                  <c:v>44667</c:v>
                </c:pt>
                <c:pt idx="416">
                  <c:v>44668</c:v>
                </c:pt>
                <c:pt idx="417">
                  <c:v>44669</c:v>
                </c:pt>
                <c:pt idx="418">
                  <c:v>44670</c:v>
                </c:pt>
                <c:pt idx="419">
                  <c:v>44671</c:v>
                </c:pt>
                <c:pt idx="420">
                  <c:v>44672</c:v>
                </c:pt>
                <c:pt idx="421">
                  <c:v>44673</c:v>
                </c:pt>
                <c:pt idx="422">
                  <c:v>44674</c:v>
                </c:pt>
                <c:pt idx="423">
                  <c:v>44675</c:v>
                </c:pt>
                <c:pt idx="424">
                  <c:v>44676</c:v>
                </c:pt>
                <c:pt idx="425">
                  <c:v>44677</c:v>
                </c:pt>
                <c:pt idx="426">
                  <c:v>44678</c:v>
                </c:pt>
                <c:pt idx="427">
                  <c:v>44679</c:v>
                </c:pt>
                <c:pt idx="428">
                  <c:v>44680</c:v>
                </c:pt>
                <c:pt idx="429">
                  <c:v>44681</c:v>
                </c:pt>
                <c:pt idx="430">
                  <c:v>44682</c:v>
                </c:pt>
                <c:pt idx="431">
                  <c:v>44683</c:v>
                </c:pt>
                <c:pt idx="432">
                  <c:v>44684</c:v>
                </c:pt>
                <c:pt idx="433">
                  <c:v>44685</c:v>
                </c:pt>
                <c:pt idx="434">
                  <c:v>44686</c:v>
                </c:pt>
                <c:pt idx="435">
                  <c:v>44687</c:v>
                </c:pt>
                <c:pt idx="436">
                  <c:v>44688</c:v>
                </c:pt>
                <c:pt idx="437">
                  <c:v>44689</c:v>
                </c:pt>
                <c:pt idx="438">
                  <c:v>44690</c:v>
                </c:pt>
                <c:pt idx="439">
                  <c:v>44691</c:v>
                </c:pt>
                <c:pt idx="440">
                  <c:v>44692</c:v>
                </c:pt>
                <c:pt idx="441">
                  <c:v>44693</c:v>
                </c:pt>
                <c:pt idx="442">
                  <c:v>44694</c:v>
                </c:pt>
                <c:pt idx="443">
                  <c:v>44695</c:v>
                </c:pt>
                <c:pt idx="444">
                  <c:v>44696</c:v>
                </c:pt>
                <c:pt idx="445">
                  <c:v>44697</c:v>
                </c:pt>
                <c:pt idx="446">
                  <c:v>44698</c:v>
                </c:pt>
                <c:pt idx="447">
                  <c:v>44699</c:v>
                </c:pt>
                <c:pt idx="448">
                  <c:v>44700</c:v>
                </c:pt>
                <c:pt idx="449">
                  <c:v>44701</c:v>
                </c:pt>
                <c:pt idx="450">
                  <c:v>44702</c:v>
                </c:pt>
                <c:pt idx="451">
                  <c:v>44703</c:v>
                </c:pt>
                <c:pt idx="452">
                  <c:v>44704</c:v>
                </c:pt>
                <c:pt idx="453">
                  <c:v>44705</c:v>
                </c:pt>
                <c:pt idx="454">
                  <c:v>44706</c:v>
                </c:pt>
                <c:pt idx="455">
                  <c:v>44707</c:v>
                </c:pt>
                <c:pt idx="456">
                  <c:v>44708</c:v>
                </c:pt>
                <c:pt idx="457">
                  <c:v>44709</c:v>
                </c:pt>
                <c:pt idx="458">
                  <c:v>44710</c:v>
                </c:pt>
                <c:pt idx="459">
                  <c:v>44711</c:v>
                </c:pt>
                <c:pt idx="460">
                  <c:v>44712</c:v>
                </c:pt>
                <c:pt idx="461">
                  <c:v>44713</c:v>
                </c:pt>
                <c:pt idx="462">
                  <c:v>44714</c:v>
                </c:pt>
                <c:pt idx="463">
                  <c:v>44715</c:v>
                </c:pt>
                <c:pt idx="464">
                  <c:v>44716</c:v>
                </c:pt>
                <c:pt idx="465">
                  <c:v>44717</c:v>
                </c:pt>
                <c:pt idx="466">
                  <c:v>44718</c:v>
                </c:pt>
                <c:pt idx="467">
                  <c:v>44719</c:v>
                </c:pt>
                <c:pt idx="468">
                  <c:v>44720</c:v>
                </c:pt>
                <c:pt idx="469">
                  <c:v>44721</c:v>
                </c:pt>
                <c:pt idx="470">
                  <c:v>44722</c:v>
                </c:pt>
                <c:pt idx="471">
                  <c:v>44723</c:v>
                </c:pt>
                <c:pt idx="472">
                  <c:v>44724</c:v>
                </c:pt>
                <c:pt idx="473">
                  <c:v>44725</c:v>
                </c:pt>
                <c:pt idx="474">
                  <c:v>44726</c:v>
                </c:pt>
                <c:pt idx="475">
                  <c:v>44727</c:v>
                </c:pt>
                <c:pt idx="476">
                  <c:v>44728</c:v>
                </c:pt>
                <c:pt idx="477">
                  <c:v>44729</c:v>
                </c:pt>
                <c:pt idx="478">
                  <c:v>44730</c:v>
                </c:pt>
                <c:pt idx="479">
                  <c:v>44731</c:v>
                </c:pt>
                <c:pt idx="480">
                  <c:v>44732</c:v>
                </c:pt>
                <c:pt idx="481">
                  <c:v>44733</c:v>
                </c:pt>
                <c:pt idx="482">
                  <c:v>44734</c:v>
                </c:pt>
                <c:pt idx="483">
                  <c:v>44735</c:v>
                </c:pt>
                <c:pt idx="484">
                  <c:v>44736</c:v>
                </c:pt>
                <c:pt idx="485">
                  <c:v>44737</c:v>
                </c:pt>
                <c:pt idx="486">
                  <c:v>44738</c:v>
                </c:pt>
                <c:pt idx="487">
                  <c:v>44739</c:v>
                </c:pt>
                <c:pt idx="488">
                  <c:v>44740</c:v>
                </c:pt>
                <c:pt idx="489">
                  <c:v>44741</c:v>
                </c:pt>
                <c:pt idx="490">
                  <c:v>44742</c:v>
                </c:pt>
                <c:pt idx="491">
                  <c:v>44743</c:v>
                </c:pt>
                <c:pt idx="492">
                  <c:v>44744</c:v>
                </c:pt>
                <c:pt idx="493">
                  <c:v>44745</c:v>
                </c:pt>
                <c:pt idx="494">
                  <c:v>44746</c:v>
                </c:pt>
                <c:pt idx="495">
                  <c:v>44747</c:v>
                </c:pt>
                <c:pt idx="496">
                  <c:v>44748</c:v>
                </c:pt>
                <c:pt idx="497">
                  <c:v>44749</c:v>
                </c:pt>
                <c:pt idx="498">
                  <c:v>44750</c:v>
                </c:pt>
                <c:pt idx="499">
                  <c:v>44751</c:v>
                </c:pt>
                <c:pt idx="500">
                  <c:v>44752</c:v>
                </c:pt>
                <c:pt idx="501">
                  <c:v>44753</c:v>
                </c:pt>
                <c:pt idx="502">
                  <c:v>44754</c:v>
                </c:pt>
                <c:pt idx="503">
                  <c:v>44755</c:v>
                </c:pt>
                <c:pt idx="504">
                  <c:v>44756</c:v>
                </c:pt>
                <c:pt idx="505">
                  <c:v>44757</c:v>
                </c:pt>
                <c:pt idx="506">
                  <c:v>44758</c:v>
                </c:pt>
                <c:pt idx="507">
                  <c:v>44759</c:v>
                </c:pt>
                <c:pt idx="508">
                  <c:v>44760</c:v>
                </c:pt>
                <c:pt idx="509">
                  <c:v>44761</c:v>
                </c:pt>
                <c:pt idx="510">
                  <c:v>44762</c:v>
                </c:pt>
                <c:pt idx="511">
                  <c:v>44763</c:v>
                </c:pt>
                <c:pt idx="512">
                  <c:v>44764</c:v>
                </c:pt>
                <c:pt idx="513">
                  <c:v>44765</c:v>
                </c:pt>
                <c:pt idx="514">
                  <c:v>44766</c:v>
                </c:pt>
                <c:pt idx="515">
                  <c:v>44767</c:v>
                </c:pt>
              </c:numCache>
            </c:numRef>
          </c:cat>
          <c:val>
            <c:numRef>
              <c:f>Hoja5!$AF$4:$AF$519</c:f>
              <c:numCache>
                <c:formatCode>_-* #,##0.0_-;\-* #,##0.0_-;_-* "-"??_-;_-@_-</c:formatCode>
                <c:ptCount val="516"/>
                <c:pt idx="0">
                  <c:v>2.8054186193062131E-3</c:v>
                </c:pt>
                <c:pt idx="1">
                  <c:v>1.1426236251549263E-2</c:v>
                </c:pt>
                <c:pt idx="2">
                  <c:v>1.455310908765098E-2</c:v>
                </c:pt>
                <c:pt idx="3">
                  <c:v>1.4558953709774535E-2</c:v>
                </c:pt>
                <c:pt idx="4">
                  <c:v>1.5090814323018006E-2</c:v>
                </c:pt>
                <c:pt idx="5">
                  <c:v>1.5184328276994879E-2</c:v>
                </c:pt>
                <c:pt idx="6">
                  <c:v>1.7872854453829998E-2</c:v>
                </c:pt>
                <c:pt idx="7">
                  <c:v>2.8387329654104745E-2</c:v>
                </c:pt>
                <c:pt idx="8">
                  <c:v>4.8533742113997483E-2</c:v>
                </c:pt>
                <c:pt idx="9">
                  <c:v>6.2145867039756178E-2</c:v>
                </c:pt>
                <c:pt idx="10">
                  <c:v>7.8785506225516153E-2</c:v>
                </c:pt>
                <c:pt idx="11">
                  <c:v>0.10536684764344251</c:v>
                </c:pt>
                <c:pt idx="12">
                  <c:v>0.16030629560485588</c:v>
                </c:pt>
                <c:pt idx="13">
                  <c:v>0.21307154413630686</c:v>
                </c:pt>
                <c:pt idx="14">
                  <c:v>0.26148254918570968</c:v>
                </c:pt>
                <c:pt idx="15">
                  <c:v>0.29603595518016457</c:v>
                </c:pt>
                <c:pt idx="16">
                  <c:v>0.30656211962468644</c:v>
                </c:pt>
                <c:pt idx="17">
                  <c:v>0.31338863826499824</c:v>
                </c:pt>
                <c:pt idx="18">
                  <c:v>0.34012193985813699</c:v>
                </c:pt>
                <c:pt idx="19">
                  <c:v>0.36383941643552159</c:v>
                </c:pt>
                <c:pt idx="20">
                  <c:v>0.39773238013001483</c:v>
                </c:pt>
                <c:pt idx="21">
                  <c:v>0.42647038711153284</c:v>
                </c:pt>
                <c:pt idx="22">
                  <c:v>0.46241481317139366</c:v>
                </c:pt>
                <c:pt idx="23">
                  <c:v>0.47937590657394907</c:v>
                </c:pt>
                <c:pt idx="24">
                  <c:v>0.48405160427279281</c:v>
                </c:pt>
                <c:pt idx="25">
                  <c:v>0.50816651515457911</c:v>
                </c:pt>
                <c:pt idx="26">
                  <c:v>0.53913716778729504</c:v>
                </c:pt>
                <c:pt idx="27">
                  <c:v>0.56984481242445095</c:v>
                </c:pt>
                <c:pt idx="28">
                  <c:v>0.6045618678383653</c:v>
                </c:pt>
                <c:pt idx="29">
                  <c:v>0.63037171913598256</c:v>
                </c:pt>
                <c:pt idx="30">
                  <c:v>0.64165183983444285</c:v>
                </c:pt>
                <c:pt idx="31">
                  <c:v>0.64877643420305597</c:v>
                </c:pt>
                <c:pt idx="32">
                  <c:v>0.6776897798482806</c:v>
                </c:pt>
                <c:pt idx="33">
                  <c:v>0.71293869587543846</c:v>
                </c:pt>
                <c:pt idx="34">
                  <c:v>0.73835111286865396</c:v>
                </c:pt>
                <c:pt idx="35">
                  <c:v>0.75691363273306334</c:v>
                </c:pt>
                <c:pt idx="36">
                  <c:v>0.77832248357164391</c:v>
                </c:pt>
                <c:pt idx="37">
                  <c:v>0.79154301881512434</c:v>
                </c:pt>
                <c:pt idx="38">
                  <c:v>0.80188799997381621</c:v>
                </c:pt>
                <c:pt idx="39">
                  <c:v>0.81862699773567649</c:v>
                </c:pt>
                <c:pt idx="40">
                  <c:v>0.83534846163116627</c:v>
                </c:pt>
                <c:pt idx="41">
                  <c:v>0.85484612103534452</c:v>
                </c:pt>
                <c:pt idx="42">
                  <c:v>0.87163187577419321</c:v>
                </c:pt>
                <c:pt idx="43">
                  <c:v>0.89315761905524493</c:v>
                </c:pt>
                <c:pt idx="44">
                  <c:v>0.89969775121150253</c:v>
                </c:pt>
                <c:pt idx="45">
                  <c:v>0.9022460064573723</c:v>
                </c:pt>
                <c:pt idx="46">
                  <c:v>0.91705043429633615</c:v>
                </c:pt>
                <c:pt idx="47">
                  <c:v>0.93402321694313872</c:v>
                </c:pt>
                <c:pt idx="48">
                  <c:v>0.95056349755279823</c:v>
                </c:pt>
                <c:pt idx="49">
                  <c:v>0.97054626059323146</c:v>
                </c:pt>
                <c:pt idx="50">
                  <c:v>0.9868702901843196</c:v>
                </c:pt>
                <c:pt idx="51">
                  <c:v>0.98867043379837427</c:v>
                </c:pt>
                <c:pt idx="52">
                  <c:v>0.98982766897883823</c:v>
                </c:pt>
                <c:pt idx="53">
                  <c:v>0.99759517178104229</c:v>
                </c:pt>
                <c:pt idx="54">
                  <c:v>1.0092785714060279</c:v>
                </c:pt>
                <c:pt idx="55">
                  <c:v>1.0195592617213605</c:v>
                </c:pt>
                <c:pt idx="56">
                  <c:v>1.0279638283350319</c:v>
                </c:pt>
                <c:pt idx="57">
                  <c:v>1.04032520412635</c:v>
                </c:pt>
                <c:pt idx="58">
                  <c:v>1.0403661164812148</c:v>
                </c:pt>
                <c:pt idx="59">
                  <c:v>1.0403719611033384</c:v>
                </c:pt>
                <c:pt idx="60">
                  <c:v>1.0470056072135727</c:v>
                </c:pt>
                <c:pt idx="61">
                  <c:v>1.0553984845829973</c:v>
                </c:pt>
                <c:pt idx="62">
                  <c:v>1.0614359792366292</c:v>
                </c:pt>
                <c:pt idx="63">
                  <c:v>1.0705360558830039</c:v>
                </c:pt>
                <c:pt idx="64">
                  <c:v>1.0742532355535845</c:v>
                </c:pt>
                <c:pt idx="65">
                  <c:v>1.0743175263969436</c:v>
                </c:pt>
                <c:pt idx="66">
                  <c:v>1.074364283373932</c:v>
                </c:pt>
                <c:pt idx="67">
                  <c:v>1.0775729809197636</c:v>
                </c:pt>
                <c:pt idx="68">
                  <c:v>1.1047212506836748</c:v>
                </c:pt>
                <c:pt idx="69">
                  <c:v>1.148965040158983</c:v>
                </c:pt>
                <c:pt idx="70">
                  <c:v>1.2150501825100151</c:v>
                </c:pt>
                <c:pt idx="71">
                  <c:v>1.3101714075708664</c:v>
                </c:pt>
                <c:pt idx="72">
                  <c:v>1.3306392742475546</c:v>
                </c:pt>
                <c:pt idx="73">
                  <c:v>1.3368053505879047</c:v>
                </c:pt>
                <c:pt idx="74">
                  <c:v>1.3948892052517905</c:v>
                </c:pt>
                <c:pt idx="75">
                  <c:v>1.4827338757688162</c:v>
                </c:pt>
                <c:pt idx="76">
                  <c:v>1.5536232975054101</c:v>
                </c:pt>
                <c:pt idx="77">
                  <c:v>1.6348869235113133</c:v>
                </c:pt>
                <c:pt idx="78">
                  <c:v>1.7170447767021206</c:v>
                </c:pt>
                <c:pt idx="79">
                  <c:v>1.7300607501712768</c:v>
                </c:pt>
                <c:pt idx="80">
                  <c:v>1.7475829272976935</c:v>
                </c:pt>
                <c:pt idx="81">
                  <c:v>1.8311259559317827</c:v>
                </c:pt>
                <c:pt idx="82">
                  <c:v>1.9228222324282314</c:v>
                </c:pt>
                <c:pt idx="83">
                  <c:v>2.018305824060743</c:v>
                </c:pt>
                <c:pt idx="84">
                  <c:v>2.104414641807073</c:v>
                </c:pt>
                <c:pt idx="85">
                  <c:v>2.1804765541230129</c:v>
                </c:pt>
                <c:pt idx="86">
                  <c:v>2.188138853726993</c:v>
                </c:pt>
                <c:pt idx="87">
                  <c:v>2.1922183999692342</c:v>
                </c:pt>
                <c:pt idx="88">
                  <c:v>2.2552234264611526</c:v>
                </c:pt>
                <c:pt idx="89">
                  <c:v>2.3261537605526112</c:v>
                </c:pt>
                <c:pt idx="90">
                  <c:v>2.392174612060284</c:v>
                </c:pt>
                <c:pt idx="91">
                  <c:v>2.4671903370161079</c:v>
                </c:pt>
                <c:pt idx="92">
                  <c:v>2.5791732969034138</c:v>
                </c:pt>
                <c:pt idx="93">
                  <c:v>2.5912132184779368</c:v>
                </c:pt>
                <c:pt idx="94">
                  <c:v>2.6006581278296008</c:v>
                </c:pt>
                <c:pt idx="95">
                  <c:v>2.6911679460349678</c:v>
                </c:pt>
                <c:pt idx="96">
                  <c:v>2.7755993572318371</c:v>
                </c:pt>
                <c:pt idx="97">
                  <c:v>2.8417371011819812</c:v>
                </c:pt>
                <c:pt idx="98">
                  <c:v>2.9050402034022014</c:v>
                </c:pt>
                <c:pt idx="99">
                  <c:v>2.9529661048153488</c:v>
                </c:pt>
                <c:pt idx="100">
                  <c:v>2.9562975394257753</c:v>
                </c:pt>
                <c:pt idx="101">
                  <c:v>2.9604004641565105</c:v>
                </c:pt>
                <c:pt idx="102">
                  <c:v>2.989080024916793</c:v>
                </c:pt>
                <c:pt idx="103">
                  <c:v>3.0251647219076192</c:v>
                </c:pt>
                <c:pt idx="104">
                  <c:v>3.0700455751943951</c:v>
                </c:pt>
                <c:pt idx="105">
                  <c:v>3.1269955731663113</c:v>
                </c:pt>
                <c:pt idx="106">
                  <c:v>3.1864178462964912</c:v>
                </c:pt>
                <c:pt idx="107">
                  <c:v>3.203793907869819</c:v>
                </c:pt>
                <c:pt idx="108">
                  <c:v>3.2157636939788583</c:v>
                </c:pt>
                <c:pt idx="109">
                  <c:v>3.3034271812100542</c:v>
                </c:pt>
                <c:pt idx="110">
                  <c:v>3.4684617761128655</c:v>
                </c:pt>
                <c:pt idx="111">
                  <c:v>3.6545837676374622</c:v>
                </c:pt>
                <c:pt idx="112">
                  <c:v>3.8125989713698849</c:v>
                </c:pt>
                <c:pt idx="113">
                  <c:v>3.97703157019397</c:v>
                </c:pt>
                <c:pt idx="114">
                  <c:v>3.9938114803106952</c:v>
                </c:pt>
                <c:pt idx="115">
                  <c:v>4.0205097141710926</c:v>
                </c:pt>
                <c:pt idx="116">
                  <c:v>4.1478523409991013</c:v>
                </c:pt>
                <c:pt idx="117">
                  <c:v>4.27883032278796</c:v>
                </c:pt>
                <c:pt idx="118">
                  <c:v>4.3923621075380082</c:v>
                </c:pt>
                <c:pt idx="119">
                  <c:v>4.4945611699904839</c:v>
                </c:pt>
                <c:pt idx="120">
                  <c:v>4.5838845299047684</c:v>
                </c:pt>
                <c:pt idx="121">
                  <c:v>4.596263439562458</c:v>
                </c:pt>
                <c:pt idx="122">
                  <c:v>4.6097645166678687</c:v>
                </c:pt>
                <c:pt idx="123">
                  <c:v>4.6247267493041688</c:v>
                </c:pt>
                <c:pt idx="124">
                  <c:v>4.687772688150952</c:v>
                </c:pt>
                <c:pt idx="125">
                  <c:v>4.7457513396166142</c:v>
                </c:pt>
                <c:pt idx="126">
                  <c:v>4.7962839424968671</c:v>
                </c:pt>
                <c:pt idx="127">
                  <c:v>4.8452677205143786</c:v>
                </c:pt>
                <c:pt idx="128">
                  <c:v>4.8529475539847287</c:v>
                </c:pt>
                <c:pt idx="129">
                  <c:v>4.861620973216084</c:v>
                </c:pt>
                <c:pt idx="130">
                  <c:v>4.9082435238956794</c:v>
                </c:pt>
                <c:pt idx="131">
                  <c:v>4.958150752208712</c:v>
                </c:pt>
                <c:pt idx="132">
                  <c:v>4.9916287477324328</c:v>
                </c:pt>
                <c:pt idx="133">
                  <c:v>5.0327515089937629</c:v>
                </c:pt>
                <c:pt idx="134">
                  <c:v>5.0848972275801172</c:v>
                </c:pt>
                <c:pt idx="135">
                  <c:v>5.1058560425151844</c:v>
                </c:pt>
                <c:pt idx="136">
                  <c:v>5.119912358722333</c:v>
                </c:pt>
                <c:pt idx="137">
                  <c:v>5.2339467809750069</c:v>
                </c:pt>
                <c:pt idx="138">
                  <c:v>5.44022102958162</c:v>
                </c:pt>
                <c:pt idx="139">
                  <c:v>5.6969519009808796</c:v>
                </c:pt>
                <c:pt idx="140">
                  <c:v>6.0097736108998925</c:v>
                </c:pt>
                <c:pt idx="141">
                  <c:v>6.3475869250192263</c:v>
                </c:pt>
                <c:pt idx="142">
                  <c:v>6.4752451614419062</c:v>
                </c:pt>
                <c:pt idx="143">
                  <c:v>6.5669765056710947</c:v>
                </c:pt>
                <c:pt idx="144">
                  <c:v>6.8664549432820339</c:v>
                </c:pt>
                <c:pt idx="145">
                  <c:v>7.2628021479687668</c:v>
                </c:pt>
                <c:pt idx="146">
                  <c:v>7.7356905239855696</c:v>
                </c:pt>
                <c:pt idx="147">
                  <c:v>8.2845882107191997</c:v>
                </c:pt>
                <c:pt idx="148">
                  <c:v>8.836314694560631</c:v>
                </c:pt>
                <c:pt idx="149">
                  <c:v>9.0611865307643971</c:v>
                </c:pt>
                <c:pt idx="150">
                  <c:v>9.2365894853143935</c:v>
                </c:pt>
                <c:pt idx="151">
                  <c:v>9.6335854430568393</c:v>
                </c:pt>
                <c:pt idx="152">
                  <c:v>10.114264700364343</c:v>
                </c:pt>
                <c:pt idx="153">
                  <c:v>10.611869983341657</c:v>
                </c:pt>
                <c:pt idx="154">
                  <c:v>11.129294379939948</c:v>
                </c:pt>
                <c:pt idx="155">
                  <c:v>11.636484843199893</c:v>
                </c:pt>
                <c:pt idx="156">
                  <c:v>11.879211999991115</c:v>
                </c:pt>
                <c:pt idx="157">
                  <c:v>12.063960505316677</c:v>
                </c:pt>
                <c:pt idx="158">
                  <c:v>12.475626464589247</c:v>
                </c:pt>
                <c:pt idx="159">
                  <c:v>12.962518555214086</c:v>
                </c:pt>
                <c:pt idx="160">
                  <c:v>13.424857388297875</c:v>
                </c:pt>
                <c:pt idx="161">
                  <c:v>13.88875673548865</c:v>
                </c:pt>
                <c:pt idx="162">
                  <c:v>14.310341018504891</c:v>
                </c:pt>
                <c:pt idx="163">
                  <c:v>14.539403448771242</c:v>
                </c:pt>
                <c:pt idx="164">
                  <c:v>14.680814081050647</c:v>
                </c:pt>
                <c:pt idx="165">
                  <c:v>15.028054770655274</c:v>
                </c:pt>
                <c:pt idx="166">
                  <c:v>15.435185303159965</c:v>
                </c:pt>
                <c:pt idx="167">
                  <c:v>15.833309272972256</c:v>
                </c:pt>
                <c:pt idx="168">
                  <c:v>16.228493397856404</c:v>
                </c:pt>
                <c:pt idx="169">
                  <c:v>16.631187862169316</c:v>
                </c:pt>
                <c:pt idx="170">
                  <c:v>16.831407082255925</c:v>
                </c:pt>
                <c:pt idx="171">
                  <c:v>16.948048205975706</c:v>
                </c:pt>
                <c:pt idx="172">
                  <c:v>17.199518917463767</c:v>
                </c:pt>
                <c:pt idx="173">
                  <c:v>17.515975982343633</c:v>
                </c:pt>
                <c:pt idx="174">
                  <c:v>17.786652122129691</c:v>
                </c:pt>
                <c:pt idx="175">
                  <c:v>18.025498449830874</c:v>
                </c:pt>
                <c:pt idx="176">
                  <c:v>18.275911284714571</c:v>
                </c:pt>
                <c:pt idx="177">
                  <c:v>18.406585346153008</c:v>
                </c:pt>
                <c:pt idx="178">
                  <c:v>18.498153040962737</c:v>
                </c:pt>
                <c:pt idx="179">
                  <c:v>18.725491307702637</c:v>
                </c:pt>
                <c:pt idx="180">
                  <c:v>18.994805650533912</c:v>
                </c:pt>
                <c:pt idx="181">
                  <c:v>19.230525105398993</c:v>
                </c:pt>
                <c:pt idx="182">
                  <c:v>19.448435996653604</c:v>
                </c:pt>
                <c:pt idx="183">
                  <c:v>19.694997225557877</c:v>
                </c:pt>
                <c:pt idx="184">
                  <c:v>19.829511203731485</c:v>
                </c:pt>
                <c:pt idx="185">
                  <c:v>19.913907547195617</c:v>
                </c:pt>
                <c:pt idx="186">
                  <c:v>20.105348144852648</c:v>
                </c:pt>
                <c:pt idx="187">
                  <c:v>20.318682696984514</c:v>
                </c:pt>
                <c:pt idx="188">
                  <c:v>20.501502477009304</c:v>
                </c:pt>
                <c:pt idx="189">
                  <c:v>20.678723109039726</c:v>
                </c:pt>
                <c:pt idx="190">
                  <c:v>20.816702948132601</c:v>
                </c:pt>
                <c:pt idx="191">
                  <c:v>20.926096740419172</c:v>
                </c:pt>
                <c:pt idx="192">
                  <c:v>21.00918973314975</c:v>
                </c:pt>
                <c:pt idx="193">
                  <c:v>21.192687489340869</c:v>
                </c:pt>
                <c:pt idx="194">
                  <c:v>21.419873795905563</c:v>
                </c:pt>
                <c:pt idx="195">
                  <c:v>21.660502733354427</c:v>
                </c:pt>
                <c:pt idx="196">
                  <c:v>21.940389997607213</c:v>
                </c:pt>
                <c:pt idx="197">
                  <c:v>22.246209850222208</c:v>
                </c:pt>
                <c:pt idx="198">
                  <c:v>22.459421665289479</c:v>
                </c:pt>
                <c:pt idx="199">
                  <c:v>22.731354398832103</c:v>
                </c:pt>
                <c:pt idx="200">
                  <c:v>23.093551476450909</c:v>
                </c:pt>
                <c:pt idx="201">
                  <c:v>23.466356543223963</c:v>
                </c:pt>
                <c:pt idx="202">
                  <c:v>23.665962077987597</c:v>
                </c:pt>
                <c:pt idx="203">
                  <c:v>24.001501834100868</c:v>
                </c:pt>
                <c:pt idx="204">
                  <c:v>24.334879080028422</c:v>
                </c:pt>
                <c:pt idx="205">
                  <c:v>24.495191220255403</c:v>
                </c:pt>
                <c:pt idx="206">
                  <c:v>24.612855152846805</c:v>
                </c:pt>
                <c:pt idx="207">
                  <c:v>24.90306986439191</c:v>
                </c:pt>
                <c:pt idx="208">
                  <c:v>25.178480148098046</c:v>
                </c:pt>
                <c:pt idx="209">
                  <c:v>25.458870049853459</c:v>
                </c:pt>
                <c:pt idx="210">
                  <c:v>25.723911973912411</c:v>
                </c:pt>
                <c:pt idx="211">
                  <c:v>25.984611343733565</c:v>
                </c:pt>
                <c:pt idx="212">
                  <c:v>26.111498090035933</c:v>
                </c:pt>
                <c:pt idx="213">
                  <c:v>26.210704705961152</c:v>
                </c:pt>
                <c:pt idx="214">
                  <c:v>26.441526367486695</c:v>
                </c:pt>
                <c:pt idx="215">
                  <c:v>26.695253103114446</c:v>
                </c:pt>
                <c:pt idx="216">
                  <c:v>26.942153320101887</c:v>
                </c:pt>
                <c:pt idx="217">
                  <c:v>27.168766853698472</c:v>
                </c:pt>
                <c:pt idx="218">
                  <c:v>27.376806178186396</c:v>
                </c:pt>
                <c:pt idx="219">
                  <c:v>27.504265697456876</c:v>
                </c:pt>
                <c:pt idx="220">
                  <c:v>27.605535464991711</c:v>
                </c:pt>
                <c:pt idx="221">
                  <c:v>27.823791188951606</c:v>
                </c:pt>
                <c:pt idx="222">
                  <c:v>28.058067022152173</c:v>
                </c:pt>
                <c:pt idx="223">
                  <c:v>28.301068876183201</c:v>
                </c:pt>
                <c:pt idx="224">
                  <c:v>28.525204289999394</c:v>
                </c:pt>
                <c:pt idx="225">
                  <c:v>28.757171497461155</c:v>
                </c:pt>
                <c:pt idx="226">
                  <c:v>28.88017157005136</c:v>
                </c:pt>
                <c:pt idx="227">
                  <c:v>28.97022550773109</c:v>
                </c:pt>
                <c:pt idx="228">
                  <c:v>29.164792978224224</c:v>
                </c:pt>
                <c:pt idx="229">
                  <c:v>29.377361884857905</c:v>
                </c:pt>
                <c:pt idx="230">
                  <c:v>29.570924080345783</c:v>
                </c:pt>
                <c:pt idx="231">
                  <c:v>29.749407150754898</c:v>
                </c:pt>
                <c:pt idx="232">
                  <c:v>29.939521019189879</c:v>
                </c:pt>
                <c:pt idx="233">
                  <c:v>30.018861764517133</c:v>
                </c:pt>
                <c:pt idx="234">
                  <c:v>30.069306698065535</c:v>
                </c:pt>
                <c:pt idx="235">
                  <c:v>30.220495383157647</c:v>
                </c:pt>
                <c:pt idx="236">
                  <c:v>30.36993068161269</c:v>
                </c:pt>
                <c:pt idx="237">
                  <c:v>30.44983835528593</c:v>
                </c:pt>
                <c:pt idx="238">
                  <c:v>30.603873371352208</c:v>
                </c:pt>
                <c:pt idx="239">
                  <c:v>30.745622991714782</c:v>
                </c:pt>
                <c:pt idx="240">
                  <c:v>30.803701001756544</c:v>
                </c:pt>
                <c:pt idx="241">
                  <c:v>30.835361319799837</c:v>
                </c:pt>
                <c:pt idx="242">
                  <c:v>30.949319761964905</c:v>
                </c:pt>
                <c:pt idx="243">
                  <c:v>31.083851274004886</c:v>
                </c:pt>
                <c:pt idx="244">
                  <c:v>31.211258191676254</c:v>
                </c:pt>
                <c:pt idx="245">
                  <c:v>31.349693911294768</c:v>
                </c:pt>
                <c:pt idx="246">
                  <c:v>31.504371835794643</c:v>
                </c:pt>
                <c:pt idx="247">
                  <c:v>31.560304869517058</c:v>
                </c:pt>
                <c:pt idx="248">
                  <c:v>31.592280797155027</c:v>
                </c:pt>
                <c:pt idx="249">
                  <c:v>31.609557500152253</c:v>
                </c:pt>
                <c:pt idx="250">
                  <c:v>31.684690117550545</c:v>
                </c:pt>
                <c:pt idx="251">
                  <c:v>31.808561038837162</c:v>
                </c:pt>
                <c:pt idx="252">
                  <c:v>31.9272010233232</c:v>
                </c:pt>
                <c:pt idx="253">
                  <c:v>32.062352065308275</c:v>
                </c:pt>
                <c:pt idx="254">
                  <c:v>32.102557220896202</c:v>
                </c:pt>
                <c:pt idx="255">
                  <c:v>32.128635924811512</c:v>
                </c:pt>
                <c:pt idx="256">
                  <c:v>32.238789517974141</c:v>
                </c:pt>
                <c:pt idx="257">
                  <c:v>32.370872133344349</c:v>
                </c:pt>
                <c:pt idx="258">
                  <c:v>32.504538641310049</c:v>
                </c:pt>
                <c:pt idx="259">
                  <c:v>32.639245492013735</c:v>
                </c:pt>
                <c:pt idx="260">
                  <c:v>32.787558623021056</c:v>
                </c:pt>
                <c:pt idx="261">
                  <c:v>32.854362653893283</c:v>
                </c:pt>
                <c:pt idx="262">
                  <c:v>32.905064750815121</c:v>
                </c:pt>
                <c:pt idx="263">
                  <c:v>33.030133819637065</c:v>
                </c:pt>
                <c:pt idx="264">
                  <c:v>33.166436252180482</c:v>
                </c:pt>
                <c:pt idx="265">
                  <c:v>33.300207963344405</c:v>
                </c:pt>
                <c:pt idx="266">
                  <c:v>33.428380526513948</c:v>
                </c:pt>
                <c:pt idx="267">
                  <c:v>33.560755372990343</c:v>
                </c:pt>
                <c:pt idx="268">
                  <c:v>33.694988809302018</c:v>
                </c:pt>
                <c:pt idx="269">
                  <c:v>33.837153397835365</c:v>
                </c:pt>
                <c:pt idx="270">
                  <c:v>34.031346812512588</c:v>
                </c:pt>
                <c:pt idx="271">
                  <c:v>34.265815518243222</c:v>
                </c:pt>
                <c:pt idx="272">
                  <c:v>34.507391284476114</c:v>
                </c:pt>
                <c:pt idx="273">
                  <c:v>34.739621499933435</c:v>
                </c:pt>
                <c:pt idx="274">
                  <c:v>34.930419189156872</c:v>
                </c:pt>
                <c:pt idx="275">
                  <c:v>35.024459159124866</c:v>
                </c:pt>
                <c:pt idx="276">
                  <c:v>35.090450787521924</c:v>
                </c:pt>
                <c:pt idx="277">
                  <c:v>35.281990743755046</c:v>
                </c:pt>
                <c:pt idx="278">
                  <c:v>35.480707895955909</c:v>
                </c:pt>
                <c:pt idx="279">
                  <c:v>35.655672503846638</c:v>
                </c:pt>
                <c:pt idx="280">
                  <c:v>35.830064338769262</c:v>
                </c:pt>
                <c:pt idx="281">
                  <c:v>35.986273554265502</c:v>
                </c:pt>
                <c:pt idx="282">
                  <c:v>36.045789341349661</c:v>
                </c:pt>
                <c:pt idx="283">
                  <c:v>36.092143039411575</c:v>
                </c:pt>
                <c:pt idx="284">
                  <c:v>36.243203142816967</c:v>
                </c:pt>
                <c:pt idx="285">
                  <c:v>36.39967536630877</c:v>
                </c:pt>
                <c:pt idx="286">
                  <c:v>36.540577516463422</c:v>
                </c:pt>
                <c:pt idx="287">
                  <c:v>36.688253583659282</c:v>
                </c:pt>
                <c:pt idx="288">
                  <c:v>36.826695147899919</c:v>
                </c:pt>
                <c:pt idx="289">
                  <c:v>36.884112715641713</c:v>
                </c:pt>
                <c:pt idx="290">
                  <c:v>36.923476245643855</c:v>
                </c:pt>
                <c:pt idx="291">
                  <c:v>37.047773824345491</c:v>
                </c:pt>
                <c:pt idx="292">
                  <c:v>37.197513043150963</c:v>
                </c:pt>
                <c:pt idx="293">
                  <c:v>37.362886626136941</c:v>
                </c:pt>
                <c:pt idx="294">
                  <c:v>37.562679188808531</c:v>
                </c:pt>
                <c:pt idx="295">
                  <c:v>37.753418431810736</c:v>
                </c:pt>
                <c:pt idx="296">
                  <c:v>37.840871512645485</c:v>
                </c:pt>
                <c:pt idx="297">
                  <c:v>37.909475687131767</c:v>
                </c:pt>
                <c:pt idx="298">
                  <c:v>38.066888894785464</c:v>
                </c:pt>
                <c:pt idx="299">
                  <c:v>38.21322654351502</c:v>
                </c:pt>
                <c:pt idx="300">
                  <c:v>38.326460252536769</c:v>
                </c:pt>
                <c:pt idx="301">
                  <c:v>38.355046299343073</c:v>
                </c:pt>
                <c:pt idx="302">
                  <c:v>38.359312873493273</c:v>
                </c:pt>
                <c:pt idx="303">
                  <c:v>38.360604534982578</c:v>
                </c:pt>
                <c:pt idx="304">
                  <c:v>38.366799834433543</c:v>
                </c:pt>
                <c:pt idx="305">
                  <c:v>38.446596460286436</c:v>
                </c:pt>
                <c:pt idx="306">
                  <c:v>38.538894732861614</c:v>
                </c:pt>
                <c:pt idx="307">
                  <c:v>38.606873532780675</c:v>
                </c:pt>
                <c:pt idx="308">
                  <c:v>38.636651882500182</c:v>
                </c:pt>
                <c:pt idx="309">
                  <c:v>38.646353955225287</c:v>
                </c:pt>
                <c:pt idx="310">
                  <c:v>38.648931433581772</c:v>
                </c:pt>
                <c:pt idx="311">
                  <c:v>38.655413119516794</c:v>
                </c:pt>
                <c:pt idx="312">
                  <c:v>38.707810156854464</c:v>
                </c:pt>
                <c:pt idx="313">
                  <c:v>38.774362868975373</c:v>
                </c:pt>
                <c:pt idx="314">
                  <c:v>38.846467972113672</c:v>
                </c:pt>
                <c:pt idx="315">
                  <c:v>38.92352931481274</c:v>
                </c:pt>
                <c:pt idx="316">
                  <c:v>39.032999087186916</c:v>
                </c:pt>
                <c:pt idx="317">
                  <c:v>39.118809829204949</c:v>
                </c:pt>
                <c:pt idx="318">
                  <c:v>39.201289136612552</c:v>
                </c:pt>
                <c:pt idx="319">
                  <c:v>39.287836301018146</c:v>
                </c:pt>
                <c:pt idx="320">
                  <c:v>39.391099084697103</c:v>
                </c:pt>
                <c:pt idx="321">
                  <c:v>39.48985566471881</c:v>
                </c:pt>
                <c:pt idx="322">
                  <c:v>39.590833201147461</c:v>
                </c:pt>
                <c:pt idx="323">
                  <c:v>39.682774951773105</c:v>
                </c:pt>
                <c:pt idx="324">
                  <c:v>39.729613753471263</c:v>
                </c:pt>
                <c:pt idx="325">
                  <c:v>39.811783295906324</c:v>
                </c:pt>
                <c:pt idx="326">
                  <c:v>39.956408470353679</c:v>
                </c:pt>
                <c:pt idx="327">
                  <c:v>40.12009295754595</c:v>
                </c:pt>
                <c:pt idx="328">
                  <c:v>40.228896442998042</c:v>
                </c:pt>
                <c:pt idx="329">
                  <c:v>40.322135699735114</c:v>
                </c:pt>
                <c:pt idx="330">
                  <c:v>40.403060337657848</c:v>
                </c:pt>
                <c:pt idx="331">
                  <c:v>40.439530779708825</c:v>
                </c:pt>
                <c:pt idx="332">
                  <c:v>40.466912834357686</c:v>
                </c:pt>
                <c:pt idx="333">
                  <c:v>40.527200111562145</c:v>
                </c:pt>
                <c:pt idx="334">
                  <c:v>40.586195727277307</c:v>
                </c:pt>
                <c:pt idx="335">
                  <c:v>40.644174378742967</c:v>
                </c:pt>
                <c:pt idx="336">
                  <c:v>40.703900572223574</c:v>
                </c:pt>
                <c:pt idx="337">
                  <c:v>40.764819068617378</c:v>
                </c:pt>
                <c:pt idx="338">
                  <c:v>40.791178314394614</c:v>
                </c:pt>
                <c:pt idx="339">
                  <c:v>40.858116771575688</c:v>
                </c:pt>
                <c:pt idx="340">
                  <c:v>40.965792244957932</c:v>
                </c:pt>
                <c:pt idx="341">
                  <c:v>41.083315906618367</c:v>
                </c:pt>
                <c:pt idx="342">
                  <c:v>41.149465339812757</c:v>
                </c:pt>
                <c:pt idx="343">
                  <c:v>41.216023896555797</c:v>
                </c:pt>
                <c:pt idx="344">
                  <c:v>41.279853014767134</c:v>
                </c:pt>
                <c:pt idx="345">
                  <c:v>41.304844618967458</c:v>
                </c:pt>
                <c:pt idx="346">
                  <c:v>41.327393171120129</c:v>
                </c:pt>
                <c:pt idx="347">
                  <c:v>41.389626707491743</c:v>
                </c:pt>
                <c:pt idx="348">
                  <c:v>41.45617941961266</c:v>
                </c:pt>
                <c:pt idx="349">
                  <c:v>41.525765490615704</c:v>
                </c:pt>
                <c:pt idx="350">
                  <c:v>41.59608798400631</c:v>
                </c:pt>
                <c:pt idx="351">
                  <c:v>41.658163715580585</c:v>
                </c:pt>
                <c:pt idx="352">
                  <c:v>41.686235435640015</c:v>
                </c:pt>
                <c:pt idx="353">
                  <c:v>41.706633166851219</c:v>
                </c:pt>
                <c:pt idx="354">
                  <c:v>41.761134268153363</c:v>
                </c:pt>
                <c:pt idx="355">
                  <c:v>41.828265597864515</c:v>
                </c:pt>
                <c:pt idx="356">
                  <c:v>41.902615035898258</c:v>
                </c:pt>
                <c:pt idx="357">
                  <c:v>41.982493486460875</c:v>
                </c:pt>
                <c:pt idx="358">
                  <c:v>42.058035227407821</c:v>
                </c:pt>
                <c:pt idx="359">
                  <c:v>42.095382362777336</c:v>
                </c:pt>
                <c:pt idx="360">
                  <c:v>42.120946739945758</c:v>
                </c:pt>
                <c:pt idx="361">
                  <c:v>42.207406235019498</c:v>
                </c:pt>
                <c:pt idx="362">
                  <c:v>42.315905800121172</c:v>
                </c:pt>
                <c:pt idx="363">
                  <c:v>42.431471513370219</c:v>
                </c:pt>
                <c:pt idx="364">
                  <c:v>42.543162242151347</c:v>
                </c:pt>
                <c:pt idx="365">
                  <c:v>42.640931081034168</c:v>
                </c:pt>
                <c:pt idx="366">
                  <c:v>42.701954780626203</c:v>
                </c:pt>
                <c:pt idx="367">
                  <c:v>42.752966642520583</c:v>
                </c:pt>
                <c:pt idx="368">
                  <c:v>42.832056069096524</c:v>
                </c:pt>
                <c:pt idx="369">
                  <c:v>42.876440129502804</c:v>
                </c:pt>
                <c:pt idx="370">
                  <c:v>42.927253274244983</c:v>
                </c:pt>
                <c:pt idx="371">
                  <c:v>42.981590726127671</c:v>
                </c:pt>
                <c:pt idx="372">
                  <c:v>43.028902942217847</c:v>
                </c:pt>
                <c:pt idx="373">
                  <c:v>43.04923638258569</c:v>
                </c:pt>
                <c:pt idx="374">
                  <c:v>43.06297124457604</c:v>
                </c:pt>
                <c:pt idx="375">
                  <c:v>43.115999501103055</c:v>
                </c:pt>
                <c:pt idx="376">
                  <c:v>43.170173303566287</c:v>
                </c:pt>
                <c:pt idx="377">
                  <c:v>43.221079962262444</c:v>
                </c:pt>
                <c:pt idx="378">
                  <c:v>43.277264314736172</c:v>
                </c:pt>
                <c:pt idx="379">
                  <c:v>43.333320085523184</c:v>
                </c:pt>
                <c:pt idx="380">
                  <c:v>43.362975698178104</c:v>
                </c:pt>
                <c:pt idx="381">
                  <c:v>43.386178848008619</c:v>
                </c:pt>
                <c:pt idx="382">
                  <c:v>43.459669126590192</c:v>
                </c:pt>
                <c:pt idx="383">
                  <c:v>43.582610752959162</c:v>
                </c:pt>
                <c:pt idx="384">
                  <c:v>43.75710779108001</c:v>
                </c:pt>
                <c:pt idx="385">
                  <c:v>43.995802158605976</c:v>
                </c:pt>
                <c:pt idx="386">
                  <c:v>44.259622556641112</c:v>
                </c:pt>
                <c:pt idx="387">
                  <c:v>44.370798958675365</c:v>
                </c:pt>
                <c:pt idx="388">
                  <c:v>44.446247185668334</c:v>
                </c:pt>
                <c:pt idx="389">
                  <c:v>44.717811708017173</c:v>
                </c:pt>
                <c:pt idx="390">
                  <c:v>44.994472740857752</c:v>
                </c:pt>
                <c:pt idx="391">
                  <c:v>45.309544630294333</c:v>
                </c:pt>
                <c:pt idx="392">
                  <c:v>45.601629620918978</c:v>
                </c:pt>
                <c:pt idx="393">
                  <c:v>45.847787570896728</c:v>
                </c:pt>
                <c:pt idx="394">
                  <c:v>45.920956395261506</c:v>
                </c:pt>
                <c:pt idx="395">
                  <c:v>45.970378519938286</c:v>
                </c:pt>
                <c:pt idx="396">
                  <c:v>46.19980916139842</c:v>
                </c:pt>
                <c:pt idx="397">
                  <c:v>46.454132048482776</c:v>
                </c:pt>
                <c:pt idx="398">
                  <c:v>46.717584235324125</c:v>
                </c:pt>
                <c:pt idx="399">
                  <c:v>46.951287295556583</c:v>
                </c:pt>
                <c:pt idx="400">
                  <c:v>47.061966904710332</c:v>
                </c:pt>
                <c:pt idx="401">
                  <c:v>47.100745972500121</c:v>
                </c:pt>
                <c:pt idx="402">
                  <c:v>47.128531306075494</c:v>
                </c:pt>
                <c:pt idx="403">
                  <c:v>47.198368695829849</c:v>
                </c:pt>
                <c:pt idx="404">
                  <c:v>47.310597129846343</c:v>
                </c:pt>
                <c:pt idx="405">
                  <c:v>47.43608116683906</c:v>
                </c:pt>
                <c:pt idx="406">
                  <c:v>47.524650570499411</c:v>
                </c:pt>
                <c:pt idx="407">
                  <c:v>47.546994560877756</c:v>
                </c:pt>
                <c:pt idx="408">
                  <c:v>47.55649791645066</c:v>
                </c:pt>
                <c:pt idx="409">
                  <c:v>47.562681526657379</c:v>
                </c:pt>
                <c:pt idx="410">
                  <c:v>47.585113186367586</c:v>
                </c:pt>
                <c:pt idx="411">
                  <c:v>47.6048446306567</c:v>
                </c:pt>
                <c:pt idx="412">
                  <c:v>47.608930021521068</c:v>
                </c:pt>
                <c:pt idx="413">
                  <c:v>47.610671718913892</c:v>
                </c:pt>
                <c:pt idx="414">
                  <c:v>47.611454898278446</c:v>
                </c:pt>
                <c:pt idx="415">
                  <c:v>47.612273145375738</c:v>
                </c:pt>
                <c:pt idx="416">
                  <c:v>47.613225818781878</c:v>
                </c:pt>
                <c:pt idx="417">
                  <c:v>47.634371661624904</c:v>
                </c:pt>
                <c:pt idx="418">
                  <c:v>47.657189066395254</c:v>
                </c:pt>
                <c:pt idx="419">
                  <c:v>47.683425575107897</c:v>
                </c:pt>
                <c:pt idx="420">
                  <c:v>47.710608912604549</c:v>
                </c:pt>
                <c:pt idx="421">
                  <c:v>47.733180843245712</c:v>
                </c:pt>
                <c:pt idx="422">
                  <c:v>47.745062960022899</c:v>
                </c:pt>
                <c:pt idx="423">
                  <c:v>47.754203949024145</c:v>
                </c:pt>
                <c:pt idx="424">
                  <c:v>47.780580728667744</c:v>
                </c:pt>
                <c:pt idx="425">
                  <c:v>47.810627931004937</c:v>
                </c:pt>
                <c:pt idx="426">
                  <c:v>47.843702647602129</c:v>
                </c:pt>
                <c:pt idx="427">
                  <c:v>47.879273017846089</c:v>
                </c:pt>
                <c:pt idx="428">
                  <c:v>47.908653933261199</c:v>
                </c:pt>
                <c:pt idx="429">
                  <c:v>47.920740611812704</c:v>
                </c:pt>
                <c:pt idx="430">
                  <c:v>47.92437596677356</c:v>
                </c:pt>
                <c:pt idx="431">
                  <c:v>47.927461927254797</c:v>
                </c:pt>
                <c:pt idx="432">
                  <c:v>47.941062362936307</c:v>
                </c:pt>
                <c:pt idx="433">
                  <c:v>47.95711753990971</c:v>
                </c:pt>
                <c:pt idx="434">
                  <c:v>47.974370864418439</c:v>
                </c:pt>
                <c:pt idx="435">
                  <c:v>47.991127396046672</c:v>
                </c:pt>
                <c:pt idx="436">
                  <c:v>47.997340229364013</c:v>
                </c:pt>
                <c:pt idx="437">
                  <c:v>48.002033460929226</c:v>
                </c:pt>
                <c:pt idx="438">
                  <c:v>48.017650291243363</c:v>
                </c:pt>
                <c:pt idx="439">
                  <c:v>48.030251296541749</c:v>
                </c:pt>
                <c:pt idx="440">
                  <c:v>48.049450880217627</c:v>
                </c:pt>
                <c:pt idx="441">
                  <c:v>48.069012830465162</c:v>
                </c:pt>
                <c:pt idx="442">
                  <c:v>48.086125884042929</c:v>
                </c:pt>
                <c:pt idx="443">
                  <c:v>48.091327597732899</c:v>
                </c:pt>
                <c:pt idx="444">
                  <c:v>48.09568184121494</c:v>
                </c:pt>
                <c:pt idx="445">
                  <c:v>48.113478715581167</c:v>
                </c:pt>
                <c:pt idx="446">
                  <c:v>48.134899255663996</c:v>
                </c:pt>
                <c:pt idx="447">
                  <c:v>48.156202903304354</c:v>
                </c:pt>
                <c:pt idx="448">
                  <c:v>48.180498997471965</c:v>
                </c:pt>
                <c:pt idx="449">
                  <c:v>48.200084326208</c:v>
                </c:pt>
                <c:pt idx="450">
                  <c:v>48.207179697465996</c:v>
                </c:pt>
                <c:pt idx="451">
                  <c:v>48.210049406928654</c:v>
                </c:pt>
                <c:pt idx="452">
                  <c:v>48.226361747275497</c:v>
                </c:pt>
                <c:pt idx="453">
                  <c:v>48.240599246768475</c:v>
                </c:pt>
                <c:pt idx="454">
                  <c:v>48.256315435658721</c:v>
                </c:pt>
                <c:pt idx="455">
                  <c:v>48.271920576728611</c:v>
                </c:pt>
                <c:pt idx="456">
                  <c:v>48.287087371139229</c:v>
                </c:pt>
                <c:pt idx="457">
                  <c:v>48.29160526404074</c:v>
                </c:pt>
                <c:pt idx="458">
                  <c:v>48.29508865882638</c:v>
                </c:pt>
                <c:pt idx="459">
                  <c:v>48.310471704255576</c:v>
                </c:pt>
                <c:pt idx="460">
                  <c:v>48.322166793124808</c:v>
                </c:pt>
                <c:pt idx="461">
                  <c:v>48.330208993166821</c:v>
                </c:pt>
                <c:pt idx="462">
                  <c:v>48.338607715158368</c:v>
                </c:pt>
                <c:pt idx="463">
                  <c:v>48.347701947182621</c:v>
                </c:pt>
                <c:pt idx="464">
                  <c:v>48.3504021626037</c:v>
                </c:pt>
                <c:pt idx="465">
                  <c:v>48.352237373950494</c:v>
                </c:pt>
                <c:pt idx="466">
                  <c:v>48.362190765426909</c:v>
                </c:pt>
                <c:pt idx="467">
                  <c:v>48.373897543540387</c:v>
                </c:pt>
                <c:pt idx="468">
                  <c:v>48.388918222397926</c:v>
                </c:pt>
                <c:pt idx="469">
                  <c:v>48.404324646315615</c:v>
                </c:pt>
                <c:pt idx="470">
                  <c:v>48.418217313103298</c:v>
                </c:pt>
                <c:pt idx="471">
                  <c:v>48.422144899170334</c:v>
                </c:pt>
                <c:pt idx="472">
                  <c:v>48.424488592641879</c:v>
                </c:pt>
                <c:pt idx="473">
                  <c:v>48.438018892857912</c:v>
                </c:pt>
                <c:pt idx="474">
                  <c:v>48.45145567911996</c:v>
                </c:pt>
                <c:pt idx="475">
                  <c:v>48.466558182687223</c:v>
                </c:pt>
                <c:pt idx="476">
                  <c:v>48.481198961106728</c:v>
                </c:pt>
                <c:pt idx="477">
                  <c:v>48.493729830939628</c:v>
                </c:pt>
                <c:pt idx="478">
                  <c:v>48.496570317291678</c:v>
                </c:pt>
                <c:pt idx="479">
                  <c:v>48.498241879219009</c:v>
                </c:pt>
                <c:pt idx="480">
                  <c:v>48.511123426379328</c:v>
                </c:pt>
                <c:pt idx="481">
                  <c:v>48.523782877898945</c:v>
                </c:pt>
                <c:pt idx="482">
                  <c:v>48.536559221861033</c:v>
                </c:pt>
                <c:pt idx="483">
                  <c:v>48.547815964071006</c:v>
                </c:pt>
                <c:pt idx="484">
                  <c:v>48.558114188252702</c:v>
                </c:pt>
                <c:pt idx="485">
                  <c:v>48.561428088996763</c:v>
                </c:pt>
                <c:pt idx="486">
                  <c:v>48.563052893947109</c:v>
                </c:pt>
                <c:pt idx="487">
                  <c:v>48.573596592257999</c:v>
                </c:pt>
                <c:pt idx="488">
                  <c:v>48.58508127473079</c:v>
                </c:pt>
                <c:pt idx="489">
                  <c:v>48.596449064761096</c:v>
                </c:pt>
                <c:pt idx="490">
                  <c:v>48.608109085897595</c:v>
                </c:pt>
                <c:pt idx="491">
                  <c:v>48.616490274022773</c:v>
                </c:pt>
                <c:pt idx="492">
                  <c:v>48.618781365895202</c:v>
                </c:pt>
                <c:pt idx="493">
                  <c:v>48.620230832181846</c:v>
                </c:pt>
                <c:pt idx="494">
                  <c:v>48.623907099497558</c:v>
                </c:pt>
                <c:pt idx="495">
                  <c:v>48.635444383569457</c:v>
                </c:pt>
                <c:pt idx="496">
                  <c:v>48.649465632043864</c:v>
                </c:pt>
                <c:pt idx="497">
                  <c:v>48.663989518020898</c:v>
                </c:pt>
                <c:pt idx="498">
                  <c:v>48.677332790328975</c:v>
                </c:pt>
                <c:pt idx="499">
                  <c:v>48.680120675081909</c:v>
                </c:pt>
                <c:pt idx="500">
                  <c:v>48.682680619572025</c:v>
                </c:pt>
                <c:pt idx="501">
                  <c:v>48.696292744497789</c:v>
                </c:pt>
                <c:pt idx="502">
                  <c:v>48.710442574658913</c:v>
                </c:pt>
                <c:pt idx="503">
                  <c:v>48.724142368916525</c:v>
                </c:pt>
                <c:pt idx="504">
                  <c:v>48.737094051542314</c:v>
                </c:pt>
                <c:pt idx="505">
                  <c:v>48.748041028779738</c:v>
                </c:pt>
                <c:pt idx="506">
                  <c:v>48.751775742316688</c:v>
                </c:pt>
                <c:pt idx="507">
                  <c:v>48.754464268493521</c:v>
                </c:pt>
                <c:pt idx="508">
                  <c:v>48.766983449082183</c:v>
                </c:pt>
                <c:pt idx="509">
                  <c:v>48.778514888531951</c:v>
                </c:pt>
                <c:pt idx="510">
                  <c:v>48.79098146752149</c:v>
                </c:pt>
                <c:pt idx="511">
                  <c:v>48.801788173827951</c:v>
                </c:pt>
                <c:pt idx="512">
                  <c:v>48.814050191043165</c:v>
                </c:pt>
                <c:pt idx="513">
                  <c:v>48.840853628101783</c:v>
                </c:pt>
                <c:pt idx="514">
                  <c:v>48.863168395369513</c:v>
                </c:pt>
                <c:pt idx="515">
                  <c:v>48.898621873171003</c:v>
                </c:pt>
              </c:numCache>
            </c:numRef>
          </c:val>
          <c:smooth val="0"/>
          <c:extLst>
            <c:ext xmlns:c16="http://schemas.microsoft.com/office/drawing/2014/chart" uri="{C3380CC4-5D6E-409C-BE32-E72D297353CC}">
              <c16:uniqueId val="{00000001-BE8B-4B6F-B75B-09617859FFF2}"/>
            </c:ext>
          </c:extLst>
        </c:ser>
        <c:dLbls>
          <c:showLegendKey val="0"/>
          <c:showVal val="0"/>
          <c:showCatName val="0"/>
          <c:showSerName val="0"/>
          <c:showPercent val="0"/>
          <c:showBubbleSize val="0"/>
        </c:dLbls>
        <c:smooth val="0"/>
        <c:axId val="1839755535"/>
        <c:axId val="1839765103"/>
      </c:lineChart>
      <c:dateAx>
        <c:axId val="1839755535"/>
        <c:scaling>
          <c:orientation val="minMax"/>
          <c:min val="44252"/>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39765103"/>
        <c:crosses val="autoZero"/>
        <c:auto val="1"/>
        <c:lblOffset val="100"/>
        <c:baseTimeUnit val="days"/>
      </c:dateAx>
      <c:valAx>
        <c:axId val="1839765103"/>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Porcentaje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39755535"/>
        <c:crosses val="autoZero"/>
        <c:crossBetween val="between"/>
      </c:valAx>
      <c:spPr>
        <a:noFill/>
        <a:ln>
          <a:noFill/>
        </a:ln>
        <a:effectLst/>
      </c:spPr>
    </c:plotArea>
    <c:legend>
      <c:legendPos val="b"/>
      <c:layout>
        <c:manualLayout>
          <c:xMode val="edge"/>
          <c:yMode val="edge"/>
          <c:x val="0.10394603174603174"/>
          <c:y val="8.4222916666666661E-2"/>
          <c:w val="0.33349682539682546"/>
          <c:h val="0.1837914063124111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64821692151724E-2"/>
          <c:y val="2.8261518330616835E-2"/>
          <c:w val="0.88212701731162857"/>
          <c:h val="0.77990232088335898"/>
        </c:manualLayout>
      </c:layout>
      <c:lineChart>
        <c:grouping val="standard"/>
        <c:varyColors val="0"/>
        <c:ser>
          <c:idx val="0"/>
          <c:order val="0"/>
          <c:tx>
            <c:strRef>
              <c:f>wti!$B$1</c:f>
              <c:strCache>
                <c:ptCount val="1"/>
                <c:pt idx="0">
                  <c:v>WTI</c:v>
                </c:pt>
              </c:strCache>
            </c:strRef>
          </c:tx>
          <c:marker>
            <c:symbol val="none"/>
          </c:marker>
          <c:dLbls>
            <c:dLbl>
              <c:idx val="101"/>
              <c:layout>
                <c:manualLayout>
                  <c:x val="-4.5585946186346614E-2"/>
                  <c:y val="-1.8150409770207297E-2"/>
                </c:manualLayout>
              </c:layout>
              <c:numFmt formatCode="#,##0.0" sourceLinked="0"/>
              <c:spPr>
                <a:noFill/>
                <a:ln>
                  <a:noFill/>
                </a:ln>
                <a:effectLst/>
              </c:spPr>
              <c:txPr>
                <a:bodyPr wrap="square" lIns="38100" tIns="19050" rIns="38100" bIns="19050" anchor="ctr">
                  <a:noAutofit/>
                </a:bodyPr>
                <a:lstStyle/>
                <a:p>
                  <a:pPr>
                    <a:defRPr sz="800" b="1">
                      <a:solidFill>
                        <a:schemeClr val="accent1">
                          <a:lumMod val="50000"/>
                        </a:schemeClr>
                      </a:solidFill>
                    </a:defRPr>
                  </a:pPr>
                  <a:endParaRPr lang="es-GT"/>
                </a:p>
              </c:txPr>
              <c:showLegendKey val="0"/>
              <c:showVal val="1"/>
              <c:showCatName val="0"/>
              <c:showSerName val="0"/>
              <c:showPercent val="0"/>
              <c:showBubbleSize val="0"/>
              <c:extLst>
                <c:ext xmlns:c15="http://schemas.microsoft.com/office/drawing/2012/chart" uri="{CE6537A1-D6FC-4f65-9D91-7224C49458BB}">
                  <c15:layout>
                    <c:manualLayout>
                      <c:w val="6.8934845452523902E-2"/>
                      <c:h val="9.6209912536443148E-2"/>
                    </c:manualLayout>
                  </c15:layout>
                </c:ext>
                <c:ext xmlns:c16="http://schemas.microsoft.com/office/drawing/2014/chart" uri="{C3380CC4-5D6E-409C-BE32-E72D297353CC}">
                  <c16:uniqueId val="{00000000-F631-4188-97D5-7D20E12804A5}"/>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wti!$A$2:$A$104</c:f>
              <c:numCache>
                <c:formatCode>mm\-yyyy</c:formatCode>
                <c:ptCount val="103"/>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pt idx="86">
                  <c:v>44256</c:v>
                </c:pt>
                <c:pt idx="87">
                  <c:v>44287</c:v>
                </c:pt>
                <c:pt idx="88">
                  <c:v>44317</c:v>
                </c:pt>
                <c:pt idx="89">
                  <c:v>44348</c:v>
                </c:pt>
                <c:pt idx="90">
                  <c:v>44378</c:v>
                </c:pt>
                <c:pt idx="91">
                  <c:v>44409</c:v>
                </c:pt>
                <c:pt idx="92">
                  <c:v>44440</c:v>
                </c:pt>
                <c:pt idx="93">
                  <c:v>44470</c:v>
                </c:pt>
                <c:pt idx="94">
                  <c:v>44501</c:v>
                </c:pt>
                <c:pt idx="95">
                  <c:v>44531</c:v>
                </c:pt>
                <c:pt idx="96">
                  <c:v>44562</c:v>
                </c:pt>
                <c:pt idx="97">
                  <c:v>44593</c:v>
                </c:pt>
                <c:pt idx="98">
                  <c:v>44621</c:v>
                </c:pt>
                <c:pt idx="99">
                  <c:v>44652</c:v>
                </c:pt>
                <c:pt idx="100">
                  <c:v>44682</c:v>
                </c:pt>
                <c:pt idx="101">
                  <c:v>44713</c:v>
                </c:pt>
                <c:pt idx="102">
                  <c:v>44743</c:v>
                </c:pt>
              </c:numCache>
            </c:numRef>
          </c:cat>
          <c:val>
            <c:numRef>
              <c:f>wti!$B$2:$B$104</c:f>
              <c:numCache>
                <c:formatCode>General</c:formatCode>
                <c:ptCount val="103"/>
                <c:pt idx="0">
                  <c:v>94.856667291550409</c:v>
                </c:pt>
                <c:pt idx="1">
                  <c:v>100.6752624511719</c:v>
                </c:pt>
                <c:pt idx="2">
                  <c:v>100.50904737200059</c:v>
                </c:pt>
                <c:pt idx="3">
                  <c:v>102.0347620646159</c:v>
                </c:pt>
                <c:pt idx="4">
                  <c:v>101.7947616577148</c:v>
                </c:pt>
                <c:pt idx="5">
                  <c:v>105.14666748046881</c:v>
                </c:pt>
                <c:pt idx="6">
                  <c:v>102.3918176130815</c:v>
                </c:pt>
                <c:pt idx="7">
                  <c:v>96.07619040352958</c:v>
                </c:pt>
                <c:pt idx="8">
                  <c:v>93.034285409109927</c:v>
                </c:pt>
                <c:pt idx="9">
                  <c:v>84.339129240616515</c:v>
                </c:pt>
                <c:pt idx="10">
                  <c:v>75.81000077097039</c:v>
                </c:pt>
                <c:pt idx="11">
                  <c:v>59.289544885808773</c:v>
                </c:pt>
                <c:pt idx="12">
                  <c:v>47.325500106811518</c:v>
                </c:pt>
                <c:pt idx="13">
                  <c:v>50.724736464651009</c:v>
                </c:pt>
                <c:pt idx="14">
                  <c:v>47.854090603915132</c:v>
                </c:pt>
                <c:pt idx="15">
                  <c:v>54.628095536004928</c:v>
                </c:pt>
                <c:pt idx="16">
                  <c:v>59.371999931335452</c:v>
                </c:pt>
                <c:pt idx="17">
                  <c:v>59.828636516224257</c:v>
                </c:pt>
                <c:pt idx="18">
                  <c:v>50.930000131780453</c:v>
                </c:pt>
                <c:pt idx="19">
                  <c:v>42.889047713506791</c:v>
                </c:pt>
                <c:pt idx="20">
                  <c:v>45.465238298688618</c:v>
                </c:pt>
                <c:pt idx="21">
                  <c:v>46.289545405994772</c:v>
                </c:pt>
                <c:pt idx="22">
                  <c:v>42.923000144958493</c:v>
                </c:pt>
                <c:pt idx="23">
                  <c:v>37.327272588556461</c:v>
                </c:pt>
                <c:pt idx="24">
                  <c:v>31.7757894616378</c:v>
                </c:pt>
                <c:pt idx="25">
                  <c:v>30.616499996185301</c:v>
                </c:pt>
                <c:pt idx="26">
                  <c:v>37.960909063165843</c:v>
                </c:pt>
                <c:pt idx="27">
                  <c:v>41.124761853899273</c:v>
                </c:pt>
                <c:pt idx="28">
                  <c:v>46.796666644868402</c:v>
                </c:pt>
                <c:pt idx="29">
                  <c:v>48.853181665593929</c:v>
                </c:pt>
                <c:pt idx="30">
                  <c:v>44.799499702453623</c:v>
                </c:pt>
                <c:pt idx="31">
                  <c:v>44.799130812935211</c:v>
                </c:pt>
                <c:pt idx="32">
                  <c:v>45.225714365641267</c:v>
                </c:pt>
                <c:pt idx="33">
                  <c:v>49.869499969482419</c:v>
                </c:pt>
                <c:pt idx="34">
                  <c:v>45.881999778747563</c:v>
                </c:pt>
                <c:pt idx="35">
                  <c:v>52.165714990525018</c:v>
                </c:pt>
                <c:pt idx="36">
                  <c:v>52.608499717712412</c:v>
                </c:pt>
                <c:pt idx="37">
                  <c:v>53.462105600457441</c:v>
                </c:pt>
                <c:pt idx="38">
                  <c:v>49.673913209334657</c:v>
                </c:pt>
                <c:pt idx="39">
                  <c:v>51.11736899928043</c:v>
                </c:pt>
                <c:pt idx="40">
                  <c:v>48.539545752785422</c:v>
                </c:pt>
                <c:pt idx="41">
                  <c:v>45.19590950012207</c:v>
                </c:pt>
                <c:pt idx="42">
                  <c:v>46.675000381469729</c:v>
                </c:pt>
                <c:pt idx="43">
                  <c:v>48.057825668998383</c:v>
                </c:pt>
                <c:pt idx="44">
                  <c:v>49.876999855041497</c:v>
                </c:pt>
                <c:pt idx="45">
                  <c:v>51.594545884565868</c:v>
                </c:pt>
                <c:pt idx="46">
                  <c:v>56.662857418968557</c:v>
                </c:pt>
                <c:pt idx="47">
                  <c:v>57.946999931335448</c:v>
                </c:pt>
                <c:pt idx="48">
                  <c:v>63.659047807965962</c:v>
                </c:pt>
                <c:pt idx="49">
                  <c:v>62.183684298866673</c:v>
                </c:pt>
                <c:pt idx="50">
                  <c:v>62.771904899960482</c:v>
                </c:pt>
                <c:pt idx="51">
                  <c:v>66.32523781912667</c:v>
                </c:pt>
                <c:pt idx="52">
                  <c:v>69.983180999755859</c:v>
                </c:pt>
                <c:pt idx="53">
                  <c:v>67.322856721423918</c:v>
                </c:pt>
                <c:pt idx="54">
                  <c:v>70.58190518333798</c:v>
                </c:pt>
                <c:pt idx="55">
                  <c:v>67.84521782916525</c:v>
                </c:pt>
                <c:pt idx="56">
                  <c:v>70.084737275776106</c:v>
                </c:pt>
                <c:pt idx="57">
                  <c:v>70.757826100225031</c:v>
                </c:pt>
                <c:pt idx="58">
                  <c:v>56.693332853771388</c:v>
                </c:pt>
                <c:pt idx="59">
                  <c:v>48.777369248239623</c:v>
                </c:pt>
                <c:pt idx="60">
                  <c:v>51.550476255870997</c:v>
                </c:pt>
                <c:pt idx="61">
                  <c:v>54.980525970458977</c:v>
                </c:pt>
                <c:pt idx="62">
                  <c:v>58.168095179966521</c:v>
                </c:pt>
                <c:pt idx="63">
                  <c:v>63.870952606201172</c:v>
                </c:pt>
                <c:pt idx="64">
                  <c:v>60.865454413674087</c:v>
                </c:pt>
                <c:pt idx="65">
                  <c:v>54.706500244140628</c:v>
                </c:pt>
                <c:pt idx="66">
                  <c:v>57.546363830566413</c:v>
                </c:pt>
                <c:pt idx="67">
                  <c:v>54.844090548428618</c:v>
                </c:pt>
                <c:pt idx="68">
                  <c:v>56.967000007629387</c:v>
                </c:pt>
                <c:pt idx="69">
                  <c:v>54.005652552065641</c:v>
                </c:pt>
                <c:pt idx="70">
                  <c:v>57.070000076293937</c:v>
                </c:pt>
                <c:pt idx="71">
                  <c:v>59.804761977422807</c:v>
                </c:pt>
                <c:pt idx="72">
                  <c:v>57.528571900867277</c:v>
                </c:pt>
                <c:pt idx="73">
                  <c:v>50.542105022229649</c:v>
                </c:pt>
                <c:pt idx="74">
                  <c:v>30.445454597473141</c:v>
                </c:pt>
                <c:pt idx="75">
                  <c:v>16.699047678992859</c:v>
                </c:pt>
                <c:pt idx="76">
                  <c:v>28.527499961853032</c:v>
                </c:pt>
                <c:pt idx="77">
                  <c:v>38.313636086203843</c:v>
                </c:pt>
                <c:pt idx="78">
                  <c:v>40.765909194946289</c:v>
                </c:pt>
                <c:pt idx="79">
                  <c:v>42.388095129103888</c:v>
                </c:pt>
                <c:pt idx="80">
                  <c:v>39.625714074997667</c:v>
                </c:pt>
                <c:pt idx="81">
                  <c:v>39.554545315829188</c:v>
                </c:pt>
                <c:pt idx="82">
                  <c:v>41.346500396728523</c:v>
                </c:pt>
                <c:pt idx="83">
                  <c:v>47.068181471391163</c:v>
                </c:pt>
                <c:pt idx="84">
                  <c:v>52.102105592426497</c:v>
                </c:pt>
                <c:pt idx="85">
                  <c:v>59.061052623548008</c:v>
                </c:pt>
                <c:pt idx="86">
                  <c:v>62.357391357421882</c:v>
                </c:pt>
                <c:pt idx="87">
                  <c:v>61.703809828985307</c:v>
                </c:pt>
                <c:pt idx="88">
                  <c:v>65.156999778747561</c:v>
                </c:pt>
                <c:pt idx="89">
                  <c:v>71.352728756991297</c:v>
                </c:pt>
                <c:pt idx="90">
                  <c:v>72.430476597377236</c:v>
                </c:pt>
                <c:pt idx="91">
                  <c:v>67.711363185535774</c:v>
                </c:pt>
                <c:pt idx="92">
                  <c:v>71.544762021019352</c:v>
                </c:pt>
                <c:pt idx="93">
                  <c:v>81.222857520693822</c:v>
                </c:pt>
                <c:pt idx="94">
                  <c:v>78.625454295765266</c:v>
                </c:pt>
                <c:pt idx="95">
                  <c:v>71.690000707452953</c:v>
                </c:pt>
                <c:pt idx="96">
                  <c:v>82.979000091552734</c:v>
                </c:pt>
                <c:pt idx="97">
                  <c:v>91.628946806255144</c:v>
                </c:pt>
                <c:pt idx="98">
                  <c:v>108.26217385996939</c:v>
                </c:pt>
                <c:pt idx="99">
                  <c:v>101.64049949646</c:v>
                </c:pt>
                <c:pt idx="100">
                  <c:v>109.259522937593</c:v>
                </c:pt>
                <c:pt idx="101">
                  <c:v>114.1540912281383</c:v>
                </c:pt>
                <c:pt idx="102">
                  <c:v>100.7322218153212</c:v>
                </c:pt>
              </c:numCache>
            </c:numRef>
          </c:val>
          <c:smooth val="0"/>
          <c:extLst>
            <c:ext xmlns:c16="http://schemas.microsoft.com/office/drawing/2014/chart" uri="{C3380CC4-5D6E-409C-BE32-E72D297353CC}">
              <c16:uniqueId val="{00000002-F631-4188-97D5-7D20E12804A5}"/>
            </c:ext>
          </c:extLst>
        </c:ser>
        <c:dLbls>
          <c:showLegendKey val="0"/>
          <c:showVal val="0"/>
          <c:showCatName val="0"/>
          <c:showSerName val="0"/>
          <c:showPercent val="0"/>
          <c:showBubbleSize val="0"/>
        </c:dLbls>
        <c:smooth val="0"/>
        <c:axId val="50050001"/>
        <c:axId val="50050002"/>
      </c:lineChart>
      <c:dateAx>
        <c:axId val="50050001"/>
        <c:scaling>
          <c:orientation val="minMax"/>
        </c:scaling>
        <c:delete val="0"/>
        <c:axPos val="b"/>
        <c:numFmt formatCode="mm\-yyyy" sourceLinked="1"/>
        <c:majorTickMark val="out"/>
        <c:minorTickMark val="none"/>
        <c:tickLblPos val="low"/>
        <c:txPr>
          <a:bodyPr rot="-1680000" vert="horz"/>
          <a:lstStyle/>
          <a:p>
            <a:pPr>
              <a:defRPr sz="600"/>
            </a:pPr>
            <a:endParaRPr lang="es-GT"/>
          </a:p>
        </c:txPr>
        <c:crossAx val="50050002"/>
        <c:crosses val="autoZero"/>
        <c:auto val="1"/>
        <c:lblOffset val="100"/>
        <c:baseTimeUnit val="months"/>
        <c:majorUnit val="5"/>
      </c:dateAx>
      <c:valAx>
        <c:axId val="50050002"/>
        <c:scaling>
          <c:orientation val="minMax"/>
        </c:scaling>
        <c:delete val="0"/>
        <c:axPos val="l"/>
        <c:title>
          <c:tx>
            <c:rich>
              <a:bodyPr rot="-5400000" vert="horz"/>
              <a:lstStyle/>
              <a:p>
                <a:pPr>
                  <a:defRPr/>
                </a:pPr>
                <a:r>
                  <a:rPr lang="en-US"/>
                  <a:t>US/barril$</a:t>
                </a:r>
              </a:p>
            </c:rich>
          </c:tx>
          <c:overlay val="0"/>
        </c:title>
        <c:numFmt formatCode="General" sourceLinked="1"/>
        <c:majorTickMark val="out"/>
        <c:minorTickMark val="none"/>
        <c:tickLblPos val="nextTo"/>
        <c:crossAx val="50050001"/>
        <c:crosses val="autoZero"/>
        <c:crossBetween val="between"/>
      </c:valAx>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74880952380954"/>
          <c:y val="7.4699305555555554E-2"/>
          <c:w val="0.68352222222222225"/>
          <c:h val="0.66769305555555547"/>
        </c:manualLayout>
      </c:layout>
      <c:lineChart>
        <c:grouping val="standard"/>
        <c:varyColors val="0"/>
        <c:ser>
          <c:idx val="0"/>
          <c:order val="0"/>
          <c:tx>
            <c:v>Mundo</c:v>
          </c:tx>
          <c:spPr>
            <a:ln w="19050" cap="rnd">
              <a:solidFill>
                <a:srgbClr val="002060"/>
              </a:solidFill>
              <a:round/>
            </a:ln>
            <a:effectLst/>
          </c:spPr>
          <c:marker>
            <c:symbol val="none"/>
          </c:marker>
          <c:cat>
            <c:numRef>
              <c:f>Hoja5!$AH$4:$AH$920</c:f>
              <c:numCache>
                <c:formatCode>mm/dd/yyyy</c:formatCode>
                <c:ptCount val="917"/>
                <c:pt idx="0">
                  <c:v>43852</c:v>
                </c:pt>
                <c:pt idx="1">
                  <c:v>43853</c:v>
                </c:pt>
                <c:pt idx="2">
                  <c:v>43854</c:v>
                </c:pt>
                <c:pt idx="3">
                  <c:v>43855</c:v>
                </c:pt>
                <c:pt idx="4">
                  <c:v>43856</c:v>
                </c:pt>
                <c:pt idx="5">
                  <c:v>43857</c:v>
                </c:pt>
                <c:pt idx="6">
                  <c:v>43858</c:v>
                </c:pt>
                <c:pt idx="7">
                  <c:v>43859</c:v>
                </c:pt>
                <c:pt idx="8">
                  <c:v>43860</c:v>
                </c:pt>
                <c:pt idx="9">
                  <c:v>43861</c:v>
                </c:pt>
                <c:pt idx="10">
                  <c:v>43862</c:v>
                </c:pt>
                <c:pt idx="11">
                  <c:v>43863</c:v>
                </c:pt>
                <c:pt idx="12">
                  <c:v>43864</c:v>
                </c:pt>
                <c:pt idx="13">
                  <c:v>43865</c:v>
                </c:pt>
                <c:pt idx="14">
                  <c:v>43866</c:v>
                </c:pt>
                <c:pt idx="15">
                  <c:v>43867</c:v>
                </c:pt>
                <c:pt idx="16">
                  <c:v>43868</c:v>
                </c:pt>
                <c:pt idx="17">
                  <c:v>43869</c:v>
                </c:pt>
                <c:pt idx="18">
                  <c:v>43870</c:v>
                </c:pt>
                <c:pt idx="19">
                  <c:v>43871</c:v>
                </c:pt>
                <c:pt idx="20">
                  <c:v>43872</c:v>
                </c:pt>
                <c:pt idx="21">
                  <c:v>43873</c:v>
                </c:pt>
                <c:pt idx="22">
                  <c:v>43874</c:v>
                </c:pt>
                <c:pt idx="23">
                  <c:v>43875</c:v>
                </c:pt>
                <c:pt idx="24">
                  <c:v>43876</c:v>
                </c:pt>
                <c:pt idx="25">
                  <c:v>43877</c:v>
                </c:pt>
                <c:pt idx="26">
                  <c:v>43878</c:v>
                </c:pt>
                <c:pt idx="27">
                  <c:v>43879</c:v>
                </c:pt>
                <c:pt idx="28">
                  <c:v>43880</c:v>
                </c:pt>
                <c:pt idx="29">
                  <c:v>43881</c:v>
                </c:pt>
                <c:pt idx="30">
                  <c:v>43882</c:v>
                </c:pt>
                <c:pt idx="31">
                  <c:v>43883</c:v>
                </c:pt>
                <c:pt idx="32">
                  <c:v>43884</c:v>
                </c:pt>
                <c:pt idx="33">
                  <c:v>43885</c:v>
                </c:pt>
                <c:pt idx="34">
                  <c:v>43886</c:v>
                </c:pt>
                <c:pt idx="35">
                  <c:v>43887</c:v>
                </c:pt>
                <c:pt idx="36">
                  <c:v>43888</c:v>
                </c:pt>
                <c:pt idx="37">
                  <c:v>43889</c:v>
                </c:pt>
                <c:pt idx="38">
                  <c:v>43890</c:v>
                </c:pt>
                <c:pt idx="39">
                  <c:v>43891</c:v>
                </c:pt>
                <c:pt idx="40">
                  <c:v>43892</c:v>
                </c:pt>
                <c:pt idx="41">
                  <c:v>43893</c:v>
                </c:pt>
                <c:pt idx="42">
                  <c:v>43894</c:v>
                </c:pt>
                <c:pt idx="43">
                  <c:v>43895</c:v>
                </c:pt>
                <c:pt idx="44">
                  <c:v>43896</c:v>
                </c:pt>
                <c:pt idx="45">
                  <c:v>43897</c:v>
                </c:pt>
                <c:pt idx="46">
                  <c:v>43898</c:v>
                </c:pt>
                <c:pt idx="47">
                  <c:v>43899</c:v>
                </c:pt>
                <c:pt idx="48">
                  <c:v>43900</c:v>
                </c:pt>
                <c:pt idx="49">
                  <c:v>43901</c:v>
                </c:pt>
                <c:pt idx="50">
                  <c:v>43902</c:v>
                </c:pt>
                <c:pt idx="51">
                  <c:v>43903</c:v>
                </c:pt>
                <c:pt idx="52">
                  <c:v>43904</c:v>
                </c:pt>
                <c:pt idx="53">
                  <c:v>43905</c:v>
                </c:pt>
                <c:pt idx="54">
                  <c:v>43906</c:v>
                </c:pt>
                <c:pt idx="55">
                  <c:v>43907</c:v>
                </c:pt>
                <c:pt idx="56">
                  <c:v>43908</c:v>
                </c:pt>
                <c:pt idx="57">
                  <c:v>43909</c:v>
                </c:pt>
                <c:pt idx="58">
                  <c:v>43910</c:v>
                </c:pt>
                <c:pt idx="59">
                  <c:v>43911</c:v>
                </c:pt>
                <c:pt idx="60">
                  <c:v>43912</c:v>
                </c:pt>
                <c:pt idx="61">
                  <c:v>43913</c:v>
                </c:pt>
                <c:pt idx="62">
                  <c:v>43914</c:v>
                </c:pt>
                <c:pt idx="63">
                  <c:v>43915</c:v>
                </c:pt>
                <c:pt idx="64">
                  <c:v>43916</c:v>
                </c:pt>
                <c:pt idx="65">
                  <c:v>43917</c:v>
                </c:pt>
                <c:pt idx="66">
                  <c:v>43918</c:v>
                </c:pt>
                <c:pt idx="67">
                  <c:v>43919</c:v>
                </c:pt>
                <c:pt idx="68">
                  <c:v>43920</c:v>
                </c:pt>
                <c:pt idx="69">
                  <c:v>43921</c:v>
                </c:pt>
                <c:pt idx="70">
                  <c:v>43922</c:v>
                </c:pt>
                <c:pt idx="71">
                  <c:v>43923</c:v>
                </c:pt>
                <c:pt idx="72">
                  <c:v>43924</c:v>
                </c:pt>
                <c:pt idx="73">
                  <c:v>43925</c:v>
                </c:pt>
                <c:pt idx="74">
                  <c:v>43926</c:v>
                </c:pt>
                <c:pt idx="75">
                  <c:v>43927</c:v>
                </c:pt>
                <c:pt idx="76">
                  <c:v>43928</c:v>
                </c:pt>
                <c:pt idx="77">
                  <c:v>43929</c:v>
                </c:pt>
                <c:pt idx="78">
                  <c:v>43930</c:v>
                </c:pt>
                <c:pt idx="79">
                  <c:v>43931</c:v>
                </c:pt>
                <c:pt idx="80">
                  <c:v>43932</c:v>
                </c:pt>
                <c:pt idx="81">
                  <c:v>43933</c:v>
                </c:pt>
                <c:pt idx="82">
                  <c:v>43934</c:v>
                </c:pt>
                <c:pt idx="83">
                  <c:v>43935</c:v>
                </c:pt>
                <c:pt idx="84">
                  <c:v>43936</c:v>
                </c:pt>
                <c:pt idx="85">
                  <c:v>43937</c:v>
                </c:pt>
                <c:pt idx="86">
                  <c:v>43938</c:v>
                </c:pt>
                <c:pt idx="87">
                  <c:v>43939</c:v>
                </c:pt>
                <c:pt idx="88">
                  <c:v>43940</c:v>
                </c:pt>
                <c:pt idx="89">
                  <c:v>43941</c:v>
                </c:pt>
                <c:pt idx="90">
                  <c:v>43942</c:v>
                </c:pt>
                <c:pt idx="91">
                  <c:v>43943</c:v>
                </c:pt>
                <c:pt idx="92">
                  <c:v>43944</c:v>
                </c:pt>
                <c:pt idx="93">
                  <c:v>43945</c:v>
                </c:pt>
                <c:pt idx="94">
                  <c:v>43946</c:v>
                </c:pt>
                <c:pt idx="95">
                  <c:v>43947</c:v>
                </c:pt>
                <c:pt idx="96">
                  <c:v>43948</c:v>
                </c:pt>
                <c:pt idx="97">
                  <c:v>43949</c:v>
                </c:pt>
                <c:pt idx="98">
                  <c:v>43950</c:v>
                </c:pt>
                <c:pt idx="99">
                  <c:v>43951</c:v>
                </c:pt>
                <c:pt idx="100">
                  <c:v>43952</c:v>
                </c:pt>
                <c:pt idx="101">
                  <c:v>43953</c:v>
                </c:pt>
                <c:pt idx="102">
                  <c:v>43954</c:v>
                </c:pt>
                <c:pt idx="103">
                  <c:v>43955</c:v>
                </c:pt>
                <c:pt idx="104">
                  <c:v>43956</c:v>
                </c:pt>
                <c:pt idx="105">
                  <c:v>43957</c:v>
                </c:pt>
                <c:pt idx="106">
                  <c:v>43958</c:v>
                </c:pt>
                <c:pt idx="107">
                  <c:v>43959</c:v>
                </c:pt>
                <c:pt idx="108">
                  <c:v>43960</c:v>
                </c:pt>
                <c:pt idx="109">
                  <c:v>43961</c:v>
                </c:pt>
                <c:pt idx="110">
                  <c:v>43962</c:v>
                </c:pt>
                <c:pt idx="111">
                  <c:v>43963</c:v>
                </c:pt>
                <c:pt idx="112">
                  <c:v>43964</c:v>
                </c:pt>
                <c:pt idx="113">
                  <c:v>43965</c:v>
                </c:pt>
                <c:pt idx="114">
                  <c:v>43966</c:v>
                </c:pt>
                <c:pt idx="115">
                  <c:v>43967</c:v>
                </c:pt>
                <c:pt idx="116">
                  <c:v>43968</c:v>
                </c:pt>
                <c:pt idx="117">
                  <c:v>43969</c:v>
                </c:pt>
                <c:pt idx="118">
                  <c:v>43970</c:v>
                </c:pt>
                <c:pt idx="119">
                  <c:v>43971</c:v>
                </c:pt>
                <c:pt idx="120">
                  <c:v>43972</c:v>
                </c:pt>
                <c:pt idx="121">
                  <c:v>43973</c:v>
                </c:pt>
                <c:pt idx="122">
                  <c:v>43974</c:v>
                </c:pt>
                <c:pt idx="123">
                  <c:v>43975</c:v>
                </c:pt>
                <c:pt idx="124">
                  <c:v>43976</c:v>
                </c:pt>
                <c:pt idx="125">
                  <c:v>43977</c:v>
                </c:pt>
                <c:pt idx="126">
                  <c:v>43978</c:v>
                </c:pt>
                <c:pt idx="127">
                  <c:v>43979</c:v>
                </c:pt>
                <c:pt idx="128">
                  <c:v>43980</c:v>
                </c:pt>
                <c:pt idx="129">
                  <c:v>43981</c:v>
                </c:pt>
                <c:pt idx="130">
                  <c:v>43982</c:v>
                </c:pt>
                <c:pt idx="131">
                  <c:v>43983</c:v>
                </c:pt>
                <c:pt idx="132">
                  <c:v>43984</c:v>
                </c:pt>
                <c:pt idx="133">
                  <c:v>43985</c:v>
                </c:pt>
                <c:pt idx="134">
                  <c:v>43986</c:v>
                </c:pt>
                <c:pt idx="135">
                  <c:v>43987</c:v>
                </c:pt>
                <c:pt idx="136">
                  <c:v>43988</c:v>
                </c:pt>
                <c:pt idx="137">
                  <c:v>43989</c:v>
                </c:pt>
                <c:pt idx="138">
                  <c:v>43990</c:v>
                </c:pt>
                <c:pt idx="139">
                  <c:v>43991</c:v>
                </c:pt>
                <c:pt idx="140">
                  <c:v>43992</c:v>
                </c:pt>
                <c:pt idx="141">
                  <c:v>43993</c:v>
                </c:pt>
                <c:pt idx="142">
                  <c:v>43994</c:v>
                </c:pt>
                <c:pt idx="143">
                  <c:v>43995</c:v>
                </c:pt>
                <c:pt idx="144">
                  <c:v>43996</c:v>
                </c:pt>
                <c:pt idx="145">
                  <c:v>43997</c:v>
                </c:pt>
                <c:pt idx="146">
                  <c:v>43998</c:v>
                </c:pt>
                <c:pt idx="147">
                  <c:v>43999</c:v>
                </c:pt>
                <c:pt idx="148">
                  <c:v>44000</c:v>
                </c:pt>
                <c:pt idx="149">
                  <c:v>44001</c:v>
                </c:pt>
                <c:pt idx="150">
                  <c:v>44002</c:v>
                </c:pt>
                <c:pt idx="151">
                  <c:v>44003</c:v>
                </c:pt>
                <c:pt idx="152">
                  <c:v>44004</c:v>
                </c:pt>
                <c:pt idx="153">
                  <c:v>44005</c:v>
                </c:pt>
                <c:pt idx="154">
                  <c:v>44006</c:v>
                </c:pt>
                <c:pt idx="155">
                  <c:v>44007</c:v>
                </c:pt>
                <c:pt idx="156">
                  <c:v>44008</c:v>
                </c:pt>
                <c:pt idx="157">
                  <c:v>44009</c:v>
                </c:pt>
                <c:pt idx="158">
                  <c:v>44010</c:v>
                </c:pt>
                <c:pt idx="159">
                  <c:v>44011</c:v>
                </c:pt>
                <c:pt idx="160">
                  <c:v>44012</c:v>
                </c:pt>
                <c:pt idx="161">
                  <c:v>44013</c:v>
                </c:pt>
                <c:pt idx="162">
                  <c:v>44014</c:v>
                </c:pt>
                <c:pt idx="163">
                  <c:v>44015</c:v>
                </c:pt>
                <c:pt idx="164">
                  <c:v>44016</c:v>
                </c:pt>
                <c:pt idx="165">
                  <c:v>44017</c:v>
                </c:pt>
                <c:pt idx="166">
                  <c:v>44018</c:v>
                </c:pt>
                <c:pt idx="167">
                  <c:v>44019</c:v>
                </c:pt>
                <c:pt idx="168">
                  <c:v>44020</c:v>
                </c:pt>
                <c:pt idx="169">
                  <c:v>44021</c:v>
                </c:pt>
                <c:pt idx="170">
                  <c:v>44022</c:v>
                </c:pt>
                <c:pt idx="171">
                  <c:v>44023</c:v>
                </c:pt>
                <c:pt idx="172">
                  <c:v>44024</c:v>
                </c:pt>
                <c:pt idx="173">
                  <c:v>44025</c:v>
                </c:pt>
                <c:pt idx="174">
                  <c:v>44026</c:v>
                </c:pt>
                <c:pt idx="175">
                  <c:v>44027</c:v>
                </c:pt>
                <c:pt idx="176">
                  <c:v>44028</c:v>
                </c:pt>
                <c:pt idx="177">
                  <c:v>44029</c:v>
                </c:pt>
                <c:pt idx="178">
                  <c:v>44030</c:v>
                </c:pt>
                <c:pt idx="179">
                  <c:v>44031</c:v>
                </c:pt>
                <c:pt idx="180">
                  <c:v>44032</c:v>
                </c:pt>
                <c:pt idx="181">
                  <c:v>44033</c:v>
                </c:pt>
                <c:pt idx="182">
                  <c:v>44034</c:v>
                </c:pt>
                <c:pt idx="183">
                  <c:v>44035</c:v>
                </c:pt>
                <c:pt idx="184">
                  <c:v>44036</c:v>
                </c:pt>
                <c:pt idx="185">
                  <c:v>44037</c:v>
                </c:pt>
                <c:pt idx="186">
                  <c:v>44038</c:v>
                </c:pt>
                <c:pt idx="187">
                  <c:v>44039</c:v>
                </c:pt>
                <c:pt idx="188">
                  <c:v>44040</c:v>
                </c:pt>
                <c:pt idx="189">
                  <c:v>44041</c:v>
                </c:pt>
                <c:pt idx="190">
                  <c:v>44042</c:v>
                </c:pt>
                <c:pt idx="191">
                  <c:v>44043</c:v>
                </c:pt>
                <c:pt idx="192">
                  <c:v>44044</c:v>
                </c:pt>
                <c:pt idx="193">
                  <c:v>44045</c:v>
                </c:pt>
                <c:pt idx="194">
                  <c:v>44046</c:v>
                </c:pt>
                <c:pt idx="195">
                  <c:v>44047</c:v>
                </c:pt>
                <c:pt idx="196">
                  <c:v>44048</c:v>
                </c:pt>
                <c:pt idx="197">
                  <c:v>44049</c:v>
                </c:pt>
                <c:pt idx="198">
                  <c:v>44050</c:v>
                </c:pt>
                <c:pt idx="199">
                  <c:v>44051</c:v>
                </c:pt>
                <c:pt idx="200">
                  <c:v>44052</c:v>
                </c:pt>
                <c:pt idx="201">
                  <c:v>44053</c:v>
                </c:pt>
                <c:pt idx="202">
                  <c:v>44054</c:v>
                </c:pt>
                <c:pt idx="203">
                  <c:v>44055</c:v>
                </c:pt>
                <c:pt idx="204">
                  <c:v>44056</c:v>
                </c:pt>
                <c:pt idx="205">
                  <c:v>44057</c:v>
                </c:pt>
                <c:pt idx="206">
                  <c:v>44058</c:v>
                </c:pt>
                <c:pt idx="207">
                  <c:v>44059</c:v>
                </c:pt>
                <c:pt idx="208">
                  <c:v>44060</c:v>
                </c:pt>
                <c:pt idx="209">
                  <c:v>44061</c:v>
                </c:pt>
                <c:pt idx="210">
                  <c:v>44062</c:v>
                </c:pt>
                <c:pt idx="211">
                  <c:v>44063</c:v>
                </c:pt>
                <c:pt idx="212">
                  <c:v>44064</c:v>
                </c:pt>
                <c:pt idx="213">
                  <c:v>44065</c:v>
                </c:pt>
                <c:pt idx="214">
                  <c:v>44066</c:v>
                </c:pt>
                <c:pt idx="215">
                  <c:v>44067</c:v>
                </c:pt>
                <c:pt idx="216">
                  <c:v>44068</c:v>
                </c:pt>
                <c:pt idx="217">
                  <c:v>44069</c:v>
                </c:pt>
                <c:pt idx="218">
                  <c:v>44070</c:v>
                </c:pt>
                <c:pt idx="219">
                  <c:v>44071</c:v>
                </c:pt>
                <c:pt idx="220">
                  <c:v>44072</c:v>
                </c:pt>
                <c:pt idx="221">
                  <c:v>44073</c:v>
                </c:pt>
                <c:pt idx="222">
                  <c:v>44074</c:v>
                </c:pt>
                <c:pt idx="223">
                  <c:v>44075</c:v>
                </c:pt>
                <c:pt idx="224">
                  <c:v>44076</c:v>
                </c:pt>
                <c:pt idx="225">
                  <c:v>44077</c:v>
                </c:pt>
                <c:pt idx="226">
                  <c:v>44078</c:v>
                </c:pt>
                <c:pt idx="227">
                  <c:v>44079</c:v>
                </c:pt>
                <c:pt idx="228">
                  <c:v>44080</c:v>
                </c:pt>
                <c:pt idx="229">
                  <c:v>44081</c:v>
                </c:pt>
                <c:pt idx="230">
                  <c:v>44082</c:v>
                </c:pt>
                <c:pt idx="231">
                  <c:v>44083</c:v>
                </c:pt>
                <c:pt idx="232">
                  <c:v>44084</c:v>
                </c:pt>
                <c:pt idx="233">
                  <c:v>44085</c:v>
                </c:pt>
                <c:pt idx="234">
                  <c:v>44086</c:v>
                </c:pt>
                <c:pt idx="235">
                  <c:v>44087</c:v>
                </c:pt>
                <c:pt idx="236">
                  <c:v>44088</c:v>
                </c:pt>
                <c:pt idx="237">
                  <c:v>44089</c:v>
                </c:pt>
                <c:pt idx="238">
                  <c:v>44090</c:v>
                </c:pt>
                <c:pt idx="239">
                  <c:v>44091</c:v>
                </c:pt>
                <c:pt idx="240">
                  <c:v>44092</c:v>
                </c:pt>
                <c:pt idx="241">
                  <c:v>44093</c:v>
                </c:pt>
                <c:pt idx="242">
                  <c:v>44094</c:v>
                </c:pt>
                <c:pt idx="243">
                  <c:v>44095</c:v>
                </c:pt>
                <c:pt idx="244">
                  <c:v>44096</c:v>
                </c:pt>
                <c:pt idx="245">
                  <c:v>44097</c:v>
                </c:pt>
                <c:pt idx="246">
                  <c:v>44098</c:v>
                </c:pt>
                <c:pt idx="247">
                  <c:v>44099</c:v>
                </c:pt>
                <c:pt idx="248">
                  <c:v>44100</c:v>
                </c:pt>
                <c:pt idx="249">
                  <c:v>44101</c:v>
                </c:pt>
                <c:pt idx="250">
                  <c:v>44102</c:v>
                </c:pt>
                <c:pt idx="251">
                  <c:v>44103</c:v>
                </c:pt>
                <c:pt idx="252">
                  <c:v>44104</c:v>
                </c:pt>
                <c:pt idx="253">
                  <c:v>44105</c:v>
                </c:pt>
                <c:pt idx="254">
                  <c:v>44106</c:v>
                </c:pt>
                <c:pt idx="255">
                  <c:v>44107</c:v>
                </c:pt>
                <c:pt idx="256">
                  <c:v>44108</c:v>
                </c:pt>
                <c:pt idx="257">
                  <c:v>44109</c:v>
                </c:pt>
                <c:pt idx="258">
                  <c:v>44110</c:v>
                </c:pt>
                <c:pt idx="259">
                  <c:v>44111</c:v>
                </c:pt>
                <c:pt idx="260">
                  <c:v>44112</c:v>
                </c:pt>
                <c:pt idx="261">
                  <c:v>44113</c:v>
                </c:pt>
                <c:pt idx="262">
                  <c:v>44114</c:v>
                </c:pt>
                <c:pt idx="263">
                  <c:v>44115</c:v>
                </c:pt>
                <c:pt idx="264">
                  <c:v>44116</c:v>
                </c:pt>
                <c:pt idx="265">
                  <c:v>44117</c:v>
                </c:pt>
                <c:pt idx="266">
                  <c:v>44118</c:v>
                </c:pt>
                <c:pt idx="267">
                  <c:v>44119</c:v>
                </c:pt>
                <c:pt idx="268">
                  <c:v>44120</c:v>
                </c:pt>
                <c:pt idx="269">
                  <c:v>44121</c:v>
                </c:pt>
                <c:pt idx="270">
                  <c:v>44122</c:v>
                </c:pt>
                <c:pt idx="271">
                  <c:v>44123</c:v>
                </c:pt>
                <c:pt idx="272">
                  <c:v>44124</c:v>
                </c:pt>
                <c:pt idx="273">
                  <c:v>44125</c:v>
                </c:pt>
                <c:pt idx="274">
                  <c:v>44126</c:v>
                </c:pt>
                <c:pt idx="275">
                  <c:v>44127</c:v>
                </c:pt>
                <c:pt idx="276">
                  <c:v>44128</c:v>
                </c:pt>
                <c:pt idx="277">
                  <c:v>44129</c:v>
                </c:pt>
                <c:pt idx="278">
                  <c:v>44130</c:v>
                </c:pt>
                <c:pt idx="279">
                  <c:v>44131</c:v>
                </c:pt>
                <c:pt idx="280">
                  <c:v>44132</c:v>
                </c:pt>
                <c:pt idx="281">
                  <c:v>44133</c:v>
                </c:pt>
                <c:pt idx="282">
                  <c:v>44134</c:v>
                </c:pt>
                <c:pt idx="283">
                  <c:v>44135</c:v>
                </c:pt>
                <c:pt idx="284">
                  <c:v>44136</c:v>
                </c:pt>
                <c:pt idx="285">
                  <c:v>44137</c:v>
                </c:pt>
                <c:pt idx="286">
                  <c:v>44138</c:v>
                </c:pt>
                <c:pt idx="287">
                  <c:v>44139</c:v>
                </c:pt>
                <c:pt idx="288">
                  <c:v>44140</c:v>
                </c:pt>
                <c:pt idx="289">
                  <c:v>44141</c:v>
                </c:pt>
                <c:pt idx="290">
                  <c:v>44142</c:v>
                </c:pt>
                <c:pt idx="291">
                  <c:v>44143</c:v>
                </c:pt>
                <c:pt idx="292">
                  <c:v>44144</c:v>
                </c:pt>
                <c:pt idx="293">
                  <c:v>44145</c:v>
                </c:pt>
                <c:pt idx="294">
                  <c:v>44146</c:v>
                </c:pt>
                <c:pt idx="295">
                  <c:v>44147</c:v>
                </c:pt>
                <c:pt idx="296">
                  <c:v>44148</c:v>
                </c:pt>
                <c:pt idx="297">
                  <c:v>44149</c:v>
                </c:pt>
                <c:pt idx="298">
                  <c:v>44150</c:v>
                </c:pt>
                <c:pt idx="299">
                  <c:v>44151</c:v>
                </c:pt>
                <c:pt idx="300">
                  <c:v>44152</c:v>
                </c:pt>
                <c:pt idx="301">
                  <c:v>44153</c:v>
                </c:pt>
                <c:pt idx="302">
                  <c:v>44154</c:v>
                </c:pt>
                <c:pt idx="303">
                  <c:v>44155</c:v>
                </c:pt>
                <c:pt idx="304">
                  <c:v>44156</c:v>
                </c:pt>
                <c:pt idx="305">
                  <c:v>44157</c:v>
                </c:pt>
                <c:pt idx="306">
                  <c:v>44158</c:v>
                </c:pt>
                <c:pt idx="307">
                  <c:v>44159</c:v>
                </c:pt>
                <c:pt idx="308">
                  <c:v>44160</c:v>
                </c:pt>
                <c:pt idx="309">
                  <c:v>44161</c:v>
                </c:pt>
                <c:pt idx="310">
                  <c:v>44162</c:v>
                </c:pt>
                <c:pt idx="311">
                  <c:v>44163</c:v>
                </c:pt>
                <c:pt idx="312">
                  <c:v>44164</c:v>
                </c:pt>
                <c:pt idx="313">
                  <c:v>44165</c:v>
                </c:pt>
                <c:pt idx="314">
                  <c:v>44166</c:v>
                </c:pt>
                <c:pt idx="315">
                  <c:v>44167</c:v>
                </c:pt>
                <c:pt idx="316">
                  <c:v>44168</c:v>
                </c:pt>
                <c:pt idx="317">
                  <c:v>44169</c:v>
                </c:pt>
                <c:pt idx="318">
                  <c:v>44170</c:v>
                </c:pt>
                <c:pt idx="319">
                  <c:v>44171</c:v>
                </c:pt>
                <c:pt idx="320">
                  <c:v>44172</c:v>
                </c:pt>
                <c:pt idx="321">
                  <c:v>44173</c:v>
                </c:pt>
                <c:pt idx="322">
                  <c:v>44174</c:v>
                </c:pt>
                <c:pt idx="323">
                  <c:v>44175</c:v>
                </c:pt>
                <c:pt idx="324">
                  <c:v>44176</c:v>
                </c:pt>
                <c:pt idx="325">
                  <c:v>44177</c:v>
                </c:pt>
                <c:pt idx="326">
                  <c:v>44178</c:v>
                </c:pt>
                <c:pt idx="327">
                  <c:v>44179</c:v>
                </c:pt>
                <c:pt idx="328">
                  <c:v>44180</c:v>
                </c:pt>
                <c:pt idx="329">
                  <c:v>44181</c:v>
                </c:pt>
                <c:pt idx="330">
                  <c:v>44182</c:v>
                </c:pt>
                <c:pt idx="331">
                  <c:v>44183</c:v>
                </c:pt>
                <c:pt idx="332">
                  <c:v>44184</c:v>
                </c:pt>
                <c:pt idx="333">
                  <c:v>44185</c:v>
                </c:pt>
                <c:pt idx="334">
                  <c:v>44186</c:v>
                </c:pt>
                <c:pt idx="335">
                  <c:v>44187</c:v>
                </c:pt>
                <c:pt idx="336">
                  <c:v>44188</c:v>
                </c:pt>
                <c:pt idx="337">
                  <c:v>44189</c:v>
                </c:pt>
                <c:pt idx="338">
                  <c:v>44190</c:v>
                </c:pt>
                <c:pt idx="339">
                  <c:v>44191</c:v>
                </c:pt>
                <c:pt idx="340">
                  <c:v>44192</c:v>
                </c:pt>
                <c:pt idx="341">
                  <c:v>44193</c:v>
                </c:pt>
                <c:pt idx="342">
                  <c:v>44194</c:v>
                </c:pt>
                <c:pt idx="343">
                  <c:v>44195</c:v>
                </c:pt>
                <c:pt idx="344">
                  <c:v>44196</c:v>
                </c:pt>
                <c:pt idx="345">
                  <c:v>44197</c:v>
                </c:pt>
                <c:pt idx="346">
                  <c:v>44198</c:v>
                </c:pt>
                <c:pt idx="347">
                  <c:v>44199</c:v>
                </c:pt>
                <c:pt idx="348">
                  <c:v>44200</c:v>
                </c:pt>
                <c:pt idx="349">
                  <c:v>44201</c:v>
                </c:pt>
                <c:pt idx="350">
                  <c:v>44202</c:v>
                </c:pt>
                <c:pt idx="351">
                  <c:v>44203</c:v>
                </c:pt>
                <c:pt idx="352">
                  <c:v>44204</c:v>
                </c:pt>
                <c:pt idx="353">
                  <c:v>44205</c:v>
                </c:pt>
                <c:pt idx="354">
                  <c:v>44206</c:v>
                </c:pt>
                <c:pt idx="355">
                  <c:v>44207</c:v>
                </c:pt>
                <c:pt idx="356">
                  <c:v>44208</c:v>
                </c:pt>
                <c:pt idx="357">
                  <c:v>44209</c:v>
                </c:pt>
                <c:pt idx="358">
                  <c:v>44210</c:v>
                </c:pt>
                <c:pt idx="359">
                  <c:v>44211</c:v>
                </c:pt>
                <c:pt idx="360">
                  <c:v>44212</c:v>
                </c:pt>
                <c:pt idx="361">
                  <c:v>44213</c:v>
                </c:pt>
                <c:pt idx="362">
                  <c:v>44214</c:v>
                </c:pt>
                <c:pt idx="363">
                  <c:v>44215</c:v>
                </c:pt>
                <c:pt idx="364">
                  <c:v>44216</c:v>
                </c:pt>
                <c:pt idx="365">
                  <c:v>44217</c:v>
                </c:pt>
                <c:pt idx="366">
                  <c:v>44218</c:v>
                </c:pt>
                <c:pt idx="367">
                  <c:v>44219</c:v>
                </c:pt>
                <c:pt idx="368">
                  <c:v>44220</c:v>
                </c:pt>
                <c:pt idx="369">
                  <c:v>44221</c:v>
                </c:pt>
                <c:pt idx="370">
                  <c:v>44222</c:v>
                </c:pt>
                <c:pt idx="371">
                  <c:v>44223</c:v>
                </c:pt>
                <c:pt idx="372">
                  <c:v>44224</c:v>
                </c:pt>
                <c:pt idx="373">
                  <c:v>44225</c:v>
                </c:pt>
                <c:pt idx="374">
                  <c:v>44226</c:v>
                </c:pt>
                <c:pt idx="375">
                  <c:v>44227</c:v>
                </c:pt>
                <c:pt idx="376">
                  <c:v>44228</c:v>
                </c:pt>
                <c:pt idx="377">
                  <c:v>44229</c:v>
                </c:pt>
                <c:pt idx="378">
                  <c:v>44230</c:v>
                </c:pt>
                <c:pt idx="379">
                  <c:v>44231</c:v>
                </c:pt>
                <c:pt idx="380">
                  <c:v>44232</c:v>
                </c:pt>
                <c:pt idx="381">
                  <c:v>44233</c:v>
                </c:pt>
                <c:pt idx="382">
                  <c:v>44234</c:v>
                </c:pt>
                <c:pt idx="383">
                  <c:v>44235</c:v>
                </c:pt>
                <c:pt idx="384">
                  <c:v>44236</c:v>
                </c:pt>
                <c:pt idx="385">
                  <c:v>44237</c:v>
                </c:pt>
                <c:pt idx="386">
                  <c:v>44238</c:v>
                </c:pt>
                <c:pt idx="387">
                  <c:v>44239</c:v>
                </c:pt>
                <c:pt idx="388">
                  <c:v>44240</c:v>
                </c:pt>
                <c:pt idx="389">
                  <c:v>44241</c:v>
                </c:pt>
                <c:pt idx="390">
                  <c:v>44242</c:v>
                </c:pt>
                <c:pt idx="391">
                  <c:v>44243</c:v>
                </c:pt>
                <c:pt idx="392">
                  <c:v>44244</c:v>
                </c:pt>
                <c:pt idx="393">
                  <c:v>44245</c:v>
                </c:pt>
                <c:pt idx="394">
                  <c:v>44246</c:v>
                </c:pt>
                <c:pt idx="395">
                  <c:v>44247</c:v>
                </c:pt>
                <c:pt idx="396">
                  <c:v>44248</c:v>
                </c:pt>
                <c:pt idx="397">
                  <c:v>44249</c:v>
                </c:pt>
                <c:pt idx="398">
                  <c:v>44250</c:v>
                </c:pt>
                <c:pt idx="399">
                  <c:v>44251</c:v>
                </c:pt>
                <c:pt idx="400">
                  <c:v>44252</c:v>
                </c:pt>
                <c:pt idx="401">
                  <c:v>44253</c:v>
                </c:pt>
                <c:pt idx="402">
                  <c:v>44254</c:v>
                </c:pt>
                <c:pt idx="403">
                  <c:v>44255</c:v>
                </c:pt>
                <c:pt idx="404">
                  <c:v>44256</c:v>
                </c:pt>
                <c:pt idx="405">
                  <c:v>44257</c:v>
                </c:pt>
                <c:pt idx="406">
                  <c:v>44258</c:v>
                </c:pt>
                <c:pt idx="407">
                  <c:v>44259</c:v>
                </c:pt>
                <c:pt idx="408">
                  <c:v>44260</c:v>
                </c:pt>
                <c:pt idx="409">
                  <c:v>44261</c:v>
                </c:pt>
                <c:pt idx="410">
                  <c:v>44262</c:v>
                </c:pt>
                <c:pt idx="411">
                  <c:v>44263</c:v>
                </c:pt>
                <c:pt idx="412">
                  <c:v>44264</c:v>
                </c:pt>
                <c:pt idx="413">
                  <c:v>44265</c:v>
                </c:pt>
                <c:pt idx="414">
                  <c:v>44266</c:v>
                </c:pt>
                <c:pt idx="415">
                  <c:v>44267</c:v>
                </c:pt>
                <c:pt idx="416">
                  <c:v>44268</c:v>
                </c:pt>
                <c:pt idx="417">
                  <c:v>44269</c:v>
                </c:pt>
                <c:pt idx="418">
                  <c:v>44270</c:v>
                </c:pt>
                <c:pt idx="419">
                  <c:v>44271</c:v>
                </c:pt>
                <c:pt idx="420">
                  <c:v>44272</c:v>
                </c:pt>
                <c:pt idx="421">
                  <c:v>44273</c:v>
                </c:pt>
                <c:pt idx="422">
                  <c:v>44274</c:v>
                </c:pt>
                <c:pt idx="423">
                  <c:v>44275</c:v>
                </c:pt>
                <c:pt idx="424">
                  <c:v>44276</c:v>
                </c:pt>
                <c:pt idx="425">
                  <c:v>44277</c:v>
                </c:pt>
                <c:pt idx="426">
                  <c:v>44278</c:v>
                </c:pt>
                <c:pt idx="427">
                  <c:v>44279</c:v>
                </c:pt>
                <c:pt idx="428">
                  <c:v>44280</c:v>
                </c:pt>
                <c:pt idx="429">
                  <c:v>44281</c:v>
                </c:pt>
                <c:pt idx="430">
                  <c:v>44282</c:v>
                </c:pt>
                <c:pt idx="431">
                  <c:v>44283</c:v>
                </c:pt>
                <c:pt idx="432">
                  <c:v>44284</c:v>
                </c:pt>
                <c:pt idx="433">
                  <c:v>44285</c:v>
                </c:pt>
                <c:pt idx="434">
                  <c:v>44286</c:v>
                </c:pt>
                <c:pt idx="435">
                  <c:v>44287</c:v>
                </c:pt>
                <c:pt idx="436">
                  <c:v>44288</c:v>
                </c:pt>
                <c:pt idx="437">
                  <c:v>44289</c:v>
                </c:pt>
                <c:pt idx="438">
                  <c:v>44290</c:v>
                </c:pt>
                <c:pt idx="439">
                  <c:v>44291</c:v>
                </c:pt>
                <c:pt idx="440">
                  <c:v>44292</c:v>
                </c:pt>
                <c:pt idx="441">
                  <c:v>44293</c:v>
                </c:pt>
                <c:pt idx="442">
                  <c:v>44294</c:v>
                </c:pt>
                <c:pt idx="443">
                  <c:v>44295</c:v>
                </c:pt>
                <c:pt idx="444">
                  <c:v>44296</c:v>
                </c:pt>
                <c:pt idx="445">
                  <c:v>44297</c:v>
                </c:pt>
                <c:pt idx="446">
                  <c:v>44298</c:v>
                </c:pt>
                <c:pt idx="447">
                  <c:v>44299</c:v>
                </c:pt>
                <c:pt idx="448">
                  <c:v>44300</c:v>
                </c:pt>
                <c:pt idx="449">
                  <c:v>44301</c:v>
                </c:pt>
                <c:pt idx="450">
                  <c:v>44302</c:v>
                </c:pt>
                <c:pt idx="451">
                  <c:v>44303</c:v>
                </c:pt>
                <c:pt idx="452">
                  <c:v>44304</c:v>
                </c:pt>
                <c:pt idx="453">
                  <c:v>44305</c:v>
                </c:pt>
                <c:pt idx="454">
                  <c:v>44306</c:v>
                </c:pt>
                <c:pt idx="455">
                  <c:v>44307</c:v>
                </c:pt>
                <c:pt idx="456">
                  <c:v>44308</c:v>
                </c:pt>
                <c:pt idx="457">
                  <c:v>44309</c:v>
                </c:pt>
                <c:pt idx="458">
                  <c:v>44310</c:v>
                </c:pt>
                <c:pt idx="459">
                  <c:v>44311</c:v>
                </c:pt>
                <c:pt idx="460">
                  <c:v>44312</c:v>
                </c:pt>
                <c:pt idx="461">
                  <c:v>44313</c:v>
                </c:pt>
                <c:pt idx="462">
                  <c:v>44314</c:v>
                </c:pt>
                <c:pt idx="463">
                  <c:v>44315</c:v>
                </c:pt>
                <c:pt idx="464">
                  <c:v>44316</c:v>
                </c:pt>
                <c:pt idx="465">
                  <c:v>44317</c:v>
                </c:pt>
                <c:pt idx="466">
                  <c:v>44318</c:v>
                </c:pt>
                <c:pt idx="467">
                  <c:v>44319</c:v>
                </c:pt>
                <c:pt idx="468">
                  <c:v>44320</c:v>
                </c:pt>
                <c:pt idx="469">
                  <c:v>44321</c:v>
                </c:pt>
                <c:pt idx="470">
                  <c:v>44322</c:v>
                </c:pt>
                <c:pt idx="471">
                  <c:v>44323</c:v>
                </c:pt>
                <c:pt idx="472">
                  <c:v>44324</c:v>
                </c:pt>
                <c:pt idx="473">
                  <c:v>44325</c:v>
                </c:pt>
                <c:pt idx="474">
                  <c:v>44326</c:v>
                </c:pt>
                <c:pt idx="475">
                  <c:v>44327</c:v>
                </c:pt>
                <c:pt idx="476">
                  <c:v>44328</c:v>
                </c:pt>
                <c:pt idx="477">
                  <c:v>44329</c:v>
                </c:pt>
                <c:pt idx="478">
                  <c:v>44330</c:v>
                </c:pt>
                <c:pt idx="479">
                  <c:v>44331</c:v>
                </c:pt>
                <c:pt idx="480">
                  <c:v>44332</c:v>
                </c:pt>
                <c:pt idx="481">
                  <c:v>44333</c:v>
                </c:pt>
                <c:pt idx="482">
                  <c:v>44334</c:v>
                </c:pt>
                <c:pt idx="483">
                  <c:v>44335</c:v>
                </c:pt>
                <c:pt idx="484">
                  <c:v>44336</c:v>
                </c:pt>
                <c:pt idx="485">
                  <c:v>44337</c:v>
                </c:pt>
                <c:pt idx="486">
                  <c:v>44338</c:v>
                </c:pt>
                <c:pt idx="487">
                  <c:v>44339</c:v>
                </c:pt>
                <c:pt idx="488">
                  <c:v>44340</c:v>
                </c:pt>
                <c:pt idx="489">
                  <c:v>44341</c:v>
                </c:pt>
                <c:pt idx="490">
                  <c:v>44342</c:v>
                </c:pt>
                <c:pt idx="491">
                  <c:v>44343</c:v>
                </c:pt>
                <c:pt idx="492">
                  <c:v>44344</c:v>
                </c:pt>
                <c:pt idx="493">
                  <c:v>44345</c:v>
                </c:pt>
                <c:pt idx="494">
                  <c:v>44346</c:v>
                </c:pt>
                <c:pt idx="495">
                  <c:v>44347</c:v>
                </c:pt>
                <c:pt idx="496">
                  <c:v>44348</c:v>
                </c:pt>
                <c:pt idx="497">
                  <c:v>44349</c:v>
                </c:pt>
                <c:pt idx="498">
                  <c:v>44350</c:v>
                </c:pt>
                <c:pt idx="499">
                  <c:v>44351</c:v>
                </c:pt>
                <c:pt idx="500">
                  <c:v>44352</c:v>
                </c:pt>
                <c:pt idx="501">
                  <c:v>44353</c:v>
                </c:pt>
                <c:pt idx="502">
                  <c:v>44354</c:v>
                </c:pt>
                <c:pt idx="503">
                  <c:v>44355</c:v>
                </c:pt>
                <c:pt idx="504">
                  <c:v>44356</c:v>
                </c:pt>
                <c:pt idx="505">
                  <c:v>44357</c:v>
                </c:pt>
                <c:pt idx="506">
                  <c:v>44358</c:v>
                </c:pt>
                <c:pt idx="507">
                  <c:v>44359</c:v>
                </c:pt>
                <c:pt idx="508">
                  <c:v>44360</c:v>
                </c:pt>
                <c:pt idx="509">
                  <c:v>44361</c:v>
                </c:pt>
                <c:pt idx="510">
                  <c:v>44362</c:v>
                </c:pt>
                <c:pt idx="511">
                  <c:v>44363</c:v>
                </c:pt>
                <c:pt idx="512">
                  <c:v>44364</c:v>
                </c:pt>
                <c:pt idx="513">
                  <c:v>44365</c:v>
                </c:pt>
                <c:pt idx="514">
                  <c:v>44366</c:v>
                </c:pt>
                <c:pt idx="515">
                  <c:v>44367</c:v>
                </c:pt>
                <c:pt idx="516">
                  <c:v>44368</c:v>
                </c:pt>
                <c:pt idx="517">
                  <c:v>44369</c:v>
                </c:pt>
                <c:pt idx="518">
                  <c:v>44370</c:v>
                </c:pt>
                <c:pt idx="519">
                  <c:v>44371</c:v>
                </c:pt>
                <c:pt idx="520">
                  <c:v>44372</c:v>
                </c:pt>
                <c:pt idx="521">
                  <c:v>44373</c:v>
                </c:pt>
                <c:pt idx="522">
                  <c:v>44374</c:v>
                </c:pt>
                <c:pt idx="523">
                  <c:v>44375</c:v>
                </c:pt>
                <c:pt idx="524">
                  <c:v>44376</c:v>
                </c:pt>
                <c:pt idx="525">
                  <c:v>44377</c:v>
                </c:pt>
                <c:pt idx="526">
                  <c:v>44378</c:v>
                </c:pt>
                <c:pt idx="527">
                  <c:v>44379</c:v>
                </c:pt>
                <c:pt idx="528">
                  <c:v>44380</c:v>
                </c:pt>
                <c:pt idx="529">
                  <c:v>44381</c:v>
                </c:pt>
                <c:pt idx="530">
                  <c:v>44382</c:v>
                </c:pt>
                <c:pt idx="531">
                  <c:v>44383</c:v>
                </c:pt>
                <c:pt idx="532">
                  <c:v>44384</c:v>
                </c:pt>
                <c:pt idx="533">
                  <c:v>44385</c:v>
                </c:pt>
                <c:pt idx="534">
                  <c:v>44386</c:v>
                </c:pt>
                <c:pt idx="535">
                  <c:v>44387</c:v>
                </c:pt>
                <c:pt idx="536">
                  <c:v>44388</c:v>
                </c:pt>
                <c:pt idx="537">
                  <c:v>44389</c:v>
                </c:pt>
                <c:pt idx="538">
                  <c:v>44390</c:v>
                </c:pt>
                <c:pt idx="539">
                  <c:v>44391</c:v>
                </c:pt>
                <c:pt idx="540">
                  <c:v>44392</c:v>
                </c:pt>
                <c:pt idx="541">
                  <c:v>44393</c:v>
                </c:pt>
                <c:pt idx="542">
                  <c:v>44394</c:v>
                </c:pt>
                <c:pt idx="543">
                  <c:v>44395</c:v>
                </c:pt>
                <c:pt idx="544">
                  <c:v>44396</c:v>
                </c:pt>
                <c:pt idx="545">
                  <c:v>44397</c:v>
                </c:pt>
                <c:pt idx="546">
                  <c:v>44398</c:v>
                </c:pt>
                <c:pt idx="547">
                  <c:v>44399</c:v>
                </c:pt>
                <c:pt idx="548">
                  <c:v>44400</c:v>
                </c:pt>
                <c:pt idx="549">
                  <c:v>44401</c:v>
                </c:pt>
                <c:pt idx="550">
                  <c:v>44402</c:v>
                </c:pt>
                <c:pt idx="551">
                  <c:v>44403</c:v>
                </c:pt>
                <c:pt idx="552">
                  <c:v>44404</c:v>
                </c:pt>
                <c:pt idx="553">
                  <c:v>44405</c:v>
                </c:pt>
                <c:pt idx="554">
                  <c:v>44406</c:v>
                </c:pt>
                <c:pt idx="555">
                  <c:v>44407</c:v>
                </c:pt>
                <c:pt idx="556">
                  <c:v>44408</c:v>
                </c:pt>
                <c:pt idx="557">
                  <c:v>44409</c:v>
                </c:pt>
                <c:pt idx="558">
                  <c:v>44410</c:v>
                </c:pt>
                <c:pt idx="559">
                  <c:v>44411</c:v>
                </c:pt>
                <c:pt idx="560">
                  <c:v>44412</c:v>
                </c:pt>
                <c:pt idx="561">
                  <c:v>44413</c:v>
                </c:pt>
                <c:pt idx="562">
                  <c:v>44414</c:v>
                </c:pt>
                <c:pt idx="563">
                  <c:v>44415</c:v>
                </c:pt>
                <c:pt idx="564">
                  <c:v>44416</c:v>
                </c:pt>
                <c:pt idx="565">
                  <c:v>44417</c:v>
                </c:pt>
                <c:pt idx="566">
                  <c:v>44418</c:v>
                </c:pt>
                <c:pt idx="567">
                  <c:v>44419</c:v>
                </c:pt>
                <c:pt idx="568">
                  <c:v>44420</c:v>
                </c:pt>
                <c:pt idx="569">
                  <c:v>44421</c:v>
                </c:pt>
                <c:pt idx="570">
                  <c:v>44422</c:v>
                </c:pt>
                <c:pt idx="571">
                  <c:v>44423</c:v>
                </c:pt>
                <c:pt idx="572">
                  <c:v>44424</c:v>
                </c:pt>
                <c:pt idx="573">
                  <c:v>44425</c:v>
                </c:pt>
                <c:pt idx="574">
                  <c:v>44426</c:v>
                </c:pt>
                <c:pt idx="575">
                  <c:v>44427</c:v>
                </c:pt>
                <c:pt idx="576">
                  <c:v>44428</c:v>
                </c:pt>
                <c:pt idx="577">
                  <c:v>44429</c:v>
                </c:pt>
                <c:pt idx="578">
                  <c:v>44430</c:v>
                </c:pt>
                <c:pt idx="579">
                  <c:v>44431</c:v>
                </c:pt>
                <c:pt idx="580">
                  <c:v>44432</c:v>
                </c:pt>
                <c:pt idx="581">
                  <c:v>44433</c:v>
                </c:pt>
                <c:pt idx="582">
                  <c:v>44434</c:v>
                </c:pt>
                <c:pt idx="583">
                  <c:v>44435</c:v>
                </c:pt>
                <c:pt idx="584">
                  <c:v>44436</c:v>
                </c:pt>
                <c:pt idx="585">
                  <c:v>44437</c:v>
                </c:pt>
                <c:pt idx="586">
                  <c:v>44438</c:v>
                </c:pt>
                <c:pt idx="587">
                  <c:v>44439</c:v>
                </c:pt>
                <c:pt idx="588">
                  <c:v>44440</c:v>
                </c:pt>
                <c:pt idx="589">
                  <c:v>44441</c:v>
                </c:pt>
                <c:pt idx="590">
                  <c:v>44442</c:v>
                </c:pt>
                <c:pt idx="591">
                  <c:v>44443</c:v>
                </c:pt>
                <c:pt idx="592">
                  <c:v>44444</c:v>
                </c:pt>
                <c:pt idx="593">
                  <c:v>44445</c:v>
                </c:pt>
                <c:pt idx="594">
                  <c:v>44446</c:v>
                </c:pt>
                <c:pt idx="595">
                  <c:v>44447</c:v>
                </c:pt>
                <c:pt idx="596">
                  <c:v>44448</c:v>
                </c:pt>
                <c:pt idx="597">
                  <c:v>44449</c:v>
                </c:pt>
                <c:pt idx="598">
                  <c:v>44450</c:v>
                </c:pt>
                <c:pt idx="599">
                  <c:v>44451</c:v>
                </c:pt>
                <c:pt idx="600">
                  <c:v>44452</c:v>
                </c:pt>
                <c:pt idx="601">
                  <c:v>44453</c:v>
                </c:pt>
                <c:pt idx="602">
                  <c:v>44454</c:v>
                </c:pt>
                <c:pt idx="603">
                  <c:v>44455</c:v>
                </c:pt>
                <c:pt idx="604">
                  <c:v>44456</c:v>
                </c:pt>
                <c:pt idx="605">
                  <c:v>44457</c:v>
                </c:pt>
                <c:pt idx="606">
                  <c:v>44458</c:v>
                </c:pt>
                <c:pt idx="607">
                  <c:v>44459</c:v>
                </c:pt>
                <c:pt idx="608">
                  <c:v>44460</c:v>
                </c:pt>
                <c:pt idx="609">
                  <c:v>44461</c:v>
                </c:pt>
                <c:pt idx="610">
                  <c:v>44462</c:v>
                </c:pt>
                <c:pt idx="611">
                  <c:v>44463</c:v>
                </c:pt>
                <c:pt idx="612">
                  <c:v>44464</c:v>
                </c:pt>
                <c:pt idx="613">
                  <c:v>44465</c:v>
                </c:pt>
                <c:pt idx="614">
                  <c:v>44466</c:v>
                </c:pt>
                <c:pt idx="615">
                  <c:v>44467</c:v>
                </c:pt>
                <c:pt idx="616">
                  <c:v>44468</c:v>
                </c:pt>
                <c:pt idx="617">
                  <c:v>44469</c:v>
                </c:pt>
                <c:pt idx="618">
                  <c:v>44470</c:v>
                </c:pt>
                <c:pt idx="619">
                  <c:v>44471</c:v>
                </c:pt>
                <c:pt idx="620">
                  <c:v>44472</c:v>
                </c:pt>
                <c:pt idx="621">
                  <c:v>44473</c:v>
                </c:pt>
                <c:pt idx="622">
                  <c:v>44474</c:v>
                </c:pt>
                <c:pt idx="623">
                  <c:v>44475</c:v>
                </c:pt>
                <c:pt idx="624">
                  <c:v>44476</c:v>
                </c:pt>
                <c:pt idx="625">
                  <c:v>44477</c:v>
                </c:pt>
                <c:pt idx="626">
                  <c:v>44478</c:v>
                </c:pt>
                <c:pt idx="627">
                  <c:v>44479</c:v>
                </c:pt>
                <c:pt idx="628">
                  <c:v>44480</c:v>
                </c:pt>
                <c:pt idx="629">
                  <c:v>44481</c:v>
                </c:pt>
                <c:pt idx="630">
                  <c:v>44482</c:v>
                </c:pt>
                <c:pt idx="631">
                  <c:v>44483</c:v>
                </c:pt>
                <c:pt idx="632">
                  <c:v>44484</c:v>
                </c:pt>
                <c:pt idx="633">
                  <c:v>44485</c:v>
                </c:pt>
                <c:pt idx="634">
                  <c:v>44486</c:v>
                </c:pt>
                <c:pt idx="635">
                  <c:v>44487</c:v>
                </c:pt>
                <c:pt idx="636">
                  <c:v>44488</c:v>
                </c:pt>
                <c:pt idx="637">
                  <c:v>44489</c:v>
                </c:pt>
                <c:pt idx="638">
                  <c:v>44490</c:v>
                </c:pt>
                <c:pt idx="639">
                  <c:v>44491</c:v>
                </c:pt>
                <c:pt idx="640">
                  <c:v>44492</c:v>
                </c:pt>
                <c:pt idx="641">
                  <c:v>44493</c:v>
                </c:pt>
                <c:pt idx="642">
                  <c:v>44494</c:v>
                </c:pt>
                <c:pt idx="643">
                  <c:v>44495</c:v>
                </c:pt>
                <c:pt idx="644">
                  <c:v>44496</c:v>
                </c:pt>
                <c:pt idx="645">
                  <c:v>44497</c:v>
                </c:pt>
                <c:pt idx="646">
                  <c:v>44498</c:v>
                </c:pt>
                <c:pt idx="647">
                  <c:v>44499</c:v>
                </c:pt>
                <c:pt idx="648">
                  <c:v>44500</c:v>
                </c:pt>
                <c:pt idx="649">
                  <c:v>44501</c:v>
                </c:pt>
                <c:pt idx="650">
                  <c:v>44502</c:v>
                </c:pt>
                <c:pt idx="651">
                  <c:v>44503</c:v>
                </c:pt>
                <c:pt idx="652">
                  <c:v>44504</c:v>
                </c:pt>
                <c:pt idx="653">
                  <c:v>44505</c:v>
                </c:pt>
                <c:pt idx="654">
                  <c:v>44506</c:v>
                </c:pt>
                <c:pt idx="655">
                  <c:v>44507</c:v>
                </c:pt>
                <c:pt idx="656">
                  <c:v>44508</c:v>
                </c:pt>
                <c:pt idx="657">
                  <c:v>44509</c:v>
                </c:pt>
                <c:pt idx="658">
                  <c:v>44510</c:v>
                </c:pt>
                <c:pt idx="659">
                  <c:v>44511</c:v>
                </c:pt>
                <c:pt idx="660">
                  <c:v>44512</c:v>
                </c:pt>
                <c:pt idx="661">
                  <c:v>44513</c:v>
                </c:pt>
                <c:pt idx="662">
                  <c:v>44514</c:v>
                </c:pt>
                <c:pt idx="663">
                  <c:v>44515</c:v>
                </c:pt>
                <c:pt idx="664">
                  <c:v>44516</c:v>
                </c:pt>
                <c:pt idx="665">
                  <c:v>44517</c:v>
                </c:pt>
                <c:pt idx="666">
                  <c:v>44518</c:v>
                </c:pt>
                <c:pt idx="667">
                  <c:v>44519</c:v>
                </c:pt>
                <c:pt idx="668">
                  <c:v>44520</c:v>
                </c:pt>
                <c:pt idx="669">
                  <c:v>44521</c:v>
                </c:pt>
                <c:pt idx="670">
                  <c:v>44522</c:v>
                </c:pt>
                <c:pt idx="671">
                  <c:v>44523</c:v>
                </c:pt>
                <c:pt idx="672">
                  <c:v>44524</c:v>
                </c:pt>
                <c:pt idx="673">
                  <c:v>44525</c:v>
                </c:pt>
                <c:pt idx="674">
                  <c:v>44526</c:v>
                </c:pt>
                <c:pt idx="675">
                  <c:v>44527</c:v>
                </c:pt>
                <c:pt idx="676">
                  <c:v>44528</c:v>
                </c:pt>
                <c:pt idx="677">
                  <c:v>44529</c:v>
                </c:pt>
                <c:pt idx="678">
                  <c:v>44530</c:v>
                </c:pt>
                <c:pt idx="679">
                  <c:v>44531</c:v>
                </c:pt>
                <c:pt idx="680">
                  <c:v>44532</c:v>
                </c:pt>
                <c:pt idx="681">
                  <c:v>44533</c:v>
                </c:pt>
                <c:pt idx="682">
                  <c:v>44534</c:v>
                </c:pt>
                <c:pt idx="683">
                  <c:v>44535</c:v>
                </c:pt>
                <c:pt idx="684">
                  <c:v>44536</c:v>
                </c:pt>
                <c:pt idx="685">
                  <c:v>44537</c:v>
                </c:pt>
                <c:pt idx="686">
                  <c:v>44538</c:v>
                </c:pt>
                <c:pt idx="687">
                  <c:v>44539</c:v>
                </c:pt>
                <c:pt idx="688">
                  <c:v>44540</c:v>
                </c:pt>
                <c:pt idx="689">
                  <c:v>44541</c:v>
                </c:pt>
                <c:pt idx="690">
                  <c:v>44542</c:v>
                </c:pt>
                <c:pt idx="691">
                  <c:v>44543</c:v>
                </c:pt>
                <c:pt idx="692">
                  <c:v>44544</c:v>
                </c:pt>
                <c:pt idx="693">
                  <c:v>44545</c:v>
                </c:pt>
                <c:pt idx="694">
                  <c:v>44546</c:v>
                </c:pt>
                <c:pt idx="695">
                  <c:v>44547</c:v>
                </c:pt>
                <c:pt idx="696">
                  <c:v>44548</c:v>
                </c:pt>
                <c:pt idx="697">
                  <c:v>44549</c:v>
                </c:pt>
                <c:pt idx="698">
                  <c:v>44550</c:v>
                </c:pt>
                <c:pt idx="699">
                  <c:v>44551</c:v>
                </c:pt>
                <c:pt idx="700">
                  <c:v>44552</c:v>
                </c:pt>
                <c:pt idx="701">
                  <c:v>44553</c:v>
                </c:pt>
                <c:pt idx="702">
                  <c:v>44554</c:v>
                </c:pt>
                <c:pt idx="703">
                  <c:v>44555</c:v>
                </c:pt>
                <c:pt idx="704">
                  <c:v>44556</c:v>
                </c:pt>
                <c:pt idx="705">
                  <c:v>44557</c:v>
                </c:pt>
                <c:pt idx="706">
                  <c:v>44558</c:v>
                </c:pt>
                <c:pt idx="707">
                  <c:v>44559</c:v>
                </c:pt>
                <c:pt idx="708">
                  <c:v>44560</c:v>
                </c:pt>
                <c:pt idx="709">
                  <c:v>44561</c:v>
                </c:pt>
                <c:pt idx="710">
                  <c:v>44562</c:v>
                </c:pt>
                <c:pt idx="711">
                  <c:v>44563</c:v>
                </c:pt>
                <c:pt idx="712">
                  <c:v>44564</c:v>
                </c:pt>
                <c:pt idx="713">
                  <c:v>44565</c:v>
                </c:pt>
                <c:pt idx="714">
                  <c:v>44566</c:v>
                </c:pt>
                <c:pt idx="715">
                  <c:v>44567</c:v>
                </c:pt>
                <c:pt idx="716">
                  <c:v>44568</c:v>
                </c:pt>
                <c:pt idx="717">
                  <c:v>44569</c:v>
                </c:pt>
                <c:pt idx="718">
                  <c:v>44570</c:v>
                </c:pt>
                <c:pt idx="719">
                  <c:v>44571</c:v>
                </c:pt>
                <c:pt idx="720">
                  <c:v>44572</c:v>
                </c:pt>
                <c:pt idx="721">
                  <c:v>44573</c:v>
                </c:pt>
                <c:pt idx="722">
                  <c:v>44574</c:v>
                </c:pt>
                <c:pt idx="723">
                  <c:v>44575</c:v>
                </c:pt>
                <c:pt idx="724">
                  <c:v>44576</c:v>
                </c:pt>
                <c:pt idx="725">
                  <c:v>44577</c:v>
                </c:pt>
                <c:pt idx="726">
                  <c:v>44578</c:v>
                </c:pt>
                <c:pt idx="727">
                  <c:v>44579</c:v>
                </c:pt>
                <c:pt idx="728">
                  <c:v>44580</c:v>
                </c:pt>
                <c:pt idx="729">
                  <c:v>44581</c:v>
                </c:pt>
                <c:pt idx="730">
                  <c:v>44582</c:v>
                </c:pt>
                <c:pt idx="731">
                  <c:v>44583</c:v>
                </c:pt>
                <c:pt idx="732">
                  <c:v>44584</c:v>
                </c:pt>
                <c:pt idx="733">
                  <c:v>44585</c:v>
                </c:pt>
                <c:pt idx="734">
                  <c:v>44586</c:v>
                </c:pt>
                <c:pt idx="735">
                  <c:v>44587</c:v>
                </c:pt>
                <c:pt idx="736">
                  <c:v>44588</c:v>
                </c:pt>
                <c:pt idx="737">
                  <c:v>44589</c:v>
                </c:pt>
                <c:pt idx="738">
                  <c:v>44590</c:v>
                </c:pt>
                <c:pt idx="739">
                  <c:v>44591</c:v>
                </c:pt>
                <c:pt idx="740">
                  <c:v>44592</c:v>
                </c:pt>
                <c:pt idx="741">
                  <c:v>44593</c:v>
                </c:pt>
                <c:pt idx="742">
                  <c:v>44594</c:v>
                </c:pt>
                <c:pt idx="743">
                  <c:v>44595</c:v>
                </c:pt>
                <c:pt idx="744">
                  <c:v>44596</c:v>
                </c:pt>
                <c:pt idx="745">
                  <c:v>44597</c:v>
                </c:pt>
                <c:pt idx="746">
                  <c:v>44598</c:v>
                </c:pt>
                <c:pt idx="747">
                  <c:v>44599</c:v>
                </c:pt>
                <c:pt idx="748">
                  <c:v>44600</c:v>
                </c:pt>
                <c:pt idx="749">
                  <c:v>44601</c:v>
                </c:pt>
                <c:pt idx="750">
                  <c:v>44602</c:v>
                </c:pt>
                <c:pt idx="751">
                  <c:v>44603</c:v>
                </c:pt>
                <c:pt idx="752">
                  <c:v>44604</c:v>
                </c:pt>
                <c:pt idx="753">
                  <c:v>44605</c:v>
                </c:pt>
                <c:pt idx="754">
                  <c:v>44606</c:v>
                </c:pt>
                <c:pt idx="755">
                  <c:v>44607</c:v>
                </c:pt>
                <c:pt idx="756">
                  <c:v>44608</c:v>
                </c:pt>
                <c:pt idx="757">
                  <c:v>44609</c:v>
                </c:pt>
                <c:pt idx="758">
                  <c:v>44610</c:v>
                </c:pt>
                <c:pt idx="759">
                  <c:v>44611</c:v>
                </c:pt>
                <c:pt idx="760">
                  <c:v>44612</c:v>
                </c:pt>
                <c:pt idx="761">
                  <c:v>44613</c:v>
                </c:pt>
                <c:pt idx="762">
                  <c:v>44614</c:v>
                </c:pt>
                <c:pt idx="763">
                  <c:v>44615</c:v>
                </c:pt>
                <c:pt idx="764">
                  <c:v>44616</c:v>
                </c:pt>
                <c:pt idx="765">
                  <c:v>44617</c:v>
                </c:pt>
                <c:pt idx="766">
                  <c:v>44618</c:v>
                </c:pt>
                <c:pt idx="767">
                  <c:v>44619</c:v>
                </c:pt>
                <c:pt idx="768">
                  <c:v>44620</c:v>
                </c:pt>
                <c:pt idx="769">
                  <c:v>44621</c:v>
                </c:pt>
                <c:pt idx="770">
                  <c:v>44622</c:v>
                </c:pt>
                <c:pt idx="771">
                  <c:v>44623</c:v>
                </c:pt>
                <c:pt idx="772">
                  <c:v>44624</c:v>
                </c:pt>
                <c:pt idx="773">
                  <c:v>44625</c:v>
                </c:pt>
                <c:pt idx="774">
                  <c:v>44626</c:v>
                </c:pt>
                <c:pt idx="775">
                  <c:v>44627</c:v>
                </c:pt>
                <c:pt idx="776">
                  <c:v>44628</c:v>
                </c:pt>
                <c:pt idx="777">
                  <c:v>44629</c:v>
                </c:pt>
                <c:pt idx="778">
                  <c:v>44630</c:v>
                </c:pt>
                <c:pt idx="779">
                  <c:v>44631</c:v>
                </c:pt>
                <c:pt idx="780">
                  <c:v>44632</c:v>
                </c:pt>
                <c:pt idx="781">
                  <c:v>44633</c:v>
                </c:pt>
                <c:pt idx="782">
                  <c:v>44634</c:v>
                </c:pt>
                <c:pt idx="783">
                  <c:v>44635</c:v>
                </c:pt>
                <c:pt idx="784">
                  <c:v>44636</c:v>
                </c:pt>
                <c:pt idx="785">
                  <c:v>44637</c:v>
                </c:pt>
                <c:pt idx="786">
                  <c:v>44638</c:v>
                </c:pt>
                <c:pt idx="787">
                  <c:v>44639</c:v>
                </c:pt>
                <c:pt idx="788">
                  <c:v>44640</c:v>
                </c:pt>
                <c:pt idx="789">
                  <c:v>44641</c:v>
                </c:pt>
                <c:pt idx="790">
                  <c:v>44642</c:v>
                </c:pt>
                <c:pt idx="791">
                  <c:v>44643</c:v>
                </c:pt>
                <c:pt idx="792">
                  <c:v>44644</c:v>
                </c:pt>
                <c:pt idx="793">
                  <c:v>44645</c:v>
                </c:pt>
                <c:pt idx="794">
                  <c:v>44646</c:v>
                </c:pt>
                <c:pt idx="795">
                  <c:v>44647</c:v>
                </c:pt>
                <c:pt idx="796">
                  <c:v>44648</c:v>
                </c:pt>
                <c:pt idx="797">
                  <c:v>44649</c:v>
                </c:pt>
                <c:pt idx="798">
                  <c:v>44650</c:v>
                </c:pt>
                <c:pt idx="799">
                  <c:v>44651</c:v>
                </c:pt>
                <c:pt idx="800">
                  <c:v>44652</c:v>
                </c:pt>
                <c:pt idx="801">
                  <c:v>44653</c:v>
                </c:pt>
                <c:pt idx="802">
                  <c:v>44654</c:v>
                </c:pt>
                <c:pt idx="803">
                  <c:v>44655</c:v>
                </c:pt>
                <c:pt idx="804">
                  <c:v>44656</c:v>
                </c:pt>
                <c:pt idx="805">
                  <c:v>44657</c:v>
                </c:pt>
                <c:pt idx="806">
                  <c:v>44658</c:v>
                </c:pt>
                <c:pt idx="807">
                  <c:v>44659</c:v>
                </c:pt>
                <c:pt idx="808">
                  <c:v>44660</c:v>
                </c:pt>
                <c:pt idx="809">
                  <c:v>44661</c:v>
                </c:pt>
                <c:pt idx="810">
                  <c:v>44662</c:v>
                </c:pt>
                <c:pt idx="811">
                  <c:v>44663</c:v>
                </c:pt>
                <c:pt idx="812">
                  <c:v>44664</c:v>
                </c:pt>
                <c:pt idx="813">
                  <c:v>44665</c:v>
                </c:pt>
                <c:pt idx="814">
                  <c:v>44666</c:v>
                </c:pt>
                <c:pt idx="815">
                  <c:v>44667</c:v>
                </c:pt>
                <c:pt idx="816">
                  <c:v>44668</c:v>
                </c:pt>
                <c:pt idx="817">
                  <c:v>44669</c:v>
                </c:pt>
                <c:pt idx="818">
                  <c:v>44670</c:v>
                </c:pt>
                <c:pt idx="819">
                  <c:v>44671</c:v>
                </c:pt>
                <c:pt idx="820">
                  <c:v>44672</c:v>
                </c:pt>
                <c:pt idx="821">
                  <c:v>44673</c:v>
                </c:pt>
                <c:pt idx="822">
                  <c:v>44674</c:v>
                </c:pt>
                <c:pt idx="823">
                  <c:v>44675</c:v>
                </c:pt>
                <c:pt idx="824">
                  <c:v>44676</c:v>
                </c:pt>
                <c:pt idx="825">
                  <c:v>44677</c:v>
                </c:pt>
                <c:pt idx="826">
                  <c:v>44678</c:v>
                </c:pt>
                <c:pt idx="827">
                  <c:v>44679</c:v>
                </c:pt>
                <c:pt idx="828">
                  <c:v>44680</c:v>
                </c:pt>
                <c:pt idx="829">
                  <c:v>44681</c:v>
                </c:pt>
                <c:pt idx="830">
                  <c:v>44682</c:v>
                </c:pt>
                <c:pt idx="831">
                  <c:v>44683</c:v>
                </c:pt>
                <c:pt idx="832">
                  <c:v>44684</c:v>
                </c:pt>
                <c:pt idx="833">
                  <c:v>44685</c:v>
                </c:pt>
                <c:pt idx="834">
                  <c:v>44686</c:v>
                </c:pt>
                <c:pt idx="835">
                  <c:v>44687</c:v>
                </c:pt>
                <c:pt idx="836">
                  <c:v>44688</c:v>
                </c:pt>
                <c:pt idx="837">
                  <c:v>44689</c:v>
                </c:pt>
                <c:pt idx="838">
                  <c:v>44690</c:v>
                </c:pt>
                <c:pt idx="839">
                  <c:v>44691</c:v>
                </c:pt>
                <c:pt idx="840">
                  <c:v>44692</c:v>
                </c:pt>
                <c:pt idx="841">
                  <c:v>44693</c:v>
                </c:pt>
                <c:pt idx="842">
                  <c:v>44694</c:v>
                </c:pt>
                <c:pt idx="843">
                  <c:v>44695</c:v>
                </c:pt>
                <c:pt idx="844">
                  <c:v>44696</c:v>
                </c:pt>
                <c:pt idx="845">
                  <c:v>44697</c:v>
                </c:pt>
                <c:pt idx="846">
                  <c:v>44698</c:v>
                </c:pt>
                <c:pt idx="847">
                  <c:v>44699</c:v>
                </c:pt>
                <c:pt idx="848">
                  <c:v>44700</c:v>
                </c:pt>
                <c:pt idx="849">
                  <c:v>44701</c:v>
                </c:pt>
                <c:pt idx="850">
                  <c:v>44702</c:v>
                </c:pt>
                <c:pt idx="851">
                  <c:v>44703</c:v>
                </c:pt>
                <c:pt idx="852">
                  <c:v>44704</c:v>
                </c:pt>
                <c:pt idx="853">
                  <c:v>44705</c:v>
                </c:pt>
                <c:pt idx="854">
                  <c:v>44706</c:v>
                </c:pt>
                <c:pt idx="855">
                  <c:v>44707</c:v>
                </c:pt>
                <c:pt idx="856">
                  <c:v>44708</c:v>
                </c:pt>
                <c:pt idx="857">
                  <c:v>44709</c:v>
                </c:pt>
                <c:pt idx="858">
                  <c:v>44710</c:v>
                </c:pt>
                <c:pt idx="859">
                  <c:v>44711</c:v>
                </c:pt>
                <c:pt idx="860">
                  <c:v>44712</c:v>
                </c:pt>
                <c:pt idx="861">
                  <c:v>44713</c:v>
                </c:pt>
                <c:pt idx="862">
                  <c:v>44714</c:v>
                </c:pt>
                <c:pt idx="863">
                  <c:v>44715</c:v>
                </c:pt>
                <c:pt idx="864">
                  <c:v>44716</c:v>
                </c:pt>
                <c:pt idx="865">
                  <c:v>44717</c:v>
                </c:pt>
                <c:pt idx="866">
                  <c:v>44718</c:v>
                </c:pt>
                <c:pt idx="867">
                  <c:v>44719</c:v>
                </c:pt>
                <c:pt idx="868">
                  <c:v>44720</c:v>
                </c:pt>
                <c:pt idx="869">
                  <c:v>44721</c:v>
                </c:pt>
                <c:pt idx="870">
                  <c:v>44722</c:v>
                </c:pt>
                <c:pt idx="871">
                  <c:v>44723</c:v>
                </c:pt>
                <c:pt idx="872">
                  <c:v>44724</c:v>
                </c:pt>
                <c:pt idx="873">
                  <c:v>44725</c:v>
                </c:pt>
                <c:pt idx="874">
                  <c:v>44726</c:v>
                </c:pt>
                <c:pt idx="875">
                  <c:v>44727</c:v>
                </c:pt>
                <c:pt idx="876">
                  <c:v>44728</c:v>
                </c:pt>
                <c:pt idx="877">
                  <c:v>44729</c:v>
                </c:pt>
                <c:pt idx="878">
                  <c:v>44730</c:v>
                </c:pt>
                <c:pt idx="879">
                  <c:v>44731</c:v>
                </c:pt>
                <c:pt idx="880">
                  <c:v>44732</c:v>
                </c:pt>
                <c:pt idx="881">
                  <c:v>44733</c:v>
                </c:pt>
                <c:pt idx="882">
                  <c:v>44734</c:v>
                </c:pt>
                <c:pt idx="883">
                  <c:v>44735</c:v>
                </c:pt>
                <c:pt idx="884">
                  <c:v>44736</c:v>
                </c:pt>
                <c:pt idx="885">
                  <c:v>44737</c:v>
                </c:pt>
                <c:pt idx="886">
                  <c:v>44738</c:v>
                </c:pt>
                <c:pt idx="887">
                  <c:v>44739</c:v>
                </c:pt>
                <c:pt idx="888">
                  <c:v>44740</c:v>
                </c:pt>
                <c:pt idx="889">
                  <c:v>44741</c:v>
                </c:pt>
                <c:pt idx="890">
                  <c:v>44742</c:v>
                </c:pt>
                <c:pt idx="891">
                  <c:v>44743</c:v>
                </c:pt>
                <c:pt idx="892">
                  <c:v>44744</c:v>
                </c:pt>
                <c:pt idx="893">
                  <c:v>44745</c:v>
                </c:pt>
                <c:pt idx="894">
                  <c:v>44746</c:v>
                </c:pt>
                <c:pt idx="895">
                  <c:v>44747</c:v>
                </c:pt>
                <c:pt idx="896">
                  <c:v>44748</c:v>
                </c:pt>
                <c:pt idx="897">
                  <c:v>44749</c:v>
                </c:pt>
                <c:pt idx="898">
                  <c:v>44750</c:v>
                </c:pt>
                <c:pt idx="899">
                  <c:v>44751</c:v>
                </c:pt>
                <c:pt idx="900">
                  <c:v>44752</c:v>
                </c:pt>
                <c:pt idx="901">
                  <c:v>44753</c:v>
                </c:pt>
                <c:pt idx="902">
                  <c:v>44754</c:v>
                </c:pt>
                <c:pt idx="903">
                  <c:v>44755</c:v>
                </c:pt>
                <c:pt idx="904">
                  <c:v>44756</c:v>
                </c:pt>
                <c:pt idx="905">
                  <c:v>44757</c:v>
                </c:pt>
                <c:pt idx="906">
                  <c:v>44758</c:v>
                </c:pt>
                <c:pt idx="907">
                  <c:v>44759</c:v>
                </c:pt>
                <c:pt idx="908">
                  <c:v>44760</c:v>
                </c:pt>
                <c:pt idx="909">
                  <c:v>44761</c:v>
                </c:pt>
                <c:pt idx="910">
                  <c:v>44762</c:v>
                </c:pt>
                <c:pt idx="911">
                  <c:v>44763</c:v>
                </c:pt>
                <c:pt idx="912">
                  <c:v>44764</c:v>
                </c:pt>
                <c:pt idx="913">
                  <c:v>44765</c:v>
                </c:pt>
                <c:pt idx="914">
                  <c:v>44766</c:v>
                </c:pt>
                <c:pt idx="915">
                  <c:v>44767</c:v>
                </c:pt>
                <c:pt idx="916">
                  <c:v>44768</c:v>
                </c:pt>
              </c:numCache>
            </c:numRef>
          </c:cat>
          <c:val>
            <c:numRef>
              <c:f>Hoja5!$AK$4:$AK$920</c:f>
              <c:numCache>
                <c:formatCode>General</c:formatCode>
                <c:ptCount val="917"/>
                <c:pt idx="6" formatCode="_-* #,##0.0_-;\-* #,##0.0_-;_-* &quot;-&quot;??_-;_-@_-">
                  <c:v>717.57142857142856</c:v>
                </c:pt>
                <c:pt idx="7" formatCode="_-* #,##0.0_-;\-* #,##0.0_-;_-* &quot;-&quot;??_-;_-@_-">
                  <c:v>801.71428571428567</c:v>
                </c:pt>
                <c:pt idx="8" formatCode="_-* #,##0.0_-;\-* #,##0.0_-;_-* &quot;-&quot;??_-;_-@_-">
                  <c:v>1082.8571428571429</c:v>
                </c:pt>
                <c:pt idx="9" formatCode="_-* #,##0.0_-;\-* #,##0.0_-;_-* &quot;-&quot;??_-;_-@_-">
                  <c:v>1283.2857142857142</c:v>
                </c:pt>
                <c:pt idx="10" formatCode="_-* #,##0.0_-;\-* #,##0.0_-;_-* &quot;-&quot;??_-;_-@_-">
                  <c:v>1514.4285714285713</c:v>
                </c:pt>
                <c:pt idx="11" formatCode="_-* #,##0.0_-;\-* #,##0.0_-;_-* &quot;-&quot;??_-;_-@_-">
                  <c:v>2095.2857142857142</c:v>
                </c:pt>
                <c:pt idx="12" formatCode="_-* #,##0.0_-;\-* #,##0.0_-;_-* &quot;-&quot;??_-;_-@_-">
                  <c:v>2422.5714285714284</c:v>
                </c:pt>
                <c:pt idx="13" formatCode="_-* #,##0.0_-;\-* #,##0.0_-;_-* &quot;-&quot;??_-;_-@_-">
                  <c:v>2617</c:v>
                </c:pt>
                <c:pt idx="14" formatCode="_-* #,##0.0_-;\-* #,##0.0_-;_-* &quot;-&quot;??_-;_-@_-">
                  <c:v>3067.8571428571427</c:v>
                </c:pt>
                <c:pt idx="15" formatCode="_-* #,##0.0_-;\-* #,##0.0_-;_-* &quot;-&quot;??_-;_-@_-">
                  <c:v>3224.1428571428573</c:v>
                </c:pt>
                <c:pt idx="16" formatCode="_-* #,##0.0_-;\-* #,##0.0_-;_-* &quot;-&quot;??_-;_-@_-">
                  <c:v>3496.1428571428573</c:v>
                </c:pt>
                <c:pt idx="17" formatCode="_-* #,##0.0_-;\-* #,##0.0_-;_-* &quot;-&quot;??_-;_-@_-">
                  <c:v>3584.7142857142858</c:v>
                </c:pt>
                <c:pt idx="18" formatCode="_-* #,##0.0_-;\-* #,##0.0_-;_-* &quot;-&quot;??_-;_-@_-">
                  <c:v>3339.2857142857142</c:v>
                </c:pt>
                <c:pt idx="19" formatCode="_-* #,##0.0_-;\-* #,##0.0_-;_-* &quot;-&quot;??_-;_-@_-">
                  <c:v>3269.1428571428573</c:v>
                </c:pt>
                <c:pt idx="20" formatCode="_-* #,##0.0_-;\-* #,##0.0_-;_-* &quot;-&quot;??_-;_-@_-">
                  <c:v>2987.8571428571427</c:v>
                </c:pt>
                <c:pt idx="21" formatCode="_-* #,##0.0_-;\-* #,##0.0_-;_-* &quot;-&quot;??_-;_-@_-">
                  <c:v>2512.5714285714284</c:v>
                </c:pt>
                <c:pt idx="22" formatCode="_-* #,##0.0_-;\-* #,##0.0_-;_-* &quot;-&quot;??_-;_-@_-">
                  <c:v>4225.4285714285716</c:v>
                </c:pt>
                <c:pt idx="23" formatCode="_-* #,##0.0_-;\-* #,##0.0_-;_-* &quot;-&quot;??_-;_-@_-">
                  <c:v>4644.5714285714284</c:v>
                </c:pt>
                <c:pt idx="24" formatCode="_-* #,##0.0_-;\-* #,##0.0_-;_-* &quot;-&quot;??_-;_-@_-">
                  <c:v>4560.5714285714284</c:v>
                </c:pt>
                <c:pt idx="25" formatCode="_-* #,##0.0_-;\-* #,##0.0_-;_-* &quot;-&quot;??_-;_-@_-">
                  <c:v>4439.4285714285716</c:v>
                </c:pt>
                <c:pt idx="26" formatCode="_-* #,##0.0_-;\-* #,##0.0_-;_-* &quot;-&quot;??_-;_-@_-">
                  <c:v>4357.4285714285716</c:v>
                </c:pt>
                <c:pt idx="27" formatCode="_-* #,##0.0_-;\-* #,##0.0_-;_-* &quot;-&quot;??_-;_-@_-">
                  <c:v>4334.4285714285716</c:v>
                </c:pt>
                <c:pt idx="28" formatCode="_-* #,##0.0_-;\-* #,##0.0_-;_-* &quot;-&quot;??_-;_-@_-">
                  <c:v>4346.1428571428569</c:v>
                </c:pt>
                <c:pt idx="29" formatCode="_-* #,##0.0_-;\-* #,##0.0_-;_-* &quot;-&quot;??_-;_-@_-">
                  <c:v>2261.7142857142858</c:v>
                </c:pt>
                <c:pt idx="30" formatCode="_-* #,##0.0_-;\-* #,##0.0_-;_-* &quot;-&quot;??_-;_-@_-">
                  <c:v>1419.1428571428571</c:v>
                </c:pt>
                <c:pt idx="31" formatCode="_-* #,##0.0_-;\-* #,##0.0_-;_-* &quot;-&quot;??_-;_-@_-">
                  <c:v>1364.7142857142858</c:v>
                </c:pt>
                <c:pt idx="32" formatCode="_-* #,##0.0_-;\-* #,##0.0_-;_-* &quot;-&quot;??_-;_-@_-">
                  <c:v>1107.4285714285713</c:v>
                </c:pt>
                <c:pt idx="33" formatCode="_-* #,##0.0_-;\-* #,##0.0_-;_-* &quot;-&quot;??_-;_-@_-">
                  <c:v>897.85714285714289</c:v>
                </c:pt>
                <c:pt idx="34" formatCode="_-* #,##0.0_-;\-* #,##0.0_-;_-* &quot;-&quot;??_-;_-@_-">
                  <c:v>751</c:v>
                </c:pt>
                <c:pt idx="35" formatCode="_-* #,##0.0_-;\-* #,##0.0_-;_-* &quot;-&quot;??_-;_-@_-">
                  <c:v>818.57142857142856</c:v>
                </c:pt>
                <c:pt idx="36" formatCode="_-* #,##0.0_-;\-* #,##0.0_-;_-* &quot;-&quot;??_-;_-@_-">
                  <c:v>930.42857142857144</c:v>
                </c:pt>
                <c:pt idx="37" formatCode="_-* #,##0.0_-;\-* #,##0.0_-;_-* &quot;-&quot;??_-;_-@_-">
                  <c:v>1043.8571428571429</c:v>
                </c:pt>
                <c:pt idx="38" formatCode="_-* #,##0.0_-;\-* #,##0.0_-;_-* &quot;-&quot;??_-;_-@_-">
                  <c:v>1059.4285714285713</c:v>
                </c:pt>
                <c:pt idx="39" formatCode="_-* #,##0.0_-;\-* #,##0.0_-;_-* &quot;-&quot;??_-;_-@_-">
                  <c:v>1344.7142857142858</c:v>
                </c:pt>
                <c:pt idx="40" formatCode="_-* #,##0.0_-;\-* #,##0.0_-;_-* &quot;-&quot;??_-;_-@_-">
                  <c:v>1546.4285714285713</c:v>
                </c:pt>
                <c:pt idx="41" formatCode="_-* #,##0.0_-;\-* #,##0.0_-;_-* &quot;-&quot;??_-;_-@_-">
                  <c:v>1797.5714285714287</c:v>
                </c:pt>
                <c:pt idx="42" formatCode="_-* #,##0.0_-;\-* #,##0.0_-;_-* &quot;-&quot;??_-;_-@_-">
                  <c:v>1990.2857142857142</c:v>
                </c:pt>
                <c:pt idx="43" formatCode="_-* #,##0.0_-;\-* #,##0.0_-;_-* &quot;-&quot;??_-;_-@_-">
                  <c:v>2185.5714285714284</c:v>
                </c:pt>
                <c:pt idx="44" formatCode="_-* #,##0.0_-;\-* #,##0.0_-;_-* &quot;-&quot;??_-;_-@_-">
                  <c:v>2543.5714285714284</c:v>
                </c:pt>
                <c:pt idx="45" formatCode="_-* #,##0.0_-;\-* #,##0.0_-;_-* &quot;-&quot;??_-;_-@_-">
                  <c:v>2866.4285714285716</c:v>
                </c:pt>
                <c:pt idx="46" formatCode="_-* #,##0.0_-;\-* #,##0.0_-;_-* &quot;-&quot;??_-;_-@_-">
                  <c:v>3077.1428571428573</c:v>
                </c:pt>
                <c:pt idx="47" formatCode="_-* #,##0.0_-;\-* #,##0.0_-;_-* &quot;-&quot;??_-;_-@_-">
                  <c:v>3411.8571428571427</c:v>
                </c:pt>
                <c:pt idx="48" formatCode="_-* #,##0.0_-;\-* #,##0.0_-;_-* &quot;-&quot;??_-;_-@_-">
                  <c:v>3722.4285714285716</c:v>
                </c:pt>
                <c:pt idx="49" formatCode="_-* #,##0.0_-;\-* #,##0.0_-;_-* &quot;-&quot;??_-;_-@_-">
                  <c:v>4462.7142857142853</c:v>
                </c:pt>
                <c:pt idx="50" formatCode="_-* #,##0.0_-;\-* #,##0.0_-;_-* &quot;-&quot;??_-;_-@_-">
                  <c:v>5040.5714285714284</c:v>
                </c:pt>
                <c:pt idx="51" formatCode="_-* #,##0.0_-;\-* #,##0.0_-;_-* &quot;-&quot;??_-;_-@_-">
                  <c:v>6364</c:v>
                </c:pt>
                <c:pt idx="52" formatCode="_-* #,##0.0_-;\-* #,##0.0_-;_-* &quot;-&quot;??_-;_-@_-">
                  <c:v>7329.2857142857147</c:v>
                </c:pt>
                <c:pt idx="53" formatCode="_-* #,##0.0_-;\-* #,##0.0_-;_-* &quot;-&quot;??_-;_-@_-">
                  <c:v>8383.4285714285706</c:v>
                </c:pt>
                <c:pt idx="54" formatCode="_-* #,##0.0_-;\-* #,##0.0_-;_-* &quot;-&quot;??_-;_-@_-">
                  <c:v>9846.8571428571431</c:v>
                </c:pt>
                <c:pt idx="55" formatCode="_-* #,##0.0_-;\-* #,##0.0_-;_-* &quot;-&quot;??_-;_-@_-">
                  <c:v>11330.857142857143</c:v>
                </c:pt>
                <c:pt idx="56" formatCode="_-* #,##0.0_-;\-* #,##0.0_-;_-* &quot;-&quot;??_-;_-@_-">
                  <c:v>12767.428571428571</c:v>
                </c:pt>
                <c:pt idx="57" formatCode="_-* #,##0.0_-;\-* #,##0.0_-;_-* &quot;-&quot;??_-;_-@_-">
                  <c:v>15671.857142857143</c:v>
                </c:pt>
                <c:pt idx="58" formatCode="_-* #,##0.0_-;\-* #,##0.0_-;_-* &quot;-&quot;??_-;_-@_-">
                  <c:v>18005.857142857141</c:v>
                </c:pt>
                <c:pt idx="59" formatCode="_-* #,##0.0_-;\-* #,##0.0_-;_-* &quot;-&quot;??_-;_-@_-">
                  <c:v>21083.714285714286</c:v>
                </c:pt>
                <c:pt idx="60" formatCode="_-* #,##0.0_-;\-* #,##0.0_-;_-* &quot;-&quot;??_-;_-@_-">
                  <c:v>24366.571428571428</c:v>
                </c:pt>
                <c:pt idx="61" formatCode="_-* #,##0.0_-;\-* #,##0.0_-;_-* &quot;-&quot;??_-;_-@_-">
                  <c:v>28364.857142857141</c:v>
                </c:pt>
                <c:pt idx="62" formatCode="_-* #,##0.0_-;\-* #,##0.0_-;_-* &quot;-&quot;??_-;_-@_-">
                  <c:v>32182.857142857141</c:v>
                </c:pt>
                <c:pt idx="63" formatCode="_-* #,##0.0_-;\-* #,##0.0_-;_-* &quot;-&quot;??_-;_-@_-">
                  <c:v>37028.428571428572</c:v>
                </c:pt>
                <c:pt idx="64" formatCode="_-* #,##0.0_-;\-* #,##0.0_-;_-* &quot;-&quot;??_-;_-@_-">
                  <c:v>41846.714285714283</c:v>
                </c:pt>
                <c:pt idx="65" formatCode="_-* #,##0.0_-;\-* #,##0.0_-;_-* &quot;-&quot;??_-;_-@_-">
                  <c:v>46760.714285714283</c:v>
                </c:pt>
                <c:pt idx="66" formatCode="_-* #,##0.0_-;\-* #,##0.0_-;_-* &quot;-&quot;??_-;_-@_-">
                  <c:v>52067.714285714283</c:v>
                </c:pt>
                <c:pt idx="67" formatCode="_-* #,##0.0_-;\-* #,##0.0_-;_-* &quot;-&quot;??_-;_-@_-">
                  <c:v>55253.857142857145</c:v>
                </c:pt>
                <c:pt idx="68" formatCode="_-* #,##0.0_-;\-* #,##0.0_-;_-* &quot;-&quot;??_-;_-@_-">
                  <c:v>58461.857142857145</c:v>
                </c:pt>
                <c:pt idx="69" formatCode="_-* #,##0.0_-;\-* #,##0.0_-;_-* &quot;-&quot;??_-;_-@_-">
                  <c:v>63682.142857142855</c:v>
                </c:pt>
                <c:pt idx="70" formatCode="_-* #,##0.0_-;\-* #,##0.0_-;_-* &quot;-&quot;??_-;_-@_-">
                  <c:v>68000.571428571435</c:v>
                </c:pt>
                <c:pt idx="71" formatCode="_-* #,##0.0_-;\-* #,##0.0_-;_-* &quot;-&quot;??_-;_-@_-">
                  <c:v>71090.571428571435</c:v>
                </c:pt>
                <c:pt idx="72" formatCode="_-* #,##0.0_-;\-* #,##0.0_-;_-* &quot;-&quot;??_-;_-@_-">
                  <c:v>73981.142857142855</c:v>
                </c:pt>
                <c:pt idx="73" formatCode="_-* #,##0.0_-;\-* #,##0.0_-;_-* &quot;-&quot;??_-;_-@_-">
                  <c:v>75088.428571428565</c:v>
                </c:pt>
                <c:pt idx="74" formatCode="_-* #,##0.0_-;\-* #,##0.0_-;_-* &quot;-&quot;??_-;_-@_-">
                  <c:v>77325.857142857145</c:v>
                </c:pt>
                <c:pt idx="75" formatCode="_-* #,##0.0_-;\-* #,##0.0_-;_-* &quot;-&quot;??_-;_-@_-">
                  <c:v>78683.571428571435</c:v>
                </c:pt>
                <c:pt idx="76" formatCode="_-* #,##0.0_-;\-* #,##0.0_-;_-* &quot;-&quot;??_-;_-@_-">
                  <c:v>77809.28571428571</c:v>
                </c:pt>
                <c:pt idx="77" formatCode="_-* #,##0.0_-;\-* #,##0.0_-;_-* &quot;-&quot;??_-;_-@_-">
                  <c:v>77850.28571428571</c:v>
                </c:pt>
                <c:pt idx="78" formatCode="_-* #,##0.0_-;\-* #,##0.0_-;_-* &quot;-&quot;??_-;_-@_-">
                  <c:v>78467.428571428565</c:v>
                </c:pt>
                <c:pt idx="79" formatCode="_-* #,##0.0_-;\-* #,##0.0_-;_-* &quot;-&quot;??_-;_-@_-">
                  <c:v>78804.571428571435</c:v>
                </c:pt>
                <c:pt idx="80" formatCode="_-* #,##0.0_-;\-* #,##0.0_-;_-* &quot;-&quot;??_-;_-@_-">
                  <c:v>78536</c:v>
                </c:pt>
                <c:pt idx="81" formatCode="_-* #,##0.0_-;\-* #,##0.0_-;_-* &quot;-&quot;??_-;_-@_-">
                  <c:v>85232.28571428571</c:v>
                </c:pt>
                <c:pt idx="82" formatCode="_-* #,##0.0_-;\-* #,##0.0_-;_-* &quot;-&quot;??_-;_-@_-">
                  <c:v>84834.71428571429</c:v>
                </c:pt>
                <c:pt idx="83" formatCode="_-* #,##0.0_-;\-* #,##0.0_-;_-* &quot;-&quot;??_-;_-@_-">
                  <c:v>86567.142857142855</c:v>
                </c:pt>
                <c:pt idx="84" formatCode="_-* #,##0.0_-;\-* #,##0.0_-;_-* &quot;-&quot;??_-;_-@_-">
                  <c:v>85966.428571428565</c:v>
                </c:pt>
                <c:pt idx="85" formatCode="_-* #,##0.0_-;\-* #,##0.0_-;_-* &quot;-&quot;??_-;_-@_-">
                  <c:v>87060.571428571435</c:v>
                </c:pt>
                <c:pt idx="86" formatCode="_-* #,##0.0_-;\-* #,##0.0_-;_-* &quot;-&quot;??_-;_-@_-">
                  <c:v>87247.142857142855</c:v>
                </c:pt>
                <c:pt idx="87" formatCode="_-* #,##0.0_-;\-* #,##0.0_-;_-* &quot;-&quot;??_-;_-@_-">
                  <c:v>87644.28571428571</c:v>
                </c:pt>
                <c:pt idx="88" formatCode="_-* #,##0.0_-;\-* #,##0.0_-;_-* &quot;-&quot;??_-;_-@_-">
                  <c:v>81595.857142857145</c:v>
                </c:pt>
                <c:pt idx="89" formatCode="_-* #,##0.0_-;\-* #,##0.0_-;_-* &quot;-&quot;??_-;_-@_-">
                  <c:v>82194.571428571435</c:v>
                </c:pt>
                <c:pt idx="90" formatCode="_-* #,##0.0_-;\-* #,##0.0_-;_-* &quot;-&quot;??_-;_-@_-">
                  <c:v>81018.28571428571</c:v>
                </c:pt>
                <c:pt idx="91" formatCode="_-* #,##0.0_-;\-* #,##0.0_-;_-* &quot;-&quot;??_-;_-@_-">
                  <c:v>81612.857142857145</c:v>
                </c:pt>
                <c:pt idx="92" formatCode="_-* #,##0.0_-;\-* #,##0.0_-;_-* &quot;-&quot;??_-;_-@_-">
                  <c:v>80168.428571428565</c:v>
                </c:pt>
                <c:pt idx="93" formatCode="_-* #,##0.0_-;\-* #,##0.0_-;_-* &quot;-&quot;??_-;_-@_-">
                  <c:v>81060</c:v>
                </c:pt>
                <c:pt idx="94" formatCode="_-* #,##0.0_-;\-* #,##0.0_-;_-* &quot;-&quot;??_-;_-@_-">
                  <c:v>81811.428571428565</c:v>
                </c:pt>
                <c:pt idx="95" formatCode="_-* #,##0.0_-;\-* #,##0.0_-;_-* &quot;-&quot;??_-;_-@_-">
                  <c:v>80976.71428571429</c:v>
                </c:pt>
                <c:pt idx="96" formatCode="_-* #,##0.0_-;\-* #,##0.0_-;_-* &quot;-&quot;??_-;_-@_-">
                  <c:v>80265</c:v>
                </c:pt>
                <c:pt idx="97" formatCode="_-* #,##0.0_-;\-* #,##0.0_-;_-* &quot;-&quot;??_-;_-@_-">
                  <c:v>80205.857142857145</c:v>
                </c:pt>
                <c:pt idx="98" formatCode="_-* #,##0.0_-;\-* #,##0.0_-;_-* &quot;-&quot;??_-;_-@_-">
                  <c:v>79759.28571428571</c:v>
                </c:pt>
                <c:pt idx="99" formatCode="_-* #,##0.0_-;\-* #,##0.0_-;_-* &quot;-&quot;??_-;_-@_-">
                  <c:v>79692.71428571429</c:v>
                </c:pt>
                <c:pt idx="100" formatCode="_-* #,##0.0_-;\-* #,##0.0_-;_-* &quot;-&quot;??_-;_-@_-">
                  <c:v>78970.571428571435</c:v>
                </c:pt>
                <c:pt idx="101" formatCode="_-* #,##0.0_-;\-* #,##0.0_-;_-* &quot;-&quot;??_-;_-@_-">
                  <c:v>78263.857142857145</c:v>
                </c:pt>
                <c:pt idx="102" formatCode="_-* #,##0.0_-;\-* #,##0.0_-;_-* &quot;-&quot;??_-;_-@_-">
                  <c:v>78736.142857142855</c:v>
                </c:pt>
                <c:pt idx="103" formatCode="_-* #,##0.0_-;\-* #,##0.0_-;_-* &quot;-&quot;??_-;_-@_-">
                  <c:v>79658</c:v>
                </c:pt>
                <c:pt idx="104" formatCode="_-* #,##0.0_-;\-* #,##0.0_-;_-* &quot;-&quot;??_-;_-@_-">
                  <c:v>80204.142857142855</c:v>
                </c:pt>
                <c:pt idx="105" formatCode="_-* #,##0.0_-;\-* #,##0.0_-;_-* &quot;-&quot;??_-;_-@_-">
                  <c:v>81876.28571428571</c:v>
                </c:pt>
                <c:pt idx="106" formatCode="_-* #,##0.0_-;\-* #,##0.0_-;_-* &quot;-&quot;??_-;_-@_-">
                  <c:v>82791</c:v>
                </c:pt>
                <c:pt idx="107" formatCode="_-* #,##0.0_-;\-* #,##0.0_-;_-* &quot;-&quot;??_-;_-@_-">
                  <c:v>83208.571428571435</c:v>
                </c:pt>
                <c:pt idx="108" formatCode="_-* #,##0.0_-;\-* #,##0.0_-;_-* &quot;-&quot;??_-;_-@_-">
                  <c:v>84066.28571428571</c:v>
                </c:pt>
                <c:pt idx="109" formatCode="_-* #,##0.0_-;\-* #,##0.0_-;_-* &quot;-&quot;??_-;_-@_-">
                  <c:v>84222.142857142855</c:v>
                </c:pt>
                <c:pt idx="110" formatCode="_-* #,##0.0_-;\-* #,##0.0_-;_-* &quot;-&quot;??_-;_-@_-">
                  <c:v>84030.571428571435</c:v>
                </c:pt>
                <c:pt idx="111" formatCode="_-* #,##0.0_-;\-* #,##0.0_-;_-* &quot;-&quot;??_-;_-@_-">
                  <c:v>84841.857142857145</c:v>
                </c:pt>
                <c:pt idx="112" formatCode="_-* #,##0.0_-;\-* #,##0.0_-;_-* &quot;-&quot;??_-;_-@_-">
                  <c:v>83960.71428571429</c:v>
                </c:pt>
                <c:pt idx="113" formatCode="_-* #,##0.0_-;\-* #,##0.0_-;_-* &quot;-&quot;??_-;_-@_-">
                  <c:v>84733</c:v>
                </c:pt>
                <c:pt idx="114" formatCode="_-* #,##0.0_-;\-* #,##0.0_-;_-* &quot;-&quot;??_-;_-@_-">
                  <c:v>85363.71428571429</c:v>
                </c:pt>
                <c:pt idx="115" formatCode="_-* #,##0.0_-;\-* #,##0.0_-;_-* &quot;-&quot;??_-;_-@_-">
                  <c:v>86724</c:v>
                </c:pt>
                <c:pt idx="116" formatCode="_-* #,##0.0_-;\-* #,##0.0_-;_-* &quot;-&quot;??_-;_-@_-">
                  <c:v>87178.571428571435</c:v>
                </c:pt>
                <c:pt idx="117" formatCode="_-* #,##0.0_-;\-* #,##0.0_-;_-* &quot;-&quot;??_-;_-@_-">
                  <c:v>89036.142857142855</c:v>
                </c:pt>
                <c:pt idx="118" formatCode="_-* #,##0.0_-;\-* #,##0.0_-;_-* &quot;-&quot;??_-;_-@_-">
                  <c:v>90531.71428571429</c:v>
                </c:pt>
                <c:pt idx="119" formatCode="_-* #,##0.0_-;\-* #,##0.0_-;_-* &quot;-&quot;??_-;_-@_-">
                  <c:v>93538.71428571429</c:v>
                </c:pt>
                <c:pt idx="120" formatCode="_-* #,##0.0_-;\-* #,##0.0_-;_-* &quot;-&quot;??_-;_-@_-">
                  <c:v>95033.142857142855</c:v>
                </c:pt>
                <c:pt idx="121" formatCode="_-* #,##0.0_-;\-* #,##0.0_-;_-* &quot;-&quot;??_-;_-@_-">
                  <c:v>96589.571428571435</c:v>
                </c:pt>
                <c:pt idx="122" formatCode="_-* #,##0.0_-;\-* #,##0.0_-;_-* &quot;-&quot;??_-;_-@_-">
                  <c:v>98066.571428571435</c:v>
                </c:pt>
                <c:pt idx="123" formatCode="_-* #,##0.0_-;\-* #,##0.0_-;_-* &quot;-&quot;??_-;_-@_-">
                  <c:v>100246.42857142857</c:v>
                </c:pt>
                <c:pt idx="124" formatCode="_-* #,##0.0_-;\-* #,##0.0_-;_-* &quot;-&quot;??_-;_-@_-">
                  <c:v>100167.42857142857</c:v>
                </c:pt>
                <c:pt idx="125" formatCode="_-* #,##0.0_-;\-* #,##0.0_-;_-* &quot;-&quot;??_-;_-@_-">
                  <c:v>99684.571428571435</c:v>
                </c:pt>
                <c:pt idx="126" formatCode="_-* #,##0.0_-;\-* #,##0.0_-;_-* &quot;-&quot;??_-;_-@_-">
                  <c:v>99270.571428571435</c:v>
                </c:pt>
                <c:pt idx="127" formatCode="_-* #,##0.0_-;\-* #,##0.0_-;_-* &quot;-&quot;??_-;_-@_-">
                  <c:v>101272.57142857143</c:v>
                </c:pt>
                <c:pt idx="128" formatCode="_-* #,##0.0_-;\-* #,##0.0_-;_-* &quot;-&quot;??_-;_-@_-">
                  <c:v>103348.57142857143</c:v>
                </c:pt>
                <c:pt idx="129" formatCode="_-* #,##0.0_-;\-* #,##0.0_-;_-* &quot;-&quot;??_-;_-@_-">
                  <c:v>107776.42857142857</c:v>
                </c:pt>
                <c:pt idx="130" formatCode="_-* #,##0.0_-;\-* #,##0.0_-;_-* &quot;-&quot;??_-;_-@_-">
                  <c:v>109106</c:v>
                </c:pt>
                <c:pt idx="131" formatCode="_-* #,##0.0_-;\-* #,##0.0_-;_-* &quot;-&quot;??_-;_-@_-">
                  <c:v>110786.57142857143</c:v>
                </c:pt>
                <c:pt idx="132" formatCode="_-* #,##0.0_-;\-* #,##0.0_-;_-* &quot;-&quot;??_-;_-@_-">
                  <c:v>115219.42857142857</c:v>
                </c:pt>
                <c:pt idx="133" formatCode="_-* #,##0.0_-;\-* #,##0.0_-;_-* &quot;-&quot;??_-;_-@_-">
                  <c:v>116938.85714285714</c:v>
                </c:pt>
                <c:pt idx="134" formatCode="_-* #,##0.0_-;\-* #,##0.0_-;_-* &quot;-&quot;??_-;_-@_-">
                  <c:v>119556.28571428571</c:v>
                </c:pt>
                <c:pt idx="135" formatCode="_-* #,##0.0_-;\-* #,##0.0_-;_-* &quot;-&quot;??_-;_-@_-">
                  <c:v>121254</c:v>
                </c:pt>
                <c:pt idx="136" formatCode="_-* #,##0.0_-;\-* #,##0.0_-;_-* &quot;-&quot;??_-;_-@_-">
                  <c:v>120402.57142857143</c:v>
                </c:pt>
                <c:pt idx="137" formatCode="_-* #,##0.0_-;\-* #,##0.0_-;_-* &quot;-&quot;??_-;_-@_-">
                  <c:v>121547.42857142857</c:v>
                </c:pt>
                <c:pt idx="138" formatCode="_-* #,##0.0_-;\-* #,##0.0_-;_-* &quot;-&quot;??_-;_-@_-">
                  <c:v>121943</c:v>
                </c:pt>
                <c:pt idx="139" formatCode="_-* #,##0.0_-;\-* #,##0.0_-;_-* &quot;-&quot;??_-;_-@_-">
                  <c:v>122308.28571428571</c:v>
                </c:pt>
                <c:pt idx="140" formatCode="_-* #,##0.0_-;\-* #,##0.0_-;_-* &quot;-&quot;??_-;_-@_-">
                  <c:v>125534.57142857143</c:v>
                </c:pt>
                <c:pt idx="141" formatCode="_-* #,##0.0_-;\-* #,##0.0_-;_-* &quot;-&quot;??_-;_-@_-">
                  <c:v>125207.14285714286</c:v>
                </c:pt>
                <c:pt idx="142" formatCode="_-* #,##0.0_-;\-* #,##0.0_-;_-* &quot;-&quot;??_-;_-@_-">
                  <c:v>124323.14285714286</c:v>
                </c:pt>
                <c:pt idx="143" formatCode="_-* #,##0.0_-;\-* #,##0.0_-;_-* &quot;-&quot;??_-;_-@_-">
                  <c:v>124963.57142857143</c:v>
                </c:pt>
                <c:pt idx="144" formatCode="_-* #,##0.0_-;\-* #,##0.0_-;_-* &quot;-&quot;??_-;_-@_-">
                  <c:v>127944.42857142857</c:v>
                </c:pt>
                <c:pt idx="145" formatCode="_-* #,##0.0_-;\-* #,##0.0_-;_-* &quot;-&quot;??_-;_-@_-">
                  <c:v>131055.85714285714</c:v>
                </c:pt>
                <c:pt idx="146" formatCode="_-* #,##0.0_-;\-* #,##0.0_-;_-* &quot;-&quot;??_-;_-@_-">
                  <c:v>133604.57142857142</c:v>
                </c:pt>
                <c:pt idx="147" formatCode="_-* #,##0.0_-;\-* #,##0.0_-;_-* &quot;-&quot;??_-;_-@_-">
                  <c:v>134467.28571428571</c:v>
                </c:pt>
                <c:pt idx="148" formatCode="_-* #,##0.0_-;\-* #,##0.0_-;_-* &quot;-&quot;??_-;_-@_-">
                  <c:v>135456.14285714287</c:v>
                </c:pt>
                <c:pt idx="149" formatCode="_-* #,##0.0_-;\-* #,##0.0_-;_-* &quot;-&quot;??_-;_-@_-">
                  <c:v>143131.14285714287</c:v>
                </c:pt>
                <c:pt idx="150" formatCode="_-* #,##0.0_-;\-* #,##0.0_-;_-* &quot;-&quot;??_-;_-@_-">
                  <c:v>150547.42857142858</c:v>
                </c:pt>
                <c:pt idx="151" formatCode="_-* #,##0.0_-;\-* #,##0.0_-;_-* &quot;-&quot;??_-;_-@_-">
                  <c:v>147824.57142857142</c:v>
                </c:pt>
                <c:pt idx="152" formatCode="_-* #,##0.0_-;\-* #,##0.0_-;_-* &quot;-&quot;??_-;_-@_-">
                  <c:v>150300.14285714287</c:v>
                </c:pt>
                <c:pt idx="153" formatCode="_-* #,##0.0_-;\-* #,##0.0_-;_-* &quot;-&quot;??_-;_-@_-">
                  <c:v>153758.14285714287</c:v>
                </c:pt>
                <c:pt idx="154" formatCode="_-* #,##0.0_-;\-* #,##0.0_-;_-* &quot;-&quot;??_-;_-@_-">
                  <c:v>157791.71428571429</c:v>
                </c:pt>
                <c:pt idx="155" formatCode="_-* #,##0.0_-;\-* #,##0.0_-;_-* &quot;-&quot;??_-;_-@_-">
                  <c:v>162988</c:v>
                </c:pt>
                <c:pt idx="156" formatCode="_-* #,##0.0_-;\-* #,##0.0_-;_-* &quot;-&quot;??_-;_-@_-">
                  <c:v>164594.85714285713</c:v>
                </c:pt>
                <c:pt idx="157" formatCode="_-* #,##0.0_-;\-* #,##0.0_-;_-* &quot;-&quot;??_-;_-@_-">
                  <c:v>163236.28571428571</c:v>
                </c:pt>
                <c:pt idx="158" formatCode="_-* #,##0.0_-;\-* #,##0.0_-;_-* &quot;-&quot;??_-;_-@_-">
                  <c:v>171241.71428571429</c:v>
                </c:pt>
                <c:pt idx="159" formatCode="_-* #,##0.0_-;\-* #,##0.0_-;_-* &quot;-&quot;??_-;_-@_-">
                  <c:v>172715.42857142858</c:v>
                </c:pt>
                <c:pt idx="160" formatCode="_-* #,##0.0_-;\-* #,##0.0_-;_-* &quot;-&quot;??_-;_-@_-">
                  <c:v>174931.71428571429</c:v>
                </c:pt>
                <c:pt idx="161" formatCode="_-* #,##0.0_-;\-* #,##0.0_-;_-* &quot;-&quot;??_-;_-@_-">
                  <c:v>181147.85714285713</c:v>
                </c:pt>
                <c:pt idx="162" formatCode="_-* #,##0.0_-;\-* #,##0.0_-;_-* &quot;-&quot;??_-;_-@_-">
                  <c:v>184772.42857142858</c:v>
                </c:pt>
                <c:pt idx="163" formatCode="_-* #,##0.0_-;\-* #,##0.0_-;_-* &quot;-&quot;??_-;_-@_-">
                  <c:v>186206.14285714287</c:v>
                </c:pt>
                <c:pt idx="164" formatCode="_-* #,##0.0_-;\-* #,##0.0_-;_-* &quot;-&quot;??_-;_-@_-">
                  <c:v>188106.57142857142</c:v>
                </c:pt>
                <c:pt idx="165" formatCode="_-* #,##0.0_-;\-* #,##0.0_-;_-* &quot;-&quot;??_-;_-@_-">
                  <c:v>190553</c:v>
                </c:pt>
                <c:pt idx="166" formatCode="_-* #,##0.0_-;\-* #,##0.0_-;_-* &quot;-&quot;??_-;_-@_-">
                  <c:v>192745.28571428571</c:v>
                </c:pt>
                <c:pt idx="167" formatCode="_-* #,##0.0_-;\-* #,##0.0_-;_-* &quot;-&quot;??_-;_-@_-">
                  <c:v>196437.71428571429</c:v>
                </c:pt>
                <c:pt idx="168" formatCode="_-* #,##0.0_-;\-* #,##0.0_-;_-* &quot;-&quot;??_-;_-@_-">
                  <c:v>196461.57142857142</c:v>
                </c:pt>
                <c:pt idx="169" formatCode="_-* #,##0.0_-;\-* #,##0.0_-;_-* &quot;-&quot;??_-;_-@_-">
                  <c:v>199260.28571428571</c:v>
                </c:pt>
                <c:pt idx="170" formatCode="_-* #,##0.0_-;\-* #,##0.0_-;_-* &quot;-&quot;??_-;_-@_-">
                  <c:v>203650.71428571429</c:v>
                </c:pt>
                <c:pt idx="171" formatCode="_-* #,##0.0_-;\-* #,##0.0_-;_-* &quot;-&quot;??_-;_-@_-">
                  <c:v>206962.42857142858</c:v>
                </c:pt>
                <c:pt idx="172" formatCode="_-* #,##0.0_-;\-* #,##0.0_-;_-* &quot;-&quot;??_-;_-@_-">
                  <c:v>207940.42857142858</c:v>
                </c:pt>
                <c:pt idx="173" formatCode="_-* #,##0.0_-;\-* #,##0.0_-;_-* &quot;-&quot;??_-;_-@_-">
                  <c:v>211713.28571428571</c:v>
                </c:pt>
                <c:pt idx="174" formatCode="_-* #,##0.0_-;\-* #,##0.0_-;_-* &quot;-&quot;??_-;_-@_-">
                  <c:v>213362.57142857142</c:v>
                </c:pt>
                <c:pt idx="175" formatCode="_-* #,##0.0_-;\-* #,##0.0_-;_-* &quot;-&quot;??_-;_-@_-">
                  <c:v>215423.28571428571</c:v>
                </c:pt>
                <c:pt idx="176" formatCode="_-* #,##0.0_-;\-* #,##0.0_-;_-* &quot;-&quot;??_-;_-@_-">
                  <c:v>218356.42857142858</c:v>
                </c:pt>
                <c:pt idx="177" formatCode="_-* #,##0.0_-;\-* #,##0.0_-;_-* &quot;-&quot;??_-;_-@_-">
                  <c:v>218963.71428571429</c:v>
                </c:pt>
                <c:pt idx="178" formatCode="_-* #,##0.0_-;\-* #,##0.0_-;_-* &quot;-&quot;??_-;_-@_-">
                  <c:v>222180.85714285713</c:v>
                </c:pt>
                <c:pt idx="179" formatCode="_-* #,##0.0_-;\-* #,##0.0_-;_-* &quot;-&quot;??_-;_-@_-">
                  <c:v>224893.14285714287</c:v>
                </c:pt>
                <c:pt idx="180" formatCode="_-* #,##0.0_-;\-* #,##0.0_-;_-* &quot;-&quot;??_-;_-@_-">
                  <c:v>226855.14285714287</c:v>
                </c:pt>
                <c:pt idx="181" formatCode="_-* #,##0.0_-;\-* #,##0.0_-;_-* &quot;-&quot;??_-;_-@_-">
                  <c:v>230012</c:v>
                </c:pt>
                <c:pt idx="182" formatCode="_-* #,##0.0_-;\-* #,##0.0_-;_-* &quot;-&quot;??_-;_-@_-">
                  <c:v>236574.85714285713</c:v>
                </c:pt>
                <c:pt idx="183" formatCode="_-* #,##0.0_-;\-* #,##0.0_-;_-* &quot;-&quot;??_-;_-@_-">
                  <c:v>241546.14285714287</c:v>
                </c:pt>
                <c:pt idx="184" formatCode="_-* #,##0.0_-;\-* #,##0.0_-;_-* &quot;-&quot;??_-;_-@_-">
                  <c:v>248151</c:v>
                </c:pt>
                <c:pt idx="185" formatCode="_-* #,##0.0_-;\-* #,##0.0_-;_-* &quot;-&quot;??_-;_-@_-">
                  <c:v>250245.85714285713</c:v>
                </c:pt>
                <c:pt idx="186" formatCode="_-* #,##0.0_-;\-* #,##0.0_-;_-* &quot;-&quot;??_-;_-@_-">
                  <c:v>250272.57142857142</c:v>
                </c:pt>
                <c:pt idx="187" formatCode="_-* #,##0.0_-;\-* #,##0.0_-;_-* &quot;-&quot;??_-;_-@_-">
                  <c:v>254010.57142857142</c:v>
                </c:pt>
                <c:pt idx="188" formatCode="_-* #,##0.0_-;\-* #,##0.0_-;_-* &quot;-&quot;??_-;_-@_-">
                  <c:v>257028.28571428571</c:v>
                </c:pt>
                <c:pt idx="189" formatCode="_-* #,##0.0_-;\-* #,##0.0_-;_-* &quot;-&quot;??_-;_-@_-">
                  <c:v>256293.71428571429</c:v>
                </c:pt>
                <c:pt idx="190" formatCode="_-* #,##0.0_-;\-* #,##0.0_-;_-* &quot;-&quot;??_-;_-@_-">
                  <c:v>256589</c:v>
                </c:pt>
                <c:pt idx="191" formatCode="_-* #,##0.0_-;\-* #,##0.0_-;_-* &quot;-&quot;??_-;_-@_-">
                  <c:v>257154.57142857142</c:v>
                </c:pt>
                <c:pt idx="192" formatCode="_-* #,##0.0_-;\-* #,##0.0_-;_-* &quot;-&quot;??_-;_-@_-">
                  <c:v>256643.57142857142</c:v>
                </c:pt>
                <c:pt idx="193" formatCode="_-* #,##0.0_-;\-* #,##0.0_-;_-* &quot;-&quot;??_-;_-@_-">
                  <c:v>259331.28571428571</c:v>
                </c:pt>
                <c:pt idx="194" formatCode="_-* #,##0.0_-;\-* #,##0.0_-;_-* &quot;-&quot;??_-;_-@_-">
                  <c:v>255292.57142857142</c:v>
                </c:pt>
                <c:pt idx="195" formatCode="_-* #,##0.0_-;\-* #,##0.0_-;_-* &quot;-&quot;??_-;_-@_-">
                  <c:v>255462</c:v>
                </c:pt>
                <c:pt idx="196" formatCode="_-* #,##0.0_-;\-* #,##0.0_-;_-* &quot;-&quot;??_-;_-@_-">
                  <c:v>256184.28571428571</c:v>
                </c:pt>
                <c:pt idx="197" formatCode="_-* #,##0.0_-;\-* #,##0.0_-;_-* &quot;-&quot;??_-;_-@_-">
                  <c:v>256902.42857142858</c:v>
                </c:pt>
                <c:pt idx="198" formatCode="_-* #,##0.0_-;\-* #,##0.0_-;_-* &quot;-&quot;??_-;_-@_-">
                  <c:v>256176.28571428571</c:v>
                </c:pt>
                <c:pt idx="199" formatCode="_-* #,##0.0_-;\-* #,##0.0_-;_-* &quot;-&quot;??_-;_-@_-">
                  <c:v>258886</c:v>
                </c:pt>
                <c:pt idx="200" formatCode="_-* #,##0.0_-;\-* #,##0.0_-;_-* &quot;-&quot;??_-;_-@_-">
                  <c:v>259210.28571428571</c:v>
                </c:pt>
                <c:pt idx="201" formatCode="_-* #,##0.0_-;\-* #,##0.0_-;_-* &quot;-&quot;??_-;_-@_-">
                  <c:v>263116.85714285716</c:v>
                </c:pt>
                <c:pt idx="202" formatCode="_-* #,##0.0_-;\-* #,##0.0_-;_-* &quot;-&quot;??_-;_-@_-">
                  <c:v>263160</c:v>
                </c:pt>
                <c:pt idx="203" formatCode="_-* #,##0.0_-;\-* #,##0.0_-;_-* &quot;-&quot;??_-;_-@_-">
                  <c:v>263120.71428571426</c:v>
                </c:pt>
                <c:pt idx="204" formatCode="_-* #,##0.0_-;\-* #,##0.0_-;_-* &quot;-&quot;??_-;_-@_-">
                  <c:v>263617.14285714284</c:v>
                </c:pt>
                <c:pt idx="205" formatCode="_-* #,##0.0_-;\-* #,##0.0_-;_-* &quot;-&quot;??_-;_-@_-">
                  <c:v>267123.71428571426</c:v>
                </c:pt>
                <c:pt idx="206" formatCode="_-* #,##0.0_-;\-* #,##0.0_-;_-* &quot;-&quot;??_-;_-@_-">
                  <c:v>264795.42857142858</c:v>
                </c:pt>
                <c:pt idx="207" formatCode="_-* #,##0.0_-;\-* #,##0.0_-;_-* &quot;-&quot;??_-;_-@_-">
                  <c:v>261519.28571428571</c:v>
                </c:pt>
                <c:pt idx="208" formatCode="_-* #,##0.0_-;\-* #,##0.0_-;_-* &quot;-&quot;??_-;_-@_-">
                  <c:v>258596.71428571429</c:v>
                </c:pt>
                <c:pt idx="209" formatCode="_-* #,##0.0_-;\-* #,##0.0_-;_-* &quot;-&quot;??_-;_-@_-">
                  <c:v>257695.14285714287</c:v>
                </c:pt>
                <c:pt idx="210" formatCode="_-* #,##0.0_-;\-* #,##0.0_-;_-* &quot;-&quot;??_-;_-@_-">
                  <c:v>258031</c:v>
                </c:pt>
                <c:pt idx="211" formatCode="_-* #,##0.0_-;\-* #,##0.0_-;_-* &quot;-&quot;??_-;_-@_-">
                  <c:v>255338.42857142858</c:v>
                </c:pt>
                <c:pt idx="212" formatCode="_-* #,##0.0_-;\-* #,##0.0_-;_-* &quot;-&quot;??_-;_-@_-">
                  <c:v>248841</c:v>
                </c:pt>
                <c:pt idx="213" formatCode="_-* #,##0.0_-;\-* #,##0.0_-;_-* &quot;-&quot;??_-;_-@_-">
                  <c:v>250960.28571428571</c:v>
                </c:pt>
                <c:pt idx="214" formatCode="_-* #,##0.0_-;\-* #,##0.0_-;_-* &quot;-&quot;??_-;_-@_-">
                  <c:v>249903</c:v>
                </c:pt>
                <c:pt idx="215" formatCode="_-* #,##0.0_-;\-* #,##0.0_-;_-* &quot;-&quot;??_-;_-@_-">
                  <c:v>252088.42857142858</c:v>
                </c:pt>
                <c:pt idx="216" formatCode="_-* #,##0.0_-;\-* #,##0.0_-;_-* &quot;-&quot;??_-;_-@_-">
                  <c:v>250086.71428571429</c:v>
                </c:pt>
                <c:pt idx="217" formatCode="_-* #,##0.0_-;\-* #,##0.0_-;_-* &quot;-&quot;??_-;_-@_-">
                  <c:v>250676.57142857142</c:v>
                </c:pt>
                <c:pt idx="218" formatCode="_-* #,##0.0_-;\-* #,##0.0_-;_-* &quot;-&quot;??_-;_-@_-">
                  <c:v>252944</c:v>
                </c:pt>
                <c:pt idx="219" formatCode="_-* #,##0.0_-;\-* #,##0.0_-;_-* &quot;-&quot;??_-;_-@_-">
                  <c:v>256343</c:v>
                </c:pt>
                <c:pt idx="220" formatCode="_-* #,##0.0_-;\-* #,##0.0_-;_-* &quot;-&quot;??_-;_-@_-">
                  <c:v>255891</c:v>
                </c:pt>
                <c:pt idx="221" formatCode="_-* #,##0.0_-;\-* #,##0.0_-;_-* &quot;-&quot;??_-;_-@_-">
                  <c:v>258310.14285714287</c:v>
                </c:pt>
                <c:pt idx="222" formatCode="_-* #,##0.0_-;\-* #,##0.0_-;_-* &quot;-&quot;??_-;_-@_-">
                  <c:v>263468.85714285716</c:v>
                </c:pt>
                <c:pt idx="223" formatCode="_-* #,##0.0_-;\-* #,##0.0_-;_-* &quot;-&quot;??_-;_-@_-">
                  <c:v>266551</c:v>
                </c:pt>
                <c:pt idx="224" formatCode="_-* #,##0.0_-;\-* #,##0.0_-;_-* &quot;-&quot;??_-;_-@_-">
                  <c:v>266575.71428571426</c:v>
                </c:pt>
                <c:pt idx="225" formatCode="_-* #,##0.0_-;\-* #,##0.0_-;_-* &quot;-&quot;??_-;_-@_-">
                  <c:v>266292.28571428574</c:v>
                </c:pt>
                <c:pt idx="226" formatCode="_-* #,##0.0_-;\-* #,##0.0_-;_-* &quot;-&quot;??_-;_-@_-">
                  <c:v>268573.71428571426</c:v>
                </c:pt>
                <c:pt idx="227" formatCode="_-* #,##0.0_-;\-* #,##0.0_-;_-* &quot;-&quot;??_-;_-@_-">
                  <c:v>270479.42857142858</c:v>
                </c:pt>
                <c:pt idx="228" formatCode="_-* #,##0.0_-;\-* #,##0.0_-;_-* &quot;-&quot;??_-;_-@_-">
                  <c:v>271813.42857142858</c:v>
                </c:pt>
                <c:pt idx="229" formatCode="_-* #,##0.0_-;\-* #,##0.0_-;_-* &quot;-&quot;??_-;_-@_-">
                  <c:v>266235.42857142858</c:v>
                </c:pt>
                <c:pt idx="230" formatCode="_-* #,##0.0_-;\-* #,##0.0_-;_-* &quot;-&quot;??_-;_-@_-">
                  <c:v>263272.42857142858</c:v>
                </c:pt>
                <c:pt idx="231" formatCode="_-* #,##0.0_-;\-* #,##0.0_-;_-* &quot;-&quot;??_-;_-@_-">
                  <c:v>263751.57142857142</c:v>
                </c:pt>
                <c:pt idx="232" formatCode="_-* #,##0.0_-;\-* #,##0.0_-;_-* &quot;-&quot;??_-;_-@_-">
                  <c:v>266445.71428571426</c:v>
                </c:pt>
                <c:pt idx="233" formatCode="_-* #,##0.0_-;\-* #,##0.0_-;_-* &quot;-&quot;??_-;_-@_-">
                  <c:v>268553.28571428574</c:v>
                </c:pt>
                <c:pt idx="234" formatCode="_-* #,##0.0_-;\-* #,##0.0_-;_-* &quot;-&quot;??_-;_-@_-">
                  <c:v>270637.14285714284</c:v>
                </c:pt>
                <c:pt idx="235" formatCode="_-* #,##0.0_-;\-* #,##0.0_-;_-* &quot;-&quot;??_-;_-@_-">
                  <c:v>273462.71428571426</c:v>
                </c:pt>
                <c:pt idx="236" formatCode="_-* #,##0.0_-;\-* #,##0.0_-;_-* &quot;-&quot;??_-;_-@_-">
                  <c:v>279420.71428571426</c:v>
                </c:pt>
                <c:pt idx="237" formatCode="_-* #,##0.0_-;\-* #,##0.0_-;_-* &quot;-&quot;??_-;_-@_-">
                  <c:v>284297.57142857142</c:v>
                </c:pt>
                <c:pt idx="238" formatCode="_-* #,##0.0_-;\-* #,##0.0_-;_-* &quot;-&quot;??_-;_-@_-">
                  <c:v>287125.57142857142</c:v>
                </c:pt>
                <c:pt idx="239" formatCode="_-* #,##0.0_-;\-* #,##0.0_-;_-* &quot;-&quot;??_-;_-@_-">
                  <c:v>288730</c:v>
                </c:pt>
                <c:pt idx="240" formatCode="_-* #,##0.0_-;\-* #,##0.0_-;_-* &quot;-&quot;??_-;_-@_-">
                  <c:v>290221.85714285716</c:v>
                </c:pt>
                <c:pt idx="241" formatCode="_-* #,##0.0_-;\-* #,##0.0_-;_-* &quot;-&quot;??_-;_-@_-">
                  <c:v>290871.71428571426</c:v>
                </c:pt>
                <c:pt idx="242" formatCode="_-* #,##0.0_-;\-* #,##0.0_-;_-* &quot;-&quot;??_-;_-@_-">
                  <c:v>291774</c:v>
                </c:pt>
                <c:pt idx="243" formatCode="_-* #,##0.0_-;\-* #,##0.0_-;_-* &quot;-&quot;??_-;_-@_-">
                  <c:v>290758.14285714284</c:v>
                </c:pt>
                <c:pt idx="244" formatCode="_-* #,##0.0_-;\-* #,##0.0_-;_-* &quot;-&quot;??_-;_-@_-">
                  <c:v>291328.28571428574</c:v>
                </c:pt>
                <c:pt idx="245" formatCode="_-* #,##0.0_-;\-* #,##0.0_-;_-* &quot;-&quot;??_-;_-@_-">
                  <c:v>292278</c:v>
                </c:pt>
                <c:pt idx="246" formatCode="_-* #,##0.0_-;\-* #,##0.0_-;_-* &quot;-&quot;??_-;_-@_-">
                  <c:v>293047.85714285716</c:v>
                </c:pt>
                <c:pt idx="247" formatCode="_-* #,##0.0_-;\-* #,##0.0_-;_-* &quot;-&quot;??_-;_-@_-">
                  <c:v>293550.85714285716</c:v>
                </c:pt>
                <c:pt idx="248" formatCode="_-* #,##0.0_-;\-* #,##0.0_-;_-* &quot;-&quot;??_-;_-@_-">
                  <c:v>292483.14285714284</c:v>
                </c:pt>
                <c:pt idx="249" formatCode="_-* #,##0.0_-;\-* #,##0.0_-;_-* &quot;-&quot;??_-;_-@_-">
                  <c:v>291343.71428571426</c:v>
                </c:pt>
                <c:pt idx="250" formatCode="_-* #,##0.0_-;\-* #,##0.0_-;_-* &quot;-&quot;??_-;_-@_-">
                  <c:v>291733.14285714284</c:v>
                </c:pt>
                <c:pt idx="251" formatCode="_-* #,##0.0_-;\-* #,##0.0_-;_-* &quot;-&quot;??_-;_-@_-">
                  <c:v>291484.57142857142</c:v>
                </c:pt>
                <c:pt idx="252" formatCode="_-* #,##0.0_-;\-* #,##0.0_-;_-* &quot;-&quot;??_-;_-@_-">
                  <c:v>293301.71428571426</c:v>
                </c:pt>
                <c:pt idx="253" formatCode="_-* #,##0.0_-;\-* #,##0.0_-;_-* &quot;-&quot;??_-;_-@_-">
                  <c:v>293038</c:v>
                </c:pt>
                <c:pt idx="254" formatCode="_-* #,##0.0_-;\-* #,##0.0_-;_-* &quot;-&quot;??_-;_-@_-">
                  <c:v>292934.71428571426</c:v>
                </c:pt>
                <c:pt idx="255" formatCode="_-* #,##0.0_-;\-* #,##0.0_-;_-* &quot;-&quot;??_-;_-@_-">
                  <c:v>294575.85714285716</c:v>
                </c:pt>
                <c:pt idx="256" formatCode="_-* #,##0.0_-;\-* #,##0.0_-;_-* &quot;-&quot;??_-;_-@_-">
                  <c:v>296452.14285714284</c:v>
                </c:pt>
                <c:pt idx="257" formatCode="_-* #,##0.0_-;\-* #,##0.0_-;_-* &quot;-&quot;??_-;_-@_-">
                  <c:v>303357.42857142858</c:v>
                </c:pt>
                <c:pt idx="258" formatCode="_-* #,##0.0_-;\-* #,##0.0_-;_-* &quot;-&quot;??_-;_-@_-">
                  <c:v>308086.85714285716</c:v>
                </c:pt>
                <c:pt idx="259" formatCode="_-* #,##0.0_-;\-* #,##0.0_-;_-* &quot;-&quot;??_-;_-@_-">
                  <c:v>311601.28571428574</c:v>
                </c:pt>
                <c:pt idx="260" formatCode="_-* #,##0.0_-;\-* #,##0.0_-;_-* &quot;-&quot;??_-;_-@_-">
                  <c:v>317316.28571428574</c:v>
                </c:pt>
                <c:pt idx="261" formatCode="_-* #,##0.0_-;\-* #,##0.0_-;_-* &quot;-&quot;??_-;_-@_-">
                  <c:v>321709.14285714284</c:v>
                </c:pt>
                <c:pt idx="262" formatCode="_-* #,##0.0_-;\-* #,##0.0_-;_-* &quot;-&quot;??_-;_-@_-">
                  <c:v>330049.28571428574</c:v>
                </c:pt>
                <c:pt idx="263" formatCode="_-* #,##0.0_-;\-* #,##0.0_-;_-* &quot;-&quot;??_-;_-@_-">
                  <c:v>334223.85714285716</c:v>
                </c:pt>
                <c:pt idx="264" formatCode="_-* #,##0.0_-;\-* #,##0.0_-;_-* &quot;-&quot;??_-;_-@_-">
                  <c:v>331137.42857142858</c:v>
                </c:pt>
                <c:pt idx="265" formatCode="_-* #,##0.0_-;\-* #,##0.0_-;_-* &quot;-&quot;??_-;_-@_-">
                  <c:v>331601.85714285716</c:v>
                </c:pt>
                <c:pt idx="266" formatCode="_-* #,##0.0_-;\-* #,##0.0_-;_-* &quot;-&quot;??_-;_-@_-">
                  <c:v>336057.71428571426</c:v>
                </c:pt>
                <c:pt idx="267" formatCode="_-* #,##0.0_-;\-* #,##0.0_-;_-* &quot;-&quot;??_-;_-@_-">
                  <c:v>342868.28571428574</c:v>
                </c:pt>
                <c:pt idx="268" formatCode="_-* #,##0.0_-;\-* #,##0.0_-;_-* &quot;-&quot;??_-;_-@_-">
                  <c:v>350044.42857142858</c:v>
                </c:pt>
                <c:pt idx="269" formatCode="_-* #,##0.0_-;\-* #,##0.0_-;_-* &quot;-&quot;??_-;_-@_-">
                  <c:v>352398.42857142858</c:v>
                </c:pt>
                <c:pt idx="270" formatCode="_-* #,##0.0_-;\-* #,##0.0_-;_-* &quot;-&quot;??_-;_-@_-">
                  <c:v>358342</c:v>
                </c:pt>
                <c:pt idx="271" formatCode="_-* #,##0.0_-;\-* #,##0.0_-;_-* &quot;-&quot;??_-;_-@_-">
                  <c:v>370477</c:v>
                </c:pt>
                <c:pt idx="272" formatCode="_-* #,##0.0_-;\-* #,##0.0_-;_-* &quot;-&quot;??_-;_-@_-">
                  <c:v>380354.28571428574</c:v>
                </c:pt>
                <c:pt idx="273" formatCode="_-* #,##0.0_-;\-* #,##0.0_-;_-* &quot;-&quot;??_-;_-@_-">
                  <c:v>388759.57142857142</c:v>
                </c:pt>
                <c:pt idx="274" formatCode="_-* #,##0.0_-;\-* #,##0.0_-;_-* &quot;-&quot;??_-;_-@_-">
                  <c:v>399446.71428571426</c:v>
                </c:pt>
                <c:pt idx="275" formatCode="_-* #,##0.0_-;\-* #,##0.0_-;_-* &quot;-&quot;??_-;_-@_-">
                  <c:v>411310.14285714284</c:v>
                </c:pt>
                <c:pt idx="276" formatCode="_-* #,##0.0_-;\-* #,##0.0_-;_-* &quot;-&quot;??_-;_-@_-">
                  <c:v>423382.42857142858</c:v>
                </c:pt>
                <c:pt idx="277" formatCode="_-* #,##0.0_-;\-* #,##0.0_-;_-* &quot;-&quot;??_-;_-@_-">
                  <c:v>427427</c:v>
                </c:pt>
                <c:pt idx="278" formatCode="_-* #,##0.0_-;\-* #,##0.0_-;_-* &quot;-&quot;??_-;_-@_-">
                  <c:v>443004.57142857142</c:v>
                </c:pt>
                <c:pt idx="279" formatCode="_-* #,##0.0_-;\-* #,##0.0_-;_-* &quot;-&quot;??_-;_-@_-">
                  <c:v>454243</c:v>
                </c:pt>
                <c:pt idx="280" formatCode="_-* #,##0.0_-;\-* #,##0.0_-;_-* &quot;-&quot;??_-;_-@_-">
                  <c:v>465809.57142857142</c:v>
                </c:pt>
                <c:pt idx="281" formatCode="_-* #,##0.0_-;\-* #,##0.0_-;_-* &quot;-&quot;??_-;_-@_-">
                  <c:v>475596.28571428574</c:v>
                </c:pt>
                <c:pt idx="282" formatCode="_-* #,##0.0_-;\-* #,##0.0_-;_-* &quot;-&quot;??_-;_-@_-">
                  <c:v>486690.85714285716</c:v>
                </c:pt>
                <c:pt idx="283" formatCode="_-* #,##0.0_-;\-* #,##0.0_-;_-* &quot;-&quot;??_-;_-@_-">
                  <c:v>488984.42857142858</c:v>
                </c:pt>
                <c:pt idx="284" formatCode="_-* #,##0.0_-;\-* #,##0.0_-;_-* &quot;-&quot;??_-;_-@_-">
                  <c:v>500334.42857142858</c:v>
                </c:pt>
                <c:pt idx="285" formatCode="_-* #,##0.0_-;\-* #,##0.0_-;_-* &quot;-&quot;??_-;_-@_-">
                  <c:v>509348.57142857142</c:v>
                </c:pt>
                <c:pt idx="286" formatCode="_-* #,##0.0_-;\-* #,##0.0_-;_-* &quot;-&quot;??_-;_-@_-">
                  <c:v>523158.42857142858</c:v>
                </c:pt>
                <c:pt idx="287" formatCode="_-* #,##0.0_-;\-* #,##0.0_-;_-* &quot;-&quot;??_-;_-@_-">
                  <c:v>525578</c:v>
                </c:pt>
                <c:pt idx="288" formatCode="_-* #,##0.0_-;\-* #,##0.0_-;_-* &quot;-&quot;??_-;_-@_-">
                  <c:v>535205.85714285716</c:v>
                </c:pt>
                <c:pt idx="289" formatCode="_-* #,##0.0_-;\-* #,##0.0_-;_-* &quot;-&quot;??_-;_-@_-">
                  <c:v>542351.71428571432</c:v>
                </c:pt>
                <c:pt idx="290" formatCode="_-* #,##0.0_-;\-* #,##0.0_-;_-* &quot;-&quot;??_-;_-@_-">
                  <c:v>560402.71428571432</c:v>
                </c:pt>
                <c:pt idx="291" formatCode="_-* #,##0.0_-;\-* #,##0.0_-;_-* &quot;-&quot;??_-;_-@_-">
                  <c:v>567870.28571428568</c:v>
                </c:pt>
                <c:pt idx="292" formatCode="_-* #,##0.0_-;\-* #,##0.0_-;_-* &quot;-&quot;??_-;_-@_-">
                  <c:v>562298.71428571432</c:v>
                </c:pt>
                <c:pt idx="293" formatCode="_-* #,##0.0_-;\-* #,##0.0_-;_-* &quot;-&quot;??_-;_-@_-">
                  <c:v>562987.28571428568</c:v>
                </c:pt>
                <c:pt idx="294" formatCode="_-* #,##0.0_-;\-* #,##0.0_-;_-* &quot;-&quot;??_-;_-@_-">
                  <c:v>575272</c:v>
                </c:pt>
                <c:pt idx="295" formatCode="_-* #,##0.0_-;\-* #,##0.0_-;_-* &quot;-&quot;??_-;_-@_-">
                  <c:v>578409.57142857148</c:v>
                </c:pt>
                <c:pt idx="296" formatCode="_-* #,##0.0_-;\-* #,##0.0_-;_-* &quot;-&quot;??_-;_-@_-">
                  <c:v>584206.85714285716</c:v>
                </c:pt>
                <c:pt idx="297" formatCode="_-* #,##0.0_-;\-* #,##0.0_-;_-* &quot;-&quot;??_-;_-@_-">
                  <c:v>582647.71428571432</c:v>
                </c:pt>
                <c:pt idx="298" formatCode="_-* #,##0.0_-;\-* #,##0.0_-;_-* &quot;-&quot;??_-;_-@_-">
                  <c:v>582687</c:v>
                </c:pt>
                <c:pt idx="299" formatCode="_-* #,##0.0_-;\-* #,##0.0_-;_-* &quot;-&quot;??_-;_-@_-">
                  <c:v>584936.85714285716</c:v>
                </c:pt>
                <c:pt idx="300" formatCode="_-* #,##0.0_-;\-* #,##0.0_-;_-* &quot;-&quot;??_-;_-@_-">
                  <c:v>589424</c:v>
                </c:pt>
                <c:pt idx="301" formatCode="_-* #,##0.0_-;\-* #,##0.0_-;_-* &quot;-&quot;??_-;_-@_-">
                  <c:v>589142.57142857148</c:v>
                </c:pt>
                <c:pt idx="302" formatCode="_-* #,##0.0_-;\-* #,##0.0_-;_-* &quot;-&quot;??_-;_-@_-">
                  <c:v>591281.42857142852</c:v>
                </c:pt>
                <c:pt idx="303" formatCode="_-* #,##0.0_-;\-* #,##0.0_-;_-* &quot;-&quot;??_-;_-@_-">
                  <c:v>593127.42857142852</c:v>
                </c:pt>
                <c:pt idx="304" formatCode="_-* #,##0.0_-;\-* #,##0.0_-;_-* &quot;-&quot;??_-;_-@_-">
                  <c:v>594079.85714285716</c:v>
                </c:pt>
                <c:pt idx="305" formatCode="_-* #,##0.0_-;\-* #,##0.0_-;_-* &quot;-&quot;??_-;_-@_-">
                  <c:v>595223.14285714284</c:v>
                </c:pt>
                <c:pt idx="306" formatCode="_-* #,##0.0_-;\-* #,##0.0_-;_-* &quot;-&quot;??_-;_-@_-">
                  <c:v>596401.71428571432</c:v>
                </c:pt>
                <c:pt idx="307" formatCode="_-* #,##0.0_-;\-* #,##0.0_-;_-* &quot;-&quot;??_-;_-@_-">
                  <c:v>594940.57142857148</c:v>
                </c:pt>
                <c:pt idx="308" formatCode="_-* #,##0.0_-;\-* #,##0.0_-;_-* &quot;-&quot;??_-;_-@_-">
                  <c:v>594258</c:v>
                </c:pt>
                <c:pt idx="309" formatCode="_-* #,##0.0_-;\-* #,##0.0_-;_-* &quot;-&quot;??_-;_-@_-">
                  <c:v>585583.71428571432</c:v>
                </c:pt>
                <c:pt idx="310" formatCode="_-* #,##0.0_-;\-* #,##0.0_-;_-* &quot;-&quot;??_-;_-@_-">
                  <c:v>588463.71428571432</c:v>
                </c:pt>
                <c:pt idx="311" formatCode="_-* #,##0.0_-;\-* #,##0.0_-;_-* &quot;-&quot;??_-;_-@_-">
                  <c:v>590394.57142857148</c:v>
                </c:pt>
                <c:pt idx="312" formatCode="_-* #,##0.0_-;\-* #,##0.0_-;_-* &quot;-&quot;??_-;_-@_-">
                  <c:v>589947</c:v>
                </c:pt>
                <c:pt idx="313" formatCode="_-* #,##0.0_-;\-* #,##0.0_-;_-* &quot;-&quot;??_-;_-@_-">
                  <c:v>585907.71428571432</c:v>
                </c:pt>
                <c:pt idx="314" formatCode="_-* #,##0.0_-;\-* #,##0.0_-;_-* &quot;-&quot;??_-;_-@_-">
                  <c:v>589308.85714285716</c:v>
                </c:pt>
                <c:pt idx="315" formatCode="_-* #,##0.0_-;\-* #,##0.0_-;_-* &quot;-&quot;??_-;_-@_-">
                  <c:v>592644.71428571432</c:v>
                </c:pt>
                <c:pt idx="316" formatCode="_-* #,##0.0_-;\-* #,##0.0_-;_-* &quot;-&quot;??_-;_-@_-">
                  <c:v>606615.28571428568</c:v>
                </c:pt>
                <c:pt idx="317" formatCode="_-* #,##0.0_-;\-* #,##0.0_-;_-* &quot;-&quot;??_-;_-@_-">
                  <c:v>606875.28571428568</c:v>
                </c:pt>
                <c:pt idx="318" formatCode="_-* #,##0.0_-;\-* #,##0.0_-;_-* &quot;-&quot;??_-;_-@_-">
                  <c:v>612037.42857142852</c:v>
                </c:pt>
                <c:pt idx="319" formatCode="_-* #,##0.0_-;\-* #,##0.0_-;_-* &quot;-&quot;??_-;_-@_-">
                  <c:v>619014</c:v>
                </c:pt>
                <c:pt idx="320" formatCode="_-* #,##0.0_-;\-* #,##0.0_-;_-* &quot;-&quot;??_-;_-@_-">
                  <c:v>623457.42857142852</c:v>
                </c:pt>
                <c:pt idx="321" formatCode="_-* #,##0.0_-;\-* #,##0.0_-;_-* &quot;-&quot;??_-;_-@_-">
                  <c:v>625890.85714285716</c:v>
                </c:pt>
                <c:pt idx="322" formatCode="_-* #,##0.0_-;\-* #,##0.0_-;_-* &quot;-&quot;??_-;_-@_-">
                  <c:v>629638</c:v>
                </c:pt>
                <c:pt idx="323" formatCode="_-* #,##0.0_-;\-* #,##0.0_-;_-* &quot;-&quot;??_-;_-@_-">
                  <c:v>627060.71428571432</c:v>
                </c:pt>
                <c:pt idx="324" formatCode="_-* #,##0.0_-;\-* #,##0.0_-;_-* &quot;-&quot;??_-;_-@_-">
                  <c:v>628654.42857142852</c:v>
                </c:pt>
                <c:pt idx="325" formatCode="_-* #,##0.0_-;\-* #,##0.0_-;_-* &quot;-&quot;??_-;_-@_-">
                  <c:v>629516.42857142852</c:v>
                </c:pt>
                <c:pt idx="326" formatCode="_-* #,##0.0_-;\-* #,##0.0_-;_-* &quot;-&quot;??_-;_-@_-">
                  <c:v>628746.42857142852</c:v>
                </c:pt>
                <c:pt idx="327" formatCode="_-* #,##0.0_-;\-* #,##0.0_-;_-* &quot;-&quot;??_-;_-@_-">
                  <c:v>631111.28571428568</c:v>
                </c:pt>
                <c:pt idx="328" formatCode="_-* #,##0.0_-;\-* #,##0.0_-;_-* &quot;-&quot;??_-;_-@_-">
                  <c:v>633610</c:v>
                </c:pt>
                <c:pt idx="329" formatCode="_-* #,##0.0_-;\-* #,##0.0_-;_-* &quot;-&quot;??_-;_-@_-">
                  <c:v>641126.42857142852</c:v>
                </c:pt>
                <c:pt idx="330" formatCode="_-* #,##0.0_-;\-* #,##0.0_-;_-* &quot;-&quot;??_-;_-@_-">
                  <c:v>650601</c:v>
                </c:pt>
                <c:pt idx="331" formatCode="_-* #,##0.0_-;\-* #,##0.0_-;_-* &quot;-&quot;??_-;_-@_-">
                  <c:v>652771.57142857148</c:v>
                </c:pt>
                <c:pt idx="332" formatCode="_-* #,##0.0_-;\-* #,##0.0_-;_-* &quot;-&quot;??_-;_-@_-">
                  <c:v>650751.71428571432</c:v>
                </c:pt>
                <c:pt idx="333" formatCode="_-* #,##0.0_-;\-* #,##0.0_-;_-* &quot;-&quot;??_-;_-@_-">
                  <c:v>651977.57142857148</c:v>
                </c:pt>
                <c:pt idx="334" formatCode="_-* #,##0.0_-;\-* #,##0.0_-;_-* &quot;-&quot;??_-;_-@_-">
                  <c:v>651268</c:v>
                </c:pt>
                <c:pt idx="335" formatCode="_-* #,##0.0_-;\-* #,##0.0_-;_-* &quot;-&quot;??_-;_-@_-">
                  <c:v>651824.14285714284</c:v>
                </c:pt>
                <c:pt idx="336" formatCode="_-* #,##0.0_-;\-* #,##0.0_-;_-* &quot;-&quot;??_-;_-@_-">
                  <c:v>646757.71428571432</c:v>
                </c:pt>
                <c:pt idx="337" formatCode="_-* #,##0.0_-;\-* #,##0.0_-;_-* &quot;-&quot;??_-;_-@_-">
                  <c:v>640340.14285714284</c:v>
                </c:pt>
                <c:pt idx="338" formatCode="_-* #,##0.0_-;\-* #,##0.0_-;_-* &quot;-&quot;??_-;_-@_-">
                  <c:v>611401.14285714284</c:v>
                </c:pt>
                <c:pt idx="339" formatCode="_-* #,##0.0_-;\-* #,##0.0_-;_-* &quot;-&quot;??_-;_-@_-">
                  <c:v>592865.28571428568</c:v>
                </c:pt>
                <c:pt idx="340" formatCode="_-* #,##0.0_-;\-* #,##0.0_-;_-* &quot;-&quot;??_-;_-@_-">
                  <c:v>573529.28571428568</c:v>
                </c:pt>
                <c:pt idx="341" formatCode="_-* #,##0.0_-;\-* #,##0.0_-;_-* &quot;-&quot;??_-;_-@_-">
                  <c:v>566700.85714285716</c:v>
                </c:pt>
                <c:pt idx="342" formatCode="_-* #,##0.0_-;\-* #,##0.0_-;_-* &quot;-&quot;??_-;_-@_-">
                  <c:v>569472.57142857148</c:v>
                </c:pt>
                <c:pt idx="343" formatCode="_-* #,##0.0_-;\-* #,##0.0_-;_-* &quot;-&quot;??_-;_-@_-">
                  <c:v>575483.28571428568</c:v>
                </c:pt>
                <c:pt idx="344" formatCode="_-* #,##0.0_-;\-* #,##0.0_-;_-* &quot;-&quot;??_-;_-@_-">
                  <c:v>596360.28571428568</c:v>
                </c:pt>
                <c:pt idx="345" formatCode="_-* #,##0.0_-;\-* #,##0.0_-;_-* &quot;-&quot;??_-;_-@_-">
                  <c:v>606020.57142857148</c:v>
                </c:pt>
                <c:pt idx="346" formatCode="_-* #,##0.0_-;\-* #,##0.0_-;_-* &quot;-&quot;??_-;_-@_-">
                  <c:v>616667.14285714284</c:v>
                </c:pt>
                <c:pt idx="347" formatCode="_-* #,##0.0_-;\-* #,##0.0_-;_-* &quot;-&quot;??_-;_-@_-">
                  <c:v>632030.71428571432</c:v>
                </c:pt>
                <c:pt idx="348" formatCode="_-* #,##0.0_-;\-* #,##0.0_-;_-* &quot;-&quot;??_-;_-@_-">
                  <c:v>640367.57142857148</c:v>
                </c:pt>
                <c:pt idx="349" formatCode="_-* #,##0.0_-;\-* #,##0.0_-;_-* &quot;-&quot;??_-;_-@_-">
                  <c:v>650453.28571428568</c:v>
                </c:pt>
                <c:pt idx="350" formatCode="_-* #,##0.0_-;\-* #,##0.0_-;_-* &quot;-&quot;??_-;_-@_-">
                  <c:v>659897.85714285716</c:v>
                </c:pt>
                <c:pt idx="351" formatCode="_-* #,##0.0_-;\-* #,##0.0_-;_-* &quot;-&quot;??_-;_-@_-">
                  <c:v>664219.14285714284</c:v>
                </c:pt>
                <c:pt idx="352" formatCode="_-* #,##0.0_-;\-* #,##0.0_-;_-* &quot;-&quot;??_-;_-@_-">
                  <c:v>699737</c:v>
                </c:pt>
                <c:pt idx="353" formatCode="_-* #,##0.0_-;\-* #,##0.0_-;_-* &quot;-&quot;??_-;_-@_-">
                  <c:v>724935.14285714284</c:v>
                </c:pt>
                <c:pt idx="354" formatCode="_-* #,##0.0_-;\-* #,##0.0_-;_-* &quot;-&quot;??_-;_-@_-">
                  <c:v>736637.42857142852</c:v>
                </c:pt>
                <c:pt idx="355" formatCode="_-* #,##0.0_-;\-* #,##0.0_-;_-* &quot;-&quot;??_-;_-@_-">
                  <c:v>744883.85714285716</c:v>
                </c:pt>
                <c:pt idx="356" formatCode="_-* #,##0.0_-;\-* #,##0.0_-;_-* &quot;-&quot;??_-;_-@_-">
                  <c:v>737787.57142857148</c:v>
                </c:pt>
                <c:pt idx="357" formatCode="_-* #,##0.0_-;\-* #,##0.0_-;_-* &quot;-&quot;??_-;_-@_-">
                  <c:v>731069.28571428568</c:v>
                </c:pt>
                <c:pt idx="358" formatCode="_-* #,##0.0_-;\-* #,##0.0_-;_-* &quot;-&quot;??_-;_-@_-">
                  <c:v>715150.28571428568</c:v>
                </c:pt>
                <c:pt idx="359" formatCode="_-* #,##0.0_-;\-* #,##0.0_-;_-* &quot;-&quot;??_-;_-@_-">
                  <c:v>707707.71428571432</c:v>
                </c:pt>
                <c:pt idx="360" formatCode="_-* #,##0.0_-;\-* #,##0.0_-;_-* &quot;-&quot;??_-;_-@_-">
                  <c:v>693434.28571428568</c:v>
                </c:pt>
                <c:pt idx="361" formatCode="_-* #,##0.0_-;\-* #,##0.0_-;_-* &quot;-&quot;??_-;_-@_-">
                  <c:v>682800.71428571432</c:v>
                </c:pt>
                <c:pt idx="362" formatCode="_-* #,##0.0_-;\-* #,##0.0_-;_-* &quot;-&quot;??_-;_-@_-">
                  <c:v>668922.42857142852</c:v>
                </c:pt>
                <c:pt idx="363" formatCode="_-* #,##0.0_-;\-* #,##0.0_-;_-* &quot;-&quot;??_-;_-@_-">
                  <c:v>654739.85714285716</c:v>
                </c:pt>
                <c:pt idx="364" formatCode="_-* #,##0.0_-;\-* #,##0.0_-;_-* &quot;-&quot;??_-;_-@_-">
                  <c:v>646595.28571428568</c:v>
                </c:pt>
                <c:pt idx="365" formatCode="_-* #,##0.0_-;\-* #,##0.0_-;_-* &quot;-&quot;??_-;_-@_-">
                  <c:v>633677.28571428568</c:v>
                </c:pt>
                <c:pt idx="366" formatCode="_-* #,##0.0_-;\-* #,##0.0_-;_-* &quot;-&quot;??_-;_-@_-">
                  <c:v>616445.57142857148</c:v>
                </c:pt>
                <c:pt idx="367" formatCode="_-* #,##0.0_-;\-* #,##0.0_-;_-* &quot;-&quot;??_-;_-@_-">
                  <c:v>605012.71428571432</c:v>
                </c:pt>
                <c:pt idx="368" formatCode="_-* #,##0.0_-;\-* #,##0.0_-;_-* &quot;-&quot;??_-;_-@_-">
                  <c:v>595631.28571428568</c:v>
                </c:pt>
                <c:pt idx="369" formatCode="_-* #,##0.0_-;\-* #,##0.0_-;_-* &quot;-&quot;??_-;_-@_-">
                  <c:v>590532.57142857148</c:v>
                </c:pt>
                <c:pt idx="370" formatCode="_-* #,##0.0_-;\-* #,##0.0_-;_-* &quot;-&quot;??_-;_-@_-">
                  <c:v>586025.42857142852</c:v>
                </c:pt>
                <c:pt idx="371" formatCode="_-* #,##0.0_-;\-* #,##0.0_-;_-* &quot;-&quot;??_-;_-@_-">
                  <c:v>573787.85714285716</c:v>
                </c:pt>
                <c:pt idx="372" formatCode="_-* #,##0.0_-;\-* #,##0.0_-;_-* &quot;-&quot;??_-;_-@_-">
                  <c:v>566056.28571428568</c:v>
                </c:pt>
                <c:pt idx="373" formatCode="_-* #,##0.0_-;\-* #,##0.0_-;_-* &quot;-&quot;??_-;_-@_-">
                  <c:v>555417.42857142852</c:v>
                </c:pt>
                <c:pt idx="374" formatCode="_-* #,##0.0_-;\-* #,##0.0_-;_-* &quot;-&quot;??_-;_-@_-">
                  <c:v>546519.42857142852</c:v>
                </c:pt>
                <c:pt idx="375" formatCode="_-* #,##0.0_-;\-* #,##0.0_-;_-* &quot;-&quot;??_-;_-@_-">
                  <c:v>537170.28571428568</c:v>
                </c:pt>
                <c:pt idx="376" formatCode="_-* #,##0.0_-;\-* #,##0.0_-;_-* &quot;-&quot;??_-;_-@_-">
                  <c:v>531654.28571428568</c:v>
                </c:pt>
                <c:pt idx="377" formatCode="_-* #,##0.0_-;\-* #,##0.0_-;_-* &quot;-&quot;??_-;_-@_-">
                  <c:v>517944.57142857142</c:v>
                </c:pt>
                <c:pt idx="378" formatCode="_-* #,##0.0_-;\-* #,##0.0_-;_-* &quot;-&quot;??_-;_-@_-">
                  <c:v>507090</c:v>
                </c:pt>
                <c:pt idx="379" formatCode="_-* #,##0.0_-;\-* #,##0.0_-;_-* &quot;-&quot;??_-;_-@_-">
                  <c:v>486656.14285714284</c:v>
                </c:pt>
                <c:pt idx="380" formatCode="_-* #,##0.0_-;\-* #,##0.0_-;_-* &quot;-&quot;??_-;_-@_-">
                  <c:v>479188.57142857142</c:v>
                </c:pt>
                <c:pt idx="381" formatCode="_-* #,##0.0_-;\-* #,##0.0_-;_-* &quot;-&quot;??_-;_-@_-">
                  <c:v>467835.57142857142</c:v>
                </c:pt>
                <c:pt idx="382" formatCode="_-* #,##0.0_-;\-* #,##0.0_-;_-* &quot;-&quot;??_-;_-@_-">
                  <c:v>461393.85714285716</c:v>
                </c:pt>
                <c:pt idx="383" formatCode="_-* #,##0.0_-;\-* #,##0.0_-;_-* &quot;-&quot;??_-;_-@_-">
                  <c:v>446686.42857142858</c:v>
                </c:pt>
                <c:pt idx="384" formatCode="_-* #,##0.0_-;\-* #,##0.0_-;_-* &quot;-&quot;??_-;_-@_-">
                  <c:v>438379.57142857142</c:v>
                </c:pt>
                <c:pt idx="385" formatCode="_-* #,##0.0_-;\-* #,##0.0_-;_-* &quot;-&quot;??_-;_-@_-">
                  <c:v>426210.57142857142</c:v>
                </c:pt>
                <c:pt idx="386" formatCode="_-* #,##0.0_-;\-* #,##0.0_-;_-* &quot;-&quot;??_-;_-@_-">
                  <c:v>422240.42857142858</c:v>
                </c:pt>
                <c:pt idx="387" formatCode="_-* #,##0.0_-;\-* #,##0.0_-;_-* &quot;-&quot;??_-;_-@_-">
                  <c:v>407019.42857142858</c:v>
                </c:pt>
                <c:pt idx="388" formatCode="_-* #,##0.0_-;\-* #,##0.0_-;_-* &quot;-&quot;??_-;_-@_-">
                  <c:v>399170</c:v>
                </c:pt>
                <c:pt idx="389" formatCode="_-* #,##0.0_-;\-* #,##0.0_-;_-* &quot;-&quot;??_-;_-@_-">
                  <c:v>393038.85714285716</c:v>
                </c:pt>
                <c:pt idx="390" formatCode="_-* #,##0.0_-;\-* #,##0.0_-;_-* &quot;-&quot;??_-;_-@_-">
                  <c:v>384558</c:v>
                </c:pt>
                <c:pt idx="391" formatCode="_-* #,##0.0_-;\-* #,##0.0_-;_-* &quot;-&quot;??_-;_-@_-">
                  <c:v>377730.14285714284</c:v>
                </c:pt>
                <c:pt idx="392" formatCode="_-* #,##0.0_-;\-* #,##0.0_-;_-* &quot;-&quot;??_-;_-@_-">
                  <c:v>370033.85714285716</c:v>
                </c:pt>
                <c:pt idx="393" formatCode="_-* #,##0.0_-;\-* #,##0.0_-;_-* &quot;-&quot;??_-;_-@_-">
                  <c:v>365288</c:v>
                </c:pt>
                <c:pt idx="394" formatCode="_-* #,##0.0_-;\-* #,##0.0_-;_-* &quot;-&quot;??_-;_-@_-">
                  <c:v>362331.57142857142</c:v>
                </c:pt>
                <c:pt idx="395" formatCode="_-* #,##0.0_-;\-* #,##0.0_-;_-* &quot;-&quot;??_-;_-@_-">
                  <c:v>361559.57142857142</c:v>
                </c:pt>
                <c:pt idx="396" formatCode="_-* #,##0.0_-;\-* #,##0.0_-;_-* &quot;-&quot;??_-;_-@_-">
                  <c:v>363087</c:v>
                </c:pt>
                <c:pt idx="397" formatCode="_-* #,##0.0_-;\-* #,##0.0_-;_-* &quot;-&quot;??_-;_-@_-">
                  <c:v>365210.14285714284</c:v>
                </c:pt>
                <c:pt idx="398" formatCode="_-* #,##0.0_-;\-* #,##0.0_-;_-* &quot;-&quot;??_-;_-@_-">
                  <c:v>370001.57142857142</c:v>
                </c:pt>
                <c:pt idx="399" formatCode="_-* #,##0.0_-;\-* #,##0.0_-;_-* &quot;-&quot;??_-;_-@_-">
                  <c:v>378396</c:v>
                </c:pt>
                <c:pt idx="400" formatCode="_-* #,##0.0_-;\-* #,##0.0_-;_-* &quot;-&quot;??_-;_-@_-">
                  <c:v>384403.85714285716</c:v>
                </c:pt>
                <c:pt idx="401" formatCode="_-* #,##0.0_-;\-* #,##0.0_-;_-* &quot;-&quot;??_-;_-@_-">
                  <c:v>389046.42857142858</c:v>
                </c:pt>
                <c:pt idx="402" formatCode="_-* #,##0.0_-;\-* #,##0.0_-;_-* &quot;-&quot;??_-;_-@_-">
                  <c:v>392162.28571428574</c:v>
                </c:pt>
                <c:pt idx="403" formatCode="_-* #,##0.0_-;\-* #,##0.0_-;_-* &quot;-&quot;??_-;_-@_-">
                  <c:v>390489</c:v>
                </c:pt>
                <c:pt idx="404" formatCode="_-* #,##0.0_-;\-* #,##0.0_-;_-* &quot;-&quot;??_-;_-@_-">
                  <c:v>392032.42857142858</c:v>
                </c:pt>
                <c:pt idx="405" formatCode="_-* #,##0.0_-;\-* #,##0.0_-;_-* &quot;-&quot;??_-;_-@_-">
                  <c:v>391267.28571428574</c:v>
                </c:pt>
                <c:pt idx="406" formatCode="_-* #,##0.0_-;\-* #,##0.0_-;_-* &quot;-&quot;??_-;_-@_-">
                  <c:v>390822.14285714284</c:v>
                </c:pt>
                <c:pt idx="407" formatCode="_-* #,##0.0_-;\-* #,##0.0_-;_-* &quot;-&quot;??_-;_-@_-">
                  <c:v>391640.71428571426</c:v>
                </c:pt>
                <c:pt idx="408" formatCode="_-* #,##0.0_-;\-* #,##0.0_-;_-* &quot;-&quot;??_-;_-@_-">
                  <c:v>392693.14285714284</c:v>
                </c:pt>
                <c:pt idx="409" formatCode="_-* #,##0.0_-;\-* #,##0.0_-;_-* &quot;-&quot;??_-;_-@_-">
                  <c:v>395124.42857142858</c:v>
                </c:pt>
                <c:pt idx="410" formatCode="_-* #,##0.0_-;\-* #,##0.0_-;_-* &quot;-&quot;??_-;_-@_-">
                  <c:v>404644</c:v>
                </c:pt>
                <c:pt idx="411" formatCode="_-* #,##0.0_-;\-* #,##0.0_-;_-* &quot;-&quot;??_-;_-@_-">
                  <c:v>404496</c:v>
                </c:pt>
                <c:pt idx="412" formatCode="_-* #,##0.0_-;\-* #,##0.0_-;_-* &quot;-&quot;??_-;_-@_-">
                  <c:v>408256</c:v>
                </c:pt>
                <c:pt idx="413" formatCode="_-* #,##0.0_-;\-* #,##0.0_-;_-* &quot;-&quot;??_-;_-@_-">
                  <c:v>410701.14285714284</c:v>
                </c:pt>
                <c:pt idx="414" formatCode="_-* #,##0.0_-;\-* #,##0.0_-;_-* &quot;-&quot;??_-;_-@_-">
                  <c:v>415103</c:v>
                </c:pt>
                <c:pt idx="415" formatCode="_-* #,##0.0_-;\-* #,##0.0_-;_-* &quot;-&quot;??_-;_-@_-">
                  <c:v>420791.57142857142</c:v>
                </c:pt>
                <c:pt idx="416" formatCode="_-* #,##0.0_-;\-* #,##0.0_-;_-* &quot;-&quot;??_-;_-@_-">
                  <c:v>426774.85714285716</c:v>
                </c:pt>
                <c:pt idx="417" formatCode="_-* #,##0.0_-;\-* #,##0.0_-;_-* &quot;-&quot;??_-;_-@_-">
                  <c:v>425529.28571428574</c:v>
                </c:pt>
                <c:pt idx="418" formatCode="_-* #,##0.0_-;\-* #,##0.0_-;_-* &quot;-&quot;??_-;_-@_-">
                  <c:v>432498</c:v>
                </c:pt>
                <c:pt idx="419" formatCode="_-* #,##0.0_-;\-* #,##0.0_-;_-* &quot;-&quot;??_-;_-@_-">
                  <c:v>439975.28571428574</c:v>
                </c:pt>
                <c:pt idx="420" formatCode="_-* #,##0.0_-;\-* #,##0.0_-;_-* &quot;-&quot;??_-;_-@_-">
                  <c:v>452279.71428571426</c:v>
                </c:pt>
                <c:pt idx="421" formatCode="_-* #,##0.0_-;\-* #,##0.0_-;_-* &quot;-&quot;??_-;_-@_-">
                  <c:v>460625</c:v>
                </c:pt>
                <c:pt idx="422" formatCode="_-* #,##0.0_-;\-* #,##0.0_-;_-* &quot;-&quot;??_-;_-@_-">
                  <c:v>471148.57142857142</c:v>
                </c:pt>
                <c:pt idx="423" formatCode="_-* #,##0.0_-;\-* #,##0.0_-;_-* &quot;-&quot;??_-;_-@_-">
                  <c:v>477277</c:v>
                </c:pt>
                <c:pt idx="424" formatCode="_-* #,##0.0_-;\-* #,##0.0_-;_-* &quot;-&quot;??_-;_-@_-">
                  <c:v>487941.85714285716</c:v>
                </c:pt>
                <c:pt idx="425" formatCode="_-* #,##0.0_-;\-* #,##0.0_-;_-* &quot;-&quot;??_-;_-@_-">
                  <c:v>497772.28571428574</c:v>
                </c:pt>
                <c:pt idx="426" formatCode="_-* #,##0.0_-;\-* #,##0.0_-;_-* &quot;-&quot;??_-;_-@_-">
                  <c:v>503477.57142857142</c:v>
                </c:pt>
                <c:pt idx="427" formatCode="_-* #,##0.0_-;\-* #,##0.0_-;_-* &quot;-&quot;??_-;_-@_-">
                  <c:v>515837.28571428574</c:v>
                </c:pt>
                <c:pt idx="428" formatCode="_-* #,##0.0_-;\-* #,##0.0_-;_-* &quot;-&quot;??_-;_-@_-">
                  <c:v>530736.71428571432</c:v>
                </c:pt>
                <c:pt idx="429" formatCode="_-* #,##0.0_-;\-* #,##0.0_-;_-* &quot;-&quot;??_-;_-@_-">
                  <c:v>541737.71428571432</c:v>
                </c:pt>
                <c:pt idx="430" formatCode="_-* #,##0.0_-;\-* #,##0.0_-;_-* &quot;-&quot;??_-;_-@_-">
                  <c:v>553985.71428571432</c:v>
                </c:pt>
                <c:pt idx="431" formatCode="_-* #,##0.0_-;\-* #,##0.0_-;_-* &quot;-&quot;??_-;_-@_-">
                  <c:v>561438.42857142852</c:v>
                </c:pt>
                <c:pt idx="432" formatCode="_-* #,##0.0_-;\-* #,##0.0_-;_-* &quot;-&quot;??_-;_-@_-">
                  <c:v>566597.71428571432</c:v>
                </c:pt>
                <c:pt idx="433" formatCode="_-* #,##0.0_-;\-* #,##0.0_-;_-* &quot;-&quot;??_-;_-@_-">
                  <c:v>574556.85714285716</c:v>
                </c:pt>
                <c:pt idx="434" formatCode="_-* #,##0.0_-;\-* #,##0.0_-;_-* &quot;-&quot;??_-;_-@_-">
                  <c:v>580612.42857142852</c:v>
                </c:pt>
                <c:pt idx="435" formatCode="_-* #,##0.0_-;\-* #,##0.0_-;_-* &quot;-&quot;??_-;_-@_-">
                  <c:v>588810.85714285716</c:v>
                </c:pt>
                <c:pt idx="436" formatCode="_-* #,##0.0_-;\-* #,##0.0_-;_-* &quot;-&quot;??_-;_-@_-">
                  <c:v>589480.85714285716</c:v>
                </c:pt>
                <c:pt idx="437" formatCode="_-* #,##0.0_-;\-* #,##0.0_-;_-* &quot;-&quot;??_-;_-@_-">
                  <c:v>583184.71428571432</c:v>
                </c:pt>
                <c:pt idx="438" formatCode="_-* #,##0.0_-;\-* #,##0.0_-;_-* &quot;-&quot;??_-;_-@_-">
                  <c:v>592810.42857142852</c:v>
                </c:pt>
                <c:pt idx="439" formatCode="_-* #,##0.0_-;\-* #,##0.0_-;_-* &quot;-&quot;??_-;_-@_-">
                  <c:v>598145.71428571432</c:v>
                </c:pt>
                <c:pt idx="440" formatCode="_-* #,##0.0_-;\-* #,##0.0_-;_-* &quot;-&quot;??_-;_-@_-">
                  <c:v>604609</c:v>
                </c:pt>
                <c:pt idx="441" formatCode="_-* #,##0.0_-;\-* #,##0.0_-;_-* &quot;-&quot;??_-;_-@_-">
                  <c:v>603058.71428571432</c:v>
                </c:pt>
                <c:pt idx="442" formatCode="_-* #,##0.0_-;\-* #,##0.0_-;_-* &quot;-&quot;??_-;_-@_-">
                  <c:v>621124.28571428568</c:v>
                </c:pt>
                <c:pt idx="443" formatCode="_-* #,##0.0_-;\-* #,##0.0_-;_-* &quot;-&quot;??_-;_-@_-">
                  <c:v>636489</c:v>
                </c:pt>
                <c:pt idx="444" formatCode="_-* #,##0.0_-;\-* #,##0.0_-;_-* &quot;-&quot;??_-;_-@_-">
                  <c:v>655076</c:v>
                </c:pt>
                <c:pt idx="445" formatCode="_-* #,##0.0_-;\-* #,##0.0_-;_-* &quot;-&quot;??_-;_-@_-">
                  <c:v>676470.14285714284</c:v>
                </c:pt>
                <c:pt idx="446" formatCode="_-* #,##0.0_-;\-* #,##0.0_-;_-* &quot;-&quot;??_-;_-@_-">
                  <c:v>693178.42857142852</c:v>
                </c:pt>
                <c:pt idx="447" formatCode="_-* #,##0.0_-;\-* #,##0.0_-;_-* &quot;-&quot;??_-;_-@_-">
                  <c:v>715611.28571428568</c:v>
                </c:pt>
                <c:pt idx="448" formatCode="_-* #,##0.0_-;\-* #,##0.0_-;_-* &quot;-&quot;??_-;_-@_-">
                  <c:v>736866.57142857148</c:v>
                </c:pt>
                <c:pt idx="449" formatCode="_-* #,##0.0_-;\-* #,##0.0_-;_-* &quot;-&quot;??_-;_-@_-">
                  <c:v>734681.42857142852</c:v>
                </c:pt>
                <c:pt idx="450" formatCode="_-* #,##0.0_-;\-* #,##0.0_-;_-* &quot;-&quot;??_-;_-@_-">
                  <c:v>750119</c:v>
                </c:pt>
                <c:pt idx="451" formatCode="_-* #,##0.0_-;\-* #,##0.0_-;_-* &quot;-&quot;??_-;_-@_-">
                  <c:v>767733.71428571432</c:v>
                </c:pt>
                <c:pt idx="452" formatCode="_-* #,##0.0_-;\-* #,##0.0_-;_-* &quot;-&quot;??_-;_-@_-">
                  <c:v>766363</c:v>
                </c:pt>
                <c:pt idx="453" formatCode="_-* #,##0.0_-;\-* #,##0.0_-;_-* &quot;-&quot;??_-;_-@_-">
                  <c:v>777339</c:v>
                </c:pt>
                <c:pt idx="454" formatCode="_-* #,##0.0_-;\-* #,##0.0_-;_-* &quot;-&quot;??_-;_-@_-">
                  <c:v>788143.71428571432</c:v>
                </c:pt>
                <c:pt idx="455" formatCode="_-* #,##0.0_-;\-* #,##0.0_-;_-* &quot;-&quot;??_-;_-@_-">
                  <c:v>799134.28571428568</c:v>
                </c:pt>
                <c:pt idx="456" formatCode="_-* #,##0.0_-;\-* #,##0.0_-;_-* &quot;-&quot;??_-;_-@_-">
                  <c:v>810412.42857142852</c:v>
                </c:pt>
                <c:pt idx="457" formatCode="_-* #,##0.0_-;\-* #,##0.0_-;_-* &quot;-&quot;??_-;_-@_-">
                  <c:v>817173.28571428568</c:v>
                </c:pt>
                <c:pt idx="458" formatCode="_-* #,##0.0_-;\-* #,##0.0_-;_-* &quot;-&quot;??_-;_-@_-">
                  <c:v>821565</c:v>
                </c:pt>
                <c:pt idx="459" formatCode="_-* #,##0.0_-;\-* #,##0.0_-;_-* &quot;-&quot;??_-;_-@_-">
                  <c:v>825665.57142857148</c:v>
                </c:pt>
                <c:pt idx="460" formatCode="_-* #,##0.0_-;\-* #,##0.0_-;_-* &quot;-&quot;??_-;_-@_-">
                  <c:v>825437.71428571432</c:v>
                </c:pt>
                <c:pt idx="461" formatCode="_-* #,##0.0_-;\-* #,##0.0_-;_-* &quot;-&quot;??_-;_-@_-">
                  <c:v>825407</c:v>
                </c:pt>
                <c:pt idx="462" formatCode="_-* #,##0.0_-;\-* #,##0.0_-;_-* &quot;-&quot;??_-;_-@_-">
                  <c:v>826729.71428571432</c:v>
                </c:pt>
                <c:pt idx="463" formatCode="_-* #,##0.0_-;\-* #,##0.0_-;_-* &quot;-&quot;??_-;_-@_-">
                  <c:v>826050.57142857148</c:v>
                </c:pt>
                <c:pt idx="464" formatCode="_-* #,##0.0_-;\-* #,##0.0_-;_-* &quot;-&quot;??_-;_-@_-">
                  <c:v>823746.28571428568</c:v>
                </c:pt>
                <c:pt idx="465" formatCode="_-* #,##0.0_-;\-* #,##0.0_-;_-* &quot;-&quot;??_-;_-@_-">
                  <c:v>819550.28571428568</c:v>
                </c:pt>
                <c:pt idx="466" formatCode="_-* #,##0.0_-;\-* #,##0.0_-;_-* &quot;-&quot;??_-;_-@_-">
                  <c:v>813610.14285714284</c:v>
                </c:pt>
                <c:pt idx="467" formatCode="_-* #,##0.0_-;\-* #,##0.0_-;_-* &quot;-&quot;??_-;_-@_-">
                  <c:v>813842</c:v>
                </c:pt>
                <c:pt idx="468" formatCode="_-* #,##0.0_-;\-* #,##0.0_-;_-* &quot;-&quot;??_-;_-@_-">
                  <c:v>806094.71428571432</c:v>
                </c:pt>
                <c:pt idx="469" formatCode="_-* #,##0.0_-;\-* #,##0.0_-;_-* &quot;-&quot;??_-;_-@_-">
                  <c:v>798109.42857142852</c:v>
                </c:pt>
                <c:pt idx="470" formatCode="_-* #,##0.0_-;\-* #,##0.0_-;_-* &quot;-&quot;??_-;_-@_-">
                  <c:v>794954</c:v>
                </c:pt>
                <c:pt idx="471" formatCode="_-* #,##0.0_-;\-* #,##0.0_-;_-* &quot;-&quot;??_-;_-@_-">
                  <c:v>786852.28571428568</c:v>
                </c:pt>
                <c:pt idx="472" formatCode="_-* #,##0.0_-;\-* #,##0.0_-;_-* &quot;-&quot;??_-;_-@_-">
                  <c:v>785920.57142857148</c:v>
                </c:pt>
                <c:pt idx="473" formatCode="_-* #,##0.0_-;\-* #,##0.0_-;_-* &quot;-&quot;??_-;_-@_-">
                  <c:v>780530</c:v>
                </c:pt>
                <c:pt idx="474" formatCode="_-* #,##0.0_-;\-* #,##0.0_-;_-* &quot;-&quot;??_-;_-@_-">
                  <c:v>771323.28571428568</c:v>
                </c:pt>
                <c:pt idx="475" formatCode="_-* #,##0.0_-;\-* #,##0.0_-;_-* &quot;-&quot;??_-;_-@_-">
                  <c:v>762871.85714285716</c:v>
                </c:pt>
                <c:pt idx="476" formatCode="_-* #,##0.0_-;\-* #,##0.0_-;_-* &quot;-&quot;??_-;_-@_-">
                  <c:v>752219.14285714284</c:v>
                </c:pt>
                <c:pt idx="477" formatCode="_-* #,##0.0_-;\-* #,##0.0_-;_-* &quot;-&quot;??_-;_-@_-">
                  <c:v>732570.85714285716</c:v>
                </c:pt>
                <c:pt idx="478" formatCode="_-* #,##0.0_-;\-* #,##0.0_-;_-* &quot;-&quot;??_-;_-@_-">
                  <c:v>714726.28571428568</c:v>
                </c:pt>
                <c:pt idx="479" formatCode="_-* #,##0.0_-;\-* #,##0.0_-;_-* &quot;-&quot;??_-;_-@_-">
                  <c:v>692288.42857142852</c:v>
                </c:pt>
                <c:pt idx="480" formatCode="_-* #,##0.0_-;\-* #,##0.0_-;_-* &quot;-&quot;??_-;_-@_-">
                  <c:v>677590.57142857148</c:v>
                </c:pt>
                <c:pt idx="481" formatCode="_-* #,##0.0_-;\-* #,##0.0_-;_-* &quot;-&quot;??_-;_-@_-">
                  <c:v>665886.42857142852</c:v>
                </c:pt>
                <c:pt idx="482" formatCode="_-* #,##0.0_-;\-* #,##0.0_-;_-* &quot;-&quot;??_-;_-@_-">
                  <c:v>651018.42857142852</c:v>
                </c:pt>
                <c:pt idx="483" formatCode="_-* #,##0.0_-;\-* #,##0.0_-;_-* &quot;-&quot;??_-;_-@_-">
                  <c:v>637438.28571428568</c:v>
                </c:pt>
                <c:pt idx="484" formatCode="_-* #,##0.0_-;\-* #,##0.0_-;_-* &quot;-&quot;??_-;_-@_-">
                  <c:v>622540.28571428568</c:v>
                </c:pt>
                <c:pt idx="485" formatCode="_-* #,##0.0_-;\-* #,##0.0_-;_-* &quot;-&quot;??_-;_-@_-">
                  <c:v>610604.85714285716</c:v>
                </c:pt>
                <c:pt idx="486" formatCode="_-* #,##0.0_-;\-* #,##0.0_-;_-* &quot;-&quot;??_-;_-@_-">
                  <c:v>602121</c:v>
                </c:pt>
                <c:pt idx="487" formatCode="_-* #,##0.0_-;\-* #,##0.0_-;_-* &quot;-&quot;??_-;_-@_-">
                  <c:v>592834.71428571432</c:v>
                </c:pt>
                <c:pt idx="488" formatCode="_-* #,##0.0_-;\-* #,##0.0_-;_-* &quot;-&quot;??_-;_-@_-">
                  <c:v>579626</c:v>
                </c:pt>
                <c:pt idx="489" formatCode="_-* #,##0.0_-;\-* #,##0.0_-;_-* &quot;-&quot;??_-;_-@_-">
                  <c:v>567080.71428571432</c:v>
                </c:pt>
                <c:pt idx="490" formatCode="_-* #,##0.0_-;\-* #,##0.0_-;_-* &quot;-&quot;??_-;_-@_-">
                  <c:v>552235.85714285716</c:v>
                </c:pt>
                <c:pt idx="491" formatCode="_-* #,##0.0_-;\-* #,##0.0_-;_-* &quot;-&quot;??_-;_-@_-">
                  <c:v>540211</c:v>
                </c:pt>
                <c:pt idx="492" formatCode="_-* #,##0.0_-;\-* #,##0.0_-;_-* &quot;-&quot;??_-;_-@_-">
                  <c:v>522938.57142857142</c:v>
                </c:pt>
                <c:pt idx="493" formatCode="_-* #,##0.0_-;\-* #,##0.0_-;_-* &quot;-&quot;??_-;_-@_-">
                  <c:v>509810.28571428574</c:v>
                </c:pt>
                <c:pt idx="494" formatCode="_-* #,##0.0_-;\-* #,##0.0_-;_-* &quot;-&quot;??_-;_-@_-">
                  <c:v>496734.71428571426</c:v>
                </c:pt>
                <c:pt idx="495" formatCode="_-* #,##0.0_-;\-* #,##0.0_-;_-* &quot;-&quot;??_-;_-@_-">
                  <c:v>487615</c:v>
                </c:pt>
                <c:pt idx="496" formatCode="_-* #,##0.0_-;\-* #,##0.0_-;_-* &quot;-&quot;??_-;_-@_-">
                  <c:v>477003.71428571426</c:v>
                </c:pt>
                <c:pt idx="497" formatCode="_-* #,##0.0_-;\-* #,##0.0_-;_-* &quot;-&quot;??_-;_-@_-">
                  <c:v>465438</c:v>
                </c:pt>
                <c:pt idx="498" formatCode="_-* #,##0.0_-;\-* #,##0.0_-;_-* &quot;-&quot;??_-;_-@_-">
                  <c:v>455994.71428571426</c:v>
                </c:pt>
                <c:pt idx="499" formatCode="_-* #,##0.0_-;\-* #,##0.0_-;_-* &quot;-&quot;??_-;_-@_-">
                  <c:v>444498.85714285716</c:v>
                </c:pt>
                <c:pt idx="500" formatCode="_-* #,##0.0_-;\-* #,##0.0_-;_-* &quot;-&quot;??_-;_-@_-">
                  <c:v>432555.14285714284</c:v>
                </c:pt>
                <c:pt idx="501" formatCode="_-* #,##0.0_-;\-* #,##0.0_-;_-* &quot;-&quot;??_-;_-@_-">
                  <c:v>422989.85714285716</c:v>
                </c:pt>
                <c:pt idx="502" formatCode="_-* #,##0.0_-;\-* #,##0.0_-;_-* &quot;-&quot;??_-;_-@_-">
                  <c:v>413665.71428571426</c:v>
                </c:pt>
                <c:pt idx="503" formatCode="_-* #,##0.0_-;\-* #,##0.0_-;_-* &quot;-&quot;??_-;_-@_-">
                  <c:v>400933.14285714284</c:v>
                </c:pt>
                <c:pt idx="504" formatCode="_-* #,##0.0_-;\-* #,##0.0_-;_-* &quot;-&quot;??_-;_-@_-">
                  <c:v>391057.42857142858</c:v>
                </c:pt>
                <c:pt idx="505" formatCode="_-* #,##0.0_-;\-* #,##0.0_-;_-* &quot;-&quot;??_-;_-@_-">
                  <c:v>387141.14285714284</c:v>
                </c:pt>
                <c:pt idx="506" formatCode="_-* #,##0.0_-;\-* #,##0.0_-;_-* &quot;-&quot;??_-;_-@_-">
                  <c:v>386775.57142857142</c:v>
                </c:pt>
                <c:pt idx="507" formatCode="_-* #,##0.0_-;\-* #,##0.0_-;_-* &quot;-&quot;??_-;_-@_-">
                  <c:v>382716.14285714284</c:v>
                </c:pt>
                <c:pt idx="508" formatCode="_-* #,##0.0_-;\-* #,##0.0_-;_-* &quot;-&quot;??_-;_-@_-">
                  <c:v>379831</c:v>
                </c:pt>
                <c:pt idx="509" formatCode="_-* #,##0.0_-;\-* #,##0.0_-;_-* &quot;-&quot;??_-;_-@_-">
                  <c:v>378092.71428571426</c:v>
                </c:pt>
                <c:pt idx="510" formatCode="_-* #,##0.0_-;\-* #,##0.0_-;_-* &quot;-&quot;??_-;_-@_-">
                  <c:v>378688.71428571426</c:v>
                </c:pt>
                <c:pt idx="511" formatCode="_-* #,##0.0_-;\-* #,##0.0_-;_-* &quot;-&quot;??_-;_-@_-">
                  <c:v>374478.14285714284</c:v>
                </c:pt>
                <c:pt idx="512" formatCode="_-* #,##0.0_-;\-* #,##0.0_-;_-* &quot;-&quot;??_-;_-@_-">
                  <c:v>366297.85714285716</c:v>
                </c:pt>
                <c:pt idx="513" formatCode="_-* #,##0.0_-;\-* #,##0.0_-;_-* &quot;-&quot;??_-;_-@_-">
                  <c:v>363556.42857142858</c:v>
                </c:pt>
                <c:pt idx="514" formatCode="_-* #,##0.0_-;\-* #,##0.0_-;_-* &quot;-&quot;??_-;_-@_-">
                  <c:v>360678.57142857142</c:v>
                </c:pt>
                <c:pt idx="515" formatCode="_-* #,##0.0_-;\-* #,##0.0_-;_-* &quot;-&quot;??_-;_-@_-">
                  <c:v>360754.85714285716</c:v>
                </c:pt>
                <c:pt idx="516" formatCode="_-* #,##0.0_-;\-* #,##0.0_-;_-* &quot;-&quot;??_-;_-@_-">
                  <c:v>358907</c:v>
                </c:pt>
                <c:pt idx="517" formatCode="_-* #,##0.0_-;\-* #,##0.0_-;_-* &quot;-&quot;??_-;_-@_-">
                  <c:v>363945.14285714284</c:v>
                </c:pt>
                <c:pt idx="518" formatCode="_-* #,##0.0_-;\-* #,##0.0_-;_-* &quot;-&quot;??_-;_-@_-">
                  <c:v>365097</c:v>
                </c:pt>
                <c:pt idx="519" formatCode="_-* #,##0.0_-;\-* #,##0.0_-;_-* &quot;-&quot;??_-;_-@_-">
                  <c:v>366969.14285714284</c:v>
                </c:pt>
                <c:pt idx="520" formatCode="_-* #,##0.0_-;\-* #,##0.0_-;_-* &quot;-&quot;??_-;_-@_-">
                  <c:v>369045</c:v>
                </c:pt>
                <c:pt idx="521" formatCode="_-* #,##0.0_-;\-* #,##0.0_-;_-* &quot;-&quot;??_-;_-@_-">
                  <c:v>371139</c:v>
                </c:pt>
                <c:pt idx="522" formatCode="_-* #,##0.0_-;\-* #,##0.0_-;_-* &quot;-&quot;??_-;_-@_-">
                  <c:v>372226.14285714284</c:v>
                </c:pt>
                <c:pt idx="523" formatCode="_-* #,##0.0_-;\-* #,##0.0_-;_-* &quot;-&quot;??_-;_-@_-">
                  <c:v>377434</c:v>
                </c:pt>
                <c:pt idx="524" formatCode="_-* #,##0.0_-;\-* #,##0.0_-;_-* &quot;-&quot;??_-;_-@_-">
                  <c:v>373302.71428571426</c:v>
                </c:pt>
                <c:pt idx="525" formatCode="_-* #,##0.0_-;\-* #,##0.0_-;_-* &quot;-&quot;??_-;_-@_-">
                  <c:v>373656.57142857142</c:v>
                </c:pt>
                <c:pt idx="526" formatCode="_-* #,##0.0_-;\-* #,##0.0_-;_-* &quot;-&quot;??_-;_-@_-">
                  <c:v>377416.14285714284</c:v>
                </c:pt>
                <c:pt idx="527" formatCode="_-* #,##0.0_-;\-* #,##0.0_-;_-* &quot;-&quot;??_-;_-@_-">
                  <c:v>380901.85714285716</c:v>
                </c:pt>
                <c:pt idx="528" formatCode="_-* #,##0.0_-;\-* #,##0.0_-;_-* &quot;-&quot;??_-;_-@_-">
                  <c:v>382538</c:v>
                </c:pt>
                <c:pt idx="529" formatCode="_-* #,##0.0_-;\-* #,##0.0_-;_-* &quot;-&quot;??_-;_-@_-">
                  <c:v>384987.85714285716</c:v>
                </c:pt>
                <c:pt idx="530" formatCode="_-* #,##0.0_-;\-* #,##0.0_-;_-* &quot;-&quot;??_-;_-@_-">
                  <c:v>391215.28571428574</c:v>
                </c:pt>
                <c:pt idx="531" formatCode="_-* #,##0.0_-;\-* #,##0.0_-;_-* &quot;-&quot;??_-;_-@_-">
                  <c:v>401088.71428571426</c:v>
                </c:pt>
                <c:pt idx="532" formatCode="_-* #,##0.0_-;\-* #,##0.0_-;_-* &quot;-&quot;??_-;_-@_-">
                  <c:v>410458.57142857142</c:v>
                </c:pt>
                <c:pt idx="533" formatCode="_-* #,##0.0_-;\-* #,##0.0_-;_-* &quot;-&quot;??_-;_-@_-">
                  <c:v>417042</c:v>
                </c:pt>
                <c:pt idx="534" formatCode="_-* #,##0.0_-;\-* #,##0.0_-;_-* &quot;-&quot;??_-;_-@_-">
                  <c:v>427252.14285714284</c:v>
                </c:pt>
                <c:pt idx="535" formatCode="_-* #,##0.0_-;\-* #,##0.0_-;_-* &quot;-&quot;??_-;_-@_-">
                  <c:v>434040</c:v>
                </c:pt>
                <c:pt idx="536" formatCode="_-* #,##0.0_-;\-* #,##0.0_-;_-* &quot;-&quot;??_-;_-@_-">
                  <c:v>440087.14285714284</c:v>
                </c:pt>
                <c:pt idx="537" formatCode="_-* #,##0.0_-;\-* #,##0.0_-;_-* &quot;-&quot;??_-;_-@_-">
                  <c:v>448021.71428571426</c:v>
                </c:pt>
                <c:pt idx="538" formatCode="_-* #,##0.0_-;\-* #,##0.0_-;_-* &quot;-&quot;??_-;_-@_-">
                  <c:v>458778.28571428574</c:v>
                </c:pt>
                <c:pt idx="539" formatCode="_-* #,##0.0_-;\-* #,##0.0_-;_-* &quot;-&quot;??_-;_-@_-">
                  <c:v>469181</c:v>
                </c:pt>
                <c:pt idx="540" formatCode="_-* #,##0.0_-;\-* #,##0.0_-;_-* &quot;-&quot;??_-;_-@_-">
                  <c:v>482694.57142857142</c:v>
                </c:pt>
                <c:pt idx="541" formatCode="_-* #,##0.0_-;\-* #,##0.0_-;_-* &quot;-&quot;??_-;_-@_-">
                  <c:v>494423.57142857142</c:v>
                </c:pt>
                <c:pt idx="542" formatCode="_-* #,##0.0_-;\-* #,##0.0_-;_-* &quot;-&quot;??_-;_-@_-">
                  <c:v>504192.28571428574</c:v>
                </c:pt>
                <c:pt idx="543" formatCode="_-* #,##0.0_-;\-* #,##0.0_-;_-* &quot;-&quot;??_-;_-@_-">
                  <c:v>511454.71428571426</c:v>
                </c:pt>
                <c:pt idx="544" formatCode="_-* #,##0.0_-;\-* #,##0.0_-;_-* &quot;-&quot;??_-;_-@_-">
                  <c:v>519184.71428571426</c:v>
                </c:pt>
                <c:pt idx="545" formatCode="_-* #,##0.0_-;\-* #,##0.0_-;_-* &quot;-&quot;??_-;_-@_-">
                  <c:v>520121.28571428574</c:v>
                </c:pt>
                <c:pt idx="546" formatCode="_-* #,##0.0_-;\-* #,##0.0_-;_-* &quot;-&quot;??_-;_-@_-">
                  <c:v>522673</c:v>
                </c:pt>
                <c:pt idx="547" formatCode="_-* #,##0.0_-;\-* #,##0.0_-;_-* &quot;-&quot;??_-;_-@_-">
                  <c:v>521078.14285714284</c:v>
                </c:pt>
                <c:pt idx="548" formatCode="_-* #,##0.0_-;\-* #,##0.0_-;_-* &quot;-&quot;??_-;_-@_-">
                  <c:v>539971.14285714284</c:v>
                </c:pt>
                <c:pt idx="549" formatCode="_-* #,##0.0_-;\-* #,##0.0_-;_-* &quot;-&quot;??_-;_-@_-">
                  <c:v>540269</c:v>
                </c:pt>
                <c:pt idx="550" formatCode="_-* #,##0.0_-;\-* #,##0.0_-;_-* &quot;-&quot;??_-;_-@_-">
                  <c:v>543820.57142857148</c:v>
                </c:pt>
                <c:pt idx="551" formatCode="_-* #,##0.0_-;\-* #,##0.0_-;_-* &quot;-&quot;??_-;_-@_-">
                  <c:v>551225.42857142852</c:v>
                </c:pt>
                <c:pt idx="552" formatCode="_-* #,##0.0_-;\-* #,##0.0_-;_-* &quot;-&quot;??_-;_-@_-">
                  <c:v>561806.71428571432</c:v>
                </c:pt>
                <c:pt idx="553" formatCode="_-* #,##0.0_-;\-* #,##0.0_-;_-* &quot;-&quot;??_-;_-@_-">
                  <c:v>575257.28571428568</c:v>
                </c:pt>
                <c:pt idx="554" formatCode="_-* #,##0.0_-;\-* #,##0.0_-;_-* &quot;-&quot;??_-;_-@_-">
                  <c:v>586377.14285714284</c:v>
                </c:pt>
                <c:pt idx="555" formatCode="_-* #,##0.0_-;\-* #,##0.0_-;_-* &quot;-&quot;??_-;_-@_-">
                  <c:v>586995.28571428568</c:v>
                </c:pt>
                <c:pt idx="556" formatCode="_-* #,##0.0_-;\-* #,##0.0_-;_-* &quot;-&quot;??_-;_-@_-">
                  <c:v>590749.71428571432</c:v>
                </c:pt>
                <c:pt idx="557" formatCode="_-* #,##0.0_-;\-* #,##0.0_-;_-* &quot;-&quot;??_-;_-@_-">
                  <c:v>596178.57142857148</c:v>
                </c:pt>
                <c:pt idx="558" formatCode="_-* #,##0.0_-;\-* #,##0.0_-;_-* &quot;-&quot;??_-;_-@_-">
                  <c:v>600375.71428571432</c:v>
                </c:pt>
                <c:pt idx="559" formatCode="_-* #,##0.0_-;\-* #,##0.0_-;_-* &quot;-&quot;??_-;_-@_-">
                  <c:v>604350.85714285716</c:v>
                </c:pt>
                <c:pt idx="560" formatCode="_-* #,##0.0_-;\-* #,##0.0_-;_-* &quot;-&quot;??_-;_-@_-">
                  <c:v>608684.28571428568</c:v>
                </c:pt>
                <c:pt idx="561" formatCode="_-* #,##0.0_-;\-* #,##0.0_-;_-* &quot;-&quot;??_-;_-@_-">
                  <c:v>614766.57142857148</c:v>
                </c:pt>
                <c:pt idx="562" formatCode="_-* #,##0.0_-;\-* #,##0.0_-;_-* &quot;-&quot;??_-;_-@_-">
                  <c:v>627169.14285714284</c:v>
                </c:pt>
                <c:pt idx="563" formatCode="_-* #,##0.0_-;\-* #,##0.0_-;_-* &quot;-&quot;??_-;_-@_-">
                  <c:v>633549.28571428568</c:v>
                </c:pt>
                <c:pt idx="564" formatCode="_-* #,##0.0_-;\-* #,##0.0_-;_-* &quot;-&quot;??_-;_-@_-">
                  <c:v>631505</c:v>
                </c:pt>
                <c:pt idx="565" formatCode="_-* #,##0.0_-;\-* #,##0.0_-;_-* &quot;-&quot;??_-;_-@_-">
                  <c:v>638167.42857142852</c:v>
                </c:pt>
                <c:pt idx="566" formatCode="_-* #,##0.0_-;\-* #,##0.0_-;_-* &quot;-&quot;??_-;_-@_-">
                  <c:v>639756</c:v>
                </c:pt>
                <c:pt idx="567" formatCode="_-* #,##0.0_-;\-* #,##0.0_-;_-* &quot;-&quot;??_-;_-@_-">
                  <c:v>646924.42857142852</c:v>
                </c:pt>
                <c:pt idx="568" formatCode="_-* #,##0.0_-;\-* #,##0.0_-;_-* &quot;-&quot;??_-;_-@_-">
                  <c:v>649836.85714285716</c:v>
                </c:pt>
                <c:pt idx="569" formatCode="_-* #,##0.0_-;\-* #,##0.0_-;_-* &quot;-&quot;??_-;_-@_-">
                  <c:v>647334.85714285716</c:v>
                </c:pt>
                <c:pt idx="570" formatCode="_-* #,##0.0_-;\-* #,##0.0_-;_-* &quot;-&quot;??_-;_-@_-">
                  <c:v>646459.71428571432</c:v>
                </c:pt>
                <c:pt idx="571" formatCode="_-* #,##0.0_-;\-* #,##0.0_-;_-* &quot;-&quot;??_-;_-@_-">
                  <c:v>646504.42857142852</c:v>
                </c:pt>
                <c:pt idx="572" formatCode="_-* #,##0.0_-;\-* #,##0.0_-;_-* &quot;-&quot;??_-;_-@_-">
                  <c:v>652339.14285714284</c:v>
                </c:pt>
                <c:pt idx="573" formatCode="_-* #,##0.0_-;\-* #,##0.0_-;_-* &quot;-&quot;??_-;_-@_-">
                  <c:v>657601.14285714284</c:v>
                </c:pt>
                <c:pt idx="574" formatCode="_-* #,##0.0_-;\-* #,##0.0_-;_-* &quot;-&quot;??_-;_-@_-">
                  <c:v>658364.42857142852</c:v>
                </c:pt>
                <c:pt idx="575" formatCode="_-* #,##0.0_-;\-* #,##0.0_-;_-* &quot;-&quot;??_-;_-@_-">
                  <c:v>659169.14285714284</c:v>
                </c:pt>
                <c:pt idx="576" formatCode="_-* #,##0.0_-;\-* #,##0.0_-;_-* &quot;-&quot;??_-;_-@_-">
                  <c:v>656801.28571428568</c:v>
                </c:pt>
                <c:pt idx="577" formatCode="_-* #,##0.0_-;\-* #,##0.0_-;_-* &quot;-&quot;??_-;_-@_-">
                  <c:v>657993</c:v>
                </c:pt>
                <c:pt idx="578" formatCode="_-* #,##0.0_-;\-* #,##0.0_-;_-* &quot;-&quot;??_-;_-@_-">
                  <c:v>655653.85714285716</c:v>
                </c:pt>
                <c:pt idx="579" formatCode="_-* #,##0.0_-;\-* #,##0.0_-;_-* &quot;-&quot;??_-;_-@_-">
                  <c:v>657938.14285714284</c:v>
                </c:pt>
                <c:pt idx="580" formatCode="_-* #,##0.0_-;\-* #,##0.0_-;_-* &quot;-&quot;??_-;_-@_-">
                  <c:v>657078</c:v>
                </c:pt>
                <c:pt idx="581" formatCode="_-* #,##0.0_-;\-* #,##0.0_-;_-* &quot;-&quot;??_-;_-@_-">
                  <c:v>657255.71428571432</c:v>
                </c:pt>
                <c:pt idx="582" formatCode="_-* #,##0.0_-;\-* #,##0.0_-;_-* &quot;-&quot;??_-;_-@_-">
                  <c:v>660799.71428571432</c:v>
                </c:pt>
                <c:pt idx="583" formatCode="_-* #,##0.0_-;\-* #,##0.0_-;_-* &quot;-&quot;??_-;_-@_-">
                  <c:v>655963.28571428568</c:v>
                </c:pt>
                <c:pt idx="584" formatCode="_-* #,##0.0_-;\-* #,##0.0_-;_-* &quot;-&quot;??_-;_-@_-">
                  <c:v>656039.14285714284</c:v>
                </c:pt>
                <c:pt idx="585" formatCode="_-* #,##0.0_-;\-* #,##0.0_-;_-* &quot;-&quot;??_-;_-@_-">
                  <c:v>656051.85714285716</c:v>
                </c:pt>
                <c:pt idx="586" formatCode="_-* #,##0.0_-;\-* #,##0.0_-;_-* &quot;-&quot;??_-;_-@_-">
                  <c:v>653679.85714285716</c:v>
                </c:pt>
                <c:pt idx="587" formatCode="_-* #,##0.0_-;\-* #,##0.0_-;_-* &quot;-&quot;??_-;_-@_-">
                  <c:v>645754.85714285716</c:v>
                </c:pt>
                <c:pt idx="588" formatCode="_-* #,##0.0_-;\-* #,##0.0_-;_-* &quot;-&quot;??_-;_-@_-">
                  <c:v>643183.14285714284</c:v>
                </c:pt>
                <c:pt idx="589" formatCode="_-* #,##0.0_-;\-* #,##0.0_-;_-* &quot;-&quot;??_-;_-@_-">
                  <c:v>634889.71428571432</c:v>
                </c:pt>
                <c:pt idx="590" formatCode="_-* #,##0.0_-;\-* #,##0.0_-;_-* &quot;-&quot;??_-;_-@_-">
                  <c:v>630956.14285714284</c:v>
                </c:pt>
                <c:pt idx="591" formatCode="_-* #,##0.0_-;\-* #,##0.0_-;_-* &quot;-&quot;??_-;_-@_-">
                  <c:v>622358.71428571432</c:v>
                </c:pt>
                <c:pt idx="592" formatCode="_-* #,##0.0_-;\-* #,##0.0_-;_-* &quot;-&quot;??_-;_-@_-">
                  <c:v>622667</c:v>
                </c:pt>
                <c:pt idx="593" formatCode="_-* #,##0.0_-;\-* #,##0.0_-;_-* &quot;-&quot;??_-;_-@_-">
                  <c:v>594932.57142857148</c:v>
                </c:pt>
                <c:pt idx="594" formatCode="_-* #,##0.0_-;\-* #,##0.0_-;_-* &quot;-&quot;??_-;_-@_-">
                  <c:v>599940.28571428568</c:v>
                </c:pt>
                <c:pt idx="595" formatCode="_-* #,##0.0_-;\-* #,##0.0_-;_-* &quot;-&quot;??_-;_-@_-">
                  <c:v>588198.14285714284</c:v>
                </c:pt>
                <c:pt idx="596" formatCode="_-* #,##0.0_-;\-* #,##0.0_-;_-* &quot;-&quot;??_-;_-@_-">
                  <c:v>582684.57142857148</c:v>
                </c:pt>
                <c:pt idx="597" formatCode="_-* #,##0.0_-;\-* #,##0.0_-;_-* &quot;-&quot;??_-;_-@_-">
                  <c:v>573420.14285714284</c:v>
                </c:pt>
                <c:pt idx="598" formatCode="_-* #,##0.0_-;\-* #,##0.0_-;_-* &quot;-&quot;??_-;_-@_-">
                  <c:v>569449</c:v>
                </c:pt>
                <c:pt idx="599" formatCode="_-* #,##0.0_-;\-* #,##0.0_-;_-* &quot;-&quot;??_-;_-@_-">
                  <c:v>558206.57142857148</c:v>
                </c:pt>
                <c:pt idx="600" formatCode="_-* #,##0.0_-;\-* #,##0.0_-;_-* &quot;-&quot;??_-;_-@_-">
                  <c:v>572803.57142857148</c:v>
                </c:pt>
                <c:pt idx="601" formatCode="_-* #,##0.0_-;\-* #,##0.0_-;_-* &quot;-&quot;??_-;_-@_-">
                  <c:v>557679.28571428568</c:v>
                </c:pt>
                <c:pt idx="602" formatCode="_-* #,##0.0_-;\-* #,##0.0_-;_-* &quot;-&quot;??_-;_-@_-">
                  <c:v>547837.28571428568</c:v>
                </c:pt>
                <c:pt idx="603" formatCode="_-* #,##0.0_-;\-* #,##0.0_-;_-* &quot;-&quot;??_-;_-@_-">
                  <c:v>540358</c:v>
                </c:pt>
                <c:pt idx="604" formatCode="_-* #,##0.0_-;\-* #,##0.0_-;_-* &quot;-&quot;??_-;_-@_-">
                  <c:v>535274.85714285716</c:v>
                </c:pt>
                <c:pt idx="605" formatCode="_-* #,##0.0_-;\-* #,##0.0_-;_-* &quot;-&quot;??_-;_-@_-">
                  <c:v>525008.14285714284</c:v>
                </c:pt>
                <c:pt idx="606" formatCode="_-* #,##0.0_-;\-* #,##0.0_-;_-* &quot;-&quot;??_-;_-@_-">
                  <c:v>523878.28571428574</c:v>
                </c:pt>
                <c:pt idx="607" formatCode="_-* #,##0.0_-;\-* #,##0.0_-;_-* &quot;-&quot;??_-;_-@_-">
                  <c:v>517298</c:v>
                </c:pt>
                <c:pt idx="608" formatCode="_-* #,##0.0_-;\-* #,##0.0_-;_-* &quot;-&quot;??_-;_-@_-">
                  <c:v>508561.28571428574</c:v>
                </c:pt>
                <c:pt idx="609" formatCode="_-* #,##0.0_-;\-* #,##0.0_-;_-* &quot;-&quot;??_-;_-@_-">
                  <c:v>503778.85714285716</c:v>
                </c:pt>
                <c:pt idx="610" formatCode="_-* #,##0.0_-;\-* #,##0.0_-;_-* &quot;-&quot;??_-;_-@_-">
                  <c:v>498095</c:v>
                </c:pt>
                <c:pt idx="611" formatCode="_-* #,##0.0_-;\-* #,##0.0_-;_-* &quot;-&quot;??_-;_-@_-">
                  <c:v>487516.85714285716</c:v>
                </c:pt>
                <c:pt idx="612" formatCode="_-* #,##0.0_-;\-* #,##0.0_-;_-* &quot;-&quot;??_-;_-@_-">
                  <c:v>483718</c:v>
                </c:pt>
                <c:pt idx="613" formatCode="_-* #,##0.0_-;\-* #,##0.0_-;_-* &quot;-&quot;??_-;_-@_-">
                  <c:v>482668.85714285716</c:v>
                </c:pt>
                <c:pt idx="614" formatCode="_-* #,##0.0_-;\-* #,##0.0_-;_-* &quot;-&quot;??_-;_-@_-">
                  <c:v>476018.42857142858</c:v>
                </c:pt>
                <c:pt idx="615" formatCode="_-* #,##0.0_-;\-* #,##0.0_-;_-* &quot;-&quot;??_-;_-@_-">
                  <c:v>470589.42857142858</c:v>
                </c:pt>
                <c:pt idx="616" formatCode="_-* #,##0.0_-;\-* #,##0.0_-;_-* &quot;-&quot;??_-;_-@_-">
                  <c:v>464270.42857142858</c:v>
                </c:pt>
                <c:pt idx="617" formatCode="_-* #,##0.0_-;\-* #,##0.0_-;_-* &quot;-&quot;??_-;_-@_-">
                  <c:v>456041.42857142858</c:v>
                </c:pt>
                <c:pt idx="618" formatCode="_-* #,##0.0_-;\-* #,##0.0_-;_-* &quot;-&quot;??_-;_-@_-">
                  <c:v>452149.14285714284</c:v>
                </c:pt>
                <c:pt idx="619" formatCode="_-* #,##0.0_-;\-* #,##0.0_-;_-* &quot;-&quot;??_-;_-@_-">
                  <c:v>448960.85714285716</c:v>
                </c:pt>
                <c:pt idx="620" formatCode="_-* #,##0.0_-;\-* #,##0.0_-;_-* &quot;-&quot;??_-;_-@_-">
                  <c:v>442034</c:v>
                </c:pt>
                <c:pt idx="621" formatCode="_-* #,##0.0_-;\-* #,##0.0_-;_-* &quot;-&quot;??_-;_-@_-">
                  <c:v>437018.71428571426</c:v>
                </c:pt>
                <c:pt idx="622" formatCode="_-* #,##0.0_-;\-* #,##0.0_-;_-* &quot;-&quot;??_-;_-@_-">
                  <c:v>433025</c:v>
                </c:pt>
                <c:pt idx="623" formatCode="_-* #,##0.0_-;\-* #,##0.0_-;_-* &quot;-&quot;??_-;_-@_-">
                  <c:v>435342</c:v>
                </c:pt>
                <c:pt idx="624" formatCode="_-* #,##0.0_-;\-* #,##0.0_-;_-* &quot;-&quot;??_-;_-@_-">
                  <c:v>431356.42857142858</c:v>
                </c:pt>
                <c:pt idx="625" formatCode="_-* #,##0.0_-;\-* #,##0.0_-;_-* &quot;-&quot;??_-;_-@_-">
                  <c:v>424792</c:v>
                </c:pt>
                <c:pt idx="626" formatCode="_-* #,##0.0_-;\-* #,##0.0_-;_-* &quot;-&quot;??_-;_-@_-">
                  <c:v>423359.85714285716</c:v>
                </c:pt>
                <c:pt idx="627" formatCode="_-* #,##0.0_-;\-* #,##0.0_-;_-* &quot;-&quot;??_-;_-@_-">
                  <c:v>424653.71428571426</c:v>
                </c:pt>
                <c:pt idx="628" formatCode="_-* #,##0.0_-;\-* #,##0.0_-;_-* &quot;-&quot;??_-;_-@_-">
                  <c:v>416094.71428571426</c:v>
                </c:pt>
                <c:pt idx="629" formatCode="_-* #,##0.0_-;\-* #,##0.0_-;_-* &quot;-&quot;??_-;_-@_-">
                  <c:v>418260.42857142858</c:v>
                </c:pt>
                <c:pt idx="630" formatCode="_-* #,##0.0_-;\-* #,##0.0_-;_-* &quot;-&quot;??_-;_-@_-">
                  <c:v>411101.14285714284</c:v>
                </c:pt>
                <c:pt idx="631" formatCode="_-* #,##0.0_-;\-* #,##0.0_-;_-* &quot;-&quot;??_-;_-@_-">
                  <c:v>410112.85714285716</c:v>
                </c:pt>
                <c:pt idx="632" formatCode="_-* #,##0.0_-;\-* #,##0.0_-;_-* &quot;-&quot;??_-;_-@_-">
                  <c:v>407600.71428571426</c:v>
                </c:pt>
                <c:pt idx="633" formatCode="_-* #,##0.0_-;\-* #,##0.0_-;_-* &quot;-&quot;??_-;_-@_-">
                  <c:v>408067.14285714284</c:v>
                </c:pt>
                <c:pt idx="634" formatCode="_-* #,##0.0_-;\-* #,##0.0_-;_-* &quot;-&quot;??_-;_-@_-">
                  <c:v>407729.14285714284</c:v>
                </c:pt>
                <c:pt idx="635" formatCode="_-* #,##0.0_-;\-* #,##0.0_-;_-* &quot;-&quot;??_-;_-@_-">
                  <c:v>412834.57142857142</c:v>
                </c:pt>
                <c:pt idx="636" formatCode="_-* #,##0.0_-;\-* #,##0.0_-;_-* &quot;-&quot;??_-;_-@_-">
                  <c:v>411877.57142857142</c:v>
                </c:pt>
                <c:pt idx="637" formatCode="_-* #,##0.0_-;\-* #,##0.0_-;_-* &quot;-&quot;??_-;_-@_-">
                  <c:v>414623.42857142858</c:v>
                </c:pt>
                <c:pt idx="638" formatCode="_-* #,##0.0_-;\-* #,##0.0_-;_-* &quot;-&quot;??_-;_-@_-">
                  <c:v>415683.57142857142</c:v>
                </c:pt>
                <c:pt idx="639" formatCode="_-* #,##0.0_-;\-* #,##0.0_-;_-* &quot;-&quot;??_-;_-@_-">
                  <c:v>420569</c:v>
                </c:pt>
                <c:pt idx="640" formatCode="_-* #,##0.0_-;\-* #,##0.0_-;_-* &quot;-&quot;??_-;_-@_-">
                  <c:v>425237.28571428574</c:v>
                </c:pt>
                <c:pt idx="641" formatCode="_-* #,##0.0_-;\-* #,##0.0_-;_-* &quot;-&quot;??_-;_-@_-">
                  <c:v>425334.14285714284</c:v>
                </c:pt>
                <c:pt idx="642" formatCode="_-* #,##0.0_-;\-* #,##0.0_-;_-* &quot;-&quot;??_-;_-@_-">
                  <c:v>427660</c:v>
                </c:pt>
                <c:pt idx="643" formatCode="_-* #,##0.0_-;\-* #,##0.0_-;_-* &quot;-&quot;??_-;_-@_-">
                  <c:v>426855.57142857142</c:v>
                </c:pt>
                <c:pt idx="644" formatCode="_-* #,##0.0_-;\-* #,##0.0_-;_-* &quot;-&quot;??_-;_-@_-">
                  <c:v>432355.42857142858</c:v>
                </c:pt>
                <c:pt idx="645" formatCode="_-* #,##0.0_-;\-* #,##0.0_-;_-* &quot;-&quot;??_-;_-@_-">
                  <c:v>435341.14285714284</c:v>
                </c:pt>
                <c:pt idx="646" formatCode="_-* #,##0.0_-;\-* #,##0.0_-;_-* &quot;-&quot;??_-;_-@_-">
                  <c:v>435571.57142857142</c:v>
                </c:pt>
                <c:pt idx="647" formatCode="_-* #,##0.0_-;\-* #,##0.0_-;_-* &quot;-&quot;??_-;_-@_-">
                  <c:v>437115.14285714284</c:v>
                </c:pt>
                <c:pt idx="648" formatCode="_-* #,##0.0_-;\-* #,##0.0_-;_-* &quot;-&quot;??_-;_-@_-">
                  <c:v>443246.57142857142</c:v>
                </c:pt>
                <c:pt idx="649" formatCode="_-* #,##0.0_-;\-* #,##0.0_-;_-* &quot;-&quot;??_-;_-@_-">
                  <c:v>442645.57142857142</c:v>
                </c:pt>
                <c:pt idx="650" formatCode="_-* #,##0.0_-;\-* #,##0.0_-;_-* &quot;-&quot;??_-;_-@_-">
                  <c:v>439461.71428571426</c:v>
                </c:pt>
                <c:pt idx="651" formatCode="_-* #,##0.0_-;\-* #,##0.0_-;_-* &quot;-&quot;??_-;_-@_-">
                  <c:v>440808.42857142858</c:v>
                </c:pt>
                <c:pt idx="652" formatCode="_-* #,##0.0_-;\-* #,##0.0_-;_-* &quot;-&quot;??_-;_-@_-">
                  <c:v>445664.57142857142</c:v>
                </c:pt>
                <c:pt idx="653" formatCode="_-* #,##0.0_-;\-* #,##0.0_-;_-* &quot;-&quot;??_-;_-@_-">
                  <c:v>449892.71428571426</c:v>
                </c:pt>
                <c:pt idx="654" formatCode="_-* #,##0.0_-;\-* #,##0.0_-;_-* &quot;-&quot;??_-;_-@_-">
                  <c:v>456040.85714285716</c:v>
                </c:pt>
                <c:pt idx="655" formatCode="_-* #,##0.0_-;\-* #,##0.0_-;_-* &quot;-&quot;??_-;_-@_-">
                  <c:v>455761.57142857142</c:v>
                </c:pt>
                <c:pt idx="656" formatCode="_-* #,##0.0_-;\-* #,##0.0_-;_-* &quot;-&quot;??_-;_-@_-">
                  <c:v>462670.57142857142</c:v>
                </c:pt>
                <c:pt idx="657" formatCode="_-* #,##0.0_-;\-* #,##0.0_-;_-* &quot;-&quot;??_-;_-@_-">
                  <c:v>471895.28571428574</c:v>
                </c:pt>
                <c:pt idx="658" formatCode="_-* #,##0.0_-;\-* #,##0.0_-;_-* &quot;-&quot;??_-;_-@_-">
                  <c:v>479005.85714285716</c:v>
                </c:pt>
                <c:pt idx="659" formatCode="_-* #,##0.0_-;\-* #,##0.0_-;_-* &quot;-&quot;??_-;_-@_-">
                  <c:v>479524.14285714284</c:v>
                </c:pt>
                <c:pt idx="660" formatCode="_-* #,##0.0_-;\-* #,##0.0_-;_-* &quot;-&quot;??_-;_-@_-">
                  <c:v>490288.14285714284</c:v>
                </c:pt>
                <c:pt idx="661" formatCode="_-* #,##0.0_-;\-* #,##0.0_-;_-* &quot;-&quot;??_-;_-@_-">
                  <c:v>490474.14285714284</c:v>
                </c:pt>
                <c:pt idx="662" formatCode="_-* #,##0.0_-;\-* #,##0.0_-;_-* &quot;-&quot;??_-;_-@_-">
                  <c:v>492996.57142857142</c:v>
                </c:pt>
                <c:pt idx="663" formatCode="_-* #,##0.0_-;\-* #,##0.0_-;_-* &quot;-&quot;??_-;_-@_-">
                  <c:v>500859.85714285716</c:v>
                </c:pt>
                <c:pt idx="664" formatCode="_-* #,##0.0_-;\-* #,##0.0_-;_-* &quot;-&quot;??_-;_-@_-">
                  <c:v>506346.14285714284</c:v>
                </c:pt>
                <c:pt idx="665" formatCode="_-* #,##0.0_-;\-* #,##0.0_-;_-* &quot;-&quot;??_-;_-@_-">
                  <c:v>512369.42857142858</c:v>
                </c:pt>
                <c:pt idx="666" formatCode="_-* #,##0.0_-;\-* #,##0.0_-;_-* &quot;-&quot;??_-;_-@_-">
                  <c:v>526894.28571428568</c:v>
                </c:pt>
                <c:pt idx="667" formatCode="_-* #,##0.0_-;\-* #,##0.0_-;_-* &quot;-&quot;??_-;_-@_-">
                  <c:v>529164.14285714284</c:v>
                </c:pt>
                <c:pt idx="668" formatCode="_-* #,##0.0_-;\-* #,##0.0_-;_-* &quot;-&quot;??_-;_-@_-">
                  <c:v>537949.42857142852</c:v>
                </c:pt>
                <c:pt idx="669" formatCode="_-* #,##0.0_-;\-* #,##0.0_-;_-* &quot;-&quot;??_-;_-@_-">
                  <c:v>543813.42857142852</c:v>
                </c:pt>
                <c:pt idx="670" formatCode="_-* #,##0.0_-;\-* #,##0.0_-;_-* &quot;-&quot;??_-;_-@_-">
                  <c:v>554651.57142857148</c:v>
                </c:pt>
                <c:pt idx="671" formatCode="_-* #,##0.0_-;\-* #,##0.0_-;_-* &quot;-&quot;??_-;_-@_-">
                  <c:v>564457.85714285716</c:v>
                </c:pt>
                <c:pt idx="672" formatCode="_-* #,##0.0_-;\-* #,##0.0_-;_-* &quot;-&quot;??_-;_-@_-">
                  <c:v>570503.57142857148</c:v>
                </c:pt>
                <c:pt idx="673" formatCode="_-* #,##0.0_-;\-* #,##0.0_-;_-* &quot;-&quot;??_-;_-@_-">
                  <c:v>567147.14285714284</c:v>
                </c:pt>
                <c:pt idx="674" formatCode="_-* #,##0.0_-;\-* #,##0.0_-;_-* &quot;-&quot;??_-;_-@_-">
                  <c:v>566741.14285714284</c:v>
                </c:pt>
                <c:pt idx="675" formatCode="_-* #,##0.0_-;\-* #,##0.0_-;_-* &quot;-&quot;??_-;_-@_-">
                  <c:v>564444.85714285716</c:v>
                </c:pt>
                <c:pt idx="676" formatCode="_-* #,##0.0_-;\-* #,##0.0_-;_-* &quot;-&quot;??_-;_-@_-">
                  <c:v>566071.14285714284</c:v>
                </c:pt>
                <c:pt idx="677" formatCode="_-* #,##0.0_-;\-* #,##0.0_-;_-* &quot;-&quot;??_-;_-@_-">
                  <c:v>570382.28571428568</c:v>
                </c:pt>
                <c:pt idx="678" formatCode="_-* #,##0.0_-;\-* #,##0.0_-;_-* &quot;-&quot;??_-;_-@_-">
                  <c:v>573974.42857142852</c:v>
                </c:pt>
                <c:pt idx="679" formatCode="_-* #,##0.0_-;\-* #,##0.0_-;_-* &quot;-&quot;??_-;_-@_-">
                  <c:v>580364.71428571432</c:v>
                </c:pt>
                <c:pt idx="680" formatCode="_-* #,##0.0_-;\-* #,##0.0_-;_-* &quot;-&quot;??_-;_-@_-">
                  <c:v>595905</c:v>
                </c:pt>
                <c:pt idx="681" formatCode="_-* #,##0.0_-;\-* #,##0.0_-;_-* &quot;-&quot;??_-;_-@_-">
                  <c:v>612904.42857142852</c:v>
                </c:pt>
                <c:pt idx="682" formatCode="_-* #,##0.0_-;\-* #,##0.0_-;_-* &quot;-&quot;??_-;_-@_-">
                  <c:v>620228.85714285716</c:v>
                </c:pt>
                <c:pt idx="683" formatCode="_-* #,##0.0_-;\-* #,##0.0_-;_-* &quot;-&quot;??_-;_-@_-">
                  <c:v>624271.71428571432</c:v>
                </c:pt>
                <c:pt idx="684" formatCode="_-* #,##0.0_-;\-* #,##0.0_-;_-* &quot;-&quot;??_-;_-@_-">
                  <c:v>619696.57142857148</c:v>
                </c:pt>
                <c:pt idx="685" formatCode="_-* #,##0.0_-;\-* #,##0.0_-;_-* &quot;-&quot;??_-;_-@_-">
                  <c:v>625426.14285714284</c:v>
                </c:pt>
                <c:pt idx="686" formatCode="_-* #,##0.0_-;\-* #,##0.0_-;_-* &quot;-&quot;??_-;_-@_-">
                  <c:v>626745.28571428568</c:v>
                </c:pt>
                <c:pt idx="687" formatCode="_-* #,##0.0_-;\-* #,##0.0_-;_-* &quot;-&quot;??_-;_-@_-">
                  <c:v>625437.57142857148</c:v>
                </c:pt>
                <c:pt idx="688" formatCode="_-* #,##0.0_-;\-* #,##0.0_-;_-* &quot;-&quot;??_-;_-@_-">
                  <c:v>620135.71428571432</c:v>
                </c:pt>
                <c:pt idx="689" formatCode="_-* #,##0.0_-;\-* #,##0.0_-;_-* &quot;-&quot;??_-;_-@_-">
                  <c:v>617881.85714285716</c:v>
                </c:pt>
                <c:pt idx="690" formatCode="_-* #,##0.0_-;\-* #,##0.0_-;_-* &quot;-&quot;??_-;_-@_-">
                  <c:v>617541.42857142852</c:v>
                </c:pt>
                <c:pt idx="691" formatCode="_-* #,##0.0_-;\-* #,##0.0_-;_-* &quot;-&quot;??_-;_-@_-">
                  <c:v>618930.14285714284</c:v>
                </c:pt>
                <c:pt idx="692" formatCode="_-* #,##0.0_-;\-* #,##0.0_-;_-* &quot;-&quot;??_-;_-@_-">
                  <c:v>618405</c:v>
                </c:pt>
                <c:pt idx="693" formatCode="_-* #,##0.0_-;\-* #,##0.0_-;_-* &quot;-&quot;??_-;_-@_-">
                  <c:v>622481.14285714284</c:v>
                </c:pt>
                <c:pt idx="694" formatCode="_-* #,##0.0_-;\-* #,##0.0_-;_-* &quot;-&quot;??_-;_-@_-">
                  <c:v>628874.42857142852</c:v>
                </c:pt>
                <c:pt idx="695" formatCode="_-* #,##0.0_-;\-* #,##0.0_-;_-* &quot;-&quot;??_-;_-@_-">
                  <c:v>639354.85714285716</c:v>
                </c:pt>
                <c:pt idx="696" formatCode="_-* #,##0.0_-;\-* #,##0.0_-;_-* &quot;-&quot;??_-;_-@_-">
                  <c:v>646691.57142857148</c:v>
                </c:pt>
                <c:pt idx="697" formatCode="_-* #,##0.0_-;\-* #,##0.0_-;_-* &quot;-&quot;??_-;_-@_-">
                  <c:v>654476.14285714284</c:v>
                </c:pt>
                <c:pt idx="698" formatCode="_-* #,##0.0_-;\-* #,##0.0_-;_-* &quot;-&quot;??_-;_-@_-">
                  <c:v>672617.71428571432</c:v>
                </c:pt>
                <c:pt idx="699" formatCode="_-* #,##0.0_-;\-* #,##0.0_-;_-* &quot;-&quot;??_-;_-@_-">
                  <c:v>689683.42857142852</c:v>
                </c:pt>
                <c:pt idx="700" formatCode="_-* #,##0.0_-;\-* #,##0.0_-;_-* &quot;-&quot;??_-;_-@_-">
                  <c:v>713968</c:v>
                </c:pt>
                <c:pt idx="701" formatCode="_-* #,##0.0_-;\-* #,##0.0_-;_-* &quot;-&quot;??_-;_-@_-">
                  <c:v>751623.85714285716</c:v>
                </c:pt>
                <c:pt idx="702" formatCode="_-* #,##0.0_-;\-* #,##0.0_-;_-* &quot;-&quot;??_-;_-@_-">
                  <c:v>769341.85714285716</c:v>
                </c:pt>
                <c:pt idx="703" formatCode="_-* #,##0.0_-;\-* #,##0.0_-;_-* &quot;-&quot;??_-;_-@_-">
                  <c:v>788152.85714285716</c:v>
                </c:pt>
                <c:pt idx="704" formatCode="_-* #,##0.0_-;\-* #,##0.0_-;_-* &quot;-&quot;??_-;_-@_-">
                  <c:v>797850.71428571432</c:v>
                </c:pt>
                <c:pt idx="705" formatCode="_-* #,##0.0_-;\-* #,##0.0_-;_-* &quot;-&quot;??_-;_-@_-">
                  <c:v>873790</c:v>
                </c:pt>
                <c:pt idx="706" formatCode="_-* #,##0.0_-;\-* #,##0.0_-;_-* &quot;-&quot;??_-;_-@_-">
                  <c:v>955238</c:v>
                </c:pt>
                <c:pt idx="707" formatCode="_-* #,##0.0_-;\-* #,##0.0_-;_-* &quot;-&quot;??_-;_-@_-">
                  <c:v>1067447.7142857143</c:v>
                </c:pt>
                <c:pt idx="708" formatCode="_-* #,##0.0_-;\-* #,##0.0_-;_-* &quot;-&quot;??_-;_-@_-">
                  <c:v>1201073.142857143</c:v>
                </c:pt>
                <c:pt idx="709" formatCode="_-* #,##0.0_-;\-* #,##0.0_-;_-* &quot;-&quot;??_-;_-@_-">
                  <c:v>1323068.142857143</c:v>
                </c:pt>
                <c:pt idx="710" formatCode="_-* #,##0.0_-;\-* #,##0.0_-;_-* &quot;-&quot;??_-;_-@_-">
                  <c:v>1397847.5714285714</c:v>
                </c:pt>
                <c:pt idx="711" formatCode="_-* #,##0.0_-;\-* #,##0.0_-;_-* &quot;-&quot;??_-;_-@_-">
                  <c:v>1446436.7142857143</c:v>
                </c:pt>
                <c:pt idx="712" formatCode="_-* #,##0.0_-;\-* #,##0.0_-;_-* &quot;-&quot;??_-;_-@_-">
                  <c:v>1602253.2857142857</c:v>
                </c:pt>
                <c:pt idx="713" formatCode="_-* #,##0.0_-;\-* #,##0.0_-;_-* &quot;-&quot;??_-;_-@_-">
                  <c:v>1769723.7142857143</c:v>
                </c:pt>
                <c:pt idx="714" formatCode="_-* #,##0.0_-;\-* #,##0.0_-;_-* &quot;-&quot;??_-;_-@_-">
                  <c:v>1894723.4285714286</c:v>
                </c:pt>
                <c:pt idx="715" formatCode="_-* #,##0.0_-;\-* #,##0.0_-;_-* &quot;-&quot;??_-;_-@_-">
                  <c:v>1997106.857142857</c:v>
                </c:pt>
                <c:pt idx="716" formatCode="_-* #,##0.0_-;\-* #,##0.0_-;_-* &quot;-&quot;??_-;_-@_-">
                  <c:v>2168314</c:v>
                </c:pt>
                <c:pt idx="717" formatCode="_-* #,##0.0_-;\-* #,##0.0_-;_-* &quot;-&quot;??_-;_-@_-">
                  <c:v>2304754.1428571427</c:v>
                </c:pt>
                <c:pt idx="718" formatCode="_-* #,##0.0_-;\-* #,##0.0_-;_-* &quot;-&quot;??_-;_-@_-">
                  <c:v>2463714</c:v>
                </c:pt>
                <c:pt idx="719" formatCode="_-* #,##0.0_-;\-* #,##0.0_-;_-* &quot;-&quot;??_-;_-@_-">
                  <c:v>2582202.4285714286</c:v>
                </c:pt>
                <c:pt idx="720" formatCode="_-* #,##0.0_-;\-* #,##0.0_-;_-* &quot;-&quot;??_-;_-@_-">
                  <c:v>2658364.2857142859</c:v>
                </c:pt>
                <c:pt idx="721" formatCode="_-* #,##0.0_-;\-* #,##0.0_-;_-* &quot;-&quot;??_-;_-@_-">
                  <c:v>2782666.8571428573</c:v>
                </c:pt>
                <c:pt idx="722" formatCode="_-* #,##0.0_-;\-* #,##0.0_-;_-* &quot;-&quot;??_-;_-@_-">
                  <c:v>2857499.1428571427</c:v>
                </c:pt>
                <c:pt idx="723" formatCode="_-* #,##0.0_-;\-* #,##0.0_-;_-* &quot;-&quot;??_-;_-@_-">
                  <c:v>2910748.5714285714</c:v>
                </c:pt>
                <c:pt idx="724" formatCode="_-* #,##0.0_-;\-* #,##0.0_-;_-* &quot;-&quot;??_-;_-@_-">
                  <c:v>2955955</c:v>
                </c:pt>
                <c:pt idx="725" formatCode="_-* #,##0.0_-;\-* #,##0.0_-;_-* &quot;-&quot;??_-;_-@_-">
                  <c:v>2977050.8571428573</c:v>
                </c:pt>
                <c:pt idx="726" formatCode="_-* #,##0.0_-;\-* #,##0.0_-;_-* &quot;-&quot;??_-;_-@_-">
                  <c:v>2901768.4285714286</c:v>
                </c:pt>
                <c:pt idx="727" formatCode="_-* #,##0.0_-;\-* #,##0.0_-;_-* &quot;-&quot;??_-;_-@_-">
                  <c:v>3005867.2857142859</c:v>
                </c:pt>
                <c:pt idx="728" formatCode="_-* #,##0.0_-;\-* #,##0.0_-;_-* &quot;-&quot;??_-;_-@_-">
                  <c:v>3097092</c:v>
                </c:pt>
                <c:pt idx="729" formatCode="_-* #,##0.0_-;\-* #,##0.0_-;_-* &quot;-&quot;??_-;_-@_-">
                  <c:v>3175499.4285714286</c:v>
                </c:pt>
                <c:pt idx="730" formatCode="_-* #,##0.0_-;\-* #,##0.0_-;_-* &quot;-&quot;??_-;_-@_-">
                  <c:v>3249824.4285714286</c:v>
                </c:pt>
                <c:pt idx="731" formatCode="_-* #,##0.0_-;\-* #,##0.0_-;_-* &quot;-&quot;??_-;_-@_-">
                  <c:v>3289435.7142857141</c:v>
                </c:pt>
                <c:pt idx="732" formatCode="_-* #,##0.0_-;\-* #,##0.0_-;_-* &quot;-&quot;??_-;_-@_-">
                  <c:v>3329420.4285714286</c:v>
                </c:pt>
                <c:pt idx="733" formatCode="_-* #,##0.0_-;\-* #,##0.0_-;_-* &quot;-&quot;??_-;_-@_-">
                  <c:v>3438023.1428571427</c:v>
                </c:pt>
                <c:pt idx="734" formatCode="_-* #,##0.0_-;\-* #,##0.0_-;_-* &quot;-&quot;??_-;_-@_-">
                  <c:v>3422475.4285714286</c:v>
                </c:pt>
                <c:pt idx="735" formatCode="_-* #,##0.0_-;\-* #,##0.0_-;_-* &quot;-&quot;??_-;_-@_-">
                  <c:v>3376678.4285714286</c:v>
                </c:pt>
                <c:pt idx="736" formatCode="_-* #,##0.0_-;\-* #,##0.0_-;_-* &quot;-&quot;??_-;_-@_-">
                  <c:v>3372603.4285714286</c:v>
                </c:pt>
                <c:pt idx="737" formatCode="_-* #,##0.0_-;\-* #,##0.0_-;_-* &quot;-&quot;??_-;_-@_-">
                  <c:v>3347282.4285714286</c:v>
                </c:pt>
                <c:pt idx="738" formatCode="_-* #,##0.0_-;\-* #,##0.0_-;_-* &quot;-&quot;??_-;_-@_-">
                  <c:v>3342383.7142857141</c:v>
                </c:pt>
                <c:pt idx="739" formatCode="_-* #,##0.0_-;\-* #,##0.0_-;_-* &quot;-&quot;??_-;_-@_-">
                  <c:v>3317913.8571428573</c:v>
                </c:pt>
                <c:pt idx="740" formatCode="_-* #,##0.0_-;\-* #,##0.0_-;_-* &quot;-&quot;??_-;_-@_-">
                  <c:v>3220039.7142857141</c:v>
                </c:pt>
                <c:pt idx="741" formatCode="_-* #,##0.0_-;\-* #,##0.0_-;_-* &quot;-&quot;??_-;_-@_-">
                  <c:v>3144735</c:v>
                </c:pt>
                <c:pt idx="742" formatCode="_-* #,##0.0_-;\-* #,##0.0_-;_-* &quot;-&quot;??_-;_-@_-">
                  <c:v>3061709.5714285714</c:v>
                </c:pt>
                <c:pt idx="743" formatCode="_-* #,##0.0_-;\-* #,##0.0_-;_-* &quot;-&quot;??_-;_-@_-">
                  <c:v>2988094.7142857141</c:v>
                </c:pt>
                <c:pt idx="744" formatCode="_-* #,##0.0_-;\-* #,##0.0_-;_-* &quot;-&quot;??_-;_-@_-">
                  <c:v>2886745.7142857141</c:v>
                </c:pt>
                <c:pt idx="745" formatCode="_-* #,##0.0_-;\-* #,##0.0_-;_-* &quot;-&quot;??_-;_-@_-">
                  <c:v>2825858.8571428573</c:v>
                </c:pt>
                <c:pt idx="746" formatCode="_-* #,##0.0_-;\-* #,##0.0_-;_-* &quot;-&quot;??_-;_-@_-">
                  <c:v>2768834</c:v>
                </c:pt>
                <c:pt idx="747" formatCode="_-* #,##0.0_-;\-* #,##0.0_-;_-* &quot;-&quot;??_-;_-@_-">
                  <c:v>2753092.8571428573</c:v>
                </c:pt>
                <c:pt idx="748" formatCode="_-* #,##0.0_-;\-* #,##0.0_-;_-* &quot;-&quot;??_-;_-@_-">
                  <c:v>2678289.5714285714</c:v>
                </c:pt>
                <c:pt idx="749" formatCode="_-* #,##0.0_-;\-* #,##0.0_-;_-* &quot;-&quot;??_-;_-@_-">
                  <c:v>2571338.7142857141</c:v>
                </c:pt>
                <c:pt idx="750" formatCode="_-* #,##0.0_-;\-* #,##0.0_-;_-* &quot;-&quot;??_-;_-@_-">
                  <c:v>2517142.2857142859</c:v>
                </c:pt>
                <c:pt idx="751" formatCode="_-* #,##0.0_-;\-* #,##0.0_-;_-* &quot;-&quot;??_-;_-@_-">
                  <c:v>2441013.7142857141</c:v>
                </c:pt>
                <c:pt idx="752" formatCode="_-* #,##0.0_-;\-* #,##0.0_-;_-* &quot;-&quot;??_-;_-@_-">
                  <c:v>2386081.1428571427</c:v>
                </c:pt>
                <c:pt idx="753" formatCode="_-* #,##0.0_-;\-* #,##0.0_-;_-* &quot;-&quot;??_-;_-@_-">
                  <c:v>2334371.5714285714</c:v>
                </c:pt>
                <c:pt idx="754" formatCode="_-* #,##0.0_-;\-* #,##0.0_-;_-* &quot;-&quot;??_-;_-@_-">
                  <c:v>2203479.8571428573</c:v>
                </c:pt>
                <c:pt idx="755" formatCode="_-* #,##0.0_-;\-* #,##0.0_-;_-* &quot;-&quot;??_-;_-@_-">
                  <c:v>2099640.2857142859</c:v>
                </c:pt>
                <c:pt idx="756" formatCode="_-* #,##0.0_-;\-* #,##0.0_-;_-* &quot;-&quot;??_-;_-@_-">
                  <c:v>2072408</c:v>
                </c:pt>
                <c:pt idx="757" formatCode="_-* #,##0.0_-;\-* #,##0.0_-;_-* &quot;-&quot;??_-;_-@_-">
                  <c:v>1965515</c:v>
                </c:pt>
                <c:pt idx="758" formatCode="_-* #,##0.0_-;\-* #,##0.0_-;_-* &quot;-&quot;??_-;_-@_-">
                  <c:v>1903280</c:v>
                </c:pt>
                <c:pt idx="759" formatCode="_-* #,##0.0_-;\-* #,##0.0_-;_-* &quot;-&quot;??_-;_-@_-">
                  <c:v>1865150</c:v>
                </c:pt>
                <c:pt idx="760" formatCode="_-* #,##0.0_-;\-* #,##0.0_-;_-* &quot;-&quot;??_-;_-@_-">
                  <c:v>1833913.4285714286</c:v>
                </c:pt>
                <c:pt idx="761" formatCode="_-* #,##0.0_-;\-* #,##0.0_-;_-* &quot;-&quot;??_-;_-@_-">
                  <c:v>1789892.2857142857</c:v>
                </c:pt>
                <c:pt idx="762" formatCode="_-* #,##0.0_-;\-* #,##0.0_-;_-* &quot;-&quot;??_-;_-@_-">
                  <c:v>1760914.857142857</c:v>
                </c:pt>
                <c:pt idx="763" formatCode="_-* #,##0.0_-;\-* #,##0.0_-;_-* &quot;-&quot;??_-;_-@_-">
                  <c:v>1714851.4285714286</c:v>
                </c:pt>
                <c:pt idx="764" formatCode="_-* #,##0.0_-;\-* #,##0.0_-;_-* &quot;-&quot;??_-;_-@_-">
                  <c:v>1675686.4285714286</c:v>
                </c:pt>
                <c:pt idx="765" formatCode="_-* #,##0.0_-;\-* #,##0.0_-;_-* &quot;-&quot;??_-;_-@_-">
                  <c:v>1628731.2857142857</c:v>
                </c:pt>
                <c:pt idx="766" formatCode="_-* #,##0.0_-;\-* #,##0.0_-;_-* &quot;-&quot;??_-;_-@_-">
                  <c:v>1597986.857142857</c:v>
                </c:pt>
                <c:pt idx="767" formatCode="_-* #,##0.0_-;\-* #,##0.0_-;_-* &quot;-&quot;??_-;_-@_-">
                  <c:v>1576413.5714285714</c:v>
                </c:pt>
                <c:pt idx="768" formatCode="_-* #,##0.0_-;\-* #,##0.0_-;_-* &quot;-&quot;??_-;_-@_-">
                  <c:v>1565726.2857142857</c:v>
                </c:pt>
                <c:pt idx="769" formatCode="_-* #,##0.0_-;\-* #,##0.0_-;_-* &quot;-&quot;??_-;_-@_-">
                  <c:v>1555474.5714285714</c:v>
                </c:pt>
                <c:pt idx="770" formatCode="_-* #,##0.0_-;\-* #,##0.0_-;_-* &quot;-&quot;??_-;_-@_-">
                  <c:v>1518615.2857142857</c:v>
                </c:pt>
                <c:pt idx="771" formatCode="_-* #,##0.0_-;\-* #,##0.0_-;_-* &quot;-&quot;??_-;_-@_-">
                  <c:v>1516474.2857142857</c:v>
                </c:pt>
                <c:pt idx="772" formatCode="_-* #,##0.0_-;\-* #,##0.0_-;_-* &quot;-&quot;??_-;_-@_-">
                  <c:v>1531936.4285714286</c:v>
                </c:pt>
                <c:pt idx="773" formatCode="_-* #,##0.0_-;\-* #,##0.0_-;_-* &quot;-&quot;??_-;_-@_-">
                  <c:v>1536647.5714285714</c:v>
                </c:pt>
                <c:pt idx="774" formatCode="_-* #,##0.0_-;\-* #,##0.0_-;_-* &quot;-&quot;??_-;_-@_-">
                  <c:v>1546172</c:v>
                </c:pt>
                <c:pt idx="775" formatCode="_-* #,##0.0_-;\-* #,##0.0_-;_-* &quot;-&quot;??_-;_-@_-">
                  <c:v>1561533.5714285714</c:v>
                </c:pt>
                <c:pt idx="776" formatCode="_-* #,##0.0_-;\-* #,##0.0_-;_-* &quot;-&quot;??_-;_-@_-">
                  <c:v>1581622.142857143</c:v>
                </c:pt>
                <c:pt idx="777" formatCode="_-* #,##0.0_-;\-* #,##0.0_-;_-* &quot;-&quot;??_-;_-@_-">
                  <c:v>1606483.857142857</c:v>
                </c:pt>
                <c:pt idx="778" formatCode="_-* #,##0.0_-;\-* #,##0.0_-;_-* &quot;-&quot;??_-;_-@_-">
                  <c:v>1620638.4285714286</c:v>
                </c:pt>
                <c:pt idx="779" formatCode="_-* #,##0.0_-;\-* #,##0.0_-;_-* &quot;-&quot;??_-;_-@_-">
                  <c:v>1636406.7142857143</c:v>
                </c:pt>
                <c:pt idx="780" formatCode="_-* #,##0.0_-;\-* #,##0.0_-;_-* &quot;-&quot;??_-;_-@_-">
                  <c:v>1681677.7142857143</c:v>
                </c:pt>
                <c:pt idx="781" formatCode="_-* #,##0.0_-;\-* #,##0.0_-;_-* &quot;-&quot;??_-;_-@_-">
                  <c:v>1689797.7142857143</c:v>
                </c:pt>
                <c:pt idx="782" formatCode="_-* #,##0.0_-;\-* #,##0.0_-;_-* &quot;-&quot;??_-;_-@_-">
                  <c:v>1715435.857142857</c:v>
                </c:pt>
                <c:pt idx="783" formatCode="_-* #,##0.0_-;\-* #,##0.0_-;_-* &quot;-&quot;??_-;_-@_-">
                  <c:v>1725204.5714285714</c:v>
                </c:pt>
                <c:pt idx="784" formatCode="_-* #,##0.0_-;\-* #,##0.0_-;_-* &quot;-&quot;??_-;_-@_-">
                  <c:v>1782297.5714285714</c:v>
                </c:pt>
                <c:pt idx="785" formatCode="_-* #,##0.0_-;\-* #,##0.0_-;_-* &quot;-&quot;??_-;_-@_-">
                  <c:v>1811846.2857142857</c:v>
                </c:pt>
                <c:pt idx="786" formatCode="_-* #,##0.0_-;\-* #,##0.0_-;_-* &quot;-&quot;??_-;_-@_-">
                  <c:v>1814400.5714285714</c:v>
                </c:pt>
                <c:pt idx="787" formatCode="_-* #,##0.0_-;\-* #,##0.0_-;_-* &quot;-&quot;??_-;_-@_-">
                  <c:v>1805862.857142857</c:v>
                </c:pt>
                <c:pt idx="788" formatCode="_-* #,##0.0_-;\-* #,##0.0_-;_-* &quot;-&quot;??_-;_-@_-">
                  <c:v>1778628.2857142857</c:v>
                </c:pt>
                <c:pt idx="789" formatCode="_-* #,##0.0_-;\-* #,##0.0_-;_-* &quot;-&quot;??_-;_-@_-">
                  <c:v>1760710.857142857</c:v>
                </c:pt>
                <c:pt idx="790" formatCode="_-* #,##0.0_-;\-* #,##0.0_-;_-* &quot;-&quot;??_-;_-@_-">
                  <c:v>1785073.142857143</c:v>
                </c:pt>
                <c:pt idx="791" formatCode="_-* #,##0.0_-;\-* #,##0.0_-;_-* &quot;-&quot;??_-;_-@_-">
                  <c:v>1723769.5714285714</c:v>
                </c:pt>
                <c:pt idx="792" formatCode="_-* #,##0.0_-;\-* #,##0.0_-;_-* &quot;-&quot;??_-;_-@_-">
                  <c:v>1681766</c:v>
                </c:pt>
                <c:pt idx="793" formatCode="_-* #,##0.0_-;\-* #,##0.0_-;_-* &quot;-&quot;??_-;_-@_-">
                  <c:v>1663262.7142857143</c:v>
                </c:pt>
                <c:pt idx="794" formatCode="_-* #,##0.0_-;\-* #,##0.0_-;_-* &quot;-&quot;??_-;_-@_-">
                  <c:v>1611598</c:v>
                </c:pt>
                <c:pt idx="795" formatCode="_-* #,##0.0_-;\-* #,##0.0_-;_-* &quot;-&quot;??_-;_-@_-">
                  <c:v>1592827.142857143</c:v>
                </c:pt>
                <c:pt idx="796" formatCode="_-* #,##0.0_-;\-* #,##0.0_-;_-* &quot;-&quot;??_-;_-@_-">
                  <c:v>1591765.5714285714</c:v>
                </c:pt>
                <c:pt idx="797" formatCode="_-* #,##0.0_-;\-* #,##0.0_-;_-* &quot;-&quot;??_-;_-@_-">
                  <c:v>1559270.4285714286</c:v>
                </c:pt>
                <c:pt idx="798" formatCode="_-* #,##0.0_-;\-* #,##0.0_-;_-* &quot;-&quot;??_-;_-@_-">
                  <c:v>1529913.5714285714</c:v>
                </c:pt>
                <c:pt idx="799" formatCode="_-* #,##0.0_-;\-* #,##0.0_-;_-* &quot;-&quot;??_-;_-@_-">
                  <c:v>1534503.2857142857</c:v>
                </c:pt>
                <c:pt idx="800" formatCode="_-* #,##0.0_-;\-* #,##0.0_-;_-* &quot;-&quot;??_-;_-@_-">
                  <c:v>1449642.142857143</c:v>
                </c:pt>
                <c:pt idx="801" formatCode="_-* #,##0.0_-;\-* #,##0.0_-;_-* &quot;-&quot;??_-;_-@_-">
                  <c:v>1405576.142857143</c:v>
                </c:pt>
                <c:pt idx="802" formatCode="_-* #,##0.0_-;\-* #,##0.0_-;_-* &quot;-&quot;??_-;_-@_-">
                  <c:v>1383773.2857142857</c:v>
                </c:pt>
                <c:pt idx="803" formatCode="_-* #,##0.0_-;\-* #,##0.0_-;_-* &quot;-&quot;??_-;_-@_-">
                  <c:v>1302484.7142857143</c:v>
                </c:pt>
                <c:pt idx="804" formatCode="_-* #,##0.0_-;\-* #,##0.0_-;_-* &quot;-&quot;??_-;_-@_-">
                  <c:v>1247415.2857142857</c:v>
                </c:pt>
                <c:pt idx="805" formatCode="_-* #,##0.0_-;\-* #,##0.0_-;_-* &quot;-&quot;??_-;_-@_-">
                  <c:v>1222145.2857142857</c:v>
                </c:pt>
                <c:pt idx="806" formatCode="_-* #,##0.0_-;\-* #,##0.0_-;_-* &quot;-&quot;??_-;_-@_-">
                  <c:v>1141609.857142857</c:v>
                </c:pt>
                <c:pt idx="807" formatCode="_-* #,##0.0_-;\-* #,##0.0_-;_-* &quot;-&quot;??_-;_-@_-">
                  <c:v>1139369</c:v>
                </c:pt>
                <c:pt idx="808" formatCode="_-* #,##0.0_-;\-* #,##0.0_-;_-* &quot;-&quot;??_-;_-@_-">
                  <c:v>1100653.5714285714</c:v>
                </c:pt>
                <c:pt idx="809" formatCode="_-* #,##0.0_-;\-* #,##0.0_-;_-* &quot;-&quot;??_-;_-@_-">
                  <c:v>1069815.7142857143</c:v>
                </c:pt>
                <c:pt idx="810" formatCode="_-* #,##0.0_-;\-* #,##0.0_-;_-* &quot;-&quot;??_-;_-@_-">
                  <c:v>1075487.2857142857</c:v>
                </c:pt>
                <c:pt idx="811" formatCode="_-* #,##0.0_-;\-* #,##0.0_-;_-* &quot;-&quot;??_-;_-@_-">
                  <c:v>1036784.5714285715</c:v>
                </c:pt>
                <c:pt idx="812" formatCode="_-* #,##0.0_-;\-* #,##0.0_-;_-* &quot;-&quot;??_-;_-@_-">
                  <c:v>985212.28571428568</c:v>
                </c:pt>
                <c:pt idx="813" formatCode="_-* #,##0.0_-;\-* #,##0.0_-;_-* &quot;-&quot;??_-;_-@_-">
                  <c:v>943506.57142857148</c:v>
                </c:pt>
                <c:pt idx="814" formatCode="_-* #,##0.0_-;\-* #,##0.0_-;_-* &quot;-&quot;??_-;_-@_-">
                  <c:v>879950.71428571432</c:v>
                </c:pt>
                <c:pt idx="815" formatCode="_-* #,##0.0_-;\-* #,##0.0_-;_-* &quot;-&quot;??_-;_-@_-">
                  <c:v>850855.28571428568</c:v>
                </c:pt>
                <c:pt idx="816" formatCode="_-* #,##0.0_-;\-* #,##0.0_-;_-* &quot;-&quot;??_-;_-@_-">
                  <c:v>827405.71428571432</c:v>
                </c:pt>
                <c:pt idx="817" formatCode="_-* #,##0.0_-;\-* #,##0.0_-;_-* &quot;-&quot;??_-;_-@_-">
                  <c:v>760134.85714285716</c:v>
                </c:pt>
                <c:pt idx="818" formatCode="_-* #,##0.0_-;\-* #,##0.0_-;_-* &quot;-&quot;??_-;_-@_-">
                  <c:v>738111.14285714284</c:v>
                </c:pt>
                <c:pt idx="819" formatCode="_-* #,##0.0_-;\-* #,##0.0_-;_-* &quot;-&quot;??_-;_-@_-">
                  <c:v>722610.14285714284</c:v>
                </c:pt>
                <c:pt idx="820" formatCode="_-* #,##0.0_-;\-* #,##0.0_-;_-* &quot;-&quot;??_-;_-@_-">
                  <c:v>713729.28571428568</c:v>
                </c:pt>
                <c:pt idx="821" formatCode="_-* #,##0.0_-;\-* #,##0.0_-;_-* &quot;-&quot;??_-;_-@_-">
                  <c:v>728075.14285714284</c:v>
                </c:pt>
                <c:pt idx="822" formatCode="_-* #,##0.0_-;\-* #,##0.0_-;_-* &quot;-&quot;??_-;_-@_-">
                  <c:v>717168.42857142852</c:v>
                </c:pt>
                <c:pt idx="823" formatCode="_-* #,##0.0_-;\-* #,##0.0_-;_-* &quot;-&quot;??_-;_-@_-">
                  <c:v>711029</c:v>
                </c:pt>
                <c:pt idx="824" formatCode="_-* #,##0.0_-;\-* #,##0.0_-;_-* &quot;-&quot;??_-;_-@_-">
                  <c:v>725418.42857142852</c:v>
                </c:pt>
                <c:pt idx="825" formatCode="_-* #,##0.0_-;\-* #,##0.0_-;_-* &quot;-&quot;??_-;_-@_-">
                  <c:v>682844.14285714284</c:v>
                </c:pt>
                <c:pt idx="826" formatCode="_-* #,##0.0_-;\-* #,##0.0_-;_-* &quot;-&quot;??_-;_-@_-">
                  <c:v>663298.57142857148</c:v>
                </c:pt>
                <c:pt idx="827" formatCode="_-* #,##0.0_-;\-* #,##0.0_-;_-* &quot;-&quot;??_-;_-@_-">
                  <c:v>639480</c:v>
                </c:pt>
                <c:pt idx="828" formatCode="_-* #,##0.0_-;\-* #,##0.0_-;_-* &quot;-&quot;??_-;_-@_-">
                  <c:v>614310.14285714284</c:v>
                </c:pt>
                <c:pt idx="829" formatCode="_-* #,##0.0_-;\-* #,##0.0_-;_-* &quot;-&quot;??_-;_-@_-">
                  <c:v>592523.14285714284</c:v>
                </c:pt>
                <c:pt idx="830" formatCode="_-* #,##0.0_-;\-* #,##0.0_-;_-* &quot;-&quot;??_-;_-@_-">
                  <c:v>582225.28571428568</c:v>
                </c:pt>
                <c:pt idx="831" formatCode="_-* #,##0.0_-;\-* #,##0.0_-;_-* &quot;-&quot;??_-;_-@_-">
                  <c:v>564643.71428571432</c:v>
                </c:pt>
                <c:pt idx="832" formatCode="_-* #,##0.0_-;\-* #,##0.0_-;_-* &quot;-&quot;??_-;_-@_-">
                  <c:v>567937.42857142852</c:v>
                </c:pt>
                <c:pt idx="833" formatCode="_-* #,##0.0_-;\-* #,##0.0_-;_-* &quot;-&quot;??_-;_-@_-">
                  <c:v>539730.42857142852</c:v>
                </c:pt>
                <c:pt idx="834" formatCode="_-* #,##0.0_-;\-* #,##0.0_-;_-* &quot;-&quot;??_-;_-@_-">
                  <c:v>519387.14285714284</c:v>
                </c:pt>
                <c:pt idx="835" formatCode="_-* #,##0.0_-;\-* #,##0.0_-;_-* &quot;-&quot;??_-;_-@_-">
                  <c:v>517642.28571428574</c:v>
                </c:pt>
                <c:pt idx="836" formatCode="_-* #,##0.0_-;\-* #,##0.0_-;_-* &quot;-&quot;??_-;_-@_-">
                  <c:v>515122.57142857142</c:v>
                </c:pt>
                <c:pt idx="837" formatCode="_-* #,##0.0_-;\-* #,##0.0_-;_-* &quot;-&quot;??_-;_-@_-">
                  <c:v>510666</c:v>
                </c:pt>
                <c:pt idx="838" formatCode="_-* #,##0.0_-;\-* #,##0.0_-;_-* &quot;-&quot;??_-;_-@_-">
                  <c:v>547262.28571428568</c:v>
                </c:pt>
                <c:pt idx="839" formatCode="_-* #,##0.0_-;\-* #,##0.0_-;_-* &quot;-&quot;??_-;_-@_-">
                  <c:v>542248.14285714284</c:v>
                </c:pt>
                <c:pt idx="840" formatCode="_-* #,##0.0_-;\-* #,##0.0_-;_-* &quot;-&quot;??_-;_-@_-">
                  <c:v>552082.28571428568</c:v>
                </c:pt>
                <c:pt idx="841" formatCode="_-* #,##0.0_-;\-* #,##0.0_-;_-* &quot;-&quot;??_-;_-@_-">
                  <c:v>559631.57142857148</c:v>
                </c:pt>
                <c:pt idx="842" formatCode="_-* #,##0.0_-;\-* #,##0.0_-;_-* &quot;-&quot;??_-;_-@_-">
                  <c:v>552255.14285714284</c:v>
                </c:pt>
                <c:pt idx="843" formatCode="_-* #,##0.0_-;\-* #,##0.0_-;_-* &quot;-&quot;??_-;_-@_-">
                  <c:v>566119.28571428568</c:v>
                </c:pt>
                <c:pt idx="844" formatCode="_-* #,##0.0_-;\-* #,##0.0_-;_-* &quot;-&quot;??_-;_-@_-">
                  <c:v>579432.14285714284</c:v>
                </c:pt>
                <c:pt idx="845" formatCode="_-* #,##0.0_-;\-* #,##0.0_-;_-* &quot;-&quot;??_-;_-@_-">
                  <c:v>564319</c:v>
                </c:pt>
                <c:pt idx="846" formatCode="_-* #,##0.0_-;\-* #,##0.0_-;_-* &quot;-&quot;??_-;_-@_-">
                  <c:v>559083</c:v>
                </c:pt>
                <c:pt idx="847" formatCode="_-* #,##0.0_-;\-* #,##0.0_-;_-* &quot;-&quot;??_-;_-@_-">
                  <c:v>567936.42857142852</c:v>
                </c:pt>
                <c:pt idx="848" formatCode="_-* #,##0.0_-;\-* #,##0.0_-;_-* &quot;-&quot;??_-;_-@_-">
                  <c:v>560246.71428571432</c:v>
                </c:pt>
                <c:pt idx="849" formatCode="_-* #,##0.0_-;\-* #,##0.0_-;_-* &quot;-&quot;??_-;_-@_-">
                  <c:v>567963.57142857148</c:v>
                </c:pt>
                <c:pt idx="850" formatCode="_-* #,##0.0_-;\-* #,##0.0_-;_-* &quot;-&quot;??_-;_-@_-">
                  <c:v>557432.14285714284</c:v>
                </c:pt>
                <c:pt idx="851" formatCode="_-* #,##0.0_-;\-* #,##0.0_-;_-* &quot;-&quot;??_-;_-@_-">
                  <c:v>551801.28571428568</c:v>
                </c:pt>
                <c:pt idx="852" formatCode="_-* #,##0.0_-;\-* #,##0.0_-;_-* &quot;-&quot;??_-;_-@_-">
                  <c:v>540800.42857142852</c:v>
                </c:pt>
                <c:pt idx="853" formatCode="_-* #,##0.0_-;\-* #,##0.0_-;_-* &quot;-&quot;??_-;_-@_-">
                  <c:v>538606.85714285716</c:v>
                </c:pt>
                <c:pt idx="854" formatCode="_-* #,##0.0_-;\-* #,##0.0_-;_-* &quot;-&quot;??_-;_-@_-">
                  <c:v>522426.71428571426</c:v>
                </c:pt>
                <c:pt idx="855" formatCode="_-* #,##0.0_-;\-* #,##0.0_-;_-* &quot;-&quot;??_-;_-@_-">
                  <c:v>512662.42857142858</c:v>
                </c:pt>
                <c:pt idx="856" formatCode="_-* #,##0.0_-;\-* #,##0.0_-;_-* &quot;-&quot;??_-;_-@_-">
                  <c:v>505263.57142857142</c:v>
                </c:pt>
                <c:pt idx="857" formatCode="_-* #,##0.0_-;\-* #,##0.0_-;_-* &quot;-&quot;??_-;_-@_-">
                  <c:v>493400.85714285716</c:v>
                </c:pt>
                <c:pt idx="858" formatCode="_-* #,##0.0_-;\-* #,##0.0_-;_-* &quot;-&quot;??_-;_-@_-">
                  <c:v>484965.28571428574</c:v>
                </c:pt>
                <c:pt idx="859" formatCode="_-* #,##0.0_-;\-* #,##0.0_-;_-* &quot;-&quot;??_-;_-@_-">
                  <c:v>466711.71428571426</c:v>
                </c:pt>
                <c:pt idx="860" formatCode="_-* #,##0.0_-;\-* #,##0.0_-;_-* &quot;-&quot;??_-;_-@_-">
                  <c:v>472895.28571428574</c:v>
                </c:pt>
                <c:pt idx="861" formatCode="_-* #,##0.0_-;\-* #,##0.0_-;_-* &quot;-&quot;??_-;_-@_-">
                  <c:v>481021.28571428574</c:v>
                </c:pt>
                <c:pt idx="862" formatCode="_-* #,##0.0_-;\-* #,##0.0_-;_-* &quot;-&quot;??_-;_-@_-">
                  <c:v>481740.14285714284</c:v>
                </c:pt>
                <c:pt idx="863" formatCode="_-* #,##0.0_-;\-* #,##0.0_-;_-* &quot;-&quot;??_-;_-@_-">
                  <c:v>478108.28571428574</c:v>
                </c:pt>
                <c:pt idx="864" formatCode="_-* #,##0.0_-;\-* #,##0.0_-;_-* &quot;-&quot;??_-;_-@_-">
                  <c:v>473053.57142857142</c:v>
                </c:pt>
                <c:pt idx="865" formatCode="_-* #,##0.0_-;\-* #,##0.0_-;_-* &quot;-&quot;??_-;_-@_-">
                  <c:v>471444.85714285716</c:v>
                </c:pt>
                <c:pt idx="866" formatCode="_-* #,##0.0_-;\-* #,##0.0_-;_-* &quot;-&quot;??_-;_-@_-">
                  <c:v>476499.57142857142</c:v>
                </c:pt>
                <c:pt idx="867" formatCode="_-* #,##0.0_-;\-* #,##0.0_-;_-* &quot;-&quot;??_-;_-@_-">
                  <c:v>480582.14285714284</c:v>
                </c:pt>
                <c:pt idx="868" formatCode="_-* #,##0.0_-;\-* #,##0.0_-;_-* &quot;-&quot;??_-;_-@_-">
                  <c:v>481935.57142857142</c:v>
                </c:pt>
                <c:pt idx="869" formatCode="_-* #,##0.0_-;\-* #,##0.0_-;_-* &quot;-&quot;??_-;_-@_-">
                  <c:v>489391.85714285716</c:v>
                </c:pt>
                <c:pt idx="870" formatCode="_-* #,##0.0_-;\-* #,##0.0_-;_-* &quot;-&quot;??_-;_-@_-">
                  <c:v>489815.14285714284</c:v>
                </c:pt>
                <c:pt idx="871" formatCode="_-* #,##0.0_-;\-* #,##0.0_-;_-* &quot;-&quot;??_-;_-@_-">
                  <c:v>494242.71428571426</c:v>
                </c:pt>
                <c:pt idx="872" formatCode="_-* #,##0.0_-;\-* #,##0.0_-;_-* &quot;-&quot;??_-;_-@_-">
                  <c:v>485304</c:v>
                </c:pt>
                <c:pt idx="873" formatCode="_-* #,##0.0_-;\-* #,##0.0_-;_-* &quot;-&quot;??_-;_-@_-">
                  <c:v>503333.57142857142</c:v>
                </c:pt>
                <c:pt idx="874" formatCode="_-* #,##0.0_-;\-* #,##0.0_-;_-* &quot;-&quot;??_-;_-@_-">
                  <c:v>530925.28571428568</c:v>
                </c:pt>
                <c:pt idx="875" formatCode="_-* #,##0.0_-;\-* #,##0.0_-;_-* &quot;-&quot;??_-;_-@_-">
                  <c:v>533561</c:v>
                </c:pt>
                <c:pt idx="876" formatCode="_-* #,##0.0_-;\-* #,##0.0_-;_-* &quot;-&quot;??_-;_-@_-">
                  <c:v>525751.85714285716</c:v>
                </c:pt>
                <c:pt idx="877" formatCode="_-* #,##0.0_-;\-* #,##0.0_-;_-* &quot;-&quot;??_-;_-@_-">
                  <c:v>531450.28571428568</c:v>
                </c:pt>
                <c:pt idx="878" formatCode="_-* #,##0.0_-;\-* #,##0.0_-;_-* &quot;-&quot;??_-;_-@_-">
                  <c:v>523581.71428571426</c:v>
                </c:pt>
                <c:pt idx="879" formatCode="_-* #,##0.0_-;\-* #,##0.0_-;_-* &quot;-&quot;??_-;_-@_-">
                  <c:v>533840.14285714284</c:v>
                </c:pt>
                <c:pt idx="880" formatCode="_-* #,##0.0_-;\-* #,##0.0_-;_-* &quot;-&quot;??_-;_-@_-">
                  <c:v>566059</c:v>
                </c:pt>
                <c:pt idx="881" formatCode="_-* #,##0.0_-;\-* #,##0.0_-;_-* &quot;-&quot;??_-;_-@_-">
                  <c:v>561668.57142857148</c:v>
                </c:pt>
                <c:pt idx="882" formatCode="_-* #,##0.0_-;\-* #,##0.0_-;_-* &quot;-&quot;??_-;_-@_-">
                  <c:v>574082</c:v>
                </c:pt>
                <c:pt idx="883" formatCode="_-* #,##0.0_-;\-* #,##0.0_-;_-* &quot;-&quot;??_-;_-@_-">
                  <c:v>611358.42857142852</c:v>
                </c:pt>
                <c:pt idx="884" formatCode="_-* #,##0.0_-;\-* #,##0.0_-;_-* &quot;-&quot;??_-;_-@_-">
                  <c:v>636103.71428571432</c:v>
                </c:pt>
                <c:pt idx="885" formatCode="_-* #,##0.0_-;\-* #,##0.0_-;_-* &quot;-&quot;??_-;_-@_-">
                  <c:v>648701.28571428568</c:v>
                </c:pt>
                <c:pt idx="886" formatCode="_-* #,##0.0_-;\-* #,##0.0_-;_-* &quot;-&quot;??_-;_-@_-">
                  <c:v>650227.14285714284</c:v>
                </c:pt>
                <c:pt idx="887" formatCode="_-* #,##0.0_-;\-* #,##0.0_-;_-* &quot;-&quot;??_-;_-@_-">
                  <c:v>669778.14285714284</c:v>
                </c:pt>
                <c:pt idx="888" formatCode="_-* #,##0.0_-;\-* #,##0.0_-;_-* &quot;-&quot;??_-;_-@_-">
                  <c:v>686862.28571428568</c:v>
                </c:pt>
                <c:pt idx="889" formatCode="_-* #,##0.0_-;\-* #,##0.0_-;_-* &quot;-&quot;??_-;_-@_-">
                  <c:v>704804.71428571432</c:v>
                </c:pt>
                <c:pt idx="890" formatCode="_-* #,##0.0_-;\-* #,##0.0_-;_-* &quot;-&quot;??_-;_-@_-">
                  <c:v>744120.57142857148</c:v>
                </c:pt>
                <c:pt idx="891" formatCode="_-* #,##0.0_-;\-* #,##0.0_-;_-* &quot;-&quot;??_-;_-@_-">
                  <c:v>769537.14285714284</c:v>
                </c:pt>
                <c:pt idx="892" formatCode="_-* #,##0.0_-;\-* #,##0.0_-;_-* &quot;-&quot;??_-;_-@_-">
                  <c:v>775507.42857142852</c:v>
                </c:pt>
                <c:pt idx="893" formatCode="_-* #,##0.0_-;\-* #,##0.0_-;_-* &quot;-&quot;??_-;_-@_-">
                  <c:v>786107</c:v>
                </c:pt>
                <c:pt idx="894" formatCode="_-* #,##0.0_-;\-* #,##0.0_-;_-* &quot;-&quot;??_-;_-@_-">
                  <c:v>782395.14285714284</c:v>
                </c:pt>
                <c:pt idx="895" formatCode="_-* #,##0.0_-;\-* #,##0.0_-;_-* &quot;-&quot;??_-;_-@_-">
                  <c:v>818724.14285714284</c:v>
                </c:pt>
                <c:pt idx="896" formatCode="_-* #,##0.0_-;\-* #,##0.0_-;_-* &quot;-&quot;??_-;_-@_-">
                  <c:v>861413.14285714284</c:v>
                </c:pt>
                <c:pt idx="897" formatCode="_-* #,##0.0_-;\-* #,##0.0_-;_-* &quot;-&quot;??_-;_-@_-">
                  <c:v>858628.71428571432</c:v>
                </c:pt>
                <c:pt idx="898" formatCode="_-* #,##0.0_-;\-* #,##0.0_-;_-* &quot;-&quot;??_-;_-@_-">
                  <c:v>865498.71428571432</c:v>
                </c:pt>
                <c:pt idx="899" formatCode="_-* #,##0.0_-;\-* #,##0.0_-;_-* &quot;-&quot;??_-;_-@_-">
                  <c:v>886092.28571428568</c:v>
                </c:pt>
                <c:pt idx="900" formatCode="_-* #,##0.0_-;\-* #,##0.0_-;_-* &quot;-&quot;??_-;_-@_-">
                  <c:v>895465.28571428568</c:v>
                </c:pt>
                <c:pt idx="901" formatCode="_-* #,##0.0_-;\-* #,##0.0_-;_-* &quot;-&quot;??_-;_-@_-">
                  <c:v>925103.28571428568</c:v>
                </c:pt>
                <c:pt idx="902" formatCode="_-* #,##0.0_-;\-* #,##0.0_-;_-* &quot;-&quot;??_-;_-@_-">
                  <c:v>926196</c:v>
                </c:pt>
                <c:pt idx="903" formatCode="_-* #,##0.0_-;\-* #,##0.0_-;_-* &quot;-&quot;??_-;_-@_-">
                  <c:v>957612.28571428568</c:v>
                </c:pt>
                <c:pt idx="904" formatCode="_-* #,##0.0_-;\-* #,##0.0_-;_-* &quot;-&quot;??_-;_-@_-">
                  <c:v>946135.57142857148</c:v>
                </c:pt>
                <c:pt idx="905" formatCode="_-* #,##0.0_-;\-* #,##0.0_-;_-* &quot;-&quot;??_-;_-@_-">
                  <c:v>949996</c:v>
                </c:pt>
                <c:pt idx="906" formatCode="_-* #,##0.0_-;\-* #,##0.0_-;_-* &quot;-&quot;??_-;_-@_-">
                  <c:v>957263.85714285716</c:v>
                </c:pt>
                <c:pt idx="907" formatCode="_-* #,##0.0_-;\-* #,##0.0_-;_-* &quot;-&quot;??_-;_-@_-">
                  <c:v>960669.71428571432</c:v>
                </c:pt>
                <c:pt idx="908" formatCode="_-* #,##0.0_-;\-* #,##0.0_-;_-* &quot;-&quot;??_-;_-@_-">
                  <c:v>978571.85714285716</c:v>
                </c:pt>
                <c:pt idx="909" formatCode="_-* #,##0.0_-;\-* #,##0.0_-;_-* &quot;-&quot;??_-;_-@_-">
                  <c:v>1025955.4285714285</c:v>
                </c:pt>
                <c:pt idx="910" formatCode="_-* #,##0.0_-;\-* #,##0.0_-;_-* &quot;-&quot;??_-;_-@_-">
                  <c:v>1046948.2857142857</c:v>
                </c:pt>
                <c:pt idx="911" formatCode="_-* #,##0.0_-;\-* #,##0.0_-;_-* &quot;-&quot;??_-;_-@_-">
                  <c:v>1067589.857142857</c:v>
                </c:pt>
                <c:pt idx="912" formatCode="_-* #,##0.0_-;\-* #,##0.0_-;_-* &quot;-&quot;??_-;_-@_-">
                  <c:v>1082149.857142857</c:v>
                </c:pt>
                <c:pt idx="913" formatCode="_-* #,##0.0_-;\-* #,##0.0_-;_-* &quot;-&quot;??_-;_-@_-">
                  <c:v>1093723.857142857</c:v>
                </c:pt>
                <c:pt idx="914" formatCode="_-* #,##0.0_-;\-* #,##0.0_-;_-* &quot;-&quot;??_-;_-@_-">
                  <c:v>1107783.857142857</c:v>
                </c:pt>
                <c:pt idx="915" formatCode="_-* #,##0.0_-;\-* #,##0.0_-;_-* &quot;-&quot;??_-;_-@_-">
                  <c:v>1073303</c:v>
                </c:pt>
                <c:pt idx="916" formatCode="_-* #,##0.0_-;\-* #,##0.0_-;_-* &quot;-&quot;??_-;_-@_-">
                  <c:v>1027469</c:v>
                </c:pt>
              </c:numCache>
            </c:numRef>
          </c:val>
          <c:smooth val="0"/>
          <c:extLst>
            <c:ext xmlns:c16="http://schemas.microsoft.com/office/drawing/2014/chart" uri="{C3380CC4-5D6E-409C-BE32-E72D297353CC}">
              <c16:uniqueId val="{00000000-0A39-4611-96A9-B64A726D09BE}"/>
            </c:ext>
          </c:extLst>
        </c:ser>
        <c:dLbls>
          <c:showLegendKey val="0"/>
          <c:showVal val="0"/>
          <c:showCatName val="0"/>
          <c:showSerName val="0"/>
          <c:showPercent val="0"/>
          <c:showBubbleSize val="0"/>
        </c:dLbls>
        <c:marker val="1"/>
        <c:smooth val="0"/>
        <c:axId val="1749573887"/>
        <c:axId val="1749576383"/>
      </c:lineChart>
      <c:lineChart>
        <c:grouping val="standard"/>
        <c:varyColors val="0"/>
        <c:ser>
          <c:idx val="1"/>
          <c:order val="1"/>
          <c:tx>
            <c:v>Guatemala</c:v>
          </c:tx>
          <c:spPr>
            <a:ln w="19050" cap="rnd">
              <a:solidFill>
                <a:srgbClr val="C00000"/>
              </a:solidFill>
              <a:round/>
            </a:ln>
            <a:effectLst/>
          </c:spPr>
          <c:marker>
            <c:symbol val="none"/>
          </c:marker>
          <c:val>
            <c:numRef>
              <c:f>Hoja5!$AM$4:$AM$920</c:f>
              <c:numCache>
                <c:formatCode>General</c:formatCode>
                <c:ptCount val="917"/>
                <c:pt idx="6" formatCode="_-* #,##0.0_-;\-* #,##0.0_-;_-* &quot;-&quot;??_-;_-@_-">
                  <c:v>0</c:v>
                </c:pt>
                <c:pt idx="7" formatCode="_-* #,##0.0_-;\-* #,##0.0_-;_-* &quot;-&quot;??_-;_-@_-">
                  <c:v>0</c:v>
                </c:pt>
                <c:pt idx="8" formatCode="_-* #,##0.0_-;\-* #,##0.0_-;_-* &quot;-&quot;??_-;_-@_-">
                  <c:v>0</c:v>
                </c:pt>
                <c:pt idx="9" formatCode="_-* #,##0.0_-;\-* #,##0.0_-;_-* &quot;-&quot;??_-;_-@_-">
                  <c:v>0</c:v>
                </c:pt>
                <c:pt idx="10" formatCode="_-* #,##0.0_-;\-* #,##0.0_-;_-* &quot;-&quot;??_-;_-@_-">
                  <c:v>0</c:v>
                </c:pt>
                <c:pt idx="11" formatCode="_-* #,##0.0_-;\-* #,##0.0_-;_-* &quot;-&quot;??_-;_-@_-">
                  <c:v>0</c:v>
                </c:pt>
                <c:pt idx="12" formatCode="_-* #,##0.0_-;\-* #,##0.0_-;_-* &quot;-&quot;??_-;_-@_-">
                  <c:v>0</c:v>
                </c:pt>
                <c:pt idx="13" formatCode="_-* #,##0.0_-;\-* #,##0.0_-;_-* &quot;-&quot;??_-;_-@_-">
                  <c:v>0</c:v>
                </c:pt>
                <c:pt idx="14" formatCode="_-* #,##0.0_-;\-* #,##0.0_-;_-* &quot;-&quot;??_-;_-@_-">
                  <c:v>0</c:v>
                </c:pt>
                <c:pt idx="15" formatCode="_-* #,##0.0_-;\-* #,##0.0_-;_-* &quot;-&quot;??_-;_-@_-">
                  <c:v>0</c:v>
                </c:pt>
                <c:pt idx="16" formatCode="_-* #,##0.0_-;\-* #,##0.0_-;_-* &quot;-&quot;??_-;_-@_-">
                  <c:v>0</c:v>
                </c:pt>
                <c:pt idx="17" formatCode="_-* #,##0.0_-;\-* #,##0.0_-;_-* &quot;-&quot;??_-;_-@_-">
                  <c:v>0</c:v>
                </c:pt>
                <c:pt idx="18" formatCode="_-* #,##0.0_-;\-* #,##0.0_-;_-* &quot;-&quot;??_-;_-@_-">
                  <c:v>0</c:v>
                </c:pt>
                <c:pt idx="19" formatCode="_-* #,##0.0_-;\-* #,##0.0_-;_-* &quot;-&quot;??_-;_-@_-">
                  <c:v>0</c:v>
                </c:pt>
                <c:pt idx="20" formatCode="_-* #,##0.0_-;\-* #,##0.0_-;_-* &quot;-&quot;??_-;_-@_-">
                  <c:v>0</c:v>
                </c:pt>
                <c:pt idx="21" formatCode="_-* #,##0.0_-;\-* #,##0.0_-;_-* &quot;-&quot;??_-;_-@_-">
                  <c:v>0</c:v>
                </c:pt>
                <c:pt idx="22" formatCode="_-* #,##0.0_-;\-* #,##0.0_-;_-* &quot;-&quot;??_-;_-@_-">
                  <c:v>0</c:v>
                </c:pt>
                <c:pt idx="23" formatCode="_-* #,##0.0_-;\-* #,##0.0_-;_-* &quot;-&quot;??_-;_-@_-">
                  <c:v>0</c:v>
                </c:pt>
                <c:pt idx="24" formatCode="_-* #,##0.0_-;\-* #,##0.0_-;_-* &quot;-&quot;??_-;_-@_-">
                  <c:v>0</c:v>
                </c:pt>
                <c:pt idx="25" formatCode="_-* #,##0.0_-;\-* #,##0.0_-;_-* &quot;-&quot;??_-;_-@_-">
                  <c:v>0</c:v>
                </c:pt>
                <c:pt idx="26" formatCode="_-* #,##0.0_-;\-* #,##0.0_-;_-* &quot;-&quot;??_-;_-@_-">
                  <c:v>0</c:v>
                </c:pt>
                <c:pt idx="27" formatCode="_-* #,##0.0_-;\-* #,##0.0_-;_-* &quot;-&quot;??_-;_-@_-">
                  <c:v>0</c:v>
                </c:pt>
                <c:pt idx="28" formatCode="_-* #,##0.0_-;\-* #,##0.0_-;_-* &quot;-&quot;??_-;_-@_-">
                  <c:v>0</c:v>
                </c:pt>
                <c:pt idx="29" formatCode="_-* #,##0.0_-;\-* #,##0.0_-;_-* &quot;-&quot;??_-;_-@_-">
                  <c:v>0</c:v>
                </c:pt>
                <c:pt idx="30" formatCode="_-* #,##0.0_-;\-* #,##0.0_-;_-* &quot;-&quot;??_-;_-@_-">
                  <c:v>0</c:v>
                </c:pt>
                <c:pt idx="31" formatCode="_-* #,##0.0_-;\-* #,##0.0_-;_-* &quot;-&quot;??_-;_-@_-">
                  <c:v>0</c:v>
                </c:pt>
                <c:pt idx="32" formatCode="_-* #,##0.0_-;\-* #,##0.0_-;_-* &quot;-&quot;??_-;_-@_-">
                  <c:v>0</c:v>
                </c:pt>
                <c:pt idx="33" formatCode="_-* #,##0.0_-;\-* #,##0.0_-;_-* &quot;-&quot;??_-;_-@_-">
                  <c:v>0</c:v>
                </c:pt>
                <c:pt idx="34" formatCode="_-* #,##0.0_-;\-* #,##0.0_-;_-* &quot;-&quot;??_-;_-@_-">
                  <c:v>0</c:v>
                </c:pt>
                <c:pt idx="35" formatCode="_-* #,##0.0_-;\-* #,##0.0_-;_-* &quot;-&quot;??_-;_-@_-">
                  <c:v>0</c:v>
                </c:pt>
                <c:pt idx="36" formatCode="_-* #,##0.0_-;\-* #,##0.0_-;_-* &quot;-&quot;??_-;_-@_-">
                  <c:v>0</c:v>
                </c:pt>
                <c:pt idx="37" formatCode="_-* #,##0.0_-;\-* #,##0.0_-;_-* &quot;-&quot;??_-;_-@_-">
                  <c:v>0</c:v>
                </c:pt>
                <c:pt idx="38" formatCode="_-* #,##0.0_-;\-* #,##0.0_-;_-* &quot;-&quot;??_-;_-@_-">
                  <c:v>0</c:v>
                </c:pt>
                <c:pt idx="39" formatCode="_-* #,##0.0_-;\-* #,##0.0_-;_-* &quot;-&quot;??_-;_-@_-">
                  <c:v>0</c:v>
                </c:pt>
                <c:pt idx="40" formatCode="_-* #,##0.0_-;\-* #,##0.0_-;_-* &quot;-&quot;??_-;_-@_-">
                  <c:v>0</c:v>
                </c:pt>
                <c:pt idx="41" formatCode="_-* #,##0.0_-;\-* #,##0.0_-;_-* &quot;-&quot;??_-;_-@_-">
                  <c:v>0</c:v>
                </c:pt>
                <c:pt idx="42" formatCode="_-* #,##0.0_-;\-* #,##0.0_-;_-* &quot;-&quot;??_-;_-@_-">
                  <c:v>0</c:v>
                </c:pt>
                <c:pt idx="43" formatCode="_-* #,##0.0_-;\-* #,##0.0_-;_-* &quot;-&quot;??_-;_-@_-">
                  <c:v>0</c:v>
                </c:pt>
                <c:pt idx="44" formatCode="_-* #,##0.0_-;\-* #,##0.0_-;_-* &quot;-&quot;??_-;_-@_-">
                  <c:v>0</c:v>
                </c:pt>
                <c:pt idx="45" formatCode="_-* #,##0.0_-;\-* #,##0.0_-;_-* &quot;-&quot;??_-;_-@_-">
                  <c:v>0</c:v>
                </c:pt>
                <c:pt idx="46" formatCode="_-* #,##0.0_-;\-* #,##0.0_-;_-* &quot;-&quot;??_-;_-@_-">
                  <c:v>0</c:v>
                </c:pt>
                <c:pt idx="47" formatCode="_-* #,##0.0_-;\-* #,##0.0_-;_-* &quot;-&quot;??_-;_-@_-">
                  <c:v>0</c:v>
                </c:pt>
                <c:pt idx="48" formatCode="_-* #,##0.0_-;\-* #,##0.0_-;_-* &quot;-&quot;??_-;_-@_-">
                  <c:v>0</c:v>
                </c:pt>
                <c:pt idx="49" formatCode="_-* #,##0.0_-;\-* #,##0.0_-;_-* &quot;-&quot;??_-;_-@_-">
                  <c:v>0</c:v>
                </c:pt>
                <c:pt idx="50" formatCode="_-* #,##0.0_-;\-* #,##0.0_-;_-* &quot;-&quot;??_-;_-@_-">
                  <c:v>0</c:v>
                </c:pt>
                <c:pt idx="51" formatCode="_-* #,##0.0_-;\-* #,##0.0_-;_-* &quot;-&quot;??_-;_-@_-">
                  <c:v>0.16666666666666666</c:v>
                </c:pt>
                <c:pt idx="52" formatCode="_-* #,##0.0_-;\-* #,##0.0_-;_-* &quot;-&quot;??_-;_-@_-">
                  <c:v>0.16666666666666666</c:v>
                </c:pt>
                <c:pt idx="53" formatCode="_-* #,##0.0_-;\-* #,##0.0_-;_-* &quot;-&quot;??_-;_-@_-">
                  <c:v>1.1666666666666667</c:v>
                </c:pt>
                <c:pt idx="54" formatCode="_-* #,##0.0_-;\-* #,##0.0_-;_-* &quot;-&quot;??_-;_-@_-">
                  <c:v>1</c:v>
                </c:pt>
                <c:pt idx="55" formatCode="_-* #,##0.0_-;\-* #,##0.0_-;_-* &quot;-&quot;??_-;_-@_-">
                  <c:v>1.1428571428571428</c:v>
                </c:pt>
                <c:pt idx="56" formatCode="_-* #,##0.0_-;\-* #,##0.0_-;_-* &quot;-&quot;??_-;_-@_-">
                  <c:v>1.5714285714285714</c:v>
                </c:pt>
                <c:pt idx="57" formatCode="_-* #,##0.0_-;\-* #,##0.0_-;_-* &quot;-&quot;??_-;_-@_-">
                  <c:v>2.1428571428571428</c:v>
                </c:pt>
                <c:pt idx="58" formatCode="_-* #,##0.0_-;\-* #,##0.0_-;_-* &quot;-&quot;??_-;_-@_-">
                  <c:v>2.7142857142857144</c:v>
                </c:pt>
                <c:pt idx="59" formatCode="_-* #,##0.0_-;\-* #,##0.0_-;_-* &quot;-&quot;??_-;_-@_-">
                  <c:v>2.8571428571428572</c:v>
                </c:pt>
                <c:pt idx="60" formatCode="_-* #,##0.0_-;\-* #,##0.0_-;_-* &quot;-&quot;??_-;_-@_-">
                  <c:v>2.4285714285714284</c:v>
                </c:pt>
                <c:pt idx="61" formatCode="_-* #,##0.0_-;\-* #,##0.0_-;_-* &quot;-&quot;??_-;_-@_-">
                  <c:v>2.8333333333333335</c:v>
                </c:pt>
                <c:pt idx="62" formatCode="_-* #,##0.0_-;\-* #,##0.0_-;_-* &quot;-&quot;??_-;_-@_-">
                  <c:v>3.1666666666666665</c:v>
                </c:pt>
                <c:pt idx="63" formatCode="_-* #,##0.0_-;\-* #,##0.0_-;_-* &quot;-&quot;??_-;_-@_-">
                  <c:v>3.3333333333333335</c:v>
                </c:pt>
                <c:pt idx="64" formatCode="_-* #,##0.0_-;\-* #,##0.0_-;_-* &quot;-&quot;??_-;_-@_-">
                  <c:v>2.6666666666666665</c:v>
                </c:pt>
                <c:pt idx="65" formatCode="_-* #,##0.0_-;\-* #,##0.0_-;_-* &quot;-&quot;??_-;_-@_-">
                  <c:v>2.8333333333333335</c:v>
                </c:pt>
                <c:pt idx="66" formatCode="_-* #,##0.0_-;\-* #,##0.0_-;_-* &quot;-&quot;??_-;_-@_-">
                  <c:v>3.1666666666666665</c:v>
                </c:pt>
                <c:pt idx="67" formatCode="_-* #,##0.0_-;\-* #,##0.0_-;_-* &quot;-&quot;??_-;_-@_-">
                  <c:v>3.1666666666666665</c:v>
                </c:pt>
                <c:pt idx="68" formatCode="_-* #,##0.0_-;\-* #,##0.0_-;_-* &quot;-&quot;??_-;_-@_-">
                  <c:v>3.1428571428571428</c:v>
                </c:pt>
                <c:pt idx="69" formatCode="_-* #,##0.0_-;\-* #,##0.0_-;_-* &quot;-&quot;??_-;_-@_-">
                  <c:v>3.5714285714285716</c:v>
                </c:pt>
                <c:pt idx="70" formatCode="_-* #,##0.0_-;\-* #,##0.0_-;_-* &quot;-&quot;??_-;_-@_-">
                  <c:v>3.2857142857142856</c:v>
                </c:pt>
                <c:pt idx="71" formatCode="_-* #,##0.0_-;\-* #,##0.0_-;_-* &quot;-&quot;??_-;_-@_-">
                  <c:v>4.1428571428571432</c:v>
                </c:pt>
                <c:pt idx="72" formatCode="_-* #,##0.0_-;\-* #,##0.0_-;_-* &quot;-&quot;??_-;_-@_-">
                  <c:v>4.5714285714285712</c:v>
                </c:pt>
                <c:pt idx="73" formatCode="_-* #,##0.0_-;\-* #,##0.0_-;_-* &quot;-&quot;??_-;_-@_-">
                  <c:v>4.4285714285714288</c:v>
                </c:pt>
                <c:pt idx="74" formatCode="_-* #,##0.0_-;\-* #,##0.0_-;_-* &quot;-&quot;??_-;_-@_-">
                  <c:v>5.4285714285714288</c:v>
                </c:pt>
                <c:pt idx="75" formatCode="_-* #,##0.0_-;\-* #,##0.0_-;_-* &quot;-&quot;??_-;_-@_-">
                  <c:v>5.7142857142857144</c:v>
                </c:pt>
                <c:pt idx="76" formatCode="_-* #,##0.0_-;\-* #,##0.0_-;_-* &quot;-&quot;??_-;_-@_-">
                  <c:v>5.8571428571428568</c:v>
                </c:pt>
                <c:pt idx="77" formatCode="_-* #,##0.0_-;\-* #,##0.0_-;_-* &quot;-&quot;??_-;_-@_-">
                  <c:v>11.285714285714286</c:v>
                </c:pt>
                <c:pt idx="78" formatCode="_-* #,##0.0_-;\-* #,##0.0_-;_-* &quot;-&quot;??_-;_-@_-">
                  <c:v>11.857142857142858</c:v>
                </c:pt>
                <c:pt idx="79" formatCode="_-* #,##0.0_-;\-* #,##0.0_-;_-* &quot;-&quot;??_-;_-@_-">
                  <c:v>11.428571428571429</c:v>
                </c:pt>
                <c:pt idx="80" formatCode="_-* #,##0.0_-;\-* #,##0.0_-;_-* &quot;-&quot;??_-;_-@_-">
                  <c:v>13.857142857142858</c:v>
                </c:pt>
                <c:pt idx="81" formatCode="_-* #,##0.0_-;\-* #,##0.0_-;_-* &quot;-&quot;??_-;_-@_-">
                  <c:v>13.714285714285714</c:v>
                </c:pt>
                <c:pt idx="82" formatCode="_-* #,##0.0_-;\-* #,##0.0_-;_-* &quot;-&quot;??_-;_-@_-">
                  <c:v>13.571428571428571</c:v>
                </c:pt>
                <c:pt idx="83" formatCode="_-* #,##0.0_-;\-* #,##0.0_-;_-* &quot;-&quot;??_-;_-@_-">
                  <c:v>13.714285714285714</c:v>
                </c:pt>
                <c:pt idx="84" formatCode="_-* #,##0.0_-;\-* #,##0.0_-;_-* &quot;-&quot;??_-;_-@_-">
                  <c:v>18.571428571428573</c:v>
                </c:pt>
                <c:pt idx="85" formatCode="_-* #,##0.0_-;\-* #,##0.0_-;_-* &quot;-&quot;??_-;_-@_-">
                  <c:v>19.857142857142858</c:v>
                </c:pt>
                <c:pt idx="86" formatCode="_-* #,##0.0_-;\-* #,##0.0_-;_-* &quot;-&quot;??_-;_-@_-">
                  <c:v>20</c:v>
                </c:pt>
                <c:pt idx="87" formatCode="_-* #,##0.0_-;\-* #,##0.0_-;_-* &quot;-&quot;??_-;_-@_-">
                  <c:v>17.714285714285715</c:v>
                </c:pt>
                <c:pt idx="88" formatCode="_-* #,##0.0_-;\-* #,##0.0_-;_-* &quot;-&quot;??_-;_-@_-">
                  <c:v>19</c:v>
                </c:pt>
                <c:pt idx="89" formatCode="_-* #,##0.0_-;\-* #,##0.0_-;_-* &quot;-&quot;??_-;_-@_-">
                  <c:v>20.285714285714285</c:v>
                </c:pt>
                <c:pt idx="90" formatCode="_-* #,##0.0_-;\-* #,##0.0_-;_-* &quot;-&quot;??_-;_-@_-">
                  <c:v>28.571428571428573</c:v>
                </c:pt>
                <c:pt idx="91" formatCode="_-* #,##0.0_-;\-* #,##0.0_-;_-* &quot;-&quot;??_-;_-@_-">
                  <c:v>23.857142857142858</c:v>
                </c:pt>
                <c:pt idx="92" formatCode="_-* #,##0.0_-;\-* #,##0.0_-;_-* &quot;-&quot;??_-;_-@_-">
                  <c:v>27.285714285714285</c:v>
                </c:pt>
                <c:pt idx="93" formatCode="_-* #,##0.0_-;\-* #,##0.0_-;_-* &quot;-&quot;??_-;_-@_-">
                  <c:v>28</c:v>
                </c:pt>
                <c:pt idx="94" formatCode="_-* #,##0.0_-;\-* #,##0.0_-;_-* &quot;-&quot;??_-;_-@_-">
                  <c:v>37.142857142857146</c:v>
                </c:pt>
                <c:pt idx="95" formatCode="_-* #,##0.0_-;\-* #,##0.0_-;_-* &quot;-&quot;??_-;_-@_-">
                  <c:v>37</c:v>
                </c:pt>
                <c:pt idx="96" formatCode="_-* #,##0.0_-;\-* #,##0.0_-;_-* &quot;-&quot;??_-;_-@_-">
                  <c:v>38.857142857142854</c:v>
                </c:pt>
                <c:pt idx="97" formatCode="_-* #,##0.0_-;\-* #,##0.0_-;_-* &quot;-&quot;??_-;_-@_-">
                  <c:v>32.428571428571431</c:v>
                </c:pt>
                <c:pt idx="98" formatCode="_-* #,##0.0_-;\-* #,##0.0_-;_-* &quot;-&quot;??_-;_-@_-">
                  <c:v>31.428571428571427</c:v>
                </c:pt>
                <c:pt idx="99" formatCode="_-* #,##0.0_-;\-* #,##0.0_-;_-* &quot;-&quot;??_-;_-@_-">
                  <c:v>29.714285714285715</c:v>
                </c:pt>
                <c:pt idx="100" formatCode="_-* #,##0.0_-;\-* #,##0.0_-;_-* &quot;-&quot;??_-;_-@_-">
                  <c:v>32.857142857142854</c:v>
                </c:pt>
                <c:pt idx="101" formatCode="_-* #,##0.0_-;\-* #,##0.0_-;_-* &quot;-&quot;??_-;_-@_-">
                  <c:v>24.142857142857142</c:v>
                </c:pt>
                <c:pt idx="102" formatCode="_-* #,##0.0_-;\-* #,##0.0_-;_-* &quot;-&quot;??_-;_-@_-">
                  <c:v>23.142857142857142</c:v>
                </c:pt>
                <c:pt idx="103" formatCode="_-* #,##0.0_-;\-* #,##0.0_-;_-* &quot;-&quot;??_-;_-@_-">
                  <c:v>24.857142857142858</c:v>
                </c:pt>
                <c:pt idx="104" formatCode="_-* #,##0.0_-;\-* #,##0.0_-;_-* &quot;-&quot;??_-;_-@_-">
                  <c:v>24.714285714285715</c:v>
                </c:pt>
                <c:pt idx="105" formatCode="_-* #,##0.0_-;\-* #,##0.0_-;_-* &quot;-&quot;??_-;_-@_-">
                  <c:v>25.857142857142858</c:v>
                </c:pt>
                <c:pt idx="106" formatCode="_-* #,##0.0_-;\-* #,##0.0_-;_-* &quot;-&quot;??_-;_-@_-">
                  <c:v>29.571428571428573</c:v>
                </c:pt>
                <c:pt idx="107" formatCode="_-* #,##0.0_-;\-* #,##0.0_-;_-* &quot;-&quot;??_-;_-@_-">
                  <c:v>28.714285714285715</c:v>
                </c:pt>
                <c:pt idx="108" formatCode="_-* #,##0.0_-;\-* #,##0.0_-;_-* &quot;-&quot;??_-;_-@_-">
                  <c:v>48.285714285714285</c:v>
                </c:pt>
                <c:pt idx="109" formatCode="_-* #,##0.0_-;\-* #,##0.0_-;_-* &quot;-&quot;??_-;_-@_-">
                  <c:v>53.857142857142854</c:v>
                </c:pt>
                <c:pt idx="110" formatCode="_-* #,##0.0_-;\-* #,##0.0_-;_-* &quot;-&quot;??_-;_-@_-">
                  <c:v>57.571428571428569</c:v>
                </c:pt>
                <c:pt idx="111" formatCode="_-* #,##0.0_-;\-* #,##0.0_-;_-* &quot;-&quot;??_-;_-@_-">
                  <c:v>66</c:v>
                </c:pt>
                <c:pt idx="112" formatCode="_-* #,##0.0_-;\-* #,##0.0_-;_-* &quot;-&quot;??_-;_-@_-">
                  <c:v>79.857142857142861</c:v>
                </c:pt>
                <c:pt idx="113" formatCode="_-* #,##0.0_-;\-* #,##0.0_-;_-* &quot;-&quot;??_-;_-@_-">
                  <c:v>96.714285714285708</c:v>
                </c:pt>
                <c:pt idx="114" formatCode="_-* #,##0.0_-;\-* #,##0.0_-;_-* &quot;-&quot;??_-;_-@_-">
                  <c:v>115.28571428571429</c:v>
                </c:pt>
                <c:pt idx="115" formatCode="_-* #,##0.0_-;\-* #,##0.0_-;_-* &quot;-&quot;??_-;_-@_-">
                  <c:v>110</c:v>
                </c:pt>
                <c:pt idx="116" formatCode="_-* #,##0.0_-;\-* #,##0.0_-;_-* &quot;-&quot;??_-;_-@_-">
                  <c:v>115.57142857142857</c:v>
                </c:pt>
                <c:pt idx="117" formatCode="_-* #,##0.0_-;\-* #,##0.0_-;_-* &quot;-&quot;??_-;_-@_-">
                  <c:v>128.57142857142858</c:v>
                </c:pt>
                <c:pt idx="118" formatCode="_-* #,##0.0_-;\-* #,##0.0_-;_-* &quot;-&quot;??_-;_-@_-">
                  <c:v>152.42857142857142</c:v>
                </c:pt>
                <c:pt idx="119" formatCode="_-* #,##0.0_-;\-* #,##0.0_-;_-* &quot;-&quot;??_-;_-@_-">
                  <c:v>162.71428571428572</c:v>
                </c:pt>
                <c:pt idx="120" formatCode="_-* #,##0.0_-;\-* #,##0.0_-;_-* &quot;-&quot;??_-;_-@_-">
                  <c:v>180.42857142857142</c:v>
                </c:pt>
                <c:pt idx="121" formatCode="_-* #,##0.0_-;\-* #,##0.0_-;_-* &quot;-&quot;??_-;_-@_-">
                  <c:v>218.71428571428572</c:v>
                </c:pt>
                <c:pt idx="122" formatCode="_-* #,##0.0_-;\-* #,##0.0_-;_-* &quot;-&quot;??_-;_-@_-">
                  <c:v>242</c:v>
                </c:pt>
                <c:pt idx="123" formatCode="_-* #,##0.0_-;\-* #,##0.0_-;_-* &quot;-&quot;??_-;_-@_-">
                  <c:v>277.85714285714283</c:v>
                </c:pt>
                <c:pt idx="124" formatCode="_-* #,##0.0_-;\-* #,##0.0_-;_-* &quot;-&quot;??_-;_-@_-">
                  <c:v>298.85714285714283</c:v>
                </c:pt>
                <c:pt idx="125" formatCode="_-* #,##0.0_-;\-* #,##0.0_-;_-* &quot;-&quot;??_-;_-@_-">
                  <c:v>300.71428571428572</c:v>
                </c:pt>
                <c:pt idx="126" formatCode="_-* #,##0.0_-;\-* #,##0.0_-;_-* &quot;-&quot;??_-;_-@_-">
                  <c:v>314.28571428571428</c:v>
                </c:pt>
                <c:pt idx="127" formatCode="_-* #,##0.0_-;\-* #,##0.0_-;_-* &quot;-&quot;??_-;_-@_-">
                  <c:v>310</c:v>
                </c:pt>
                <c:pt idx="128" formatCode="_-* #,##0.0_-;\-* #,##0.0_-;_-* &quot;-&quot;??_-;_-@_-">
                  <c:v>279.28571428571428</c:v>
                </c:pt>
                <c:pt idx="129" formatCode="_-* #,##0.0_-;\-* #,##0.0_-;_-* &quot;-&quot;??_-;_-@_-">
                  <c:v>283.57142857142856</c:v>
                </c:pt>
                <c:pt idx="130" formatCode="_-* #,##0.0_-;\-* #,##0.0_-;_-* &quot;-&quot;??_-;_-@_-">
                  <c:v>263.42857142857144</c:v>
                </c:pt>
                <c:pt idx="131" formatCode="_-* #,##0.0_-;\-* #,##0.0_-;_-* &quot;-&quot;??_-;_-@_-">
                  <c:v>260.28571428571428</c:v>
                </c:pt>
                <c:pt idx="132" formatCode="_-* #,##0.0_-;\-* #,##0.0_-;_-* &quot;-&quot;??_-;_-@_-">
                  <c:v>248.85714285714286</c:v>
                </c:pt>
                <c:pt idx="133" formatCode="_-* #,##0.0_-;\-* #,##0.0_-;_-* &quot;-&quot;??_-;_-@_-">
                  <c:v>243</c:v>
                </c:pt>
                <c:pt idx="134" formatCode="_-* #,##0.0_-;\-* #,##0.0_-;_-* &quot;-&quot;??_-;_-@_-">
                  <c:v>263.28571428571428</c:v>
                </c:pt>
                <c:pt idx="135" formatCode="_-* #,##0.0_-;\-* #,##0.0_-;_-* &quot;-&quot;??_-;_-@_-">
                  <c:v>289.85714285714283</c:v>
                </c:pt>
                <c:pt idx="136" formatCode="_-* #,##0.0_-;\-* #,##0.0_-;_-* &quot;-&quot;??_-;_-@_-">
                  <c:v>288</c:v>
                </c:pt>
                <c:pt idx="137" formatCode="_-* #,##0.0_-;\-* #,##0.0_-;_-* &quot;-&quot;??_-;_-@_-">
                  <c:v>305.14285714285717</c:v>
                </c:pt>
                <c:pt idx="138" formatCode="_-* #,##0.0_-;\-* #,##0.0_-;_-* &quot;-&quot;??_-;_-@_-">
                  <c:v>314.14285714285717</c:v>
                </c:pt>
                <c:pt idx="139" formatCode="_-* #,##0.0_-;\-* #,##0.0_-;_-* &quot;-&quot;??_-;_-@_-">
                  <c:v>340.57142857142856</c:v>
                </c:pt>
                <c:pt idx="140" formatCode="_-* #,##0.0_-;\-* #,##0.0_-;_-* &quot;-&quot;??_-;_-@_-">
                  <c:v>364.28571428571428</c:v>
                </c:pt>
                <c:pt idx="141" formatCode="_-* #,##0.0_-;\-* #,##0.0_-;_-* &quot;-&quot;??_-;_-@_-">
                  <c:v>336.71428571428572</c:v>
                </c:pt>
                <c:pt idx="142" formatCode="_-* #,##0.0_-;\-* #,##0.0_-;_-* &quot;-&quot;??_-;_-@_-">
                  <c:v>339.14285714285717</c:v>
                </c:pt>
                <c:pt idx="143" formatCode="_-* #,##0.0_-;\-* #,##0.0_-;_-* &quot;-&quot;??_-;_-@_-">
                  <c:v>312</c:v>
                </c:pt>
                <c:pt idx="144" formatCode="_-* #,##0.0_-;\-* #,##0.0_-;_-* &quot;-&quot;??_-;_-@_-">
                  <c:v>309.85714285714283</c:v>
                </c:pt>
                <c:pt idx="145" formatCode="_-* #,##0.0_-;\-* #,##0.0_-;_-* &quot;-&quot;??_-;_-@_-">
                  <c:v>340.14285714285717</c:v>
                </c:pt>
                <c:pt idx="146" formatCode="_-* #,##0.0_-;\-* #,##0.0_-;_-* &quot;-&quot;??_-;_-@_-">
                  <c:v>390.71428571428572</c:v>
                </c:pt>
                <c:pt idx="147" formatCode="_-* #,##0.0_-;\-* #,##0.0_-;_-* &quot;-&quot;??_-;_-@_-">
                  <c:v>407.85714285714283</c:v>
                </c:pt>
                <c:pt idx="148" formatCode="_-* #,##0.0_-;\-* #,##0.0_-;_-* &quot;-&quot;??_-;_-@_-">
                  <c:v>493</c:v>
                </c:pt>
                <c:pt idx="149" formatCode="_-* #,##0.0_-;\-* #,##0.0_-;_-* &quot;-&quot;??_-;_-@_-">
                  <c:v>503.28571428571428</c:v>
                </c:pt>
                <c:pt idx="150" formatCode="_-* #,##0.0_-;\-* #,##0.0_-;_-* &quot;-&quot;??_-;_-@_-">
                  <c:v>526.14285714285711</c:v>
                </c:pt>
                <c:pt idx="151" formatCode="_-* #,##0.0_-;\-* #,##0.0_-;_-* &quot;-&quot;??_-;_-@_-">
                  <c:v>542.57142857142856</c:v>
                </c:pt>
                <c:pt idx="152" formatCode="_-* #,##0.0_-;\-* #,##0.0_-;_-* &quot;-&quot;??_-;_-@_-">
                  <c:v>574.71428571428567</c:v>
                </c:pt>
                <c:pt idx="153" formatCode="_-* #,##0.0_-;\-* #,##0.0_-;_-* &quot;-&quot;??_-;_-@_-">
                  <c:v>583.28571428571433</c:v>
                </c:pt>
                <c:pt idx="154" formatCode="_-* #,##0.0_-;\-* #,##0.0_-;_-* &quot;-&quot;??_-;_-@_-">
                  <c:v>554.71428571428567</c:v>
                </c:pt>
                <c:pt idx="155" formatCode="_-* #,##0.0_-;\-* #,##0.0_-;_-* &quot;-&quot;??_-;_-@_-">
                  <c:v>586.57142857142856</c:v>
                </c:pt>
                <c:pt idx="156" formatCode="_-* #,##0.0_-;\-* #,##0.0_-;_-* &quot;-&quot;??_-;_-@_-">
                  <c:v>613</c:v>
                </c:pt>
                <c:pt idx="157" formatCode="_-* #,##0.0_-;\-* #,##0.0_-;_-* &quot;-&quot;??_-;_-@_-">
                  <c:v>658.14285714285711</c:v>
                </c:pt>
                <c:pt idx="158" formatCode="_-* #,##0.0_-;\-* #,##0.0_-;_-* &quot;-&quot;??_-;_-@_-">
                  <c:v>665</c:v>
                </c:pt>
                <c:pt idx="159" formatCode="_-* #,##0.0_-;\-* #,##0.0_-;_-* &quot;-&quot;??_-;_-@_-">
                  <c:v>658.42857142857144</c:v>
                </c:pt>
                <c:pt idx="160" formatCode="_-* #,##0.0_-;\-* #,##0.0_-;_-* &quot;-&quot;??_-;_-@_-">
                  <c:v>687.85714285714289</c:v>
                </c:pt>
                <c:pt idx="161" formatCode="_-* #,##0.0_-;\-* #,##0.0_-;_-* &quot;-&quot;??_-;_-@_-">
                  <c:v>800.28571428571433</c:v>
                </c:pt>
                <c:pt idx="162" formatCode="_-* #,##0.0_-;\-* #,##0.0_-;_-* &quot;-&quot;??_-;_-@_-">
                  <c:v>837.71428571428567</c:v>
                </c:pt>
                <c:pt idx="163" formatCode="_-* #,##0.0_-;\-* #,##0.0_-;_-* &quot;-&quot;??_-;_-@_-">
                  <c:v>931.85714285714289</c:v>
                </c:pt>
                <c:pt idx="164" formatCode="_-* #,##0.0_-;\-* #,##0.0_-;_-* &quot;-&quot;??_-;_-@_-">
                  <c:v>963</c:v>
                </c:pt>
                <c:pt idx="165" formatCode="_-* #,##0.0_-;\-* #,##0.0_-;_-* &quot;-&quot;??_-;_-@_-">
                  <c:v>996.42857142857144</c:v>
                </c:pt>
                <c:pt idx="166" formatCode="_-* #,##0.0_-;\-* #,##0.0_-;_-* &quot;-&quot;??_-;_-@_-">
                  <c:v>1020.2857142857143</c:v>
                </c:pt>
                <c:pt idx="167" formatCode="_-* #,##0.0_-;\-* #,##0.0_-;_-* &quot;-&quot;??_-;_-@_-">
                  <c:v>976</c:v>
                </c:pt>
                <c:pt idx="168" formatCode="_-* #,##0.0_-;\-* #,##0.0_-;_-* &quot;-&quot;??_-;_-@_-">
                  <c:v>990</c:v>
                </c:pt>
                <c:pt idx="169" formatCode="_-* #,##0.0_-;\-* #,##0.0_-;_-* &quot;-&quot;??_-;_-@_-">
                  <c:v>947.71428571428567</c:v>
                </c:pt>
                <c:pt idx="170" formatCode="_-* #,##0.0_-;\-* #,##0.0_-;_-* &quot;-&quot;??_-;_-@_-">
                  <c:v>901.71428571428567</c:v>
                </c:pt>
                <c:pt idx="171" formatCode="_-* #,##0.0_-;\-* #,##0.0_-;_-* &quot;-&quot;??_-;_-@_-">
                  <c:v>904</c:v>
                </c:pt>
                <c:pt idx="172" formatCode="_-* #,##0.0_-;\-* #,##0.0_-;_-* &quot;-&quot;??_-;_-@_-">
                  <c:v>862.28571428571433</c:v>
                </c:pt>
                <c:pt idx="173" formatCode="_-* #,##0.0_-;\-* #,##0.0_-;_-* &quot;-&quot;??_-;_-@_-">
                  <c:v>907.85714285714289</c:v>
                </c:pt>
                <c:pt idx="174" formatCode="_-* #,##0.0_-;\-* #,##0.0_-;_-* &quot;-&quot;??_-;_-@_-">
                  <c:v>991.71428571428567</c:v>
                </c:pt>
                <c:pt idx="175" formatCode="_-* #,##0.0_-;\-* #,##0.0_-;_-* &quot;-&quot;??_-;_-@_-">
                  <c:v>949.28571428571433</c:v>
                </c:pt>
                <c:pt idx="176" formatCode="_-* #,##0.0_-;\-* #,##0.0_-;_-* &quot;-&quot;??_-;_-@_-">
                  <c:v>951.85714285714289</c:v>
                </c:pt>
                <c:pt idx="177" formatCode="_-* #,##0.0_-;\-* #,##0.0_-;_-* &quot;-&quot;??_-;_-@_-">
                  <c:v>978</c:v>
                </c:pt>
                <c:pt idx="178" formatCode="_-* #,##0.0_-;\-* #,##0.0_-;_-* &quot;-&quot;??_-;_-@_-">
                  <c:v>958</c:v>
                </c:pt>
                <c:pt idx="179" formatCode="_-* #,##0.0_-;\-* #,##0.0_-;_-* &quot;-&quot;??_-;_-@_-">
                  <c:v>948.28571428571433</c:v>
                </c:pt>
                <c:pt idx="180" formatCode="_-* #,##0.0_-;\-* #,##0.0_-;_-* &quot;-&quot;??_-;_-@_-">
                  <c:v>959.14285714285711</c:v>
                </c:pt>
                <c:pt idx="181" formatCode="_-* #,##0.0_-;\-* #,##0.0_-;_-* &quot;-&quot;??_-;_-@_-">
                  <c:v>940.57142857142856</c:v>
                </c:pt>
                <c:pt idx="182" formatCode="_-* #,##0.0_-;\-* #,##0.0_-;_-* &quot;-&quot;??_-;_-@_-">
                  <c:v>959.71428571428567</c:v>
                </c:pt>
                <c:pt idx="183" formatCode="_-* #,##0.0_-;\-* #,##0.0_-;_-* &quot;-&quot;??_-;_-@_-">
                  <c:v>959.42857142857144</c:v>
                </c:pt>
                <c:pt idx="184" formatCode="_-* #,##0.0_-;\-* #,##0.0_-;_-* &quot;-&quot;??_-;_-@_-">
                  <c:v>971</c:v>
                </c:pt>
                <c:pt idx="185" formatCode="_-* #,##0.0_-;\-* #,##0.0_-;_-* &quot;-&quot;??_-;_-@_-">
                  <c:v>967</c:v>
                </c:pt>
                <c:pt idx="186" formatCode="_-* #,##0.0_-;\-* #,##0.0_-;_-* &quot;-&quot;??_-;_-@_-">
                  <c:v>955.71428571428567</c:v>
                </c:pt>
                <c:pt idx="187" formatCode="_-* #,##0.0_-;\-* #,##0.0_-;_-* &quot;-&quot;??_-;_-@_-">
                  <c:v>943.28571428571433</c:v>
                </c:pt>
                <c:pt idx="188" formatCode="_-* #,##0.0_-;\-* #,##0.0_-;_-* &quot;-&quot;??_-;_-@_-">
                  <c:v>950.14285714285711</c:v>
                </c:pt>
                <c:pt idx="189" formatCode="_-* #,##0.0_-;\-* #,##0.0_-;_-* &quot;-&quot;??_-;_-@_-">
                  <c:v>978.42857142857144</c:v>
                </c:pt>
                <c:pt idx="190" formatCode="_-* #,##0.0_-;\-* #,##0.0_-;_-* &quot;-&quot;??_-;_-@_-">
                  <c:v>975.71428571428567</c:v>
                </c:pt>
                <c:pt idx="191" formatCode="_-* #,##0.0_-;\-* #,##0.0_-;_-* &quot;-&quot;??_-;_-@_-">
                  <c:v>960.14285714285711</c:v>
                </c:pt>
                <c:pt idx="192" formatCode="_-* #,##0.0_-;\-* #,##0.0_-;_-* &quot;-&quot;??_-;_-@_-">
                  <c:v>920.14285714285711</c:v>
                </c:pt>
                <c:pt idx="193" formatCode="_-* #,##0.0_-;\-* #,##0.0_-;_-* &quot;-&quot;??_-;_-@_-">
                  <c:v>915.28571428571433</c:v>
                </c:pt>
                <c:pt idx="194" formatCode="_-* #,##0.0_-;\-* #,##0.0_-;_-* &quot;-&quot;??_-;_-@_-">
                  <c:v>855.14285714285711</c:v>
                </c:pt>
                <c:pt idx="195" formatCode="_-* #,##0.0_-;\-* #,##0.0_-;_-* &quot;-&quot;??_-;_-@_-">
                  <c:v>850</c:v>
                </c:pt>
                <c:pt idx="196" formatCode="_-* #,##0.0_-;\-* #,##0.0_-;_-* &quot;-&quot;??_-;_-@_-">
                  <c:v>786.14285714285711</c:v>
                </c:pt>
                <c:pt idx="197" formatCode="_-* #,##0.0_-;\-* #,##0.0_-;_-* &quot;-&quot;??_-;_-@_-">
                  <c:v>778</c:v>
                </c:pt>
                <c:pt idx="198" formatCode="_-* #,##0.0_-;\-* #,##0.0_-;_-* &quot;-&quot;??_-;_-@_-">
                  <c:v>740.85714285714289</c:v>
                </c:pt>
                <c:pt idx="199" formatCode="_-* #,##0.0_-;\-* #,##0.0_-;_-* &quot;-&quot;??_-;_-@_-">
                  <c:v>749.71428571428567</c:v>
                </c:pt>
                <c:pt idx="200" formatCode="_-* #,##0.0_-;\-* #,##0.0_-;_-* &quot;-&quot;??_-;_-@_-">
                  <c:v>772.85714285714289</c:v>
                </c:pt>
                <c:pt idx="201" formatCode="_-* #,##0.0_-;\-* #,##0.0_-;_-* &quot;-&quot;??_-;_-@_-">
                  <c:v>802.57142857142856</c:v>
                </c:pt>
                <c:pt idx="202" formatCode="_-* #,##0.0_-;\-* #,##0.0_-;_-* &quot;-&quot;??_-;_-@_-">
                  <c:v>803.71428571428567</c:v>
                </c:pt>
                <c:pt idx="203" formatCode="_-* #,##0.0_-;\-* #,##0.0_-;_-* &quot;-&quot;??_-;_-@_-">
                  <c:v>862.14285714285711</c:v>
                </c:pt>
                <c:pt idx="204" formatCode="_-* #,##0.0_-;\-* #,##0.0_-;_-* &quot;-&quot;??_-;_-@_-">
                  <c:v>890.85714285714289</c:v>
                </c:pt>
                <c:pt idx="205" formatCode="_-* #,##0.0_-;\-* #,##0.0_-;_-* &quot;-&quot;??_-;_-@_-">
                  <c:v>890.85714285714289</c:v>
                </c:pt>
                <c:pt idx="206" formatCode="_-* #,##0.0_-;\-* #,##0.0_-;_-* &quot;-&quot;??_-;_-@_-">
                  <c:v>879</c:v>
                </c:pt>
                <c:pt idx="207" formatCode="_-* #,##0.0_-;\-* #,##0.0_-;_-* &quot;-&quot;??_-;_-@_-">
                  <c:v>867.71428571428567</c:v>
                </c:pt>
                <c:pt idx="208" formatCode="_-* #,##0.0_-;\-* #,##0.0_-;_-* &quot;-&quot;??_-;_-@_-">
                  <c:v>855.28571428571433</c:v>
                </c:pt>
                <c:pt idx="209" formatCode="_-* #,##0.0_-;\-* #,##0.0_-;_-* &quot;-&quot;??_-;_-@_-">
                  <c:v>839.85714285714289</c:v>
                </c:pt>
                <c:pt idx="210" formatCode="_-* #,##0.0_-;\-* #,##0.0_-;_-* &quot;-&quot;??_-;_-@_-">
                  <c:v>824.28571428571433</c:v>
                </c:pt>
                <c:pt idx="211" formatCode="_-* #,##0.0_-;\-* #,##0.0_-;_-* &quot;-&quot;??_-;_-@_-">
                  <c:v>811.14285714285711</c:v>
                </c:pt>
                <c:pt idx="212" formatCode="_-* #,##0.0_-;\-* #,##0.0_-;_-* &quot;-&quot;??_-;_-@_-">
                  <c:v>816.85714285714289</c:v>
                </c:pt>
                <c:pt idx="213" formatCode="_-* #,##0.0_-;\-* #,##0.0_-;_-* &quot;-&quot;??_-;_-@_-">
                  <c:v>816</c:v>
                </c:pt>
                <c:pt idx="214" formatCode="_-* #,##0.0_-;\-* #,##0.0_-;_-* &quot;-&quot;??_-;_-@_-">
                  <c:v>820.57142857142856</c:v>
                </c:pt>
                <c:pt idx="215" formatCode="_-* #,##0.0_-;\-* #,##0.0_-;_-* &quot;-&quot;??_-;_-@_-">
                  <c:v>855.28571428571433</c:v>
                </c:pt>
                <c:pt idx="216" formatCode="_-* #,##0.0_-;\-* #,##0.0_-;_-* &quot;-&quot;??_-;_-@_-">
                  <c:v>860.85714285714289</c:v>
                </c:pt>
                <c:pt idx="217" formatCode="_-* #,##0.0_-;\-* #,##0.0_-;_-* &quot;-&quot;??_-;_-@_-">
                  <c:v>863.28571428571433</c:v>
                </c:pt>
                <c:pt idx="218" formatCode="_-* #,##0.0_-;\-* #,##0.0_-;_-* &quot;-&quot;??_-;_-@_-">
                  <c:v>865.14285714285711</c:v>
                </c:pt>
                <c:pt idx="219" formatCode="_-* #,##0.0_-;\-* #,##0.0_-;_-* &quot;-&quot;??_-;_-@_-">
                  <c:v>837.42857142857144</c:v>
                </c:pt>
                <c:pt idx="220" formatCode="_-* #,##0.0_-;\-* #,##0.0_-;_-* &quot;-&quot;??_-;_-@_-">
                  <c:v>822.57142857142856</c:v>
                </c:pt>
                <c:pt idx="221" formatCode="_-* #,##0.0_-;\-* #,##0.0_-;_-* &quot;-&quot;??_-;_-@_-">
                  <c:v>797.42857142857144</c:v>
                </c:pt>
                <c:pt idx="222" formatCode="_-* #,##0.0_-;\-* #,##0.0_-;_-* &quot;-&quot;??_-;_-@_-">
                  <c:v>749</c:v>
                </c:pt>
                <c:pt idx="223" formatCode="_-* #,##0.0_-;\-* #,##0.0_-;_-* &quot;-&quot;??_-;_-@_-">
                  <c:v>697.85714285714289</c:v>
                </c:pt>
                <c:pt idx="224" formatCode="_-* #,##0.0_-;\-* #,##0.0_-;_-* &quot;-&quot;??_-;_-@_-">
                  <c:v>632.14285714285711</c:v>
                </c:pt>
                <c:pt idx="225" formatCode="_-* #,##0.0_-;\-* #,##0.0_-;_-* &quot;-&quot;??_-;_-@_-">
                  <c:v>575.71428571428567</c:v>
                </c:pt>
                <c:pt idx="226" formatCode="_-* #,##0.0_-;\-* #,##0.0_-;_-* &quot;-&quot;??_-;_-@_-">
                  <c:v>531.71428571428567</c:v>
                </c:pt>
                <c:pt idx="227" formatCode="_-* #,##0.0_-;\-* #,##0.0_-;_-* &quot;-&quot;??_-;_-@_-">
                  <c:v>526.28571428571433</c:v>
                </c:pt>
                <c:pt idx="228" formatCode="_-* #,##0.0_-;\-* #,##0.0_-;_-* &quot;-&quot;??_-;_-@_-">
                  <c:v>523.42857142857144</c:v>
                </c:pt>
                <c:pt idx="229" formatCode="_-* #,##0.0_-;\-* #,##0.0_-;_-* &quot;-&quot;??_-;_-@_-">
                  <c:v>524.57142857142856</c:v>
                </c:pt>
                <c:pt idx="230" formatCode="_-* #,##0.0_-;\-* #,##0.0_-;_-* &quot;-&quot;??_-;_-@_-">
                  <c:v>548.71428571428567</c:v>
                </c:pt>
                <c:pt idx="231" formatCode="_-* #,##0.0_-;\-* #,##0.0_-;_-* &quot;-&quot;??_-;_-@_-">
                  <c:v>548.57142857142856</c:v>
                </c:pt>
                <c:pt idx="232" formatCode="_-* #,##0.0_-;\-* #,##0.0_-;_-* &quot;-&quot;??_-;_-@_-">
                  <c:v>552</c:v>
                </c:pt>
                <c:pt idx="233" formatCode="_-* #,##0.0_-;\-* #,##0.0_-;_-* &quot;-&quot;??_-;_-@_-">
                  <c:v>578.28571428571433</c:v>
                </c:pt>
                <c:pt idx="234" formatCode="_-* #,##0.0_-;\-* #,##0.0_-;_-* &quot;-&quot;??_-;_-@_-">
                  <c:v>587.42857142857144</c:v>
                </c:pt>
                <c:pt idx="235" formatCode="_-* #,##0.0_-;\-* #,##0.0_-;_-* &quot;-&quot;??_-;_-@_-">
                  <c:v>603.14285714285711</c:v>
                </c:pt>
                <c:pt idx="236" formatCode="_-* #,##0.0_-;\-* #,##0.0_-;_-* &quot;-&quot;??_-;_-@_-">
                  <c:v>550.85714285714289</c:v>
                </c:pt>
                <c:pt idx="237" formatCode="_-* #,##0.0_-;\-* #,##0.0_-;_-* &quot;-&quot;??_-;_-@_-">
                  <c:v>458</c:v>
                </c:pt>
                <c:pt idx="238" formatCode="_-* #,##0.0_-;\-* #,##0.0_-;_-* &quot;-&quot;??_-;_-@_-">
                  <c:v>465.28571428571428</c:v>
                </c:pt>
                <c:pt idx="239" formatCode="_-* #,##0.0_-;\-* #,##0.0_-;_-* &quot;-&quot;??_-;_-@_-">
                  <c:v>469.57142857142856</c:v>
                </c:pt>
                <c:pt idx="240" formatCode="_-* #,##0.0_-;\-* #,##0.0_-;_-* &quot;-&quot;??_-;_-@_-">
                  <c:v>486.28571428571428</c:v>
                </c:pt>
                <c:pt idx="241" formatCode="_-* #,##0.0_-;\-* #,##0.0_-;_-* &quot;-&quot;??_-;_-@_-">
                  <c:v>491.42857142857144</c:v>
                </c:pt>
                <c:pt idx="242" formatCode="_-* #,##0.0_-;\-* #,##0.0_-;_-* &quot;-&quot;??_-;_-@_-">
                  <c:v>486.57142857142856</c:v>
                </c:pt>
                <c:pt idx="243" formatCode="_-* #,##0.0_-;\-* #,##0.0_-;_-* &quot;-&quot;??_-;_-@_-">
                  <c:v>549.57142857142856</c:v>
                </c:pt>
                <c:pt idx="244" formatCode="_-* #,##0.0_-;\-* #,##0.0_-;_-* &quot;-&quot;??_-;_-@_-">
                  <c:v>622.28571428571433</c:v>
                </c:pt>
                <c:pt idx="245" formatCode="_-* #,##0.0_-;\-* #,##0.0_-;_-* &quot;-&quot;??_-;_-@_-">
                  <c:v>582</c:v>
                </c:pt>
                <c:pt idx="246" formatCode="_-* #,##0.0_-;\-* #,##0.0_-;_-* &quot;-&quot;??_-;_-@_-">
                  <c:v>603.14285714285711</c:v>
                </c:pt>
                <c:pt idx="247" formatCode="_-* #,##0.0_-;\-* #,##0.0_-;_-* &quot;-&quot;??_-;_-@_-">
                  <c:v>610.85714285714289</c:v>
                </c:pt>
                <c:pt idx="248" formatCode="_-* #,##0.0_-;\-* #,##0.0_-;_-* &quot;-&quot;??_-;_-@_-">
                  <c:v>626</c:v>
                </c:pt>
                <c:pt idx="249" formatCode="_-* #,##0.0_-;\-* #,##0.0_-;_-* &quot;-&quot;??_-;_-@_-">
                  <c:v>617.42857142857144</c:v>
                </c:pt>
                <c:pt idx="250" formatCode="_-* #,##0.0_-;\-* #,##0.0_-;_-* &quot;-&quot;??_-;_-@_-">
                  <c:v>589</c:v>
                </c:pt>
                <c:pt idx="251" formatCode="_-* #,##0.0_-;\-* #,##0.0_-;_-* &quot;-&quot;??_-;_-@_-">
                  <c:v>594.42857142857144</c:v>
                </c:pt>
                <c:pt idx="252" formatCode="_-* #,##0.0_-;\-* #,##0.0_-;_-* &quot;-&quot;??_-;_-@_-">
                  <c:v>628</c:v>
                </c:pt>
                <c:pt idx="253" formatCode="_-* #,##0.0_-;\-* #,##0.0_-;_-* &quot;-&quot;??_-;_-@_-">
                  <c:v>597.71428571428567</c:v>
                </c:pt>
                <c:pt idx="254" formatCode="_-* #,##0.0_-;\-* #,##0.0_-;_-* &quot;-&quot;??_-;_-@_-">
                  <c:v>572.28571428571433</c:v>
                </c:pt>
                <c:pt idx="255" formatCode="_-* #,##0.0_-;\-* #,##0.0_-;_-* &quot;-&quot;??_-;_-@_-">
                  <c:v>546.14285714285711</c:v>
                </c:pt>
                <c:pt idx="256" formatCode="_-* #,##0.0_-;\-* #,##0.0_-;_-* &quot;-&quot;??_-;_-@_-">
                  <c:v>552.85714285714289</c:v>
                </c:pt>
                <c:pt idx="257" formatCode="_-* #,##0.0_-;\-* #,##0.0_-;_-* &quot;-&quot;??_-;_-@_-">
                  <c:v>550.14285714285711</c:v>
                </c:pt>
                <c:pt idx="258" formatCode="_-* #,##0.0_-;\-* #,##0.0_-;_-* &quot;-&quot;??_-;_-@_-">
                  <c:v>550.57142857142856</c:v>
                </c:pt>
                <c:pt idx="259" formatCode="_-* #,##0.0_-;\-* #,##0.0_-;_-* &quot;-&quot;??_-;_-@_-">
                  <c:v>557.14285714285711</c:v>
                </c:pt>
                <c:pt idx="260" formatCode="_-* #,##0.0_-;\-* #,##0.0_-;_-* &quot;-&quot;??_-;_-@_-">
                  <c:v>523.71428571428567</c:v>
                </c:pt>
                <c:pt idx="261" formatCode="_-* #,##0.0_-;\-* #,##0.0_-;_-* &quot;-&quot;??_-;_-@_-">
                  <c:v>518.71428571428567</c:v>
                </c:pt>
                <c:pt idx="262" formatCode="_-* #,##0.0_-;\-* #,##0.0_-;_-* &quot;-&quot;??_-;_-@_-">
                  <c:v>512.28571428571433</c:v>
                </c:pt>
                <c:pt idx="263" formatCode="_-* #,##0.0_-;\-* #,##0.0_-;_-* &quot;-&quot;??_-;_-@_-">
                  <c:v>497.57142857142856</c:v>
                </c:pt>
                <c:pt idx="264" formatCode="_-* #,##0.0_-;\-* #,##0.0_-;_-* &quot;-&quot;??_-;_-@_-">
                  <c:v>475.14285714285717</c:v>
                </c:pt>
                <c:pt idx="265" formatCode="_-* #,##0.0_-;\-* #,##0.0_-;_-* &quot;-&quot;??_-;_-@_-">
                  <c:v>463</c:v>
                </c:pt>
                <c:pt idx="266" formatCode="_-* #,##0.0_-;\-* #,##0.0_-;_-* &quot;-&quot;??_-;_-@_-">
                  <c:v>452</c:v>
                </c:pt>
                <c:pt idx="267" formatCode="_-* #,##0.0_-;\-* #,##0.0_-;_-* &quot;-&quot;??_-;_-@_-">
                  <c:v>481.71428571428572</c:v>
                </c:pt>
                <c:pt idx="268" formatCode="_-* #,##0.0_-;\-* #,##0.0_-;_-* &quot;-&quot;??_-;_-@_-">
                  <c:v>480</c:v>
                </c:pt>
                <c:pt idx="269" formatCode="_-* #,##0.0_-;\-* #,##0.0_-;_-* &quot;-&quot;??_-;_-@_-">
                  <c:v>506.57142857142856</c:v>
                </c:pt>
                <c:pt idx="270" formatCode="_-* #,##0.0_-;\-* #,##0.0_-;_-* &quot;-&quot;??_-;_-@_-">
                  <c:v>524.71428571428567</c:v>
                </c:pt>
                <c:pt idx="271" formatCode="_-* #,##0.0_-;\-* #,##0.0_-;_-* &quot;-&quot;??_-;_-@_-">
                  <c:v>535.14285714285711</c:v>
                </c:pt>
                <c:pt idx="272" formatCode="_-* #,##0.0_-;\-* #,##0.0_-;_-* &quot;-&quot;??_-;_-@_-">
                  <c:v>456.42857142857144</c:v>
                </c:pt>
                <c:pt idx="273" formatCode="_-* #,##0.0_-;\-* #,##0.0_-;_-* &quot;-&quot;??_-;_-@_-">
                  <c:v>473.28571428571428</c:v>
                </c:pt>
                <c:pt idx="274" formatCode="_-* #,##0.0_-;\-* #,##0.0_-;_-* &quot;-&quot;??_-;_-@_-">
                  <c:v>486.85714285714283</c:v>
                </c:pt>
                <c:pt idx="275" formatCode="_-* #,##0.0_-;\-* #,##0.0_-;_-* &quot;-&quot;??_-;_-@_-">
                  <c:v>505.42857142857144</c:v>
                </c:pt>
                <c:pt idx="276" formatCode="_-* #,##0.0_-;\-* #,##0.0_-;_-* &quot;-&quot;??_-;_-@_-">
                  <c:v>477.28571428571428</c:v>
                </c:pt>
                <c:pt idx="277" formatCode="_-* #,##0.0_-;\-* #,##0.0_-;_-* &quot;-&quot;??_-;_-@_-">
                  <c:v>458.85714285714283</c:v>
                </c:pt>
                <c:pt idx="278" formatCode="_-* #,##0.0_-;\-* #,##0.0_-;_-* &quot;-&quot;??_-;_-@_-">
                  <c:v>469</c:v>
                </c:pt>
                <c:pt idx="279" formatCode="_-* #,##0.0_-;\-* #,##0.0_-;_-* &quot;-&quot;??_-;_-@_-">
                  <c:v>546.85714285714289</c:v>
                </c:pt>
                <c:pt idx="280" formatCode="_-* #,##0.0_-;\-* #,##0.0_-;_-* &quot;-&quot;??_-;_-@_-">
                  <c:v>515.57142857142856</c:v>
                </c:pt>
                <c:pt idx="281" formatCode="_-* #,##0.0_-;\-* #,##0.0_-;_-* &quot;-&quot;??_-;_-@_-">
                  <c:v>490.42857142857144</c:v>
                </c:pt>
                <c:pt idx="282" formatCode="_-* #,##0.0_-;\-* #,##0.0_-;_-* &quot;-&quot;??_-;_-@_-">
                  <c:v>478.71428571428572</c:v>
                </c:pt>
                <c:pt idx="283" formatCode="_-* #,##0.0_-;\-* #,##0.0_-;_-* &quot;-&quot;??_-;_-@_-">
                  <c:v>479.57142857142856</c:v>
                </c:pt>
                <c:pt idx="284" formatCode="_-* #,##0.0_-;\-* #,##0.0_-;_-* &quot;-&quot;??_-;_-@_-">
                  <c:v>470.14285714285717</c:v>
                </c:pt>
                <c:pt idx="285" formatCode="_-* #,##0.0_-;\-* #,##0.0_-;_-* &quot;-&quot;??_-;_-@_-">
                  <c:v>409</c:v>
                </c:pt>
                <c:pt idx="286" formatCode="_-* #,##0.0_-;\-* #,##0.0_-;_-* &quot;-&quot;??_-;_-@_-">
                  <c:v>399.28571428571428</c:v>
                </c:pt>
                <c:pt idx="287" formatCode="_-* #,##0.0_-;\-* #,##0.0_-;_-* &quot;-&quot;??_-;_-@_-">
                  <c:v>413.71428571428572</c:v>
                </c:pt>
                <c:pt idx="288" formatCode="_-* #,##0.0_-;\-* #,##0.0_-;_-* &quot;-&quot;??_-;_-@_-">
                  <c:v>425.28571428571428</c:v>
                </c:pt>
                <c:pt idx="289" formatCode="_-* #,##0.0_-;\-* #,##0.0_-;_-* &quot;-&quot;??_-;_-@_-">
                  <c:v>412.57142857142856</c:v>
                </c:pt>
                <c:pt idx="290" formatCode="_-* #,##0.0_-;\-* #,##0.0_-;_-* &quot;-&quot;??_-;_-@_-">
                  <c:v>420.14285714285717</c:v>
                </c:pt>
                <c:pt idx="291" formatCode="_-* #,##0.0_-;\-* #,##0.0_-;_-* &quot;-&quot;??_-;_-@_-">
                  <c:v>426.42857142857144</c:v>
                </c:pt>
                <c:pt idx="292" formatCode="_-* #,##0.0_-;\-* #,##0.0_-;_-* &quot;-&quot;??_-;_-@_-">
                  <c:v>501.85714285714283</c:v>
                </c:pt>
                <c:pt idx="293" formatCode="_-* #,##0.0_-;\-* #,##0.0_-;_-* &quot;-&quot;??_-;_-@_-">
                  <c:v>505.85714285714283</c:v>
                </c:pt>
                <c:pt idx="294" formatCode="_-* #,##0.0_-;\-* #,##0.0_-;_-* &quot;-&quot;??_-;_-@_-">
                  <c:v>513.14285714285711</c:v>
                </c:pt>
                <c:pt idx="295" formatCode="_-* #,##0.0_-;\-* #,##0.0_-;_-* &quot;-&quot;??_-;_-@_-">
                  <c:v>503.14285714285717</c:v>
                </c:pt>
                <c:pt idx="296" formatCode="_-* #,##0.0_-;\-* #,##0.0_-;_-* &quot;-&quot;??_-;_-@_-">
                  <c:v>505.85714285714283</c:v>
                </c:pt>
                <c:pt idx="297" formatCode="_-* #,##0.0_-;\-* #,##0.0_-;_-* &quot;-&quot;??_-;_-@_-">
                  <c:v>498</c:v>
                </c:pt>
                <c:pt idx="298" formatCode="_-* #,##0.0_-;\-* #,##0.0_-;_-* &quot;-&quot;??_-;_-@_-">
                  <c:v>504.28571428571428</c:v>
                </c:pt>
                <c:pt idx="299" formatCode="_-* #,##0.0_-;\-* #,##0.0_-;_-* &quot;-&quot;??_-;_-@_-">
                  <c:v>493.28571428571428</c:v>
                </c:pt>
                <c:pt idx="300" formatCode="_-* #,##0.0_-;\-* #,##0.0_-;_-* &quot;-&quot;??_-;_-@_-">
                  <c:v>484.42857142857144</c:v>
                </c:pt>
                <c:pt idx="301" formatCode="_-* #,##0.0_-;\-* #,##0.0_-;_-* &quot;-&quot;??_-;_-@_-">
                  <c:v>475.14285714285717</c:v>
                </c:pt>
                <c:pt idx="302" formatCode="_-* #,##0.0_-;\-* #,##0.0_-;_-* &quot;-&quot;??_-;_-@_-">
                  <c:v>493.42857142857144</c:v>
                </c:pt>
                <c:pt idx="303" formatCode="_-* #,##0.0_-;\-* #,##0.0_-;_-* &quot;-&quot;??_-;_-@_-">
                  <c:v>505.71428571428572</c:v>
                </c:pt>
                <c:pt idx="304" formatCode="_-* #,##0.0_-;\-* #,##0.0_-;_-* &quot;-&quot;??_-;_-@_-">
                  <c:v>510.14285714285717</c:v>
                </c:pt>
                <c:pt idx="305" formatCode="_-* #,##0.0_-;\-* #,##0.0_-;_-* &quot;-&quot;??_-;_-@_-">
                  <c:v>504.42857142857144</c:v>
                </c:pt>
                <c:pt idx="306" formatCode="_-* #,##0.0_-;\-* #,##0.0_-;_-* &quot;-&quot;??_-;_-@_-">
                  <c:v>490.28571428571428</c:v>
                </c:pt>
                <c:pt idx="307" formatCode="_-* #,##0.0_-;\-* #,##0.0_-;_-* &quot;-&quot;??_-;_-@_-">
                  <c:v>490.28571428571428</c:v>
                </c:pt>
                <c:pt idx="308" formatCode="_-* #,##0.0_-;\-* #,##0.0_-;_-* &quot;-&quot;??_-;_-@_-">
                  <c:v>493.85714285714283</c:v>
                </c:pt>
                <c:pt idx="309" formatCode="_-* #,##0.0_-;\-* #,##0.0_-;_-* &quot;-&quot;??_-;_-@_-">
                  <c:v>453.57142857142856</c:v>
                </c:pt>
                <c:pt idx="310" formatCode="_-* #,##0.0_-;\-* #,##0.0_-;_-* &quot;-&quot;??_-;_-@_-">
                  <c:v>454.57142857142856</c:v>
                </c:pt>
                <c:pt idx="311" formatCode="_-* #,##0.0_-;\-* #,##0.0_-;_-* &quot;-&quot;??_-;_-@_-">
                  <c:v>450.28571428571428</c:v>
                </c:pt>
                <c:pt idx="312" formatCode="_-* #,##0.0_-;\-* #,##0.0_-;_-* &quot;-&quot;??_-;_-@_-">
                  <c:v>451</c:v>
                </c:pt>
                <c:pt idx="313" formatCode="_-* #,##0.0_-;\-* #,##0.0_-;_-* &quot;-&quot;??_-;_-@_-">
                  <c:v>469</c:v>
                </c:pt>
                <c:pt idx="314" formatCode="_-* #,##0.0_-;\-* #,##0.0_-;_-* &quot;-&quot;??_-;_-@_-">
                  <c:v>484.42857142857144</c:v>
                </c:pt>
                <c:pt idx="315" formatCode="_-* #,##0.0_-;\-* #,##0.0_-;_-* &quot;-&quot;??_-;_-@_-">
                  <c:v>475.57142857142856</c:v>
                </c:pt>
                <c:pt idx="316" formatCode="_-* #,##0.0_-;\-* #,##0.0_-;_-* &quot;-&quot;??_-;_-@_-">
                  <c:v>522</c:v>
                </c:pt>
                <c:pt idx="317" formatCode="_-* #,##0.0_-;\-* #,##0.0_-;_-* &quot;-&quot;??_-;_-@_-">
                  <c:v>508.42857142857144</c:v>
                </c:pt>
                <c:pt idx="318" formatCode="_-* #,##0.0_-;\-* #,##0.0_-;_-* &quot;-&quot;??_-;_-@_-">
                  <c:v>511.14285714285717</c:v>
                </c:pt>
                <c:pt idx="319" formatCode="_-* #,##0.0_-;\-* #,##0.0_-;_-* &quot;-&quot;??_-;_-@_-">
                  <c:v>516</c:v>
                </c:pt>
                <c:pt idx="320" formatCode="_-* #,##0.0_-;\-* #,##0.0_-;_-* &quot;-&quot;??_-;_-@_-">
                  <c:v>526</c:v>
                </c:pt>
                <c:pt idx="321" formatCode="_-* #,##0.0_-;\-* #,##0.0_-;_-* &quot;-&quot;??_-;_-@_-">
                  <c:v>520.71428571428567</c:v>
                </c:pt>
                <c:pt idx="322" formatCode="_-* #,##0.0_-;\-* #,##0.0_-;_-* &quot;-&quot;??_-;_-@_-">
                  <c:v>529.14285714285711</c:v>
                </c:pt>
                <c:pt idx="323" formatCode="_-* #,##0.0_-;\-* #,##0.0_-;_-* &quot;-&quot;??_-;_-@_-">
                  <c:v>528.71428571428567</c:v>
                </c:pt>
                <c:pt idx="324" formatCode="_-* #,##0.0_-;\-* #,##0.0_-;_-* &quot;-&quot;??_-;_-@_-">
                  <c:v>530.85714285714289</c:v>
                </c:pt>
                <c:pt idx="325" formatCode="_-* #,##0.0_-;\-* #,##0.0_-;_-* &quot;-&quot;??_-;_-@_-">
                  <c:v>530.28571428571433</c:v>
                </c:pt>
                <c:pt idx="326" formatCode="_-* #,##0.0_-;\-* #,##0.0_-;_-* &quot;-&quot;??_-;_-@_-">
                  <c:v>529.85714285714289</c:v>
                </c:pt>
                <c:pt idx="327" formatCode="_-* #,##0.0_-;\-* #,##0.0_-;_-* &quot;-&quot;??_-;_-@_-">
                  <c:v>511.14285714285717</c:v>
                </c:pt>
                <c:pt idx="328" formatCode="_-* #,##0.0_-;\-* #,##0.0_-;_-* &quot;-&quot;??_-;_-@_-">
                  <c:v>518.42857142857144</c:v>
                </c:pt>
                <c:pt idx="329" formatCode="_-* #,##0.0_-;\-* #,##0.0_-;_-* &quot;-&quot;??_-;_-@_-">
                  <c:v>510.85714285714283</c:v>
                </c:pt>
                <c:pt idx="330" formatCode="_-* #,##0.0_-;\-* #,##0.0_-;_-* &quot;-&quot;??_-;_-@_-">
                  <c:v>496</c:v>
                </c:pt>
                <c:pt idx="331" formatCode="_-* #,##0.0_-;\-* #,##0.0_-;_-* &quot;-&quot;??_-;_-@_-">
                  <c:v>490.85714285714283</c:v>
                </c:pt>
                <c:pt idx="332" formatCode="_-* #,##0.0_-;\-* #,##0.0_-;_-* &quot;-&quot;??_-;_-@_-">
                  <c:v>489.71428571428572</c:v>
                </c:pt>
                <c:pt idx="333" formatCode="_-* #,##0.0_-;\-* #,##0.0_-;_-* &quot;-&quot;??_-;_-@_-">
                  <c:v>487.14285714285717</c:v>
                </c:pt>
                <c:pt idx="334" formatCode="_-* #,##0.0_-;\-* #,##0.0_-;_-* &quot;-&quot;??_-;_-@_-">
                  <c:v>500.85714285714283</c:v>
                </c:pt>
                <c:pt idx="335" formatCode="_-* #,##0.0_-;\-* #,##0.0_-;_-* &quot;-&quot;??_-;_-@_-">
                  <c:v>494.28571428571428</c:v>
                </c:pt>
                <c:pt idx="336" formatCode="_-* #,##0.0_-;\-* #,##0.0_-;_-* &quot;-&quot;??_-;_-@_-">
                  <c:v>497.85714285714283</c:v>
                </c:pt>
                <c:pt idx="337" formatCode="_-* #,##0.0_-;\-* #,##0.0_-;_-* &quot;-&quot;??_-;_-@_-">
                  <c:v>433.28571428571428</c:v>
                </c:pt>
                <c:pt idx="338" formatCode="_-* #,##0.0_-;\-* #,##0.0_-;_-* &quot;-&quot;??_-;_-@_-">
                  <c:v>369.85714285714283</c:v>
                </c:pt>
                <c:pt idx="339" formatCode="_-* #,##0.0_-;\-* #,##0.0_-;_-* &quot;-&quot;??_-;_-@_-">
                  <c:v>368.85714285714283</c:v>
                </c:pt>
                <c:pt idx="340" formatCode="_-* #,##0.0_-;\-* #,##0.0_-;_-* &quot;-&quot;??_-;_-@_-">
                  <c:v>370.57142857142856</c:v>
                </c:pt>
                <c:pt idx="341" formatCode="_-* #,##0.0_-;\-* #,##0.0_-;_-* &quot;-&quot;??_-;_-@_-">
                  <c:v>377.42857142857144</c:v>
                </c:pt>
                <c:pt idx="342" formatCode="_-* #,##0.0_-;\-* #,##0.0_-;_-* &quot;-&quot;??_-;_-@_-">
                  <c:v>396.85714285714283</c:v>
                </c:pt>
                <c:pt idx="343" formatCode="_-* #,##0.0_-;\-* #,##0.0_-;_-* &quot;-&quot;??_-;_-@_-">
                  <c:v>428.57142857142856</c:v>
                </c:pt>
                <c:pt idx="344" formatCode="_-* #,##0.0_-;\-* #,##0.0_-;_-* &quot;-&quot;??_-;_-@_-">
                  <c:v>433</c:v>
                </c:pt>
                <c:pt idx="345" formatCode="_-* #,##0.0_-;\-* #,##0.0_-;_-* &quot;-&quot;??_-;_-@_-">
                  <c:v>435.71428571428572</c:v>
                </c:pt>
                <c:pt idx="346" formatCode="_-* #,##0.0_-;\-* #,##0.0_-;_-* &quot;-&quot;??_-;_-@_-">
                  <c:v>437.85714285714283</c:v>
                </c:pt>
                <c:pt idx="347" formatCode="_-* #,##0.0_-;\-* #,##0.0_-;_-* &quot;-&quot;??_-;_-@_-">
                  <c:v>450.42857142857144</c:v>
                </c:pt>
                <c:pt idx="348" formatCode="_-* #,##0.0_-;\-* #,##0.0_-;_-* &quot;-&quot;??_-;_-@_-">
                  <c:v>457.71428571428572</c:v>
                </c:pt>
                <c:pt idx="349" formatCode="_-* #,##0.0_-;\-* #,##0.0_-;_-* &quot;-&quot;??_-;_-@_-">
                  <c:v>458.71428571428572</c:v>
                </c:pt>
                <c:pt idx="350" formatCode="_-* #,##0.0_-;\-* #,##0.0_-;_-* &quot;-&quot;??_-;_-@_-">
                  <c:v>462.57142857142856</c:v>
                </c:pt>
                <c:pt idx="351" formatCode="_-* #,##0.0_-;\-* #,##0.0_-;_-* &quot;-&quot;??_-;_-@_-">
                  <c:v>574.71428571428567</c:v>
                </c:pt>
                <c:pt idx="352" formatCode="_-* #,##0.0_-;\-* #,##0.0_-;_-* &quot;-&quot;??_-;_-@_-">
                  <c:v>710.71428571428567</c:v>
                </c:pt>
                <c:pt idx="353" formatCode="_-* #,##0.0_-;\-* #,##0.0_-;_-* &quot;-&quot;??_-;_-@_-">
                  <c:v>734.14285714285711</c:v>
                </c:pt>
                <c:pt idx="354" formatCode="_-* #,##0.0_-;\-* #,##0.0_-;_-* &quot;-&quot;??_-;_-@_-">
                  <c:v>734</c:v>
                </c:pt>
                <c:pt idx="355" formatCode="_-* #,##0.0_-;\-* #,##0.0_-;_-* &quot;-&quot;??_-;_-@_-">
                  <c:v>758.14285714285711</c:v>
                </c:pt>
                <c:pt idx="356" formatCode="_-* #,##0.0_-;\-* #,##0.0_-;_-* &quot;-&quot;??_-;_-@_-">
                  <c:v>783</c:v>
                </c:pt>
                <c:pt idx="357" formatCode="_-* #,##0.0_-;\-* #,##0.0_-;_-* &quot;-&quot;??_-;_-@_-">
                  <c:v>794.42857142857144</c:v>
                </c:pt>
                <c:pt idx="358" formatCode="_-* #,##0.0_-;\-* #,##0.0_-;_-* &quot;-&quot;??_-;_-@_-">
                  <c:v>814.42857142857144</c:v>
                </c:pt>
                <c:pt idx="359" formatCode="_-* #,##0.0_-;\-* #,##0.0_-;_-* &quot;-&quot;??_-;_-@_-">
                  <c:v>808.57142857142856</c:v>
                </c:pt>
                <c:pt idx="360" formatCode="_-* #,##0.0_-;\-* #,##0.0_-;_-* &quot;-&quot;??_-;_-@_-">
                  <c:v>804</c:v>
                </c:pt>
                <c:pt idx="361" formatCode="_-* #,##0.0_-;\-* #,##0.0_-;_-* &quot;-&quot;??_-;_-@_-">
                  <c:v>811</c:v>
                </c:pt>
                <c:pt idx="362" formatCode="_-* #,##0.0_-;\-* #,##0.0_-;_-* &quot;-&quot;??_-;_-@_-">
                  <c:v>822.28571428571433</c:v>
                </c:pt>
                <c:pt idx="363" formatCode="_-* #,##0.0_-;\-* #,##0.0_-;_-* &quot;-&quot;??_-;_-@_-">
                  <c:v>825.57142857142856</c:v>
                </c:pt>
                <c:pt idx="364" formatCode="_-* #,##0.0_-;\-* #,##0.0_-;_-* &quot;-&quot;??_-;_-@_-">
                  <c:v>830.14285714285711</c:v>
                </c:pt>
                <c:pt idx="365" formatCode="_-* #,##0.0_-;\-* #,##0.0_-;_-* &quot;-&quot;??_-;_-@_-">
                  <c:v>843.28571428571433</c:v>
                </c:pt>
                <c:pt idx="366" formatCode="_-* #,##0.0_-;\-* #,##0.0_-;_-* &quot;-&quot;??_-;_-@_-">
                  <c:v>834.71428571428567</c:v>
                </c:pt>
                <c:pt idx="367" formatCode="_-* #,##0.0_-;\-* #,##0.0_-;_-* &quot;-&quot;??_-;_-@_-">
                  <c:v>840</c:v>
                </c:pt>
                <c:pt idx="368" formatCode="_-* #,##0.0_-;\-* #,##0.0_-;_-* &quot;-&quot;??_-;_-@_-">
                  <c:v>836.71428571428567</c:v>
                </c:pt>
                <c:pt idx="369" formatCode="_-* #,##0.0_-;\-* #,##0.0_-;_-* &quot;-&quot;??_-;_-@_-">
                  <c:v>828.42857142857144</c:v>
                </c:pt>
                <c:pt idx="370" formatCode="_-* #,##0.0_-;\-* #,##0.0_-;_-* &quot;-&quot;??_-;_-@_-">
                  <c:v>833</c:v>
                </c:pt>
                <c:pt idx="371" formatCode="_-* #,##0.0_-;\-* #,##0.0_-;_-* &quot;-&quot;??_-;_-@_-">
                  <c:v>852.71428571428567</c:v>
                </c:pt>
                <c:pt idx="372" formatCode="_-* #,##0.0_-;\-* #,##0.0_-;_-* &quot;-&quot;??_-;_-@_-">
                  <c:v>785.85714285714289</c:v>
                </c:pt>
                <c:pt idx="373" formatCode="_-* #,##0.0_-;\-* #,##0.0_-;_-* &quot;-&quot;??_-;_-@_-">
                  <c:v>764.28571428571433</c:v>
                </c:pt>
                <c:pt idx="374" formatCode="_-* #,##0.0_-;\-* #,##0.0_-;_-* &quot;-&quot;??_-;_-@_-">
                  <c:v>771.28571428571433</c:v>
                </c:pt>
                <c:pt idx="375" formatCode="_-* #,##0.0_-;\-* #,##0.0_-;_-* &quot;-&quot;??_-;_-@_-">
                  <c:v>758.28571428571433</c:v>
                </c:pt>
                <c:pt idx="376" formatCode="_-* #,##0.0_-;\-* #,##0.0_-;_-* &quot;-&quot;??_-;_-@_-">
                  <c:v>706.85714285714289</c:v>
                </c:pt>
                <c:pt idx="377" formatCode="_-* #,##0.0_-;\-* #,##0.0_-;_-* &quot;-&quot;??_-;_-@_-">
                  <c:v>652.57142857142856</c:v>
                </c:pt>
                <c:pt idx="378" formatCode="_-* #,##0.0_-;\-* #,##0.0_-;_-* &quot;-&quot;??_-;_-@_-">
                  <c:v>588.42857142857144</c:v>
                </c:pt>
                <c:pt idx="379" formatCode="_-* #,##0.0_-;\-* #,##0.0_-;_-* &quot;-&quot;??_-;_-@_-">
                  <c:v>575.85714285714289</c:v>
                </c:pt>
                <c:pt idx="380" formatCode="_-* #,##0.0_-;\-* #,##0.0_-;_-* &quot;-&quot;??_-;_-@_-">
                  <c:v>553.42857142857144</c:v>
                </c:pt>
                <c:pt idx="381" formatCode="_-* #,##0.0_-;\-* #,##0.0_-;_-* &quot;-&quot;??_-;_-@_-">
                  <c:v>529.42857142857144</c:v>
                </c:pt>
                <c:pt idx="382" formatCode="_-* #,##0.0_-;\-* #,##0.0_-;_-* &quot;-&quot;??_-;_-@_-">
                  <c:v>524.85714285714289</c:v>
                </c:pt>
                <c:pt idx="383" formatCode="_-* #,##0.0_-;\-* #,##0.0_-;_-* &quot;-&quot;??_-;_-@_-">
                  <c:v>538.71428571428567</c:v>
                </c:pt>
                <c:pt idx="384" formatCode="_-* #,##0.0_-;\-* #,##0.0_-;_-* &quot;-&quot;??_-;_-@_-">
                  <c:v>558.14285714285711</c:v>
                </c:pt>
                <c:pt idx="385" formatCode="_-* #,##0.0_-;\-* #,##0.0_-;_-* &quot;-&quot;??_-;_-@_-">
                  <c:v>577.42857142857144</c:v>
                </c:pt>
                <c:pt idx="386" formatCode="_-* #,##0.0_-;\-* #,##0.0_-;_-* &quot;-&quot;??_-;_-@_-">
                  <c:v>589.28571428571433</c:v>
                </c:pt>
                <c:pt idx="387" formatCode="_-* #,##0.0_-;\-* #,##0.0_-;_-* &quot;-&quot;??_-;_-@_-">
                  <c:v>616</c:v>
                </c:pt>
                <c:pt idx="388" formatCode="_-* #,##0.0_-;\-* #,##0.0_-;_-* &quot;-&quot;??_-;_-@_-">
                  <c:v>608.71428571428567</c:v>
                </c:pt>
                <c:pt idx="389" formatCode="_-* #,##0.0_-;\-* #,##0.0_-;_-* &quot;-&quot;??_-;_-@_-">
                  <c:v>612.28571428571433</c:v>
                </c:pt>
                <c:pt idx="390" formatCode="_-* #,##0.0_-;\-* #,##0.0_-;_-* &quot;-&quot;??_-;_-@_-">
                  <c:v>601.57142857142856</c:v>
                </c:pt>
                <c:pt idx="391" formatCode="_-* #,##0.0_-;\-* #,##0.0_-;_-* &quot;-&quot;??_-;_-@_-">
                  <c:v>596.57142857142856</c:v>
                </c:pt>
                <c:pt idx="392" formatCode="_-* #,##0.0_-;\-* #,##0.0_-;_-* &quot;-&quot;??_-;_-@_-">
                  <c:v>585.71428571428567</c:v>
                </c:pt>
                <c:pt idx="393" formatCode="_-* #,##0.0_-;\-* #,##0.0_-;_-* &quot;-&quot;??_-;_-@_-">
                  <c:v>576</c:v>
                </c:pt>
                <c:pt idx="394" formatCode="_-* #,##0.0_-;\-* #,##0.0_-;_-* &quot;-&quot;??_-;_-@_-">
                  <c:v>553</c:v>
                </c:pt>
                <c:pt idx="395" formatCode="_-* #,##0.0_-;\-* #,##0.0_-;_-* &quot;-&quot;??_-;_-@_-">
                  <c:v>562.57142857142856</c:v>
                </c:pt>
                <c:pt idx="396" formatCode="_-* #,##0.0_-;\-* #,##0.0_-;_-* &quot;-&quot;??_-;_-@_-">
                  <c:v>562</c:v>
                </c:pt>
                <c:pt idx="397" formatCode="_-* #,##0.0_-;\-* #,##0.0_-;_-* &quot;-&quot;??_-;_-@_-">
                  <c:v>580.85714285714289</c:v>
                </c:pt>
                <c:pt idx="398" formatCode="_-* #,##0.0_-;\-* #,##0.0_-;_-* &quot;-&quot;??_-;_-@_-">
                  <c:v>569.85714285714289</c:v>
                </c:pt>
                <c:pt idx="399" formatCode="_-* #,##0.0_-;\-* #,##0.0_-;_-* &quot;-&quot;??_-;_-@_-">
                  <c:v>570</c:v>
                </c:pt>
                <c:pt idx="400" formatCode="_-* #,##0.0_-;\-* #,##0.0_-;_-* &quot;-&quot;??_-;_-@_-">
                  <c:v>568.14285714285711</c:v>
                </c:pt>
                <c:pt idx="401" formatCode="_-* #,##0.0_-;\-* #,##0.0_-;_-* &quot;-&quot;??_-;_-@_-">
                  <c:v>546.71428571428567</c:v>
                </c:pt>
                <c:pt idx="402" formatCode="_-* #,##0.0_-;\-* #,##0.0_-;_-* &quot;-&quot;??_-;_-@_-">
                  <c:v>539.28571428571433</c:v>
                </c:pt>
                <c:pt idx="403" formatCode="_-* #,##0.0_-;\-* #,##0.0_-;_-* &quot;-&quot;??_-;_-@_-">
                  <c:v>543.28571428571433</c:v>
                </c:pt>
                <c:pt idx="404" formatCode="_-* #,##0.0_-;\-* #,##0.0_-;_-* &quot;-&quot;??_-;_-@_-">
                  <c:v>531.71428571428567</c:v>
                </c:pt>
                <c:pt idx="405" formatCode="_-* #,##0.0_-;\-* #,##0.0_-;_-* &quot;-&quot;??_-;_-@_-">
                  <c:v>550.85714285714289</c:v>
                </c:pt>
                <c:pt idx="406" formatCode="_-* #,##0.0_-;\-* #,##0.0_-;_-* &quot;-&quot;??_-;_-@_-">
                  <c:v>536.57142857142856</c:v>
                </c:pt>
                <c:pt idx="407" formatCode="_-* #,##0.0_-;\-* #,##0.0_-;_-* &quot;-&quot;??_-;_-@_-">
                  <c:v>557.14285714285711</c:v>
                </c:pt>
                <c:pt idx="408" formatCode="_-* #,##0.0_-;\-* #,##0.0_-;_-* &quot;-&quot;??_-;_-@_-">
                  <c:v>575.28571428571433</c:v>
                </c:pt>
                <c:pt idx="409" formatCode="_-* #,##0.0_-;\-* #,##0.0_-;_-* &quot;-&quot;??_-;_-@_-">
                  <c:v>582.28571428571433</c:v>
                </c:pt>
                <c:pt idx="410" formatCode="_-* #,##0.0_-;\-* #,##0.0_-;_-* &quot;-&quot;??_-;_-@_-">
                  <c:v>591</c:v>
                </c:pt>
                <c:pt idx="411" formatCode="_-* #,##0.0_-;\-* #,##0.0_-;_-* &quot;-&quot;??_-;_-@_-">
                  <c:v>599.14285714285711</c:v>
                </c:pt>
                <c:pt idx="412" formatCode="_-* #,##0.0_-;\-* #,##0.0_-;_-* &quot;-&quot;??_-;_-@_-">
                  <c:v>597.57142857142856</c:v>
                </c:pt>
                <c:pt idx="413" formatCode="_-* #,##0.0_-;\-* #,##0.0_-;_-* &quot;-&quot;??_-;_-@_-">
                  <c:v>613.57142857142856</c:v>
                </c:pt>
                <c:pt idx="414" formatCode="_-* #,##0.0_-;\-* #,##0.0_-;_-* &quot;-&quot;??_-;_-@_-">
                  <c:v>621.71428571428567</c:v>
                </c:pt>
                <c:pt idx="415" formatCode="_-* #,##0.0_-;\-* #,##0.0_-;_-* &quot;-&quot;??_-;_-@_-">
                  <c:v>633.14285714285711</c:v>
                </c:pt>
                <c:pt idx="416" formatCode="_-* #,##0.0_-;\-* #,##0.0_-;_-* &quot;-&quot;??_-;_-@_-">
                  <c:v>630.85714285714289</c:v>
                </c:pt>
                <c:pt idx="417" formatCode="_-* #,##0.0_-;\-* #,##0.0_-;_-* &quot;-&quot;??_-;_-@_-">
                  <c:v>620.57142857142856</c:v>
                </c:pt>
                <c:pt idx="418" formatCode="_-* #,##0.0_-;\-* #,##0.0_-;_-* &quot;-&quot;??_-;_-@_-">
                  <c:v>640.14285714285711</c:v>
                </c:pt>
                <c:pt idx="419" formatCode="_-* #,##0.0_-;\-* #,##0.0_-;_-* &quot;-&quot;??_-;_-@_-">
                  <c:v>657.71428571428567</c:v>
                </c:pt>
                <c:pt idx="420" formatCode="_-* #,##0.0_-;\-* #,##0.0_-;_-* &quot;-&quot;??_-;_-@_-">
                  <c:v>678.57142857142856</c:v>
                </c:pt>
                <c:pt idx="421" formatCode="_-* #,##0.0_-;\-* #,##0.0_-;_-* &quot;-&quot;??_-;_-@_-">
                  <c:v>676.42857142857144</c:v>
                </c:pt>
                <c:pt idx="422" formatCode="_-* #,##0.0_-;\-* #,##0.0_-;_-* &quot;-&quot;??_-;_-@_-">
                  <c:v>707.85714285714289</c:v>
                </c:pt>
                <c:pt idx="423" formatCode="_-* #,##0.0_-;\-* #,##0.0_-;_-* &quot;-&quot;??_-;_-@_-">
                  <c:v>719.28571428571433</c:v>
                </c:pt>
                <c:pt idx="424" formatCode="_-* #,##0.0_-;\-* #,##0.0_-;_-* &quot;-&quot;??_-;_-@_-">
                  <c:v>728.71428571428567</c:v>
                </c:pt>
                <c:pt idx="425" formatCode="_-* #,##0.0_-;\-* #,##0.0_-;_-* &quot;-&quot;??_-;_-@_-">
                  <c:v>734.57142857142856</c:v>
                </c:pt>
                <c:pt idx="426" formatCode="_-* #,##0.0_-;\-* #,##0.0_-;_-* &quot;-&quot;??_-;_-@_-">
                  <c:v>757.71428571428567</c:v>
                </c:pt>
                <c:pt idx="427" formatCode="_-* #,##0.0_-;\-* #,##0.0_-;_-* &quot;-&quot;??_-;_-@_-">
                  <c:v>777.71428571428567</c:v>
                </c:pt>
                <c:pt idx="428" formatCode="_-* #,##0.0_-;\-* #,##0.0_-;_-* &quot;-&quot;??_-;_-@_-">
                  <c:v>795.14285714285711</c:v>
                </c:pt>
                <c:pt idx="429" formatCode="_-* #,##0.0_-;\-* #,##0.0_-;_-* &quot;-&quot;??_-;_-@_-">
                  <c:v>793.85714285714289</c:v>
                </c:pt>
                <c:pt idx="430" formatCode="_-* #,##0.0_-;\-* #,##0.0_-;_-* &quot;-&quot;??_-;_-@_-">
                  <c:v>800.28571428571433</c:v>
                </c:pt>
                <c:pt idx="431" formatCode="_-* #,##0.0_-;\-* #,##0.0_-;_-* &quot;-&quot;??_-;_-@_-">
                  <c:v>797.42857142857144</c:v>
                </c:pt>
                <c:pt idx="432" formatCode="_-* #,##0.0_-;\-* #,##0.0_-;_-* &quot;-&quot;??_-;_-@_-">
                  <c:v>699</c:v>
                </c:pt>
                <c:pt idx="433" formatCode="_-* #,##0.0_-;\-* #,##0.0_-;_-* &quot;-&quot;??_-;_-@_-">
                  <c:v>611.85714285714289</c:v>
                </c:pt>
                <c:pt idx="434" formatCode="_-* #,##0.0_-;\-* #,##0.0_-;_-* &quot;-&quot;??_-;_-@_-">
                  <c:v>515.42857142857144</c:v>
                </c:pt>
                <c:pt idx="435" formatCode="_-* #,##0.0_-;\-* #,##0.0_-;_-* &quot;-&quot;??_-;_-@_-">
                  <c:v>415.71428571428572</c:v>
                </c:pt>
                <c:pt idx="436" formatCode="_-* #,##0.0_-;\-* #,##0.0_-;_-* &quot;-&quot;??_-;_-@_-">
                  <c:v>310.71428571428572</c:v>
                </c:pt>
                <c:pt idx="437" formatCode="_-* #,##0.0_-;\-* #,##0.0_-;_-* &quot;-&quot;??_-;_-@_-">
                  <c:v>291.71428571428572</c:v>
                </c:pt>
                <c:pt idx="438" formatCode="_-* #,##0.0_-;\-* #,##0.0_-;_-* &quot;-&quot;??_-;_-@_-">
                  <c:v>290.57142857142856</c:v>
                </c:pt>
                <c:pt idx="439" formatCode="_-* #,##0.0_-;\-* #,##0.0_-;_-* &quot;-&quot;??_-;_-@_-">
                  <c:v>441</c:v>
                </c:pt>
                <c:pt idx="440" formatCode="_-* #,##0.0_-;\-* #,##0.0_-;_-* &quot;-&quot;??_-;_-@_-">
                  <c:v>560.57142857142856</c:v>
                </c:pt>
                <c:pt idx="441" formatCode="_-* #,##0.0_-;\-* #,##0.0_-;_-* &quot;-&quot;??_-;_-@_-">
                  <c:v>724</c:v>
                </c:pt>
                <c:pt idx="442" formatCode="_-* #,##0.0_-;\-* #,##0.0_-;_-* &quot;-&quot;??_-;_-@_-">
                  <c:v>863.42857142857144</c:v>
                </c:pt>
                <c:pt idx="443" formatCode="_-* #,##0.0_-;\-* #,##0.0_-;_-* &quot;-&quot;??_-;_-@_-">
                  <c:v>1023.8571428571429</c:v>
                </c:pt>
                <c:pt idx="444" formatCode="_-* #,##0.0_-;\-* #,##0.0_-;_-* &quot;-&quot;??_-;_-@_-">
                  <c:v>1053.2857142857142</c:v>
                </c:pt>
                <c:pt idx="445" formatCode="_-* #,##0.0_-;\-* #,##0.0_-;_-* &quot;-&quot;??_-;_-@_-">
                  <c:v>1060.2857142857142</c:v>
                </c:pt>
                <c:pt idx="446" formatCode="_-* #,##0.0_-;\-* #,##0.0_-;_-* &quot;-&quot;??_-;_-@_-">
                  <c:v>1152.5714285714287</c:v>
                </c:pt>
                <c:pt idx="447" formatCode="_-* #,##0.0_-;\-* #,##0.0_-;_-* &quot;-&quot;??_-;_-@_-">
                  <c:v>1219.1428571428571</c:v>
                </c:pt>
                <c:pt idx="448" formatCode="_-* #,##0.0_-;\-* #,##0.0_-;_-* &quot;-&quot;??_-;_-@_-">
                  <c:v>1224.7142857142858</c:v>
                </c:pt>
                <c:pt idx="449" formatCode="_-* #,##0.0_-;\-* #,##0.0_-;_-* &quot;-&quot;??_-;_-@_-">
                  <c:v>1325.5714285714287</c:v>
                </c:pt>
                <c:pt idx="450" formatCode="_-* #,##0.0_-;\-* #,##0.0_-;_-* &quot;-&quot;??_-;_-@_-">
                  <c:v>1365.2857142857142</c:v>
                </c:pt>
                <c:pt idx="451" formatCode="_-* #,##0.0_-;\-* #,##0.0_-;_-* &quot;-&quot;??_-;_-@_-">
                  <c:v>1363.2857142857142</c:v>
                </c:pt>
                <c:pt idx="452" formatCode="_-* #,##0.0_-;\-* #,##0.0_-;_-* &quot;-&quot;??_-;_-@_-">
                  <c:v>1371.5714285714287</c:v>
                </c:pt>
                <c:pt idx="453" formatCode="_-* #,##0.0_-;\-* #,##0.0_-;_-* &quot;-&quot;??_-;_-@_-">
                  <c:v>1317.4285714285713</c:v>
                </c:pt>
                <c:pt idx="454" formatCode="_-* #,##0.0_-;\-* #,##0.0_-;_-* &quot;-&quot;??_-;_-@_-">
                  <c:v>1291.1428571428571</c:v>
                </c:pt>
                <c:pt idx="455" formatCode="_-* #,##0.0_-;\-* #,##0.0_-;_-* &quot;-&quot;??_-;_-@_-">
                  <c:v>1330.7142857142858</c:v>
                </c:pt>
                <c:pt idx="456" formatCode="_-* #,##0.0_-;\-* #,##0.0_-;_-* &quot;-&quot;??_-;_-@_-">
                  <c:v>1283.4285714285713</c:v>
                </c:pt>
                <c:pt idx="457" formatCode="_-* #,##0.0_-;\-* #,##0.0_-;_-* &quot;-&quot;??_-;_-@_-">
                  <c:v>1265.7142857142858</c:v>
                </c:pt>
                <c:pt idx="458" formatCode="_-* #,##0.0_-;\-* #,##0.0_-;_-* &quot;-&quot;??_-;_-@_-">
                  <c:v>1260.1428571428571</c:v>
                </c:pt>
                <c:pt idx="459" formatCode="_-* #,##0.0_-;\-* #,##0.0_-;_-* &quot;-&quot;??_-;_-@_-">
                  <c:v>1252.1428571428571</c:v>
                </c:pt>
                <c:pt idx="460" formatCode="_-* #,##0.0_-;\-* #,##0.0_-;_-* &quot;-&quot;??_-;_-@_-">
                  <c:v>1173.7142857142858</c:v>
                </c:pt>
                <c:pt idx="461" formatCode="_-* #,##0.0_-;\-* #,##0.0_-;_-* &quot;-&quot;??_-;_-@_-">
                  <c:v>1168.7142857142858</c:v>
                </c:pt>
                <c:pt idx="462" formatCode="_-* #,##0.0_-;\-* #,##0.0_-;_-* &quot;-&quot;??_-;_-@_-">
                  <c:v>1140.5714285714287</c:v>
                </c:pt>
                <c:pt idx="463" formatCode="_-* #,##0.0_-;\-* #,##0.0_-;_-* &quot;-&quot;??_-;_-@_-">
                  <c:v>1105.8571428571429</c:v>
                </c:pt>
                <c:pt idx="464" formatCode="_-* #,##0.0_-;\-* #,##0.0_-;_-* &quot;-&quot;??_-;_-@_-">
                  <c:v>1005.5714285714286</c:v>
                </c:pt>
                <c:pt idx="465" formatCode="_-* #,##0.0_-;\-* #,##0.0_-;_-* &quot;-&quot;??_-;_-@_-">
                  <c:v>980.42857142857144</c:v>
                </c:pt>
                <c:pt idx="466" formatCode="_-* #,##0.0_-;\-* #,##0.0_-;_-* &quot;-&quot;??_-;_-@_-">
                  <c:v>971.85714285714289</c:v>
                </c:pt>
                <c:pt idx="467" formatCode="_-* #,##0.0_-;\-* #,##0.0_-;_-* &quot;-&quot;??_-;_-@_-">
                  <c:v>990.57142857142856</c:v>
                </c:pt>
                <c:pt idx="468" formatCode="_-* #,##0.0_-;\-* #,##0.0_-;_-* &quot;-&quot;??_-;_-@_-">
                  <c:v>935.28571428571433</c:v>
                </c:pt>
                <c:pt idx="469" formatCode="_-* #,##0.0_-;\-* #,##0.0_-;_-* &quot;-&quot;??_-;_-@_-">
                  <c:v>866.42857142857144</c:v>
                </c:pt>
                <c:pt idx="470" formatCode="_-* #,##0.0_-;\-* #,##0.0_-;_-* &quot;-&quot;??_-;_-@_-">
                  <c:v>848.28571428571433</c:v>
                </c:pt>
                <c:pt idx="471" formatCode="_-* #,##0.0_-;\-* #,##0.0_-;_-* &quot;-&quot;??_-;_-@_-">
                  <c:v>900.42857142857144</c:v>
                </c:pt>
                <c:pt idx="472" formatCode="_-* #,##0.0_-;\-* #,##0.0_-;_-* &quot;-&quot;??_-;_-@_-">
                  <c:v>900.71428571428567</c:v>
                </c:pt>
                <c:pt idx="473" formatCode="_-* #,##0.0_-;\-* #,##0.0_-;_-* &quot;-&quot;??_-;_-@_-">
                  <c:v>904.57142857142856</c:v>
                </c:pt>
                <c:pt idx="474" formatCode="_-* #,##0.0_-;\-* #,##0.0_-;_-* &quot;-&quot;??_-;_-@_-">
                  <c:v>868.57142857142856</c:v>
                </c:pt>
                <c:pt idx="475" formatCode="_-* #,##0.0_-;\-* #,##0.0_-;_-* &quot;-&quot;??_-;_-@_-">
                  <c:v>895.57142857142856</c:v>
                </c:pt>
                <c:pt idx="476" formatCode="_-* #,##0.0_-;\-* #,##0.0_-;_-* &quot;-&quot;??_-;_-@_-">
                  <c:v>887.57142857142856</c:v>
                </c:pt>
                <c:pt idx="477" formatCode="_-* #,##0.0_-;\-* #,##0.0_-;_-* &quot;-&quot;??_-;_-@_-">
                  <c:v>902.71428571428567</c:v>
                </c:pt>
                <c:pt idx="478" formatCode="_-* #,##0.0_-;\-* #,##0.0_-;_-* &quot;-&quot;??_-;_-@_-">
                  <c:v>869.42857142857144</c:v>
                </c:pt>
                <c:pt idx="479" formatCode="_-* #,##0.0_-;\-* #,##0.0_-;_-* &quot;-&quot;??_-;_-@_-">
                  <c:v>871.28571428571433</c:v>
                </c:pt>
                <c:pt idx="480" formatCode="_-* #,##0.0_-;\-* #,##0.0_-;_-* &quot;-&quot;??_-;_-@_-">
                  <c:v>864.28571428571433</c:v>
                </c:pt>
                <c:pt idx="481" formatCode="_-* #,##0.0_-;\-* #,##0.0_-;_-* &quot;-&quot;??_-;_-@_-">
                  <c:v>899.85714285714289</c:v>
                </c:pt>
                <c:pt idx="482" formatCode="_-* #,##0.0_-;\-* #,##0.0_-;_-* &quot;-&quot;??_-;_-@_-">
                  <c:v>849.28571428571433</c:v>
                </c:pt>
                <c:pt idx="483" formatCode="_-* #,##0.0_-;\-* #,##0.0_-;_-* &quot;-&quot;??_-;_-@_-">
                  <c:v>891.71428571428567</c:v>
                </c:pt>
                <c:pt idx="484" formatCode="_-* #,##0.0_-;\-* #,##0.0_-;_-* &quot;-&quot;??_-;_-@_-">
                  <c:v>823.71428571428567</c:v>
                </c:pt>
                <c:pt idx="485" formatCode="_-* #,##0.0_-;\-* #,##0.0_-;_-* &quot;-&quot;??_-;_-@_-">
                  <c:v>826.42857142857144</c:v>
                </c:pt>
                <c:pt idx="486" formatCode="_-* #,##0.0_-;\-* #,##0.0_-;_-* &quot;-&quot;??_-;_-@_-">
                  <c:v>843.85714285714289</c:v>
                </c:pt>
                <c:pt idx="487" formatCode="_-* #,##0.0_-;\-* #,##0.0_-;_-* &quot;-&quot;??_-;_-@_-">
                  <c:v>848.14285714285711</c:v>
                </c:pt>
                <c:pt idx="488" formatCode="_-* #,##0.0_-;\-* #,##0.0_-;_-* &quot;-&quot;??_-;_-@_-">
                  <c:v>838</c:v>
                </c:pt>
                <c:pt idx="489" formatCode="_-* #,##0.0_-;\-* #,##0.0_-;_-* &quot;-&quot;??_-;_-@_-">
                  <c:v>899.57142857142856</c:v>
                </c:pt>
                <c:pt idx="490" formatCode="_-* #,##0.0_-;\-* #,##0.0_-;_-* &quot;-&quot;??_-;_-@_-">
                  <c:v>842.57142857142856</c:v>
                </c:pt>
                <c:pt idx="491" formatCode="_-* #,##0.0_-;\-* #,##0.0_-;_-* &quot;-&quot;??_-;_-@_-">
                  <c:v>939</c:v>
                </c:pt>
                <c:pt idx="492" formatCode="_-* #,##0.0_-;\-* #,##0.0_-;_-* &quot;-&quot;??_-;_-@_-">
                  <c:v>928.28571428571433</c:v>
                </c:pt>
                <c:pt idx="493" formatCode="_-* #,##0.0_-;\-* #,##0.0_-;_-* &quot;-&quot;??_-;_-@_-">
                  <c:v>931.71428571428567</c:v>
                </c:pt>
                <c:pt idx="494" formatCode="_-* #,##0.0_-;\-* #,##0.0_-;_-* &quot;-&quot;??_-;_-@_-">
                  <c:v>933.28571428571433</c:v>
                </c:pt>
                <c:pt idx="495" formatCode="_-* #,##0.0_-;\-* #,##0.0_-;_-* &quot;-&quot;??_-;_-@_-">
                  <c:v>976</c:v>
                </c:pt>
                <c:pt idx="496" formatCode="_-* #,##0.0_-;\-* #,##0.0_-;_-* &quot;-&quot;??_-;_-@_-">
                  <c:v>952.57142857142856</c:v>
                </c:pt>
                <c:pt idx="497" formatCode="_-* #,##0.0_-;\-* #,##0.0_-;_-* &quot;-&quot;??_-;_-@_-">
                  <c:v>1012.1428571428571</c:v>
                </c:pt>
                <c:pt idx="498" formatCode="_-* #,##0.0_-;\-* #,##0.0_-;_-* &quot;-&quot;??_-;_-@_-">
                  <c:v>977.71428571428567</c:v>
                </c:pt>
                <c:pt idx="499" formatCode="_-* #,##0.0_-;\-* #,##0.0_-;_-* &quot;-&quot;??_-;_-@_-">
                  <c:v>1050.4285714285713</c:v>
                </c:pt>
                <c:pt idx="500" formatCode="_-* #,##0.0_-;\-* #,##0.0_-;_-* &quot;-&quot;??_-;_-@_-">
                  <c:v>1076.7142857142858</c:v>
                </c:pt>
                <c:pt idx="501" formatCode="_-* #,##0.0_-;\-* #,##0.0_-;_-* &quot;-&quot;??_-;_-@_-">
                  <c:v>1093.1428571428571</c:v>
                </c:pt>
                <c:pt idx="502" formatCode="_-* #,##0.0_-;\-* #,##0.0_-;_-* &quot;-&quot;??_-;_-@_-">
                  <c:v>1112.4285714285713</c:v>
                </c:pt>
                <c:pt idx="503" formatCode="_-* #,##0.0_-;\-* #,##0.0_-;_-* &quot;-&quot;??_-;_-@_-">
                  <c:v>1186.8571428571429</c:v>
                </c:pt>
                <c:pt idx="504" formatCode="_-* #,##0.0_-;\-* #,##0.0_-;_-* &quot;-&quot;??_-;_-@_-">
                  <c:v>1237</c:v>
                </c:pt>
                <c:pt idx="505" formatCode="_-* #,##0.0_-;\-* #,##0.0_-;_-* &quot;-&quot;??_-;_-@_-">
                  <c:v>1304.5714285714287</c:v>
                </c:pt>
                <c:pt idx="506" formatCode="_-* #,##0.0_-;\-* #,##0.0_-;_-* &quot;-&quot;??_-;_-@_-">
                  <c:v>1363.8571428571429</c:v>
                </c:pt>
                <c:pt idx="507" formatCode="_-* #,##0.0_-;\-* #,##0.0_-;_-* &quot;-&quot;??_-;_-@_-">
                  <c:v>1360.5714285714287</c:v>
                </c:pt>
                <c:pt idx="508" formatCode="_-* #,##0.0_-;\-* #,##0.0_-;_-* &quot;-&quot;??_-;_-@_-">
                  <c:v>1355.7142857142858</c:v>
                </c:pt>
                <c:pt idx="509" formatCode="_-* #,##0.0_-;\-* #,##0.0_-;_-* &quot;-&quot;??_-;_-@_-">
                  <c:v>1376.8571428571429</c:v>
                </c:pt>
                <c:pt idx="510" formatCode="_-* #,##0.0_-;\-* #,##0.0_-;_-* &quot;-&quot;??_-;_-@_-">
                  <c:v>1333.5714285714287</c:v>
                </c:pt>
                <c:pt idx="511" formatCode="_-* #,##0.0_-;\-* #,##0.0_-;_-* &quot;-&quot;??_-;_-@_-">
                  <c:v>1324.1428571428571</c:v>
                </c:pt>
                <c:pt idx="512" formatCode="_-* #,##0.0_-;\-* #,##0.0_-;_-* &quot;-&quot;??_-;_-@_-">
                  <c:v>1277.4285714285713</c:v>
                </c:pt>
                <c:pt idx="513" formatCode="_-* #,##0.0_-;\-* #,##0.0_-;_-* &quot;-&quot;??_-;_-@_-">
                  <c:v>1238</c:v>
                </c:pt>
                <c:pt idx="514" formatCode="_-* #,##0.0_-;\-* #,##0.0_-;_-* &quot;-&quot;??_-;_-@_-">
                  <c:v>1234.8571428571429</c:v>
                </c:pt>
                <c:pt idx="515" formatCode="_-* #,##0.0_-;\-* #,##0.0_-;_-* &quot;-&quot;??_-;_-@_-">
                  <c:v>1242.8571428571429</c:v>
                </c:pt>
                <c:pt idx="516" formatCode="_-* #,##0.0_-;\-* #,##0.0_-;_-* &quot;-&quot;??_-;_-@_-">
                  <c:v>1260.8571428571429</c:v>
                </c:pt>
                <c:pt idx="517" formatCode="_-* #,##0.0_-;\-* #,##0.0_-;_-* &quot;-&quot;??_-;_-@_-">
                  <c:v>1331.2857142857142</c:v>
                </c:pt>
                <c:pt idx="518" formatCode="_-* #,##0.0_-;\-* #,##0.0_-;_-* &quot;-&quot;??_-;_-@_-">
                  <c:v>1372.1428571428571</c:v>
                </c:pt>
                <c:pt idx="519" formatCode="_-* #,##0.0_-;\-* #,##0.0_-;_-* &quot;-&quot;??_-;_-@_-">
                  <c:v>1486.1428571428571</c:v>
                </c:pt>
                <c:pt idx="520" formatCode="_-* #,##0.0_-;\-* #,##0.0_-;_-* &quot;-&quot;??_-;_-@_-">
                  <c:v>1534.4285714285713</c:v>
                </c:pt>
                <c:pt idx="521" formatCode="_-* #,##0.0_-;\-* #,##0.0_-;_-* &quot;-&quot;??_-;_-@_-">
                  <c:v>1570.2857142857142</c:v>
                </c:pt>
                <c:pt idx="522" formatCode="_-* #,##0.0_-;\-* #,##0.0_-;_-* &quot;-&quot;??_-;_-@_-">
                  <c:v>1577.8571428571429</c:v>
                </c:pt>
                <c:pt idx="523" formatCode="_-* #,##0.0_-;\-* #,##0.0_-;_-* &quot;-&quot;??_-;_-@_-">
                  <c:v>1417.2857142857142</c:v>
                </c:pt>
                <c:pt idx="524" formatCode="_-* #,##0.0_-;\-* #,##0.0_-;_-* &quot;-&quot;??_-;_-@_-">
                  <c:v>1534.4285714285713</c:v>
                </c:pt>
                <c:pt idx="525" formatCode="_-* #,##0.0_-;\-* #,##0.0_-;_-* &quot;-&quot;??_-;_-@_-">
                  <c:v>1660.8571428571429</c:v>
                </c:pt>
                <c:pt idx="526" formatCode="_-* #,##0.0_-;\-* #,##0.0_-;_-* &quot;-&quot;??_-;_-@_-">
                  <c:v>1692.7142857142858</c:v>
                </c:pt>
                <c:pt idx="527" formatCode="_-* #,##0.0_-;\-* #,##0.0_-;_-* &quot;-&quot;??_-;_-@_-">
                  <c:v>1756.5714285714287</c:v>
                </c:pt>
                <c:pt idx="528" formatCode="_-* #,##0.0_-;\-* #,##0.0_-;_-* &quot;-&quot;??_-;_-@_-">
                  <c:v>1768</c:v>
                </c:pt>
                <c:pt idx="529" formatCode="_-* #,##0.0_-;\-* #,##0.0_-;_-* &quot;-&quot;??_-;_-@_-">
                  <c:v>1787.7142857142858</c:v>
                </c:pt>
                <c:pt idx="530" formatCode="_-* #,##0.0_-;\-* #,##0.0_-;_-* &quot;-&quot;??_-;_-@_-">
                  <c:v>2082.7142857142858</c:v>
                </c:pt>
                <c:pt idx="531" formatCode="_-* #,##0.0_-;\-* #,##0.0_-;_-* &quot;-&quot;??_-;_-@_-">
                  <c:v>2106.1428571428573</c:v>
                </c:pt>
                <c:pt idx="532" formatCode="_-* #,##0.0_-;\-* #,##0.0_-;_-* &quot;-&quot;??_-;_-@_-">
                  <c:v>2137</c:v>
                </c:pt>
                <c:pt idx="533" formatCode="_-* #,##0.0_-;\-* #,##0.0_-;_-* &quot;-&quot;??_-;_-@_-">
                  <c:v>2198.7142857142858</c:v>
                </c:pt>
                <c:pt idx="534" formatCode="_-* #,##0.0_-;\-* #,##0.0_-;_-* &quot;-&quot;??_-;_-@_-">
                  <c:v>2300.7142857142858</c:v>
                </c:pt>
                <c:pt idx="535" formatCode="_-* #,##0.0_-;\-* #,##0.0_-;_-* &quot;-&quot;??_-;_-@_-">
                  <c:v>2359.8571428571427</c:v>
                </c:pt>
                <c:pt idx="536" formatCode="_-* #,##0.0_-;\-* #,##0.0_-;_-* &quot;-&quot;??_-;_-@_-">
                  <c:v>2373.8571428571427</c:v>
                </c:pt>
                <c:pt idx="537" formatCode="_-* #,##0.0_-;\-* #,##0.0_-;_-* &quot;-&quot;??_-;_-@_-">
                  <c:v>2405.2857142857142</c:v>
                </c:pt>
                <c:pt idx="538" formatCode="_-* #,##0.0_-;\-* #,##0.0_-;_-* &quot;-&quot;??_-;_-@_-">
                  <c:v>2388.8571428571427</c:v>
                </c:pt>
                <c:pt idx="539" formatCode="_-* #,##0.0_-;\-* #,##0.0_-;_-* &quot;-&quot;??_-;_-@_-">
                  <c:v>2335.2857142857142</c:v>
                </c:pt>
                <c:pt idx="540" formatCode="_-* #,##0.0_-;\-* #,##0.0_-;_-* &quot;-&quot;??_-;_-@_-">
                  <c:v>2329.7142857142858</c:v>
                </c:pt>
                <c:pt idx="541" formatCode="_-* #,##0.0_-;\-* #,##0.0_-;_-* &quot;-&quot;??_-;_-@_-">
                  <c:v>2256.1428571428573</c:v>
                </c:pt>
                <c:pt idx="542" formatCode="_-* #,##0.0_-;\-* #,##0.0_-;_-* &quot;-&quot;??_-;_-@_-">
                  <c:v>2181.1428571428573</c:v>
                </c:pt>
                <c:pt idx="543" formatCode="_-* #,##0.0_-;\-* #,##0.0_-;_-* &quot;-&quot;??_-;_-@_-">
                  <c:v>2170.7142857142858</c:v>
                </c:pt>
                <c:pt idx="544" formatCode="_-* #,##0.0_-;\-* #,##0.0_-;_-* &quot;-&quot;??_-;_-@_-">
                  <c:v>2226.7142857142858</c:v>
                </c:pt>
                <c:pt idx="545" formatCode="_-* #,##0.0_-;\-* #,##0.0_-;_-* &quot;-&quot;??_-;_-@_-">
                  <c:v>2259</c:v>
                </c:pt>
                <c:pt idx="546" formatCode="_-* #,##0.0_-;\-* #,##0.0_-;_-* &quot;-&quot;??_-;_-@_-">
                  <c:v>2353.4285714285716</c:v>
                </c:pt>
                <c:pt idx="547" formatCode="_-* #,##0.0_-;\-* #,##0.0_-;_-* &quot;-&quot;??_-;_-@_-">
                  <c:v>2409.1428571428573</c:v>
                </c:pt>
                <c:pt idx="548" formatCode="_-* #,##0.0_-;\-* #,##0.0_-;_-* &quot;-&quot;??_-;_-@_-">
                  <c:v>2528.2857142857142</c:v>
                </c:pt>
                <c:pt idx="549" formatCode="_-* #,##0.0_-;\-* #,##0.0_-;_-* &quot;-&quot;??_-;_-@_-">
                  <c:v>2608.2857142857142</c:v>
                </c:pt>
                <c:pt idx="550" formatCode="_-* #,##0.0_-;\-* #,##0.0_-;_-* &quot;-&quot;??_-;_-@_-">
                  <c:v>2601.2857142857142</c:v>
                </c:pt>
                <c:pt idx="551" formatCode="_-* #,##0.0_-;\-* #,##0.0_-;_-* &quot;-&quot;??_-;_-@_-">
                  <c:v>2494.4285714285716</c:v>
                </c:pt>
                <c:pt idx="552" formatCode="_-* #,##0.0_-;\-* #,##0.0_-;_-* &quot;-&quot;??_-;_-@_-">
                  <c:v>2563</c:v>
                </c:pt>
                <c:pt idx="553" formatCode="_-* #,##0.0_-;\-* #,##0.0_-;_-* &quot;-&quot;??_-;_-@_-">
                  <c:v>2559</c:v>
                </c:pt>
                <c:pt idx="554" formatCode="_-* #,##0.0_-;\-* #,##0.0_-;_-* &quot;-&quot;??_-;_-@_-">
                  <c:v>2576</c:v>
                </c:pt>
                <c:pt idx="555" formatCode="_-* #,##0.0_-;\-* #,##0.0_-;_-* &quot;-&quot;??_-;_-@_-">
                  <c:v>2524</c:v>
                </c:pt>
                <c:pt idx="556" formatCode="_-* #,##0.0_-;\-* #,##0.0_-;_-* &quot;-&quot;??_-;_-@_-">
                  <c:v>2505.4285714285716</c:v>
                </c:pt>
                <c:pt idx="557" formatCode="_-* #,##0.0_-;\-* #,##0.0_-;_-* &quot;-&quot;??_-;_-@_-">
                  <c:v>2524.8571428571427</c:v>
                </c:pt>
                <c:pt idx="558" formatCode="_-* #,##0.0_-;\-* #,##0.0_-;_-* &quot;-&quot;??_-;_-@_-">
                  <c:v>2546.2857142857142</c:v>
                </c:pt>
                <c:pt idx="559" formatCode="_-* #,##0.0_-;\-* #,##0.0_-;_-* &quot;-&quot;??_-;_-@_-">
                  <c:v>2664</c:v>
                </c:pt>
                <c:pt idx="560" formatCode="_-* #,##0.0_-;\-* #,##0.0_-;_-* &quot;-&quot;??_-;_-@_-">
                  <c:v>2768.5714285714284</c:v>
                </c:pt>
                <c:pt idx="561" formatCode="_-* #,##0.0_-;\-* #,##0.0_-;_-* &quot;-&quot;??_-;_-@_-">
                  <c:v>2854.8571428571427</c:v>
                </c:pt>
                <c:pt idx="562" formatCode="_-* #,##0.0_-;\-* #,##0.0_-;_-* &quot;-&quot;??_-;_-@_-">
                  <c:v>3003.7142857142858</c:v>
                </c:pt>
                <c:pt idx="563" formatCode="_-* #,##0.0_-;\-* #,##0.0_-;_-* &quot;-&quot;??_-;_-@_-">
                  <c:v>2984</c:v>
                </c:pt>
                <c:pt idx="564" formatCode="_-* #,##0.0_-;\-* #,##0.0_-;_-* &quot;-&quot;??_-;_-@_-">
                  <c:v>2980</c:v>
                </c:pt>
                <c:pt idx="565" formatCode="_-* #,##0.0_-;\-* #,##0.0_-;_-* &quot;-&quot;??_-;_-@_-">
                  <c:v>3053.7142857142858</c:v>
                </c:pt>
                <c:pt idx="566" formatCode="_-* #,##0.0_-;\-* #,##0.0_-;_-* &quot;-&quot;??_-;_-@_-">
                  <c:v>3085</c:v>
                </c:pt>
                <c:pt idx="567" formatCode="_-* #,##0.0_-;\-* #,##0.0_-;_-* &quot;-&quot;??_-;_-@_-">
                  <c:v>3126.4285714285716</c:v>
                </c:pt>
                <c:pt idx="568" formatCode="_-* #,##0.0_-;\-* #,##0.0_-;_-* &quot;-&quot;??_-;_-@_-">
                  <c:v>3157.5714285714284</c:v>
                </c:pt>
                <c:pt idx="569" formatCode="_-* #,##0.0_-;\-* #,##0.0_-;_-* &quot;-&quot;??_-;_-@_-">
                  <c:v>3181.7142857142858</c:v>
                </c:pt>
                <c:pt idx="570" formatCode="_-* #,##0.0_-;\-* #,##0.0_-;_-* &quot;-&quot;??_-;_-@_-">
                  <c:v>3225.2857142857142</c:v>
                </c:pt>
                <c:pt idx="571" formatCode="_-* #,##0.0_-;\-* #,##0.0_-;_-* &quot;-&quot;??_-;_-@_-">
                  <c:v>3247.1428571428573</c:v>
                </c:pt>
                <c:pt idx="572" formatCode="_-* #,##0.0_-;\-* #,##0.0_-;_-* &quot;-&quot;??_-;_-@_-">
                  <c:v>3321.1428571428573</c:v>
                </c:pt>
                <c:pt idx="573" formatCode="_-* #,##0.0_-;\-* #,##0.0_-;_-* &quot;-&quot;??_-;_-@_-">
                  <c:v>3325.7142857142858</c:v>
                </c:pt>
                <c:pt idx="574" formatCode="_-* #,##0.0_-;\-* #,##0.0_-;_-* &quot;-&quot;??_-;_-@_-">
                  <c:v>3535.4285714285716</c:v>
                </c:pt>
                <c:pt idx="575" formatCode="_-* #,##0.0_-;\-* #,##0.0_-;_-* &quot;-&quot;??_-;_-@_-">
                  <c:v>3682.1428571428573</c:v>
                </c:pt>
                <c:pt idx="576" formatCode="_-* #,##0.0_-;\-* #,##0.0_-;_-* &quot;-&quot;??_-;_-@_-">
                  <c:v>3741.1428571428573</c:v>
                </c:pt>
                <c:pt idx="577" formatCode="_-* #,##0.0_-;\-* #,##0.0_-;_-* &quot;-&quot;??_-;_-@_-">
                  <c:v>3744.7142857142858</c:v>
                </c:pt>
                <c:pt idx="578" formatCode="_-* #,##0.0_-;\-* #,##0.0_-;_-* &quot;-&quot;??_-;_-@_-">
                  <c:v>3744.2857142857142</c:v>
                </c:pt>
                <c:pt idx="579" formatCode="_-* #,##0.0_-;\-* #,##0.0_-;_-* &quot;-&quot;??_-;_-@_-">
                  <c:v>3900.5714285714284</c:v>
                </c:pt>
                <c:pt idx="580" formatCode="_-* #,##0.0_-;\-* #,##0.0_-;_-* &quot;-&quot;??_-;_-@_-">
                  <c:v>3975.5714285714284</c:v>
                </c:pt>
                <c:pt idx="581" formatCode="_-* #,##0.0_-;\-* #,##0.0_-;_-* &quot;-&quot;??_-;_-@_-">
                  <c:v>3873.7142857142858</c:v>
                </c:pt>
                <c:pt idx="582" formatCode="_-* #,##0.0_-;\-* #,##0.0_-;_-* &quot;-&quot;??_-;_-@_-">
                  <c:v>3803.8571428571427</c:v>
                </c:pt>
                <c:pt idx="583" formatCode="_-* #,##0.0_-;\-* #,##0.0_-;_-* &quot;-&quot;??_-;_-@_-">
                  <c:v>3683.2857142857142</c:v>
                </c:pt>
                <c:pt idx="584" formatCode="_-* #,##0.0_-;\-* #,##0.0_-;_-* &quot;-&quot;??_-;_-@_-">
                  <c:v>3679.2857142857142</c:v>
                </c:pt>
                <c:pt idx="585" formatCode="_-* #,##0.0_-;\-* #,##0.0_-;_-* &quot;-&quot;??_-;_-@_-">
                  <c:v>3677.2857142857142</c:v>
                </c:pt>
                <c:pt idx="586" formatCode="_-* #,##0.0_-;\-* #,##0.0_-;_-* &quot;-&quot;??_-;_-@_-">
                  <c:v>3614.5714285714284</c:v>
                </c:pt>
                <c:pt idx="587" formatCode="_-* #,##0.0_-;\-* #,##0.0_-;_-* &quot;-&quot;??_-;_-@_-">
                  <c:v>3628.2857142857142</c:v>
                </c:pt>
                <c:pt idx="588" formatCode="_-* #,##0.0_-;\-* #,##0.0_-;_-* &quot;-&quot;??_-;_-@_-">
                  <c:v>3444.7142857142858</c:v>
                </c:pt>
                <c:pt idx="589" formatCode="_-* #,##0.0_-;\-* #,##0.0_-;_-* &quot;-&quot;??_-;_-@_-">
                  <c:v>3463.7142857142858</c:v>
                </c:pt>
                <c:pt idx="590" formatCode="_-* #,##0.0_-;\-* #,##0.0_-;_-* &quot;-&quot;??_-;_-@_-">
                  <c:v>3295.1428571428573</c:v>
                </c:pt>
                <c:pt idx="591" formatCode="_-* #,##0.0_-;\-* #,##0.0_-;_-* &quot;-&quot;??_-;_-@_-">
                  <c:v>3262.7142857142858</c:v>
                </c:pt>
                <c:pt idx="592" formatCode="_-* #,##0.0_-;\-* #,##0.0_-;_-* &quot;-&quot;??_-;_-@_-">
                  <c:v>3248.4285714285716</c:v>
                </c:pt>
                <c:pt idx="593" formatCode="_-* #,##0.0_-;\-* #,##0.0_-;_-* &quot;-&quot;??_-;_-@_-">
                  <c:v>3184.7142857142858</c:v>
                </c:pt>
                <c:pt idx="594" formatCode="_-* #,##0.0_-;\-* #,##0.0_-;_-* &quot;-&quot;??_-;_-@_-">
                  <c:v>3163.1428571428573</c:v>
                </c:pt>
                <c:pt idx="595" formatCode="_-* #,##0.0_-;\-* #,##0.0_-;_-* &quot;-&quot;??_-;_-@_-">
                  <c:v>3066.2857142857142</c:v>
                </c:pt>
                <c:pt idx="596" formatCode="_-* #,##0.0_-;\-* #,##0.0_-;_-* &quot;-&quot;??_-;_-@_-">
                  <c:v>3053.8571428571427</c:v>
                </c:pt>
                <c:pt idx="597" formatCode="_-* #,##0.0_-;\-* #,##0.0_-;_-* &quot;-&quot;??_-;_-@_-">
                  <c:v>3262.1428571428573</c:v>
                </c:pt>
                <c:pt idx="598" formatCode="_-* #,##0.0_-;\-* #,##0.0_-;_-* &quot;-&quot;??_-;_-@_-">
                  <c:v>3260.8571428571427</c:v>
                </c:pt>
                <c:pt idx="599" formatCode="_-* #,##0.0_-;\-* #,##0.0_-;_-* &quot;-&quot;??_-;_-@_-">
                  <c:v>3274.1428571428573</c:v>
                </c:pt>
                <c:pt idx="600" formatCode="_-* #,##0.0_-;\-* #,##0.0_-;_-* &quot;-&quot;??_-;_-@_-">
                  <c:v>3312.2857142857142</c:v>
                </c:pt>
                <c:pt idx="601" formatCode="_-* #,##0.0_-;\-* #,##0.0_-;_-* &quot;-&quot;??_-;_-@_-">
                  <c:v>3185</c:v>
                </c:pt>
                <c:pt idx="602" formatCode="_-* #,##0.0_-;\-* #,##0.0_-;_-* &quot;-&quot;??_-;_-@_-">
                  <c:v>2893.1428571428573</c:v>
                </c:pt>
                <c:pt idx="603" formatCode="_-* #,##0.0_-;\-* #,##0.0_-;_-* &quot;-&quot;??_-;_-@_-">
                  <c:v>2788.5714285714284</c:v>
                </c:pt>
                <c:pt idx="604" formatCode="_-* #,##0.0_-;\-* #,##0.0_-;_-* &quot;-&quot;??_-;_-@_-">
                  <c:v>2704.8571428571427</c:v>
                </c:pt>
                <c:pt idx="605" formatCode="_-* #,##0.0_-;\-* #,##0.0_-;_-* &quot;-&quot;??_-;_-@_-">
                  <c:v>2671.1428571428573</c:v>
                </c:pt>
                <c:pt idx="606" formatCode="_-* #,##0.0_-;\-* #,##0.0_-;_-* &quot;-&quot;??_-;_-@_-">
                  <c:v>2652.7142857142858</c:v>
                </c:pt>
                <c:pt idx="607" formatCode="_-* #,##0.0_-;\-* #,##0.0_-;_-* &quot;-&quot;??_-;_-@_-">
                  <c:v>2569.7142857142858</c:v>
                </c:pt>
                <c:pt idx="608" formatCode="_-* #,##0.0_-;\-* #,##0.0_-;_-* &quot;-&quot;??_-;_-@_-">
                  <c:v>2571.7142857142858</c:v>
                </c:pt>
                <c:pt idx="609" formatCode="_-* #,##0.0_-;\-* #,##0.0_-;_-* &quot;-&quot;??_-;_-@_-">
                  <c:v>2990.2857142857142</c:v>
                </c:pt>
                <c:pt idx="610" formatCode="_-* #,##0.0_-;\-* #,##0.0_-;_-* &quot;-&quot;??_-;_-@_-">
                  <c:v>2947.8571428571427</c:v>
                </c:pt>
                <c:pt idx="611" formatCode="_-* #,##0.0_-;\-* #,##0.0_-;_-* &quot;-&quot;??_-;_-@_-">
                  <c:v>2859.2857142857142</c:v>
                </c:pt>
                <c:pt idx="612" formatCode="_-* #,##0.0_-;\-* #,##0.0_-;_-* &quot;-&quot;??_-;_-@_-">
                  <c:v>2876.7142857142858</c:v>
                </c:pt>
                <c:pt idx="613" formatCode="_-* #,##0.0_-;\-* #,##0.0_-;_-* &quot;-&quot;??_-;_-@_-">
                  <c:v>2900.8571428571427</c:v>
                </c:pt>
                <c:pt idx="614" formatCode="_-* #,##0.0_-;\-* #,##0.0_-;_-* &quot;-&quot;??_-;_-@_-">
                  <c:v>2792</c:v>
                </c:pt>
                <c:pt idx="615" formatCode="_-* #,##0.0_-;\-* #,##0.0_-;_-* &quot;-&quot;??_-;_-@_-">
                  <c:v>2750.8571428571427</c:v>
                </c:pt>
                <c:pt idx="616" formatCode="_-* #,##0.0_-;\-* #,##0.0_-;_-* &quot;-&quot;??_-;_-@_-">
                  <c:v>2612.7142857142858</c:v>
                </c:pt>
                <c:pt idx="617" formatCode="_-* #,##0.0_-;\-* #,##0.0_-;_-* &quot;-&quot;??_-;_-@_-">
                  <c:v>2494.2857142857142</c:v>
                </c:pt>
                <c:pt idx="618" formatCode="_-* #,##0.0_-;\-* #,##0.0_-;_-* &quot;-&quot;??_-;_-@_-">
                  <c:v>2423</c:v>
                </c:pt>
                <c:pt idx="619" formatCode="_-* #,##0.0_-;\-* #,##0.0_-;_-* &quot;-&quot;??_-;_-@_-">
                  <c:v>2384.1428571428573</c:v>
                </c:pt>
                <c:pt idx="620" formatCode="_-* #,##0.0_-;\-* #,##0.0_-;_-* &quot;-&quot;??_-;_-@_-">
                  <c:v>2328.8571428571427</c:v>
                </c:pt>
                <c:pt idx="621" formatCode="_-* #,##0.0_-;\-* #,##0.0_-;_-* &quot;-&quot;??_-;_-@_-">
                  <c:v>2307.1428571428573</c:v>
                </c:pt>
                <c:pt idx="622" formatCode="_-* #,##0.0_-;\-* #,##0.0_-;_-* &quot;-&quot;??_-;_-@_-">
                  <c:v>2122.5714285714284</c:v>
                </c:pt>
                <c:pt idx="623" formatCode="_-* #,##0.0_-;\-* #,##0.0_-;_-* &quot;-&quot;??_-;_-@_-">
                  <c:v>2056.8571428571427</c:v>
                </c:pt>
                <c:pt idx="624" formatCode="_-* #,##0.0_-;\-* #,##0.0_-;_-* &quot;-&quot;??_-;_-@_-">
                  <c:v>1937.2857142857142</c:v>
                </c:pt>
                <c:pt idx="625" formatCode="_-* #,##0.0_-;\-* #,##0.0_-;_-* &quot;-&quot;??_-;_-@_-">
                  <c:v>1891.8571428571429</c:v>
                </c:pt>
                <c:pt idx="626" formatCode="_-* #,##0.0_-;\-* #,##0.0_-;_-* &quot;-&quot;??_-;_-@_-">
                  <c:v>1891.2857142857142</c:v>
                </c:pt>
                <c:pt idx="627" formatCode="_-* #,##0.0_-;\-* #,##0.0_-;_-* &quot;-&quot;??_-;_-@_-">
                  <c:v>1876.8571428571429</c:v>
                </c:pt>
                <c:pt idx="628" formatCode="_-* #,##0.0_-;\-* #,##0.0_-;_-* &quot;-&quot;??_-;_-@_-">
                  <c:v>1722.5714285714287</c:v>
                </c:pt>
                <c:pt idx="629" formatCode="_-* #,##0.0_-;\-* #,##0.0_-;_-* &quot;-&quot;??_-;_-@_-">
                  <c:v>1585.4285714285713</c:v>
                </c:pt>
                <c:pt idx="630" formatCode="_-* #,##0.0_-;\-* #,##0.0_-;_-* &quot;-&quot;??_-;_-@_-">
                  <c:v>1414.2857142857142</c:v>
                </c:pt>
                <c:pt idx="631" formatCode="_-* #,##0.0_-;\-* #,##0.0_-;_-* &quot;-&quot;??_-;_-@_-">
                  <c:v>1357.1428571428571</c:v>
                </c:pt>
                <c:pt idx="632" formatCode="_-* #,##0.0_-;\-* #,##0.0_-;_-* &quot;-&quot;??_-;_-@_-">
                  <c:v>1268.2857142857142</c:v>
                </c:pt>
                <c:pt idx="633" formatCode="_-* #,##0.0_-;\-* #,##0.0_-;_-* &quot;-&quot;??_-;_-@_-">
                  <c:v>1225.7142857142858</c:v>
                </c:pt>
                <c:pt idx="634" formatCode="_-* #,##0.0_-;\-* #,##0.0_-;_-* &quot;-&quot;??_-;_-@_-">
                  <c:v>1212.5714285714287</c:v>
                </c:pt>
                <c:pt idx="635" formatCode="_-* #,##0.0_-;\-* #,##0.0_-;_-* &quot;-&quot;??_-;_-@_-">
                  <c:v>1212.5714285714287</c:v>
                </c:pt>
                <c:pt idx="636" formatCode="_-* #,##0.0_-;\-* #,##0.0_-;_-* &quot;-&quot;??_-;_-@_-">
                  <c:v>1179.8571428571429</c:v>
                </c:pt>
                <c:pt idx="637" formatCode="_-* #,##0.0_-;\-* #,##0.0_-;_-* &quot;-&quot;??_-;_-@_-">
                  <c:v>1022</c:v>
                </c:pt>
                <c:pt idx="638" formatCode="_-* #,##0.0_-;\-* #,##0.0_-;_-* &quot;-&quot;??_-;_-@_-">
                  <c:v>1020.1428571428571</c:v>
                </c:pt>
                <c:pt idx="639" formatCode="_-* #,##0.0_-;\-* #,##0.0_-;_-* &quot;-&quot;??_-;_-@_-">
                  <c:v>996.85714285714289</c:v>
                </c:pt>
                <c:pt idx="640" formatCode="_-* #,##0.0_-;\-* #,##0.0_-;_-* &quot;-&quot;??_-;_-@_-">
                  <c:v>991.28571428571433</c:v>
                </c:pt>
                <c:pt idx="641" formatCode="_-* #,##0.0_-;\-* #,##0.0_-;_-* &quot;-&quot;??_-;_-@_-">
                  <c:v>972.14285714285711</c:v>
                </c:pt>
                <c:pt idx="642" formatCode="_-* #,##0.0_-;\-* #,##0.0_-;_-* &quot;-&quot;??_-;_-@_-">
                  <c:v>918.71428571428567</c:v>
                </c:pt>
                <c:pt idx="643" formatCode="_-* #,##0.0_-;\-* #,##0.0_-;_-* &quot;-&quot;??_-;_-@_-">
                  <c:v>901.14285714285711</c:v>
                </c:pt>
                <c:pt idx="644" formatCode="_-* #,##0.0_-;\-* #,##0.0_-;_-* &quot;-&quot;??_-;_-@_-">
                  <c:v>1039.2857142857142</c:v>
                </c:pt>
                <c:pt idx="645" formatCode="_-* #,##0.0_-;\-* #,##0.0_-;_-* &quot;-&quot;??_-;_-@_-">
                  <c:v>994.28571428571433</c:v>
                </c:pt>
                <c:pt idx="646" formatCode="_-* #,##0.0_-;\-* #,##0.0_-;_-* &quot;-&quot;??_-;_-@_-">
                  <c:v>962.28571428571433</c:v>
                </c:pt>
                <c:pt idx="647" formatCode="_-* #,##0.0_-;\-* #,##0.0_-;_-* &quot;-&quot;??_-;_-@_-">
                  <c:v>937.57142857142856</c:v>
                </c:pt>
                <c:pt idx="648" formatCode="_-* #,##0.0_-;\-* #,##0.0_-;_-* &quot;-&quot;??_-;_-@_-">
                  <c:v>941.28571428571433</c:v>
                </c:pt>
                <c:pt idx="649" formatCode="_-* #,##0.0_-;\-* #,##0.0_-;_-* &quot;-&quot;??_-;_-@_-">
                  <c:v>767.85714285714289</c:v>
                </c:pt>
                <c:pt idx="650" formatCode="_-* #,##0.0_-;\-* #,##0.0_-;_-* &quot;-&quot;??_-;_-@_-">
                  <c:v>686.57142857142856</c:v>
                </c:pt>
                <c:pt idx="651" formatCode="_-* #,##0.0_-;\-* #,##0.0_-;_-* &quot;-&quot;??_-;_-@_-">
                  <c:v>656.85714285714289</c:v>
                </c:pt>
                <c:pt idx="652" formatCode="_-* #,##0.0_-;\-* #,##0.0_-;_-* &quot;-&quot;??_-;_-@_-">
                  <c:v>595.14285714285711</c:v>
                </c:pt>
                <c:pt idx="653" formatCode="_-* #,##0.0_-;\-* #,##0.0_-;_-* &quot;-&quot;??_-;_-@_-">
                  <c:v>573.28571428571433</c:v>
                </c:pt>
                <c:pt idx="654" formatCode="_-* #,##0.0_-;\-* #,##0.0_-;_-* &quot;-&quot;??_-;_-@_-">
                  <c:v>584.57142857142856</c:v>
                </c:pt>
                <c:pt idx="655" formatCode="_-* #,##0.0_-;\-* #,##0.0_-;_-* &quot;-&quot;??_-;_-@_-">
                  <c:v>584.57142857142856</c:v>
                </c:pt>
                <c:pt idx="656" formatCode="_-* #,##0.0_-;\-* #,##0.0_-;_-* &quot;-&quot;??_-;_-@_-">
                  <c:v>707.14285714285711</c:v>
                </c:pt>
                <c:pt idx="657" formatCode="_-* #,##0.0_-;\-* #,##0.0_-;_-* &quot;-&quot;??_-;_-@_-">
                  <c:v>703.14285714285711</c:v>
                </c:pt>
                <c:pt idx="658" formatCode="_-* #,##0.0_-;\-* #,##0.0_-;_-* &quot;-&quot;??_-;_-@_-">
                  <c:v>666.57142857142856</c:v>
                </c:pt>
                <c:pt idx="659" formatCode="_-* #,##0.0_-;\-* #,##0.0_-;_-* &quot;-&quot;??_-;_-@_-">
                  <c:v>650</c:v>
                </c:pt>
                <c:pt idx="660" formatCode="_-* #,##0.0_-;\-* #,##0.0_-;_-* &quot;-&quot;??_-;_-@_-">
                  <c:v>616.28571428571433</c:v>
                </c:pt>
                <c:pt idx="661" formatCode="_-* #,##0.0_-;\-* #,##0.0_-;_-* &quot;-&quot;??_-;_-@_-">
                  <c:v>620</c:v>
                </c:pt>
                <c:pt idx="662" formatCode="_-* #,##0.0_-;\-* #,##0.0_-;_-* &quot;-&quot;??_-;_-@_-">
                  <c:v>612.14285714285711</c:v>
                </c:pt>
                <c:pt idx="663" formatCode="_-* #,##0.0_-;\-* #,##0.0_-;_-* &quot;-&quot;??_-;_-@_-">
                  <c:v>549.71428571428567</c:v>
                </c:pt>
                <c:pt idx="664" formatCode="_-* #,##0.0_-;\-* #,##0.0_-;_-* &quot;-&quot;??_-;_-@_-">
                  <c:v>553.85714285714289</c:v>
                </c:pt>
                <c:pt idx="665" formatCode="_-* #,##0.0_-;\-* #,##0.0_-;_-* &quot;-&quot;??_-;_-@_-">
                  <c:v>554.28571428571433</c:v>
                </c:pt>
                <c:pt idx="666" formatCode="_-* #,##0.0_-;\-* #,##0.0_-;_-* &quot;-&quot;??_-;_-@_-">
                  <c:v>554</c:v>
                </c:pt>
                <c:pt idx="667" formatCode="_-* #,##0.0_-;\-* #,##0.0_-;_-* &quot;-&quot;??_-;_-@_-">
                  <c:v>569.14285714285711</c:v>
                </c:pt>
                <c:pt idx="668" formatCode="_-* #,##0.0_-;\-* #,##0.0_-;_-* &quot;-&quot;??_-;_-@_-">
                  <c:v>555.42857142857144</c:v>
                </c:pt>
                <c:pt idx="669" formatCode="_-* #,##0.0_-;\-* #,##0.0_-;_-* &quot;-&quot;??_-;_-@_-">
                  <c:v>559.42857142857144</c:v>
                </c:pt>
                <c:pt idx="670" formatCode="_-* #,##0.0_-;\-* #,##0.0_-;_-* &quot;-&quot;??_-;_-@_-">
                  <c:v>617</c:v>
                </c:pt>
                <c:pt idx="671" formatCode="_-* #,##0.0_-;\-* #,##0.0_-;_-* &quot;-&quot;??_-;_-@_-">
                  <c:v>621.57142857142856</c:v>
                </c:pt>
                <c:pt idx="672" formatCode="_-* #,##0.0_-;\-* #,##0.0_-;_-* &quot;-&quot;??_-;_-@_-">
                  <c:v>623.85714285714289</c:v>
                </c:pt>
                <c:pt idx="673" formatCode="_-* #,##0.0_-;\-* #,##0.0_-;_-* &quot;-&quot;??_-;_-@_-">
                  <c:v>574.71428571428567</c:v>
                </c:pt>
                <c:pt idx="674" formatCode="_-* #,##0.0_-;\-* #,##0.0_-;_-* &quot;-&quot;??_-;_-@_-">
                  <c:v>540.28571428571433</c:v>
                </c:pt>
                <c:pt idx="675" formatCode="_-* #,##0.0_-;\-* #,##0.0_-;_-* &quot;-&quot;??_-;_-@_-">
                  <c:v>531.14285714285711</c:v>
                </c:pt>
                <c:pt idx="676" formatCode="_-* #,##0.0_-;\-* #,##0.0_-;_-* &quot;-&quot;??_-;_-@_-">
                  <c:v>524.42857142857144</c:v>
                </c:pt>
                <c:pt idx="677" formatCode="_-* #,##0.0_-;\-* #,##0.0_-;_-* &quot;-&quot;??_-;_-@_-">
                  <c:v>439.14285714285717</c:v>
                </c:pt>
                <c:pt idx="678" formatCode="_-* #,##0.0_-;\-* #,##0.0_-;_-* &quot;-&quot;??_-;_-@_-">
                  <c:v>387.28571428571428</c:v>
                </c:pt>
                <c:pt idx="679" formatCode="_-* #,##0.0_-;\-* #,##0.0_-;_-* &quot;-&quot;??_-;_-@_-">
                  <c:v>310.42857142857144</c:v>
                </c:pt>
                <c:pt idx="680" formatCode="_-* #,##0.0_-;\-* #,##0.0_-;_-* &quot;-&quot;??_-;_-@_-">
                  <c:v>286.14285714285717</c:v>
                </c:pt>
                <c:pt idx="681" formatCode="_-* #,##0.0_-;\-* #,##0.0_-;_-* &quot;-&quot;??_-;_-@_-">
                  <c:v>292.42857142857144</c:v>
                </c:pt>
                <c:pt idx="682" formatCode="_-* #,##0.0_-;\-* #,##0.0_-;_-* &quot;-&quot;??_-;_-@_-">
                  <c:v>320.28571428571428</c:v>
                </c:pt>
                <c:pt idx="683" formatCode="_-* #,##0.0_-;\-* #,##0.0_-;_-* &quot;-&quot;??_-;_-@_-">
                  <c:v>324.28571428571428</c:v>
                </c:pt>
                <c:pt idx="684" formatCode="_-* #,##0.0_-;\-* #,##0.0_-;_-* &quot;-&quot;??_-;_-@_-">
                  <c:v>350.14285714285717</c:v>
                </c:pt>
                <c:pt idx="685" formatCode="_-* #,##0.0_-;\-* #,##0.0_-;_-* &quot;-&quot;??_-;_-@_-">
                  <c:v>345.28571428571428</c:v>
                </c:pt>
                <c:pt idx="686" formatCode="_-* #,##0.0_-;\-* #,##0.0_-;_-* &quot;-&quot;??_-;_-@_-">
                  <c:v>371.57142857142856</c:v>
                </c:pt>
                <c:pt idx="687" formatCode="_-* #,##0.0_-;\-* #,##0.0_-;_-* &quot;-&quot;??_-;_-@_-">
                  <c:v>400.57142857142856</c:v>
                </c:pt>
                <c:pt idx="688" formatCode="_-* #,##0.0_-;\-* #,##0.0_-;_-* &quot;-&quot;??_-;_-@_-">
                  <c:v>375.14285714285717</c:v>
                </c:pt>
                <c:pt idx="689" formatCode="_-* #,##0.0_-;\-* #,##0.0_-;_-* &quot;-&quot;??_-;_-@_-">
                  <c:v>339.57142857142856</c:v>
                </c:pt>
                <c:pt idx="690" formatCode="_-* #,##0.0_-;\-* #,##0.0_-;_-* &quot;-&quot;??_-;_-@_-">
                  <c:v>335.14285714285717</c:v>
                </c:pt>
                <c:pt idx="691" formatCode="_-* #,##0.0_-;\-* #,##0.0_-;_-* &quot;-&quot;??_-;_-@_-">
                  <c:v>298.57142857142856</c:v>
                </c:pt>
                <c:pt idx="692" formatCode="_-* #,##0.0_-;\-* #,##0.0_-;_-* &quot;-&quot;??_-;_-@_-">
                  <c:v>287.57142857142856</c:v>
                </c:pt>
                <c:pt idx="693" formatCode="_-* #,##0.0_-;\-* #,##0.0_-;_-* &quot;-&quot;??_-;_-@_-">
                  <c:v>266.71428571428572</c:v>
                </c:pt>
                <c:pt idx="694" formatCode="_-* #,##0.0_-;\-* #,##0.0_-;_-* &quot;-&quot;??_-;_-@_-">
                  <c:v>229.28571428571428</c:v>
                </c:pt>
                <c:pt idx="695" formatCode="_-* #,##0.0_-;\-* #,##0.0_-;_-* &quot;-&quot;??_-;_-@_-">
                  <c:v>213.42857142857142</c:v>
                </c:pt>
                <c:pt idx="696" formatCode="_-* #,##0.0_-;\-* #,##0.0_-;_-* &quot;-&quot;??_-;_-@_-">
                  <c:v>214.57142857142858</c:v>
                </c:pt>
                <c:pt idx="697" formatCode="_-* #,##0.0_-;\-* #,##0.0_-;_-* &quot;-&quot;??_-;_-@_-">
                  <c:v>222.57142857142858</c:v>
                </c:pt>
                <c:pt idx="698" formatCode="_-* #,##0.0_-;\-* #,##0.0_-;_-* &quot;-&quot;??_-;_-@_-">
                  <c:v>235.14285714285714</c:v>
                </c:pt>
                <c:pt idx="699" formatCode="_-* #,##0.0_-;\-* #,##0.0_-;_-* &quot;-&quot;??_-;_-@_-">
                  <c:v>239.71428571428572</c:v>
                </c:pt>
                <c:pt idx="700" formatCode="_-* #,##0.0_-;\-* #,##0.0_-;_-* &quot;-&quot;??_-;_-@_-">
                  <c:v>238.71428571428572</c:v>
                </c:pt>
                <c:pt idx="701" formatCode="_-* #,##0.0_-;\-* #,##0.0_-;_-* &quot;-&quot;??_-;_-@_-">
                  <c:v>225.71428571428572</c:v>
                </c:pt>
                <c:pt idx="702" formatCode="_-* #,##0.0_-;\-* #,##0.0_-;_-* &quot;-&quot;??_-;_-@_-">
                  <c:v>209.28571428571428</c:v>
                </c:pt>
                <c:pt idx="703" formatCode="_-* #,##0.0_-;\-* #,##0.0_-;_-* &quot;-&quot;??_-;_-@_-">
                  <c:v>205</c:v>
                </c:pt>
                <c:pt idx="704" formatCode="_-* #,##0.0_-;\-* #,##0.0_-;_-* &quot;-&quot;??_-;_-@_-">
                  <c:v>208.85714285714286</c:v>
                </c:pt>
                <c:pt idx="705" formatCode="_-* #,##0.0_-;\-* #,##0.0_-;_-* &quot;-&quot;??_-;_-@_-">
                  <c:v>240.42857142857142</c:v>
                </c:pt>
                <c:pt idx="706" formatCode="_-* #,##0.0_-;\-* #,##0.0_-;_-* &quot;-&quot;??_-;_-@_-">
                  <c:v>304.42857142857144</c:v>
                </c:pt>
                <c:pt idx="707" formatCode="_-* #,##0.0_-;\-* #,##0.0_-;_-* &quot;-&quot;??_-;_-@_-">
                  <c:v>385.14285714285717</c:v>
                </c:pt>
                <c:pt idx="708" formatCode="_-* #,##0.0_-;\-* #,##0.0_-;_-* &quot;-&quot;??_-;_-@_-">
                  <c:v>475.71428571428572</c:v>
                </c:pt>
                <c:pt idx="709" formatCode="_-* #,##0.0_-;\-* #,##0.0_-;_-* &quot;-&quot;??_-;_-@_-">
                  <c:v>494.57142857142856</c:v>
                </c:pt>
                <c:pt idx="710" formatCode="_-* #,##0.0_-;\-* #,##0.0_-;_-* &quot;-&quot;??_-;_-@_-">
                  <c:v>504.14285714285717</c:v>
                </c:pt>
                <c:pt idx="711" formatCode="_-* #,##0.0_-;\-* #,##0.0_-;_-* &quot;-&quot;??_-;_-@_-">
                  <c:v>506.71428571428572</c:v>
                </c:pt>
                <c:pt idx="712" formatCode="_-* #,##0.0_-;\-* #,##0.0_-;_-* &quot;-&quot;??_-;_-@_-">
                  <c:v>565.28571428571433</c:v>
                </c:pt>
                <c:pt idx="713" formatCode="_-* #,##0.0_-;\-* #,##0.0_-;_-* &quot;-&quot;??_-;_-@_-">
                  <c:v>722.14285714285711</c:v>
                </c:pt>
                <c:pt idx="714" formatCode="_-* #,##0.0_-;\-* #,##0.0_-;_-* &quot;-&quot;??_-;_-@_-">
                  <c:v>887.42857142857144</c:v>
                </c:pt>
                <c:pt idx="715" formatCode="_-* #,##0.0_-;\-* #,##0.0_-;_-* &quot;-&quot;??_-;_-@_-">
                  <c:v>1036.2857142857142</c:v>
                </c:pt>
                <c:pt idx="716" formatCode="_-* #,##0.0_-;\-* #,##0.0_-;_-* &quot;-&quot;??_-;_-@_-">
                  <c:v>1296.2857142857142</c:v>
                </c:pt>
                <c:pt idx="717" formatCode="_-* #,##0.0_-;\-* #,##0.0_-;_-* &quot;-&quot;??_-;_-@_-">
                  <c:v>1430</c:v>
                </c:pt>
                <c:pt idx="718" formatCode="_-* #,##0.0_-;\-* #,##0.0_-;_-* &quot;-&quot;??_-;_-@_-">
                  <c:v>1463.4285714285713</c:v>
                </c:pt>
                <c:pt idx="719" formatCode="_-* #,##0.0_-;\-* #,##0.0_-;_-* &quot;-&quot;??_-;_-@_-">
                  <c:v>1621.8571428571429</c:v>
                </c:pt>
                <c:pt idx="720" formatCode="_-* #,##0.0_-;\-* #,##0.0_-;_-* &quot;-&quot;??_-;_-@_-">
                  <c:v>1673.8571428571429</c:v>
                </c:pt>
                <c:pt idx="721" formatCode="_-* #,##0.0_-;\-* #,##0.0_-;_-* &quot;-&quot;??_-;_-@_-">
                  <c:v>1792.1428571428571</c:v>
                </c:pt>
                <c:pt idx="722" formatCode="_-* #,##0.0_-;\-* #,##0.0_-;_-* &quot;-&quot;??_-;_-@_-">
                  <c:v>1904.8571428571429</c:v>
                </c:pt>
                <c:pt idx="723" formatCode="_-* #,##0.0_-;\-* #,##0.0_-;_-* &quot;-&quot;??_-;_-@_-">
                  <c:v>2015.8571428571429</c:v>
                </c:pt>
                <c:pt idx="724" formatCode="_-* #,##0.0_-;\-* #,##0.0_-;_-* &quot;-&quot;??_-;_-@_-">
                  <c:v>2066.5714285714284</c:v>
                </c:pt>
                <c:pt idx="725" formatCode="_-* #,##0.0_-;\-* #,##0.0_-;_-* &quot;-&quot;??_-;_-@_-">
                  <c:v>2072.4285714285716</c:v>
                </c:pt>
                <c:pt idx="726" formatCode="_-* #,##0.0_-;\-* #,##0.0_-;_-* &quot;-&quot;??_-;_-@_-">
                  <c:v>2184.5714285714284</c:v>
                </c:pt>
                <c:pt idx="727" formatCode="_-* #,##0.0_-;\-* #,##0.0_-;_-* &quot;-&quot;??_-;_-@_-">
                  <c:v>2315.4285714285716</c:v>
                </c:pt>
                <c:pt idx="728" formatCode="_-* #,##0.0_-;\-* #,##0.0_-;_-* &quot;-&quot;??_-;_-@_-">
                  <c:v>2358.4285714285716</c:v>
                </c:pt>
                <c:pt idx="729" formatCode="_-* #,##0.0_-;\-* #,##0.0_-;_-* &quot;-&quot;??_-;_-@_-">
                  <c:v>2438.5714285714284</c:v>
                </c:pt>
                <c:pt idx="730" formatCode="_-* #,##0.0_-;\-* #,##0.0_-;_-* &quot;-&quot;??_-;_-@_-">
                  <c:v>2462.5714285714284</c:v>
                </c:pt>
                <c:pt idx="731" formatCode="_-* #,##0.0_-;\-* #,##0.0_-;_-* &quot;-&quot;??_-;_-@_-">
                  <c:v>2379.8571428571427</c:v>
                </c:pt>
                <c:pt idx="732" formatCode="_-* #,##0.0_-;\-* #,##0.0_-;_-* &quot;-&quot;??_-;_-@_-">
                  <c:v>2419.1428571428573</c:v>
                </c:pt>
                <c:pt idx="733" formatCode="_-* #,##0.0_-;\-* #,##0.0_-;_-* &quot;-&quot;??_-;_-@_-">
                  <c:v>2443.2857142857142</c:v>
                </c:pt>
                <c:pt idx="734" formatCode="_-* #,##0.0_-;\-* #,##0.0_-;_-* &quot;-&quot;??_-;_-@_-">
                  <c:v>2508.4285714285716</c:v>
                </c:pt>
                <c:pt idx="735" formatCode="_-* #,##0.0_-;\-* #,##0.0_-;_-* &quot;-&quot;??_-;_-@_-">
                  <c:v>2640</c:v>
                </c:pt>
                <c:pt idx="736" formatCode="_-* #,##0.0_-;\-* #,##0.0_-;_-* &quot;-&quot;??_-;_-@_-">
                  <c:v>2789.2857142857142</c:v>
                </c:pt>
                <c:pt idx="737" formatCode="_-* #,##0.0_-;\-* #,##0.0_-;_-* &quot;-&quot;??_-;_-@_-">
                  <c:v>2759.1428571428573</c:v>
                </c:pt>
                <c:pt idx="738" formatCode="_-* #,##0.0_-;\-* #,##0.0_-;_-* &quot;-&quot;??_-;_-@_-">
                  <c:v>2825.5714285714284</c:v>
                </c:pt>
                <c:pt idx="739" formatCode="_-* #,##0.0_-;\-* #,##0.0_-;_-* &quot;-&quot;??_-;_-@_-">
                  <c:v>2828.7142857142858</c:v>
                </c:pt>
                <c:pt idx="740" formatCode="_-* #,##0.0_-;\-* #,##0.0_-;_-* &quot;-&quot;??_-;_-@_-">
                  <c:v>2993.4285714285716</c:v>
                </c:pt>
                <c:pt idx="741" formatCode="_-* #,##0.0_-;\-* #,##0.0_-;_-* &quot;-&quot;??_-;_-@_-">
                  <c:v>3024.4285714285716</c:v>
                </c:pt>
                <c:pt idx="742" formatCode="_-* #,##0.0_-;\-* #,##0.0_-;_-* &quot;-&quot;??_-;_-@_-">
                  <c:v>3000.2857142857142</c:v>
                </c:pt>
                <c:pt idx="743" formatCode="_-* #,##0.0_-;\-* #,##0.0_-;_-* &quot;-&quot;??_-;_-@_-">
                  <c:v>2867.4285714285716</c:v>
                </c:pt>
                <c:pt idx="744" formatCode="_-* #,##0.0_-;\-* #,##0.0_-;_-* &quot;-&quot;??_-;_-@_-">
                  <c:v>3083.4285714285716</c:v>
                </c:pt>
                <c:pt idx="745" formatCode="_-* #,##0.0_-;\-* #,##0.0_-;_-* &quot;-&quot;??_-;_-@_-">
                  <c:v>3066.7142857142858</c:v>
                </c:pt>
                <c:pt idx="746" formatCode="_-* #,##0.0_-;\-* #,##0.0_-;_-* &quot;-&quot;??_-;_-@_-">
                  <c:v>3109.5714285714284</c:v>
                </c:pt>
                <c:pt idx="747" formatCode="_-* #,##0.0_-;\-* #,##0.0_-;_-* &quot;-&quot;??_-;_-@_-">
                  <c:v>3081.2857142857142</c:v>
                </c:pt>
                <c:pt idx="748" formatCode="_-* #,##0.0_-;\-* #,##0.0_-;_-* &quot;-&quot;??_-;_-@_-">
                  <c:v>3202.4285714285716</c:v>
                </c:pt>
                <c:pt idx="749" formatCode="_-* #,##0.0_-;\-* #,##0.0_-;_-* &quot;-&quot;??_-;_-@_-">
                  <c:v>3341.5714285714284</c:v>
                </c:pt>
                <c:pt idx="750" formatCode="_-* #,##0.0_-;\-* #,##0.0_-;_-* &quot;-&quot;??_-;_-@_-">
                  <c:v>3480.2857142857142</c:v>
                </c:pt>
                <c:pt idx="751" formatCode="_-* #,##0.0_-;\-* #,##0.0_-;_-* &quot;-&quot;??_-;_-@_-">
                  <c:v>3435.5714285714284</c:v>
                </c:pt>
                <c:pt idx="752" formatCode="_-* #,##0.0_-;\-* #,##0.0_-;_-* &quot;-&quot;??_-;_-@_-">
                  <c:v>3431.7142857142858</c:v>
                </c:pt>
                <c:pt idx="753" formatCode="_-* #,##0.0_-;\-* #,##0.0_-;_-* &quot;-&quot;??_-;_-@_-">
                  <c:v>3414.1428571428573</c:v>
                </c:pt>
                <c:pt idx="754" formatCode="_-* #,##0.0_-;\-* #,##0.0_-;_-* &quot;-&quot;??_-;_-@_-">
                  <c:v>3418.2857142857142</c:v>
                </c:pt>
                <c:pt idx="755" formatCode="_-* #,##0.0_-;\-* #,##0.0_-;_-* &quot;-&quot;??_-;_-@_-">
                  <c:v>3421.5714285714284</c:v>
                </c:pt>
                <c:pt idx="756" formatCode="_-* #,##0.0_-;\-* #,##0.0_-;_-* &quot;-&quot;??_-;_-@_-">
                  <c:v>3365</c:v>
                </c:pt>
                <c:pt idx="757" formatCode="_-* #,##0.0_-;\-* #,##0.0_-;_-* &quot;-&quot;??_-;_-@_-">
                  <c:v>3329.1428571428573</c:v>
                </c:pt>
                <c:pt idx="758" formatCode="_-* #,##0.0_-;\-* #,##0.0_-;_-* &quot;-&quot;??_-;_-@_-">
                  <c:v>3234.2857142857142</c:v>
                </c:pt>
                <c:pt idx="759" formatCode="_-* #,##0.0_-;\-* #,##0.0_-;_-* &quot;-&quot;??_-;_-@_-">
                  <c:v>3212.7142857142858</c:v>
                </c:pt>
                <c:pt idx="760" formatCode="_-* #,##0.0_-;\-* #,##0.0_-;_-* &quot;-&quot;??_-;_-@_-">
                  <c:v>3192.2857142857142</c:v>
                </c:pt>
                <c:pt idx="761" formatCode="_-* #,##0.0_-;\-* #,##0.0_-;_-* &quot;-&quot;??_-;_-@_-">
                  <c:v>3155</c:v>
                </c:pt>
                <c:pt idx="762" formatCode="_-* #,##0.0_-;\-* #,##0.0_-;_-* &quot;-&quot;??_-;_-@_-">
                  <c:v>3103</c:v>
                </c:pt>
                <c:pt idx="763" formatCode="_-* #,##0.0_-;\-* #,##0.0_-;_-* &quot;-&quot;??_-;_-@_-">
                  <c:v>2982.5714285714284</c:v>
                </c:pt>
                <c:pt idx="764" formatCode="_-* #,##0.0_-;\-* #,##0.0_-;_-* &quot;-&quot;??_-;_-@_-">
                  <c:v>2899.1428571428573</c:v>
                </c:pt>
                <c:pt idx="765" formatCode="_-* #,##0.0_-;\-* #,##0.0_-;_-* &quot;-&quot;??_-;_-@_-">
                  <c:v>2808.8571428571427</c:v>
                </c:pt>
                <c:pt idx="766" formatCode="_-* #,##0.0_-;\-* #,##0.0_-;_-* &quot;-&quot;??_-;_-@_-">
                  <c:v>2771.8571428571427</c:v>
                </c:pt>
                <c:pt idx="767" formatCode="_-* #,##0.0_-;\-* #,##0.0_-;_-* &quot;-&quot;??_-;_-@_-">
                  <c:v>2766.7142857142858</c:v>
                </c:pt>
                <c:pt idx="768" formatCode="_-* #,##0.0_-;\-* #,##0.0_-;_-* &quot;-&quot;??_-;_-@_-">
                  <c:v>2674.1428571428573</c:v>
                </c:pt>
                <c:pt idx="769" formatCode="_-* #,##0.0_-;\-* #,##0.0_-;_-* &quot;-&quot;??_-;_-@_-">
                  <c:v>2507</c:v>
                </c:pt>
                <c:pt idx="770" formatCode="_-* #,##0.0_-;\-* #,##0.0_-;_-* &quot;-&quot;??_-;_-@_-">
                  <c:v>2390.5714285714284</c:v>
                </c:pt>
                <c:pt idx="771" formatCode="_-* #,##0.0_-;\-* #,##0.0_-;_-* &quot;-&quot;??_-;_-@_-">
                  <c:v>2254.1428571428573</c:v>
                </c:pt>
                <c:pt idx="772" formatCode="_-* #,##0.0_-;\-* #,##0.0_-;_-* &quot;-&quot;??_-;_-@_-">
                  <c:v>2240.2857142857142</c:v>
                </c:pt>
                <c:pt idx="773" formatCode="_-* #,##0.0_-;\-* #,##0.0_-;_-* &quot;-&quot;??_-;_-@_-">
                  <c:v>2216</c:v>
                </c:pt>
                <c:pt idx="774" formatCode="_-* #,##0.0_-;\-* #,##0.0_-;_-* &quot;-&quot;??_-;_-@_-">
                  <c:v>2184.4285714285716</c:v>
                </c:pt>
                <c:pt idx="775" formatCode="_-* #,##0.0_-;\-* #,##0.0_-;_-* &quot;-&quot;??_-;_-@_-">
                  <c:v>2141.8571428571427</c:v>
                </c:pt>
                <c:pt idx="776" formatCode="_-* #,##0.0_-;\-* #,##0.0_-;_-* &quot;-&quot;??_-;_-@_-">
                  <c:v>2053.7142857142858</c:v>
                </c:pt>
                <c:pt idx="777" formatCode="_-* #,##0.0_-;\-* #,##0.0_-;_-* &quot;-&quot;??_-;_-@_-">
                  <c:v>1933.4285714285713</c:v>
                </c:pt>
                <c:pt idx="778" formatCode="_-* #,##0.0_-;\-* #,##0.0_-;_-* &quot;-&quot;??_-;_-@_-">
                  <c:v>1912.8571428571429</c:v>
                </c:pt>
                <c:pt idx="779" formatCode="_-* #,##0.0_-;\-* #,##0.0_-;_-* &quot;-&quot;??_-;_-@_-">
                  <c:v>1823.5714285714287</c:v>
                </c:pt>
                <c:pt idx="780" formatCode="_-* #,##0.0_-;\-* #,##0.0_-;_-* &quot;-&quot;??_-;_-@_-">
                  <c:v>1789.5714285714287</c:v>
                </c:pt>
                <c:pt idx="781" formatCode="_-* #,##0.0_-;\-* #,##0.0_-;_-* &quot;-&quot;??_-;_-@_-">
                  <c:v>1776</c:v>
                </c:pt>
                <c:pt idx="782" formatCode="_-* #,##0.0_-;\-* #,##0.0_-;_-* &quot;-&quot;??_-;_-@_-">
                  <c:v>1663.5714285714287</c:v>
                </c:pt>
                <c:pt idx="783" formatCode="_-* #,##0.0_-;\-* #,##0.0_-;_-* &quot;-&quot;??_-;_-@_-">
                  <c:v>1598</c:v>
                </c:pt>
                <c:pt idx="784" formatCode="_-* #,##0.0_-;\-* #,##0.0_-;_-* &quot;-&quot;??_-;_-@_-">
                  <c:v>1674.5714285714287</c:v>
                </c:pt>
                <c:pt idx="785" formatCode="_-* #,##0.0_-;\-* #,##0.0_-;_-* &quot;-&quot;??_-;_-@_-">
                  <c:v>1623.8571428571429</c:v>
                </c:pt>
                <c:pt idx="786" formatCode="_-* #,##0.0_-;\-* #,##0.0_-;_-* &quot;-&quot;??_-;_-@_-">
                  <c:v>1581</c:v>
                </c:pt>
                <c:pt idx="787" formatCode="_-* #,##0.0_-;\-* #,##0.0_-;_-* &quot;-&quot;??_-;_-@_-">
                  <c:v>1586.5714285714287</c:v>
                </c:pt>
                <c:pt idx="788" formatCode="_-* #,##0.0_-;\-* #,##0.0_-;_-* &quot;-&quot;??_-;_-@_-">
                  <c:v>1608.5714285714287</c:v>
                </c:pt>
                <c:pt idx="789" formatCode="_-* #,##0.0_-;\-* #,##0.0_-;_-* &quot;-&quot;??_-;_-@_-">
                  <c:v>1571.5714285714287</c:v>
                </c:pt>
                <c:pt idx="790" formatCode="_-* #,##0.0_-;\-* #,##0.0_-;_-* &quot;-&quot;??_-;_-@_-">
                  <c:v>1555.8571428571429</c:v>
                </c:pt>
                <c:pt idx="791" formatCode="_-* #,##0.0_-;\-* #,##0.0_-;_-* &quot;-&quot;??_-;_-@_-">
                  <c:v>1387</c:v>
                </c:pt>
                <c:pt idx="792" formatCode="_-* #,##0.0_-;\-* #,##0.0_-;_-* &quot;-&quot;??_-;_-@_-">
                  <c:v>1290.5714285714287</c:v>
                </c:pt>
                <c:pt idx="793" formatCode="_-* #,##0.0_-;\-* #,##0.0_-;_-* &quot;-&quot;??_-;_-@_-">
                  <c:v>1197.5714285714287</c:v>
                </c:pt>
                <c:pt idx="794" formatCode="_-* #,##0.0_-;\-* #,##0.0_-;_-* &quot;-&quot;??_-;_-@_-">
                  <c:v>1195.1428571428571</c:v>
                </c:pt>
                <c:pt idx="795" formatCode="_-* #,##0.0_-;\-* #,##0.0_-;_-* &quot;-&quot;??_-;_-@_-">
                  <c:v>1141.5714285714287</c:v>
                </c:pt>
                <c:pt idx="796" formatCode="_-* #,##0.0_-;\-* #,##0.0_-;_-* &quot;-&quot;??_-;_-@_-">
                  <c:v>1086.7142857142858</c:v>
                </c:pt>
                <c:pt idx="797" formatCode="_-* #,##0.0_-;\-* #,##0.0_-;_-* &quot;-&quot;??_-;_-@_-">
                  <c:v>1017</c:v>
                </c:pt>
                <c:pt idx="798" formatCode="_-* #,##0.0_-;\-* #,##0.0_-;_-* &quot;-&quot;??_-;_-@_-">
                  <c:v>1005.7142857142857</c:v>
                </c:pt>
                <c:pt idx="799" formatCode="_-* #,##0.0_-;\-* #,##0.0_-;_-* &quot;-&quot;??_-;_-@_-">
                  <c:v>962.28571428571433</c:v>
                </c:pt>
                <c:pt idx="800" formatCode="_-* #,##0.0_-;\-* #,##0.0_-;_-* &quot;-&quot;??_-;_-@_-">
                  <c:v>940.85714285714289</c:v>
                </c:pt>
                <c:pt idx="801" formatCode="_-* #,##0.0_-;\-* #,##0.0_-;_-* &quot;-&quot;??_-;_-@_-">
                  <c:v>918.71428571428567</c:v>
                </c:pt>
                <c:pt idx="802" formatCode="_-* #,##0.0_-;\-* #,##0.0_-;_-* &quot;-&quot;??_-;_-@_-">
                  <c:v>929.28571428571433</c:v>
                </c:pt>
                <c:pt idx="803" formatCode="_-* #,##0.0_-;\-* #,##0.0_-;_-* &quot;-&quot;??_-;_-@_-">
                  <c:v>871.14285714285711</c:v>
                </c:pt>
                <c:pt idx="804" formatCode="_-* #,##0.0_-;\-* #,##0.0_-;_-* &quot;-&quot;??_-;_-@_-">
                  <c:v>765.71428571428567</c:v>
                </c:pt>
                <c:pt idx="805" formatCode="_-* #,##0.0_-;\-* #,##0.0_-;_-* &quot;-&quot;??_-;_-@_-">
                  <c:v>692.71428571428567</c:v>
                </c:pt>
                <c:pt idx="806" formatCode="_-* #,##0.0_-;\-* #,##0.0_-;_-* &quot;-&quot;??_-;_-@_-">
                  <c:v>657.14285714285711</c:v>
                </c:pt>
                <c:pt idx="807" formatCode="_-* #,##0.0_-;\-* #,##0.0_-;_-* &quot;-&quot;??_-;_-@_-">
                  <c:v>638.28571428571433</c:v>
                </c:pt>
                <c:pt idx="808" formatCode="_-* #,##0.0_-;\-* #,##0.0_-;_-* &quot;-&quot;??_-;_-@_-">
                  <c:v>629.28571428571433</c:v>
                </c:pt>
                <c:pt idx="809" formatCode="_-* #,##0.0_-;\-* #,##0.0_-;_-* &quot;-&quot;??_-;_-@_-">
                  <c:v>610.85714285714289</c:v>
                </c:pt>
                <c:pt idx="810" formatCode="_-* #,##0.0_-;\-* #,##0.0_-;_-* &quot;-&quot;??_-;_-@_-">
                  <c:v>582.14285714285711</c:v>
                </c:pt>
                <c:pt idx="811" formatCode="_-* #,##0.0_-;\-* #,##0.0_-;_-* &quot;-&quot;??_-;_-@_-">
                  <c:v>590.14285714285711</c:v>
                </c:pt>
                <c:pt idx="812" formatCode="_-* #,##0.0_-;\-* #,##0.0_-;_-* &quot;-&quot;??_-;_-@_-">
                  <c:v>514.71428571428567</c:v>
                </c:pt>
                <c:pt idx="813" formatCode="_-* #,##0.0_-;\-* #,##0.0_-;_-* &quot;-&quot;??_-;_-@_-">
                  <c:v>413.71428571428572</c:v>
                </c:pt>
                <c:pt idx="814" formatCode="_-* #,##0.0_-;\-* #,##0.0_-;_-* &quot;-&quot;??_-;_-@_-">
                  <c:v>325.57142857142856</c:v>
                </c:pt>
                <c:pt idx="815" formatCode="_-* #,##0.0_-;\-* #,##0.0_-;_-* &quot;-&quot;??_-;_-@_-">
                  <c:v>317.14285714285717</c:v>
                </c:pt>
                <c:pt idx="816" formatCode="_-* #,##0.0_-;\-* #,##0.0_-;_-* &quot;-&quot;??_-;_-@_-">
                  <c:v>311.85714285714283</c:v>
                </c:pt>
                <c:pt idx="817" formatCode="_-* #,##0.0_-;\-* #,##0.0_-;_-* &quot;-&quot;??_-;_-@_-">
                  <c:v>326.28571428571428</c:v>
                </c:pt>
                <c:pt idx="818" formatCode="_-* #,##0.0_-;\-* #,##0.0_-;_-* &quot;-&quot;??_-;_-@_-">
                  <c:v>332.71428571428572</c:v>
                </c:pt>
                <c:pt idx="819" formatCode="_-* #,##0.0_-;\-* #,##0.0_-;_-* &quot;-&quot;??_-;_-@_-">
                  <c:v>450.14285714285717</c:v>
                </c:pt>
                <c:pt idx="820" formatCode="_-* #,##0.0_-;\-* #,##0.0_-;_-* &quot;-&quot;??_-;_-@_-">
                  <c:v>566.28571428571433</c:v>
                </c:pt>
                <c:pt idx="821" formatCode="_-* #,##0.0_-;\-* #,##0.0_-;_-* &quot;-&quot;??_-;_-@_-">
                  <c:v>696.71428571428567</c:v>
                </c:pt>
                <c:pt idx="822" formatCode="_-* #,##0.0_-;\-* #,##0.0_-;_-* &quot;-&quot;??_-;_-@_-">
                  <c:v>716.28571428571433</c:v>
                </c:pt>
                <c:pt idx="823" formatCode="_-* #,##0.0_-;\-* #,##0.0_-;_-* &quot;-&quot;??_-;_-@_-">
                  <c:v>720.71428571428567</c:v>
                </c:pt>
                <c:pt idx="824" formatCode="_-* #,##0.0_-;\-* #,##0.0_-;_-* &quot;-&quot;??_-;_-@_-">
                  <c:v>678.71428571428567</c:v>
                </c:pt>
                <c:pt idx="825" formatCode="_-* #,##0.0_-;\-* #,##0.0_-;_-* &quot;-&quot;??_-;_-@_-">
                  <c:v>663.28571428571433</c:v>
                </c:pt>
                <c:pt idx="826" formatCode="_-* #,##0.0_-;\-* #,##0.0_-;_-* &quot;-&quot;??_-;_-@_-">
                  <c:v>644.57142857142856</c:v>
                </c:pt>
                <c:pt idx="827" formatCode="_-* #,##0.0_-;\-* #,##0.0_-;_-* &quot;-&quot;??_-;_-@_-">
                  <c:v>646.71428571428567</c:v>
                </c:pt>
                <c:pt idx="828" formatCode="_-* #,##0.0_-;\-* #,##0.0_-;_-* &quot;-&quot;??_-;_-@_-">
                  <c:v>596.71428571428567</c:v>
                </c:pt>
                <c:pt idx="829" formatCode="_-* #,##0.0_-;\-* #,##0.0_-;_-* &quot;-&quot;??_-;_-@_-">
                  <c:v>577</c:v>
                </c:pt>
                <c:pt idx="830" formatCode="_-* #,##0.0_-;\-* #,##0.0_-;_-* &quot;-&quot;??_-;_-@_-">
                  <c:v>568.42857142857144</c:v>
                </c:pt>
                <c:pt idx="831" formatCode="_-* #,##0.0_-;\-* #,##0.0_-;_-* &quot;-&quot;??_-;_-@_-">
                  <c:v>502.28571428571428</c:v>
                </c:pt>
                <c:pt idx="832" formatCode="_-* #,##0.0_-;\-* #,##0.0_-;_-* &quot;-&quot;??_-;_-@_-">
                  <c:v>490.28571428571428</c:v>
                </c:pt>
                <c:pt idx="833" formatCode="_-* #,##0.0_-;\-* #,##0.0_-;_-* &quot;-&quot;??_-;_-@_-">
                  <c:v>444.14285714285717</c:v>
                </c:pt>
                <c:pt idx="834" formatCode="_-* #,##0.0_-;\-* #,##0.0_-;_-* &quot;-&quot;??_-;_-@_-">
                  <c:v>419.85714285714283</c:v>
                </c:pt>
                <c:pt idx="835" formatCode="_-* #,##0.0_-;\-* #,##0.0_-;_-* &quot;-&quot;??_-;_-@_-">
                  <c:v>410.14285714285717</c:v>
                </c:pt>
                <c:pt idx="836" formatCode="_-* #,##0.0_-;\-* #,##0.0_-;_-* &quot;-&quot;??_-;_-@_-">
                  <c:v>412</c:v>
                </c:pt>
                <c:pt idx="837" formatCode="_-* #,##0.0_-;\-* #,##0.0_-;_-* &quot;-&quot;??_-;_-@_-">
                  <c:v>417.14285714285717</c:v>
                </c:pt>
                <c:pt idx="838" formatCode="_-* #,##0.0_-;\-* #,##0.0_-;_-* &quot;-&quot;??_-;_-@_-">
                  <c:v>495.71428571428572</c:v>
                </c:pt>
                <c:pt idx="839" formatCode="_-* #,##0.0_-;\-* #,##0.0_-;_-* &quot;-&quot;??_-;_-@_-">
                  <c:v>460.28571428571428</c:v>
                </c:pt>
                <c:pt idx="840" formatCode="_-* #,##0.0_-;\-* #,##0.0_-;_-* &quot;-&quot;??_-;_-@_-">
                  <c:v>445.28571428571428</c:v>
                </c:pt>
                <c:pt idx="841" formatCode="_-* #,##0.0_-;\-* #,##0.0_-;_-* &quot;-&quot;??_-;_-@_-">
                  <c:v>438.57142857142856</c:v>
                </c:pt>
                <c:pt idx="842" formatCode="_-* #,##0.0_-;\-* #,##0.0_-;_-* &quot;-&quot;??_-;_-@_-">
                  <c:v>430.71428571428572</c:v>
                </c:pt>
                <c:pt idx="843" formatCode="_-* #,##0.0_-;\-* #,##0.0_-;_-* &quot;-&quot;??_-;_-@_-">
                  <c:v>429.71428571428572</c:v>
                </c:pt>
                <c:pt idx="844" formatCode="_-* #,##0.0_-;\-* #,##0.0_-;_-* &quot;-&quot;??_-;_-@_-">
                  <c:v>434.14285714285717</c:v>
                </c:pt>
                <c:pt idx="845" formatCode="_-* #,##0.0_-;\-* #,##0.0_-;_-* &quot;-&quot;??_-;_-@_-">
                  <c:v>432.14285714285717</c:v>
                </c:pt>
                <c:pt idx="846" formatCode="_-* #,##0.0_-;\-* #,##0.0_-;_-* &quot;-&quot;??_-;_-@_-">
                  <c:v>480.14285714285717</c:v>
                </c:pt>
                <c:pt idx="847" formatCode="_-* #,##0.0_-;\-* #,##0.0_-;_-* &quot;-&quot;??_-;_-@_-">
                  <c:v>525.14285714285711</c:v>
                </c:pt>
                <c:pt idx="848" formatCode="_-* #,##0.0_-;\-* #,##0.0_-;_-* &quot;-&quot;??_-;_-@_-">
                  <c:v>560.71428571428567</c:v>
                </c:pt>
                <c:pt idx="849" formatCode="_-* #,##0.0_-;\-* #,##0.0_-;_-* &quot;-&quot;??_-;_-@_-">
                  <c:v>563.42857142857144</c:v>
                </c:pt>
                <c:pt idx="850" formatCode="_-* #,##0.0_-;\-* #,##0.0_-;_-* &quot;-&quot;??_-;_-@_-">
                  <c:v>570.42857142857144</c:v>
                </c:pt>
                <c:pt idx="851" formatCode="_-* #,##0.0_-;\-* #,##0.0_-;_-* &quot;-&quot;??_-;_-@_-">
                  <c:v>569.28571428571433</c:v>
                </c:pt>
                <c:pt idx="852" formatCode="_-* #,##0.0_-;\-* #,##0.0_-;_-* &quot;-&quot;??_-;_-@_-">
                  <c:v>559.57142857142856</c:v>
                </c:pt>
                <c:pt idx="853" formatCode="_-* #,##0.0_-;\-* #,##0.0_-;_-* &quot;-&quot;??_-;_-@_-">
                  <c:v>563</c:v>
                </c:pt>
                <c:pt idx="854" formatCode="_-* #,##0.0_-;\-* #,##0.0_-;_-* &quot;-&quot;??_-;_-@_-">
                  <c:v>534</c:v>
                </c:pt>
                <c:pt idx="855" formatCode="_-* #,##0.0_-;\-* #,##0.0_-;_-* &quot;-&quot;??_-;_-@_-">
                  <c:v>501.28571428571428</c:v>
                </c:pt>
                <c:pt idx="856" formatCode="_-* #,##0.0_-;\-* #,##0.0_-;_-* &quot;-&quot;??_-;_-@_-">
                  <c:v>518.57142857142856</c:v>
                </c:pt>
                <c:pt idx="857" formatCode="_-* #,##0.0_-;\-* #,##0.0_-;_-* &quot;-&quot;??_-;_-@_-">
                  <c:v>514.57142857142856</c:v>
                </c:pt>
                <c:pt idx="858" formatCode="_-* #,##0.0_-;\-* #,##0.0_-;_-* &quot;-&quot;??_-;_-@_-">
                  <c:v>513.28571428571433</c:v>
                </c:pt>
                <c:pt idx="859" formatCode="_-* #,##0.0_-;\-* #,##0.0_-;_-* &quot;-&quot;??_-;_-@_-">
                  <c:v>544.14285714285711</c:v>
                </c:pt>
                <c:pt idx="860" formatCode="_-* #,##0.0_-;\-* #,##0.0_-;_-* &quot;-&quot;??_-;_-@_-">
                  <c:v>557.85714285714289</c:v>
                </c:pt>
                <c:pt idx="861" formatCode="_-* #,##0.0_-;\-* #,##0.0_-;_-* &quot;-&quot;??_-;_-@_-">
                  <c:v>590.14285714285711</c:v>
                </c:pt>
                <c:pt idx="862" formatCode="_-* #,##0.0_-;\-* #,##0.0_-;_-* &quot;-&quot;??_-;_-@_-">
                  <c:v>612.57142857142856</c:v>
                </c:pt>
                <c:pt idx="863" formatCode="_-* #,##0.0_-;\-* #,##0.0_-;_-* &quot;-&quot;??_-;_-@_-">
                  <c:v>651.14285714285711</c:v>
                </c:pt>
                <c:pt idx="864" formatCode="_-* #,##0.0_-;\-* #,##0.0_-;_-* &quot;-&quot;??_-;_-@_-">
                  <c:v>652.57142857142856</c:v>
                </c:pt>
                <c:pt idx="865" formatCode="_-* #,##0.0_-;\-* #,##0.0_-;_-* &quot;-&quot;??_-;_-@_-">
                  <c:v>657.57142857142856</c:v>
                </c:pt>
                <c:pt idx="866" formatCode="_-* #,##0.0_-;\-* #,##0.0_-;_-* &quot;-&quot;??_-;_-@_-">
                  <c:v>699.71428571428567</c:v>
                </c:pt>
                <c:pt idx="867" formatCode="_-* #,##0.0_-;\-* #,##0.0_-;_-* &quot;-&quot;??_-;_-@_-">
                  <c:v>769.28571428571433</c:v>
                </c:pt>
                <c:pt idx="868" formatCode="_-* #,##0.0_-;\-* #,##0.0_-;_-* &quot;-&quot;??_-;_-@_-">
                  <c:v>800.57142857142856</c:v>
                </c:pt>
                <c:pt idx="869" formatCode="_-* #,##0.0_-;\-* #,##0.0_-;_-* &quot;-&quot;??_-;_-@_-">
                  <c:v>864.28571428571433</c:v>
                </c:pt>
                <c:pt idx="870" formatCode="_-* #,##0.0_-;\-* #,##0.0_-;_-* &quot;-&quot;??_-;_-@_-">
                  <c:v>905.28571428571433</c:v>
                </c:pt>
                <c:pt idx="871" formatCode="_-* #,##0.0_-;\-* #,##0.0_-;_-* &quot;-&quot;??_-;_-@_-">
                  <c:v>921.42857142857144</c:v>
                </c:pt>
                <c:pt idx="872" formatCode="_-* #,##0.0_-;\-* #,##0.0_-;_-* &quot;-&quot;??_-;_-@_-">
                  <c:v>927.85714285714289</c:v>
                </c:pt>
                <c:pt idx="873" formatCode="_-* #,##0.0_-;\-* #,##0.0_-;_-* &quot;-&quot;??_-;_-@_-">
                  <c:v>984</c:v>
                </c:pt>
                <c:pt idx="874" formatCode="_-* #,##0.0_-;\-* #,##0.0_-;_-* &quot;-&quot;??_-;_-@_-">
                  <c:v>1089.2857142857142</c:v>
                </c:pt>
                <c:pt idx="875" formatCode="_-* #,##0.0_-;\-* #,##0.0_-;_-* &quot;-&quot;??_-;_-@_-">
                  <c:v>1162.7142857142858</c:v>
                </c:pt>
                <c:pt idx="876" formatCode="_-* #,##0.0_-;\-* #,##0.0_-;_-* &quot;-&quot;??_-;_-@_-">
                  <c:v>1250.8571428571429</c:v>
                </c:pt>
                <c:pt idx="877" formatCode="_-* #,##0.0_-;\-* #,##0.0_-;_-* &quot;-&quot;??_-;_-@_-">
                  <c:v>1324.5714285714287</c:v>
                </c:pt>
                <c:pt idx="878" formatCode="_-* #,##0.0_-;\-* #,##0.0_-;_-* &quot;-&quot;??_-;_-@_-">
                  <c:v>1336.4285714285713</c:v>
                </c:pt>
                <c:pt idx="879" formatCode="_-* #,##0.0_-;\-* #,##0.0_-;_-* &quot;-&quot;??_-;_-@_-">
                  <c:v>1350.2857142857142</c:v>
                </c:pt>
                <c:pt idx="880" formatCode="_-* #,##0.0_-;\-* #,##0.0_-;_-* &quot;-&quot;??_-;_-@_-">
                  <c:v>1553.8571428571429</c:v>
                </c:pt>
                <c:pt idx="881" formatCode="_-* #,##0.0_-;\-* #,##0.0_-;_-* &quot;-&quot;??_-;_-@_-">
                  <c:v>1688.7142857142858</c:v>
                </c:pt>
                <c:pt idx="882" formatCode="_-* #,##0.0_-;\-* #,##0.0_-;_-* &quot;-&quot;??_-;_-@_-">
                  <c:v>1916.2857142857142</c:v>
                </c:pt>
                <c:pt idx="883" formatCode="_-* #,##0.0_-;\-* #,##0.0_-;_-* &quot;-&quot;??_-;_-@_-">
                  <c:v>2095.7142857142858</c:v>
                </c:pt>
                <c:pt idx="884" formatCode="_-* #,##0.0_-;\-* #,##0.0_-;_-* &quot;-&quot;??_-;_-@_-">
                  <c:v>2280.5714285714284</c:v>
                </c:pt>
                <c:pt idx="885" formatCode="_-* #,##0.0_-;\-* #,##0.0_-;_-* &quot;-&quot;??_-;_-@_-">
                  <c:v>2340.4285714285716</c:v>
                </c:pt>
                <c:pt idx="886" formatCode="_-* #,##0.0_-;\-* #,##0.0_-;_-* &quot;-&quot;??_-;_-@_-">
                  <c:v>2392.4285714285716</c:v>
                </c:pt>
                <c:pt idx="887" formatCode="_-* #,##0.0_-;\-* #,##0.0_-;_-* &quot;-&quot;??_-;_-@_-">
                  <c:v>2519.2857142857142</c:v>
                </c:pt>
                <c:pt idx="888" formatCode="_-* #,##0.0_-;\-* #,##0.0_-;_-* &quot;-&quot;??_-;_-@_-">
                  <c:v>2699.2857142857142</c:v>
                </c:pt>
                <c:pt idx="889" formatCode="_-* #,##0.0_-;\-* #,##0.0_-;_-* &quot;-&quot;??_-;_-@_-">
                  <c:v>2971.5714285714284</c:v>
                </c:pt>
                <c:pt idx="890" formatCode="_-* #,##0.0_-;\-* #,##0.0_-;_-* &quot;-&quot;??_-;_-@_-">
                  <c:v>3178.5714285714284</c:v>
                </c:pt>
                <c:pt idx="891" formatCode="_-* #,##0.0_-;\-* #,##0.0_-;_-* &quot;-&quot;??_-;_-@_-">
                  <c:v>3237.7142857142858</c:v>
                </c:pt>
                <c:pt idx="892" formatCode="_-* #,##0.0_-;\-* #,##0.0_-;_-* &quot;-&quot;??_-;_-@_-">
                  <c:v>3349.1428571428573</c:v>
                </c:pt>
                <c:pt idx="893" formatCode="_-* #,##0.0_-;\-* #,##0.0_-;_-* &quot;-&quot;??_-;_-@_-">
                  <c:v>3383.4285714285716</c:v>
                </c:pt>
                <c:pt idx="894" formatCode="_-* #,##0.0_-;\-* #,##0.0_-;_-* &quot;-&quot;??_-;_-@_-">
                  <c:v>3005.7142857142858</c:v>
                </c:pt>
                <c:pt idx="895" formatCode="_-* #,##0.0_-;\-* #,##0.0_-;_-* &quot;-&quot;??_-;_-@_-">
                  <c:v>3118.7142857142858</c:v>
                </c:pt>
                <c:pt idx="896" formatCode="_-* #,##0.0_-;\-* #,##0.0_-;_-* &quot;-&quot;??_-;_-@_-">
                  <c:v>3220.7142857142858</c:v>
                </c:pt>
                <c:pt idx="897" formatCode="_-* #,##0.0_-;\-* #,##0.0_-;_-* &quot;-&quot;??_-;_-@_-">
                  <c:v>3425.5714285714284</c:v>
                </c:pt>
                <c:pt idx="898" formatCode="_-* #,##0.0_-;\-* #,##0.0_-;_-* &quot;-&quot;??_-;_-@_-">
                  <c:v>3742.2857142857142</c:v>
                </c:pt>
                <c:pt idx="899" formatCode="_-* #,##0.0_-;\-* #,##0.0_-;_-* &quot;-&quot;??_-;_-@_-">
                  <c:v>3882.5714285714284</c:v>
                </c:pt>
                <c:pt idx="900" formatCode="_-* #,##0.0_-;\-* #,##0.0_-;_-* &quot;-&quot;??_-;_-@_-">
                  <c:v>3943.2857142857142</c:v>
                </c:pt>
                <c:pt idx="901" formatCode="_-* #,##0.0_-;\-* #,##0.0_-;_-* &quot;-&quot;??_-;_-@_-">
                  <c:v>4718.5714285714284</c:v>
                </c:pt>
                <c:pt idx="902" formatCode="_-* #,##0.0_-;\-* #,##0.0_-;_-* &quot;-&quot;??_-;_-@_-">
                  <c:v>5092</c:v>
                </c:pt>
                <c:pt idx="903" formatCode="_-* #,##0.0_-;\-* #,##0.0_-;_-* &quot;-&quot;??_-;_-@_-">
                  <c:v>5337.4285714285716</c:v>
                </c:pt>
                <c:pt idx="904" formatCode="_-* #,##0.0_-;\-* #,##0.0_-;_-* &quot;-&quot;??_-;_-@_-">
                  <c:v>5462.7142857142853</c:v>
                </c:pt>
                <c:pt idx="905" formatCode="_-* #,##0.0_-;\-* #,##0.0_-;_-* &quot;-&quot;??_-;_-@_-">
                  <c:v>5402.1428571428569</c:v>
                </c:pt>
                <c:pt idx="906" formatCode="_-* #,##0.0_-;\-* #,##0.0_-;_-* &quot;-&quot;??_-;_-@_-">
                  <c:v>5286.4285714285716</c:v>
                </c:pt>
                <c:pt idx="907" formatCode="_-* #,##0.0_-;\-* #,##0.0_-;_-* &quot;-&quot;??_-;_-@_-">
                  <c:v>5213.7142857142853</c:v>
                </c:pt>
                <c:pt idx="908" formatCode="_-* #,##0.0_-;\-* #,##0.0_-;_-* &quot;-&quot;??_-;_-@_-">
                  <c:v>5126.7142857142853</c:v>
                </c:pt>
                <c:pt idx="909" formatCode="_-* #,##0.0_-;\-* #,##0.0_-;_-* &quot;-&quot;??_-;_-@_-">
                  <c:v>4980.4285714285716</c:v>
                </c:pt>
                <c:pt idx="910" formatCode="_-* #,##0.0_-;\-* #,##0.0_-;_-* &quot;-&quot;??_-;_-@_-">
                  <c:v>4812.8571428571431</c:v>
                </c:pt>
                <c:pt idx="911" formatCode="_-* #,##0.0_-;\-* #,##0.0_-;_-* &quot;-&quot;??_-;_-@_-">
                  <c:v>4724.7142857142853</c:v>
                </c:pt>
                <c:pt idx="912" formatCode="_-* #,##0.0_-;\-* #,##0.0_-;_-* &quot;-&quot;??_-;_-@_-">
                  <c:v>4635.5714285714284</c:v>
                </c:pt>
                <c:pt idx="913" formatCode="_-* #,##0.0_-;\-* #,##0.0_-;_-* &quot;-&quot;??_-;_-@_-">
                  <c:v>4598.4285714285716</c:v>
                </c:pt>
                <c:pt idx="914" formatCode="_-* #,##0.0_-;\-* #,##0.0_-;_-* &quot;-&quot;??_-;_-@_-">
                  <c:v>4613.8571428571431</c:v>
                </c:pt>
                <c:pt idx="915" formatCode="_-* #,##0.0_-;\-* #,##0.0_-;_-* &quot;-&quot;??_-;_-@_-">
                  <c:v>4519.1428571428569</c:v>
                </c:pt>
                <c:pt idx="916" formatCode="_-* #,##0.0_-;\-* #,##0.0_-;_-* &quot;-&quot;??_-;_-@_-">
                  <c:v>4260.7142857142853</c:v>
                </c:pt>
              </c:numCache>
            </c:numRef>
          </c:val>
          <c:smooth val="0"/>
          <c:extLst>
            <c:ext xmlns:c16="http://schemas.microsoft.com/office/drawing/2014/chart" uri="{C3380CC4-5D6E-409C-BE32-E72D297353CC}">
              <c16:uniqueId val="{00000001-0A39-4611-96A9-B64A726D09BE}"/>
            </c:ext>
          </c:extLst>
        </c:ser>
        <c:dLbls>
          <c:showLegendKey val="0"/>
          <c:showVal val="0"/>
          <c:showCatName val="0"/>
          <c:showSerName val="0"/>
          <c:showPercent val="0"/>
          <c:showBubbleSize val="0"/>
        </c:dLbls>
        <c:marker val="1"/>
        <c:smooth val="0"/>
        <c:axId val="287370976"/>
        <c:axId val="287373472"/>
      </c:lineChart>
      <c:dateAx>
        <c:axId val="1749573887"/>
        <c:scaling>
          <c:orientation val="minMax"/>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49576383"/>
        <c:crosses val="autoZero"/>
        <c:auto val="1"/>
        <c:lblOffset val="100"/>
        <c:baseTimeUnit val="days"/>
      </c:dateAx>
      <c:valAx>
        <c:axId val="17495763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49573887"/>
        <c:crosses val="autoZero"/>
        <c:crossBetween val="between"/>
        <c:dispUnits>
          <c:builtInUnit val="millions"/>
          <c:dispUnitsLbl>
            <c:layout>
              <c:manualLayout>
                <c:xMode val="edge"/>
                <c:yMode val="edge"/>
                <c:x val="5.5555555555555558E-3"/>
                <c:y val="0.31060185185185185"/>
              </c:manualLayout>
            </c:layout>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a:latin typeface="Times New Roman" panose="02020603050405020304" pitchFamily="18" charset="0"/>
                      <a:cs typeface="Times New Roman" panose="02020603050405020304" pitchFamily="18" charset="0"/>
                    </a:rPr>
                    <a:t>Mundo (Millones)</a:t>
                  </a:r>
                </a:p>
              </c:rich>
            </c:tx>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ispUnitsLbl>
        </c:dispUnits>
      </c:valAx>
      <c:valAx>
        <c:axId val="2873734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370976"/>
        <c:crosses val="max"/>
        <c:crossBetween val="between"/>
        <c:dispUnits>
          <c:builtInUnit val="thousands"/>
          <c:dispUnitsLbl>
            <c:layout>
              <c:manualLayout>
                <c:xMode val="edge"/>
                <c:yMode val="edge"/>
                <c:x val="0.9246567024384047"/>
                <c:y val="0.14673525315290598"/>
              </c:manualLayout>
            </c:layout>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a:latin typeface="Times New Roman" panose="02020603050405020304" pitchFamily="18" charset="0"/>
                      <a:cs typeface="Times New Roman" panose="02020603050405020304" pitchFamily="18" charset="0"/>
                    </a:rPr>
                    <a:t>Guatemala (Miles)</a:t>
                  </a:r>
                </a:p>
              </c:rich>
            </c:tx>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ispUnitsLbl>
        </c:dispUnits>
      </c:valAx>
      <c:catAx>
        <c:axId val="287370976"/>
        <c:scaling>
          <c:orientation val="minMax"/>
        </c:scaling>
        <c:delete val="1"/>
        <c:axPos val="b"/>
        <c:majorTickMark val="out"/>
        <c:minorTickMark val="none"/>
        <c:tickLblPos val="nextTo"/>
        <c:crossAx val="287373472"/>
        <c:crosses val="autoZero"/>
        <c:auto val="1"/>
        <c:lblAlgn val="ctr"/>
        <c:lblOffset val="100"/>
        <c:noMultiLvlLbl val="0"/>
      </c:catAx>
      <c:spPr>
        <a:noFill/>
        <a:ln>
          <a:noFill/>
        </a:ln>
        <a:effectLst/>
      </c:spPr>
    </c:plotArea>
    <c:legend>
      <c:legendPos val="r"/>
      <c:layout>
        <c:manualLayout>
          <c:xMode val="edge"/>
          <c:yMode val="edge"/>
          <c:x val="0.16469722222222224"/>
          <c:y val="8.6587500000000012E-2"/>
          <c:w val="0.26342579365079366"/>
          <c:h val="0.1279124999999999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97916666666662"/>
          <c:y val="0.13915555555555556"/>
          <c:w val="0.74644409722222227"/>
          <c:h val="0.73357986111111106"/>
        </c:manualLayout>
      </c:layout>
      <c:scatterChart>
        <c:scatterStyle val="lineMarker"/>
        <c:varyColors val="0"/>
        <c:ser>
          <c:idx val="0"/>
          <c:order val="0"/>
          <c:spPr>
            <a:ln w="25400" cap="rnd">
              <a:noFill/>
              <a:round/>
            </a:ln>
            <a:effectLst/>
          </c:spPr>
          <c:marker>
            <c:symbol val="diamond"/>
            <c:size val="5"/>
            <c:spPr>
              <a:solidFill>
                <a:srgbClr val="002060"/>
              </a:solidFill>
              <a:ln w="9525">
                <a:noFill/>
              </a:ln>
              <a:effectLst/>
            </c:spPr>
          </c:marker>
          <c:dLbls>
            <c:dLbl>
              <c:idx val="0"/>
              <c:tx>
                <c:rich>
                  <a:bodyPr/>
                  <a:lstStyle/>
                  <a:p>
                    <a:fld id="{B81FE1F6-1852-4499-B13B-33D479BD6D68}" type="CELLRANGE">
                      <a:rPr lang="en-US" sz="500"/>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359-492A-8846-ECB0B0D4E60E}"/>
                </c:ext>
              </c:extLst>
            </c:dLbl>
            <c:dLbl>
              <c:idx val="1"/>
              <c:tx>
                <c:rich>
                  <a:bodyPr/>
                  <a:lstStyle/>
                  <a:p>
                    <a:fld id="{26B969ED-3F7A-4DFE-97FB-2AFAB2D0C755}"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359-492A-8846-ECB0B0D4E60E}"/>
                </c:ext>
              </c:extLst>
            </c:dLbl>
            <c:dLbl>
              <c:idx val="2"/>
              <c:tx>
                <c:rich>
                  <a:bodyPr/>
                  <a:lstStyle/>
                  <a:p>
                    <a:fld id="{9C7FDFCB-E0C3-4E1D-955A-3D237B5364D8}"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359-492A-8846-ECB0B0D4E60E}"/>
                </c:ext>
              </c:extLst>
            </c:dLbl>
            <c:dLbl>
              <c:idx val="3"/>
              <c:tx>
                <c:rich>
                  <a:bodyPr/>
                  <a:lstStyle/>
                  <a:p>
                    <a:fld id="{B21D5D4F-0D42-4B79-BA1C-7C1C5F95B49B}"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359-492A-8846-ECB0B0D4E60E}"/>
                </c:ext>
              </c:extLst>
            </c:dLbl>
            <c:dLbl>
              <c:idx val="4"/>
              <c:tx>
                <c:rich>
                  <a:bodyPr/>
                  <a:lstStyle/>
                  <a:p>
                    <a:fld id="{21939447-F2F5-4FF8-9CD3-2D5C3FBBF858}"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359-492A-8846-ECB0B0D4E60E}"/>
                </c:ext>
              </c:extLst>
            </c:dLbl>
            <c:dLbl>
              <c:idx val="5"/>
              <c:tx>
                <c:rich>
                  <a:bodyPr/>
                  <a:lstStyle/>
                  <a:p>
                    <a:fld id="{8575FBF5-BBFB-495A-A224-2F618334A24B}"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359-492A-8846-ECB0B0D4E60E}"/>
                </c:ext>
              </c:extLst>
            </c:dLbl>
            <c:dLbl>
              <c:idx val="6"/>
              <c:layout>
                <c:manualLayout>
                  <c:x val="-6.1284375000000078E-2"/>
                  <c:y val="6.7579166666666662E-2"/>
                </c:manualLayout>
              </c:layout>
              <c:tx>
                <c:rich>
                  <a:bodyPr/>
                  <a:lstStyle/>
                  <a:p>
                    <a:fld id="{0D183993-95B4-4769-8193-F9FBCB282779}"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359-492A-8846-ECB0B0D4E60E}"/>
                </c:ext>
              </c:extLst>
            </c:dLbl>
            <c:dLbl>
              <c:idx val="7"/>
              <c:tx>
                <c:rich>
                  <a:bodyPr/>
                  <a:lstStyle/>
                  <a:p>
                    <a:fld id="{9FDA6CAF-E9D8-497E-8C1C-C6485FA10CE0}"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359-492A-8846-ECB0B0D4E60E}"/>
                </c:ext>
              </c:extLst>
            </c:dLbl>
            <c:dLbl>
              <c:idx val="8"/>
              <c:layout>
                <c:manualLayout>
                  <c:x val="-6.3268749999999999E-2"/>
                  <c:y val="9.4037499999999996E-2"/>
                </c:manualLayout>
              </c:layout>
              <c:tx>
                <c:rich>
                  <a:bodyPr/>
                  <a:lstStyle/>
                  <a:p>
                    <a:fld id="{2CBD0414-B023-4CBF-8FDD-E268AEF215FD}"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359-492A-8846-ECB0B0D4E60E}"/>
                </c:ext>
              </c:extLst>
            </c:dLbl>
            <c:dLbl>
              <c:idx val="9"/>
              <c:tx>
                <c:rich>
                  <a:bodyPr/>
                  <a:lstStyle/>
                  <a:p>
                    <a:fld id="{A1B51A78-A0D5-4AA3-9649-8999F701666E}"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359-492A-8846-ECB0B0D4E60E}"/>
                </c:ext>
              </c:extLst>
            </c:dLbl>
            <c:dLbl>
              <c:idx val="10"/>
              <c:tx>
                <c:rich>
                  <a:bodyPr/>
                  <a:lstStyle/>
                  <a:p>
                    <a:fld id="{4D333B75-AB79-4B8A-95C6-11C225F8F81C}"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359-492A-8846-ECB0B0D4E60E}"/>
                </c:ext>
              </c:extLst>
            </c:dLbl>
            <c:dLbl>
              <c:idx val="11"/>
              <c:tx>
                <c:rich>
                  <a:bodyPr/>
                  <a:lstStyle/>
                  <a:p>
                    <a:fld id="{BE394B80-5FAE-4CB2-9332-9AF9A98E4257}"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359-492A-8846-ECB0B0D4E60E}"/>
                </c:ext>
              </c:extLst>
            </c:dLbl>
            <c:dLbl>
              <c:idx val="12"/>
              <c:tx>
                <c:rich>
                  <a:bodyPr/>
                  <a:lstStyle/>
                  <a:p>
                    <a:fld id="{CDE8E6EE-0950-49B9-8EF2-C0CF1B43A633}"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359-492A-8846-ECB0B0D4E60E}"/>
                </c:ext>
              </c:extLst>
            </c:dLbl>
            <c:dLbl>
              <c:idx val="13"/>
              <c:tx>
                <c:rich>
                  <a:bodyPr/>
                  <a:lstStyle/>
                  <a:p>
                    <a:fld id="{93B49DF0-0157-4D59-9DA9-B046144E9FE8}" type="CELLRANGE">
                      <a:rPr lang="en-US"/>
                      <a:pPr/>
                      <a:t>[CELLRANGE]</a:t>
                    </a:fld>
                    <a:endParaRPr lang="es-GT"/>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1359-492A-8846-ECB0B0D4E60E}"/>
                </c:ext>
              </c:extLst>
            </c:dLbl>
            <c:dLbl>
              <c:idx val="14"/>
              <c:tx>
                <c:rich>
                  <a:bodyPr/>
                  <a:lstStyle/>
                  <a:p>
                    <a:fld id="{49EE5EA9-38F3-42E6-88C2-29B1DD9B1AE7}"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1359-492A-8846-ECB0B0D4E60E}"/>
                </c:ext>
              </c:extLst>
            </c:dLbl>
            <c:dLbl>
              <c:idx val="15"/>
              <c:tx>
                <c:rich>
                  <a:bodyPr/>
                  <a:lstStyle/>
                  <a:p>
                    <a:fld id="{040B873A-BBF8-463A-B416-2924AA082A02}"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1359-492A-8846-ECB0B0D4E60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rgbClr val="C00000"/>
                </a:solidFill>
                <a:prstDash val="sysDot"/>
              </a:ln>
              <a:effectLst/>
            </c:spPr>
            <c:trendlineType val="linear"/>
            <c:dispRSqr val="0"/>
            <c:dispEq val="0"/>
          </c:trendline>
          <c:xVal>
            <c:numRef>
              <c:f>gráfico!$D$4:$D$19</c:f>
              <c:numCache>
                <c:formatCode>_(* #,##0.00_);_(* \(#,##0.00\);_(* "-"??_);_(@_)</c:formatCode>
                <c:ptCount val="16"/>
                <c:pt idx="0">
                  <c:v>77.433600000000425</c:v>
                </c:pt>
                <c:pt idx="1">
                  <c:v>76.039927272727098</c:v>
                </c:pt>
                <c:pt idx="2">
                  <c:v>77.897963636363741</c:v>
                </c:pt>
                <c:pt idx="3">
                  <c:v>66.272545454545465</c:v>
                </c:pt>
                <c:pt idx="4">
                  <c:v>88.996581818181653</c:v>
                </c:pt>
                <c:pt idx="5">
                  <c:v>78.97225454545476</c:v>
                </c:pt>
                <c:pt idx="6">
                  <c:v>78.947854545454931</c:v>
                </c:pt>
                <c:pt idx="7">
                  <c:v>70.746581818181795</c:v>
                </c:pt>
                <c:pt idx="8">
                  <c:v>77.897963636363741</c:v>
                </c:pt>
                <c:pt idx="9">
                  <c:v>83.817309090908907</c:v>
                </c:pt>
                <c:pt idx="10">
                  <c:v>83.205018181818417</c:v>
                </c:pt>
                <c:pt idx="11">
                  <c:v>74.118218181817909</c:v>
                </c:pt>
                <c:pt idx="12">
                  <c:v>79.720763636363486</c:v>
                </c:pt>
                <c:pt idx="13">
                  <c:v>76.654509090909201</c:v>
                </c:pt>
                <c:pt idx="14">
                  <c:v>69.022872727272457</c:v>
                </c:pt>
                <c:pt idx="15">
                  <c:v>69.363563636363409</c:v>
                </c:pt>
              </c:numCache>
            </c:numRef>
          </c:xVal>
          <c:yVal>
            <c:numRef>
              <c:f>gráfico!$J$4:$J$19</c:f>
              <c:numCache>
                <c:formatCode>_-* #,##0.0_-;\-* #,##0.0_-;_-* "-"??_-;_-@_-</c:formatCode>
                <c:ptCount val="16"/>
                <c:pt idx="0">
                  <c:v>-1.8</c:v>
                </c:pt>
                <c:pt idx="1">
                  <c:v>-7.9420000000000002</c:v>
                </c:pt>
                <c:pt idx="2">
                  <c:v>-7.048</c:v>
                </c:pt>
                <c:pt idx="3">
                  <c:v>-4.0510000000000002</c:v>
                </c:pt>
                <c:pt idx="4">
                  <c:v>-8.9649999999999999</c:v>
                </c:pt>
                <c:pt idx="5">
                  <c:v>-17.945</c:v>
                </c:pt>
                <c:pt idx="6">
                  <c:v>-6.72</c:v>
                </c:pt>
                <c:pt idx="7">
                  <c:v>-3.879</c:v>
                </c:pt>
                <c:pt idx="8">
                  <c:v>-7.048</c:v>
                </c:pt>
                <c:pt idx="9">
                  <c:v>-8.7379999999999995</c:v>
                </c:pt>
                <c:pt idx="10">
                  <c:v>-11.018000000000001</c:v>
                </c:pt>
                <c:pt idx="11">
                  <c:v>-8.1669999999999998</c:v>
                </c:pt>
                <c:pt idx="12">
                  <c:v>-6.0629999999999997</c:v>
                </c:pt>
                <c:pt idx="13">
                  <c:v>-0.82</c:v>
                </c:pt>
                <c:pt idx="14">
                  <c:v>-3.4049999999999998</c:v>
                </c:pt>
                <c:pt idx="15">
                  <c:v>-5.2329999999999997</c:v>
                </c:pt>
              </c:numCache>
            </c:numRef>
          </c:yVal>
          <c:smooth val="0"/>
          <c:extLst>
            <c:ext xmlns:c15="http://schemas.microsoft.com/office/drawing/2012/chart" uri="{02D57815-91ED-43cb-92C2-25804820EDAC}">
              <c15:datalabelsRange>
                <c15:f>gráfico!$C$4:$C$19</c15:f>
                <c15:dlblRangeCache>
                  <c:ptCount val="16"/>
                  <c:pt idx="0">
                    <c:v>GTM</c:v>
                  </c:pt>
                  <c:pt idx="1">
                    <c:v>SLV</c:v>
                  </c:pt>
                  <c:pt idx="2">
                    <c:v>COL</c:v>
                  </c:pt>
                  <c:pt idx="3">
                    <c:v>CRI</c:v>
                  </c:pt>
                  <c:pt idx="4">
                    <c:v>HND</c:v>
                  </c:pt>
                  <c:pt idx="5">
                    <c:v>PAN</c:v>
                  </c:pt>
                  <c:pt idx="6">
                    <c:v>DOM</c:v>
                  </c:pt>
                  <c:pt idx="7">
                    <c:v>BRA</c:v>
                  </c:pt>
                  <c:pt idx="8">
                    <c:v>COL</c:v>
                  </c:pt>
                  <c:pt idx="9">
                    <c:v>BOL</c:v>
                  </c:pt>
                  <c:pt idx="10">
                    <c:v>PER</c:v>
                  </c:pt>
                  <c:pt idx="11">
                    <c:v>MEX</c:v>
                  </c:pt>
                  <c:pt idx="12">
                    <c:v>CHL</c:v>
                  </c:pt>
                  <c:pt idx="13">
                    <c:v>PRY</c:v>
                  </c:pt>
                  <c:pt idx="14">
                    <c:v>USA</c:v>
                  </c:pt>
                  <c:pt idx="15">
                    <c:v>CAN</c:v>
                  </c:pt>
                </c15:dlblRangeCache>
              </c15:datalabelsRange>
            </c:ext>
            <c:ext xmlns:c16="http://schemas.microsoft.com/office/drawing/2014/chart" uri="{C3380CC4-5D6E-409C-BE32-E72D297353CC}">
              <c16:uniqueId val="{00000011-1359-492A-8846-ECB0B0D4E60E}"/>
            </c:ext>
          </c:extLst>
        </c:ser>
        <c:dLbls>
          <c:showLegendKey val="0"/>
          <c:showVal val="0"/>
          <c:showCatName val="0"/>
          <c:showSerName val="0"/>
          <c:showPercent val="0"/>
          <c:showBubbleSize val="0"/>
        </c:dLbls>
        <c:axId val="1704179791"/>
        <c:axId val="1704178959"/>
      </c:scatterChart>
      <c:valAx>
        <c:axId val="1704179791"/>
        <c:scaling>
          <c:orientation val="minMax"/>
          <c:max val="90"/>
          <c:min val="65"/>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b="0" i="0" baseline="0">
                    <a:effectLst/>
                    <a:latin typeface="Times New Roman" panose="02020603050405020304" pitchFamily="18" charset="0"/>
                    <a:cs typeface="Times New Roman" panose="02020603050405020304" pitchFamily="18" charset="0"/>
                  </a:rPr>
                  <a:t>Promedio anual del índice de rigos  (stringency index)</a:t>
                </a:r>
              </a:p>
            </c:rich>
          </c:tx>
          <c:layout>
            <c:manualLayout>
              <c:xMode val="edge"/>
              <c:yMode val="edge"/>
              <c:x val="0.2076392361111111"/>
              <c:y val="0.8815548611111111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0_);_(* \(#,##0.00\);_(* &quot;-&quot;??_);_(@_)"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04178959"/>
        <c:crosses val="autoZero"/>
        <c:crossBetween val="midCat"/>
      </c:valAx>
      <c:valAx>
        <c:axId val="1704178959"/>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b="0" i="0" baseline="0">
                    <a:effectLst/>
                    <a:latin typeface="Times New Roman" panose="02020603050405020304" pitchFamily="18" charset="0"/>
                    <a:cs typeface="Times New Roman" panose="02020603050405020304" pitchFamily="18" charset="0"/>
                  </a:rPr>
                  <a:t>Crecimiento económico en 2020</a:t>
                </a:r>
              </a:p>
            </c:rich>
          </c:tx>
          <c:layout>
            <c:manualLayout>
              <c:xMode val="edge"/>
              <c:yMode val="edge"/>
              <c:x val="4.4084070527567734E-3"/>
              <c:y val="0.13033632154604408"/>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0417979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77777777777778"/>
          <c:y val="2.7210388175162314E-2"/>
          <c:w val="0.80078571428571432"/>
          <c:h val="0.70301643873463182"/>
        </c:manualLayout>
      </c:layout>
      <c:lineChart>
        <c:grouping val="standard"/>
        <c:varyColors val="0"/>
        <c:ser>
          <c:idx val="1"/>
          <c:order val="0"/>
          <c:tx>
            <c:strRef>
              <c:f>GTM!$B$1</c:f>
              <c:strCache>
                <c:ptCount val="1"/>
                <c:pt idx="0">
                  <c:v>GTM</c:v>
                </c:pt>
              </c:strCache>
            </c:strRef>
          </c:tx>
          <c:spPr>
            <a:ln w="19050" cap="rnd">
              <a:solidFill>
                <a:srgbClr val="002060"/>
              </a:solidFill>
              <a:round/>
            </a:ln>
            <a:effectLst/>
          </c:spPr>
          <c:marker>
            <c:symbol val="none"/>
          </c:marker>
          <c:cat>
            <c:numRef>
              <c:f>GTM!$A$2:$A$944</c:f>
              <c:numCache>
                <c:formatCode>mm/dd/yyyy</c:formatCode>
                <c:ptCount val="943"/>
                <c:pt idx="0">
                  <c:v>43831</c:v>
                </c:pt>
                <c:pt idx="1">
                  <c:v>43832</c:v>
                </c:pt>
                <c:pt idx="2">
                  <c:v>43833</c:v>
                </c:pt>
                <c:pt idx="3">
                  <c:v>43834</c:v>
                </c:pt>
                <c:pt idx="4">
                  <c:v>43835</c:v>
                </c:pt>
                <c:pt idx="5">
                  <c:v>43836</c:v>
                </c:pt>
                <c:pt idx="6">
                  <c:v>43837</c:v>
                </c:pt>
                <c:pt idx="7">
                  <c:v>43838</c:v>
                </c:pt>
                <c:pt idx="8">
                  <c:v>43839</c:v>
                </c:pt>
                <c:pt idx="9">
                  <c:v>43840</c:v>
                </c:pt>
                <c:pt idx="10">
                  <c:v>43841</c:v>
                </c:pt>
                <c:pt idx="11">
                  <c:v>43842</c:v>
                </c:pt>
                <c:pt idx="12">
                  <c:v>43843</c:v>
                </c:pt>
                <c:pt idx="13">
                  <c:v>43844</c:v>
                </c:pt>
                <c:pt idx="14">
                  <c:v>43845</c:v>
                </c:pt>
                <c:pt idx="15">
                  <c:v>43846</c:v>
                </c:pt>
                <c:pt idx="16">
                  <c:v>43847</c:v>
                </c:pt>
                <c:pt idx="17">
                  <c:v>43848</c:v>
                </c:pt>
                <c:pt idx="18">
                  <c:v>43849</c:v>
                </c:pt>
                <c:pt idx="19">
                  <c:v>43850</c:v>
                </c:pt>
                <c:pt idx="20">
                  <c:v>43851</c:v>
                </c:pt>
                <c:pt idx="21">
                  <c:v>43852</c:v>
                </c:pt>
                <c:pt idx="22">
                  <c:v>43853</c:v>
                </c:pt>
                <c:pt idx="23">
                  <c:v>43854</c:v>
                </c:pt>
                <c:pt idx="24">
                  <c:v>43855</c:v>
                </c:pt>
                <c:pt idx="25">
                  <c:v>43856</c:v>
                </c:pt>
                <c:pt idx="26">
                  <c:v>43857</c:v>
                </c:pt>
                <c:pt idx="27">
                  <c:v>43858</c:v>
                </c:pt>
                <c:pt idx="28">
                  <c:v>43859</c:v>
                </c:pt>
                <c:pt idx="29">
                  <c:v>43860</c:v>
                </c:pt>
                <c:pt idx="30">
                  <c:v>43861</c:v>
                </c:pt>
                <c:pt idx="31">
                  <c:v>43862</c:v>
                </c:pt>
                <c:pt idx="32">
                  <c:v>43863</c:v>
                </c:pt>
                <c:pt idx="33">
                  <c:v>43864</c:v>
                </c:pt>
                <c:pt idx="34">
                  <c:v>43865</c:v>
                </c:pt>
                <c:pt idx="35">
                  <c:v>43866</c:v>
                </c:pt>
                <c:pt idx="36">
                  <c:v>43867</c:v>
                </c:pt>
                <c:pt idx="37">
                  <c:v>43868</c:v>
                </c:pt>
                <c:pt idx="38">
                  <c:v>43869</c:v>
                </c:pt>
                <c:pt idx="39">
                  <c:v>43870</c:v>
                </c:pt>
                <c:pt idx="40">
                  <c:v>43871</c:v>
                </c:pt>
                <c:pt idx="41">
                  <c:v>43872</c:v>
                </c:pt>
                <c:pt idx="42">
                  <c:v>43873</c:v>
                </c:pt>
                <c:pt idx="43">
                  <c:v>43874</c:v>
                </c:pt>
                <c:pt idx="44">
                  <c:v>43875</c:v>
                </c:pt>
                <c:pt idx="45">
                  <c:v>43876</c:v>
                </c:pt>
                <c:pt idx="46">
                  <c:v>43877</c:v>
                </c:pt>
                <c:pt idx="47">
                  <c:v>43878</c:v>
                </c:pt>
                <c:pt idx="48">
                  <c:v>43879</c:v>
                </c:pt>
                <c:pt idx="49">
                  <c:v>43880</c:v>
                </c:pt>
                <c:pt idx="50">
                  <c:v>43881</c:v>
                </c:pt>
                <c:pt idx="51">
                  <c:v>43882</c:v>
                </c:pt>
                <c:pt idx="52">
                  <c:v>43883</c:v>
                </c:pt>
                <c:pt idx="53">
                  <c:v>43884</c:v>
                </c:pt>
                <c:pt idx="54">
                  <c:v>43885</c:v>
                </c:pt>
                <c:pt idx="55">
                  <c:v>43886</c:v>
                </c:pt>
                <c:pt idx="56">
                  <c:v>43887</c:v>
                </c:pt>
                <c:pt idx="57">
                  <c:v>43888</c:v>
                </c:pt>
                <c:pt idx="58">
                  <c:v>43889</c:v>
                </c:pt>
                <c:pt idx="59">
                  <c:v>43890</c:v>
                </c:pt>
                <c:pt idx="60">
                  <c:v>43891</c:v>
                </c:pt>
                <c:pt idx="61">
                  <c:v>43892</c:v>
                </c:pt>
                <c:pt idx="62">
                  <c:v>43893</c:v>
                </c:pt>
                <c:pt idx="63">
                  <c:v>43894</c:v>
                </c:pt>
                <c:pt idx="64">
                  <c:v>43895</c:v>
                </c:pt>
                <c:pt idx="65">
                  <c:v>43896</c:v>
                </c:pt>
                <c:pt idx="66">
                  <c:v>43897</c:v>
                </c:pt>
                <c:pt idx="67">
                  <c:v>43898</c:v>
                </c:pt>
                <c:pt idx="68">
                  <c:v>43899</c:v>
                </c:pt>
                <c:pt idx="69">
                  <c:v>43900</c:v>
                </c:pt>
                <c:pt idx="70">
                  <c:v>43901</c:v>
                </c:pt>
                <c:pt idx="71">
                  <c:v>43902</c:v>
                </c:pt>
                <c:pt idx="72">
                  <c:v>43903</c:v>
                </c:pt>
                <c:pt idx="73">
                  <c:v>43904</c:v>
                </c:pt>
                <c:pt idx="74">
                  <c:v>43905</c:v>
                </c:pt>
                <c:pt idx="75">
                  <c:v>43906</c:v>
                </c:pt>
                <c:pt idx="76">
                  <c:v>43907</c:v>
                </c:pt>
                <c:pt idx="77">
                  <c:v>43908</c:v>
                </c:pt>
                <c:pt idx="78">
                  <c:v>43909</c:v>
                </c:pt>
                <c:pt idx="79">
                  <c:v>43910</c:v>
                </c:pt>
                <c:pt idx="80">
                  <c:v>43911</c:v>
                </c:pt>
                <c:pt idx="81">
                  <c:v>43912</c:v>
                </c:pt>
                <c:pt idx="82">
                  <c:v>43913</c:v>
                </c:pt>
                <c:pt idx="83">
                  <c:v>43914</c:v>
                </c:pt>
                <c:pt idx="84">
                  <c:v>43915</c:v>
                </c:pt>
                <c:pt idx="85">
                  <c:v>43916</c:v>
                </c:pt>
                <c:pt idx="86">
                  <c:v>43917</c:v>
                </c:pt>
                <c:pt idx="87">
                  <c:v>43918</c:v>
                </c:pt>
                <c:pt idx="88">
                  <c:v>43919</c:v>
                </c:pt>
                <c:pt idx="89">
                  <c:v>43920</c:v>
                </c:pt>
                <c:pt idx="90">
                  <c:v>43921</c:v>
                </c:pt>
                <c:pt idx="91">
                  <c:v>43922</c:v>
                </c:pt>
                <c:pt idx="92">
                  <c:v>43923</c:v>
                </c:pt>
                <c:pt idx="93">
                  <c:v>43924</c:v>
                </c:pt>
                <c:pt idx="94">
                  <c:v>43925</c:v>
                </c:pt>
                <c:pt idx="95">
                  <c:v>43926</c:v>
                </c:pt>
                <c:pt idx="96">
                  <c:v>43927</c:v>
                </c:pt>
                <c:pt idx="97">
                  <c:v>43928</c:v>
                </c:pt>
                <c:pt idx="98">
                  <c:v>43929</c:v>
                </c:pt>
                <c:pt idx="99">
                  <c:v>43930</c:v>
                </c:pt>
                <c:pt idx="100">
                  <c:v>43931</c:v>
                </c:pt>
                <c:pt idx="101">
                  <c:v>43932</c:v>
                </c:pt>
                <c:pt idx="102">
                  <c:v>43933</c:v>
                </c:pt>
                <c:pt idx="103">
                  <c:v>43934</c:v>
                </c:pt>
                <c:pt idx="104">
                  <c:v>43935</c:v>
                </c:pt>
                <c:pt idx="105">
                  <c:v>43936</c:v>
                </c:pt>
                <c:pt idx="106">
                  <c:v>43937</c:v>
                </c:pt>
                <c:pt idx="107">
                  <c:v>43938</c:v>
                </c:pt>
                <c:pt idx="108">
                  <c:v>43939</c:v>
                </c:pt>
                <c:pt idx="109">
                  <c:v>43940</c:v>
                </c:pt>
                <c:pt idx="110">
                  <c:v>43941</c:v>
                </c:pt>
                <c:pt idx="111">
                  <c:v>43942</c:v>
                </c:pt>
                <c:pt idx="112">
                  <c:v>43943</c:v>
                </c:pt>
                <c:pt idx="113">
                  <c:v>43944</c:v>
                </c:pt>
                <c:pt idx="114">
                  <c:v>43945</c:v>
                </c:pt>
                <c:pt idx="115">
                  <c:v>43946</c:v>
                </c:pt>
                <c:pt idx="116">
                  <c:v>43947</c:v>
                </c:pt>
                <c:pt idx="117">
                  <c:v>43948</c:v>
                </c:pt>
                <c:pt idx="118">
                  <c:v>43949</c:v>
                </c:pt>
                <c:pt idx="119">
                  <c:v>43950</c:v>
                </c:pt>
                <c:pt idx="120">
                  <c:v>43951</c:v>
                </c:pt>
                <c:pt idx="121">
                  <c:v>43952</c:v>
                </c:pt>
                <c:pt idx="122">
                  <c:v>43953</c:v>
                </c:pt>
                <c:pt idx="123">
                  <c:v>43954</c:v>
                </c:pt>
                <c:pt idx="124">
                  <c:v>43955</c:v>
                </c:pt>
                <c:pt idx="125">
                  <c:v>43956</c:v>
                </c:pt>
                <c:pt idx="126">
                  <c:v>43957</c:v>
                </c:pt>
                <c:pt idx="127">
                  <c:v>43958</c:v>
                </c:pt>
                <c:pt idx="128">
                  <c:v>43959</c:v>
                </c:pt>
                <c:pt idx="129">
                  <c:v>43960</c:v>
                </c:pt>
                <c:pt idx="130">
                  <c:v>43961</c:v>
                </c:pt>
                <c:pt idx="131">
                  <c:v>43962</c:v>
                </c:pt>
                <c:pt idx="132">
                  <c:v>43963</c:v>
                </c:pt>
                <c:pt idx="133">
                  <c:v>43964</c:v>
                </c:pt>
                <c:pt idx="134">
                  <c:v>43965</c:v>
                </c:pt>
                <c:pt idx="135">
                  <c:v>43966</c:v>
                </c:pt>
                <c:pt idx="136">
                  <c:v>43967</c:v>
                </c:pt>
                <c:pt idx="137">
                  <c:v>43968</c:v>
                </c:pt>
                <c:pt idx="138">
                  <c:v>43969</c:v>
                </c:pt>
                <c:pt idx="139">
                  <c:v>43970</c:v>
                </c:pt>
                <c:pt idx="140">
                  <c:v>43971</c:v>
                </c:pt>
                <c:pt idx="141">
                  <c:v>43972</c:v>
                </c:pt>
                <c:pt idx="142">
                  <c:v>43973</c:v>
                </c:pt>
                <c:pt idx="143">
                  <c:v>43974</c:v>
                </c:pt>
                <c:pt idx="144">
                  <c:v>43975</c:v>
                </c:pt>
                <c:pt idx="145">
                  <c:v>43976</c:v>
                </c:pt>
                <c:pt idx="146">
                  <c:v>43977</c:v>
                </c:pt>
                <c:pt idx="147">
                  <c:v>43978</c:v>
                </c:pt>
                <c:pt idx="148">
                  <c:v>43979</c:v>
                </c:pt>
                <c:pt idx="149">
                  <c:v>43980</c:v>
                </c:pt>
                <c:pt idx="150">
                  <c:v>43981</c:v>
                </c:pt>
                <c:pt idx="151">
                  <c:v>43982</c:v>
                </c:pt>
                <c:pt idx="152">
                  <c:v>43983</c:v>
                </c:pt>
                <c:pt idx="153">
                  <c:v>43984</c:v>
                </c:pt>
                <c:pt idx="154">
                  <c:v>43985</c:v>
                </c:pt>
                <c:pt idx="155">
                  <c:v>43986</c:v>
                </c:pt>
                <c:pt idx="156">
                  <c:v>43987</c:v>
                </c:pt>
                <c:pt idx="157">
                  <c:v>43988</c:v>
                </c:pt>
                <c:pt idx="158">
                  <c:v>43989</c:v>
                </c:pt>
                <c:pt idx="159">
                  <c:v>43990</c:v>
                </c:pt>
                <c:pt idx="160">
                  <c:v>43991</c:v>
                </c:pt>
                <c:pt idx="161">
                  <c:v>43992</c:v>
                </c:pt>
                <c:pt idx="162">
                  <c:v>43993</c:v>
                </c:pt>
                <c:pt idx="163">
                  <c:v>43994</c:v>
                </c:pt>
                <c:pt idx="164">
                  <c:v>43995</c:v>
                </c:pt>
                <c:pt idx="165">
                  <c:v>43996</c:v>
                </c:pt>
                <c:pt idx="166">
                  <c:v>43997</c:v>
                </c:pt>
                <c:pt idx="167">
                  <c:v>43998</c:v>
                </c:pt>
                <c:pt idx="168">
                  <c:v>43999</c:v>
                </c:pt>
                <c:pt idx="169">
                  <c:v>44000</c:v>
                </c:pt>
                <c:pt idx="170">
                  <c:v>44001</c:v>
                </c:pt>
                <c:pt idx="171">
                  <c:v>44002</c:v>
                </c:pt>
                <c:pt idx="172">
                  <c:v>44003</c:v>
                </c:pt>
                <c:pt idx="173">
                  <c:v>44004</c:v>
                </c:pt>
                <c:pt idx="174">
                  <c:v>44005</c:v>
                </c:pt>
                <c:pt idx="175">
                  <c:v>44006</c:v>
                </c:pt>
                <c:pt idx="176">
                  <c:v>44007</c:v>
                </c:pt>
                <c:pt idx="177">
                  <c:v>44008</c:v>
                </c:pt>
                <c:pt idx="178">
                  <c:v>44009</c:v>
                </c:pt>
                <c:pt idx="179">
                  <c:v>44010</c:v>
                </c:pt>
                <c:pt idx="180">
                  <c:v>44011</c:v>
                </c:pt>
                <c:pt idx="181">
                  <c:v>44012</c:v>
                </c:pt>
                <c:pt idx="182">
                  <c:v>44013</c:v>
                </c:pt>
                <c:pt idx="183">
                  <c:v>44014</c:v>
                </c:pt>
                <c:pt idx="184">
                  <c:v>44015</c:v>
                </c:pt>
                <c:pt idx="185">
                  <c:v>44016</c:v>
                </c:pt>
                <c:pt idx="186">
                  <c:v>44017</c:v>
                </c:pt>
                <c:pt idx="187">
                  <c:v>44018</c:v>
                </c:pt>
                <c:pt idx="188">
                  <c:v>44019</c:v>
                </c:pt>
                <c:pt idx="189">
                  <c:v>44020</c:v>
                </c:pt>
                <c:pt idx="190">
                  <c:v>44021</c:v>
                </c:pt>
                <c:pt idx="191">
                  <c:v>44022</c:v>
                </c:pt>
                <c:pt idx="192">
                  <c:v>44023</c:v>
                </c:pt>
                <c:pt idx="193">
                  <c:v>44024</c:v>
                </c:pt>
                <c:pt idx="194">
                  <c:v>44025</c:v>
                </c:pt>
                <c:pt idx="195">
                  <c:v>44026</c:v>
                </c:pt>
                <c:pt idx="196">
                  <c:v>44027</c:v>
                </c:pt>
                <c:pt idx="197">
                  <c:v>44028</c:v>
                </c:pt>
                <c:pt idx="198">
                  <c:v>44029</c:v>
                </c:pt>
                <c:pt idx="199">
                  <c:v>44030</c:v>
                </c:pt>
                <c:pt idx="200">
                  <c:v>44031</c:v>
                </c:pt>
                <c:pt idx="201">
                  <c:v>44032</c:v>
                </c:pt>
                <c:pt idx="202">
                  <c:v>44033</c:v>
                </c:pt>
                <c:pt idx="203">
                  <c:v>44034</c:v>
                </c:pt>
                <c:pt idx="204">
                  <c:v>44035</c:v>
                </c:pt>
                <c:pt idx="205">
                  <c:v>44036</c:v>
                </c:pt>
                <c:pt idx="206">
                  <c:v>44037</c:v>
                </c:pt>
                <c:pt idx="207">
                  <c:v>44038</c:v>
                </c:pt>
                <c:pt idx="208">
                  <c:v>44039</c:v>
                </c:pt>
                <c:pt idx="209">
                  <c:v>44040</c:v>
                </c:pt>
                <c:pt idx="210">
                  <c:v>44041</c:v>
                </c:pt>
                <c:pt idx="211">
                  <c:v>44042</c:v>
                </c:pt>
                <c:pt idx="212">
                  <c:v>44043</c:v>
                </c:pt>
                <c:pt idx="213">
                  <c:v>44044</c:v>
                </c:pt>
                <c:pt idx="214">
                  <c:v>44045</c:v>
                </c:pt>
                <c:pt idx="215">
                  <c:v>44046</c:v>
                </c:pt>
                <c:pt idx="216">
                  <c:v>44047</c:v>
                </c:pt>
                <c:pt idx="217">
                  <c:v>44048</c:v>
                </c:pt>
                <c:pt idx="218">
                  <c:v>44049</c:v>
                </c:pt>
                <c:pt idx="219">
                  <c:v>44050</c:v>
                </c:pt>
                <c:pt idx="220">
                  <c:v>44051</c:v>
                </c:pt>
                <c:pt idx="221">
                  <c:v>44052</c:v>
                </c:pt>
                <c:pt idx="222">
                  <c:v>44053</c:v>
                </c:pt>
                <c:pt idx="223">
                  <c:v>44054</c:v>
                </c:pt>
                <c:pt idx="224">
                  <c:v>44055</c:v>
                </c:pt>
                <c:pt idx="225">
                  <c:v>44056</c:v>
                </c:pt>
                <c:pt idx="226">
                  <c:v>44057</c:v>
                </c:pt>
                <c:pt idx="227">
                  <c:v>44058</c:v>
                </c:pt>
                <c:pt idx="228">
                  <c:v>44059</c:v>
                </c:pt>
                <c:pt idx="229">
                  <c:v>44060</c:v>
                </c:pt>
                <c:pt idx="230">
                  <c:v>44061</c:v>
                </c:pt>
                <c:pt idx="231">
                  <c:v>44062</c:v>
                </c:pt>
                <c:pt idx="232">
                  <c:v>44063</c:v>
                </c:pt>
                <c:pt idx="233">
                  <c:v>44064</c:v>
                </c:pt>
                <c:pt idx="234">
                  <c:v>44065</c:v>
                </c:pt>
                <c:pt idx="235">
                  <c:v>44066</c:v>
                </c:pt>
                <c:pt idx="236">
                  <c:v>44067</c:v>
                </c:pt>
                <c:pt idx="237">
                  <c:v>44068</c:v>
                </c:pt>
                <c:pt idx="238">
                  <c:v>44069</c:v>
                </c:pt>
                <c:pt idx="239">
                  <c:v>44070</c:v>
                </c:pt>
                <c:pt idx="240">
                  <c:v>44071</c:v>
                </c:pt>
                <c:pt idx="241">
                  <c:v>44072</c:v>
                </c:pt>
                <c:pt idx="242">
                  <c:v>44073</c:v>
                </c:pt>
                <c:pt idx="243">
                  <c:v>44074</c:v>
                </c:pt>
                <c:pt idx="244">
                  <c:v>44075</c:v>
                </c:pt>
                <c:pt idx="245">
                  <c:v>44076</c:v>
                </c:pt>
                <c:pt idx="246">
                  <c:v>44077</c:v>
                </c:pt>
                <c:pt idx="247">
                  <c:v>44078</c:v>
                </c:pt>
                <c:pt idx="248">
                  <c:v>44079</c:v>
                </c:pt>
                <c:pt idx="249">
                  <c:v>44080</c:v>
                </c:pt>
                <c:pt idx="250">
                  <c:v>44081</c:v>
                </c:pt>
                <c:pt idx="251">
                  <c:v>44082</c:v>
                </c:pt>
                <c:pt idx="252">
                  <c:v>44083</c:v>
                </c:pt>
                <c:pt idx="253">
                  <c:v>44084</c:v>
                </c:pt>
                <c:pt idx="254">
                  <c:v>44085</c:v>
                </c:pt>
                <c:pt idx="255">
                  <c:v>44086</c:v>
                </c:pt>
                <c:pt idx="256">
                  <c:v>44087</c:v>
                </c:pt>
                <c:pt idx="257">
                  <c:v>44088</c:v>
                </c:pt>
                <c:pt idx="258">
                  <c:v>44089</c:v>
                </c:pt>
                <c:pt idx="259">
                  <c:v>44090</c:v>
                </c:pt>
                <c:pt idx="260">
                  <c:v>44091</c:v>
                </c:pt>
                <c:pt idx="261">
                  <c:v>44092</c:v>
                </c:pt>
                <c:pt idx="262">
                  <c:v>44093</c:v>
                </c:pt>
                <c:pt idx="263">
                  <c:v>44094</c:v>
                </c:pt>
                <c:pt idx="264">
                  <c:v>44095</c:v>
                </c:pt>
                <c:pt idx="265">
                  <c:v>44096</c:v>
                </c:pt>
                <c:pt idx="266">
                  <c:v>44097</c:v>
                </c:pt>
                <c:pt idx="267">
                  <c:v>44098</c:v>
                </c:pt>
                <c:pt idx="268">
                  <c:v>44099</c:v>
                </c:pt>
                <c:pt idx="269">
                  <c:v>44100</c:v>
                </c:pt>
                <c:pt idx="270">
                  <c:v>44101</c:v>
                </c:pt>
                <c:pt idx="271">
                  <c:v>44102</c:v>
                </c:pt>
                <c:pt idx="272">
                  <c:v>44103</c:v>
                </c:pt>
                <c:pt idx="273">
                  <c:v>44104</c:v>
                </c:pt>
                <c:pt idx="274">
                  <c:v>44105</c:v>
                </c:pt>
                <c:pt idx="275">
                  <c:v>44106</c:v>
                </c:pt>
                <c:pt idx="276">
                  <c:v>44107</c:v>
                </c:pt>
                <c:pt idx="277">
                  <c:v>44108</c:v>
                </c:pt>
                <c:pt idx="278">
                  <c:v>44109</c:v>
                </c:pt>
                <c:pt idx="279">
                  <c:v>44110</c:v>
                </c:pt>
                <c:pt idx="280">
                  <c:v>44111</c:v>
                </c:pt>
                <c:pt idx="281">
                  <c:v>44112</c:v>
                </c:pt>
                <c:pt idx="282">
                  <c:v>44113</c:v>
                </c:pt>
                <c:pt idx="283">
                  <c:v>44114</c:v>
                </c:pt>
                <c:pt idx="284">
                  <c:v>44115</c:v>
                </c:pt>
                <c:pt idx="285">
                  <c:v>44116</c:v>
                </c:pt>
                <c:pt idx="286">
                  <c:v>44117</c:v>
                </c:pt>
                <c:pt idx="287">
                  <c:v>44118</c:v>
                </c:pt>
                <c:pt idx="288">
                  <c:v>44119</c:v>
                </c:pt>
                <c:pt idx="289">
                  <c:v>44120</c:v>
                </c:pt>
                <c:pt idx="290">
                  <c:v>44121</c:v>
                </c:pt>
                <c:pt idx="291">
                  <c:v>44122</c:v>
                </c:pt>
                <c:pt idx="292">
                  <c:v>44123</c:v>
                </c:pt>
                <c:pt idx="293">
                  <c:v>44124</c:v>
                </c:pt>
                <c:pt idx="294">
                  <c:v>44125</c:v>
                </c:pt>
                <c:pt idx="295">
                  <c:v>44126</c:v>
                </c:pt>
                <c:pt idx="296">
                  <c:v>44127</c:v>
                </c:pt>
                <c:pt idx="297">
                  <c:v>44128</c:v>
                </c:pt>
                <c:pt idx="298">
                  <c:v>44129</c:v>
                </c:pt>
                <c:pt idx="299">
                  <c:v>44130</c:v>
                </c:pt>
                <c:pt idx="300">
                  <c:v>44131</c:v>
                </c:pt>
                <c:pt idx="301">
                  <c:v>44132</c:v>
                </c:pt>
                <c:pt idx="302">
                  <c:v>44133</c:v>
                </c:pt>
                <c:pt idx="303">
                  <c:v>44134</c:v>
                </c:pt>
                <c:pt idx="304">
                  <c:v>44135</c:v>
                </c:pt>
                <c:pt idx="305">
                  <c:v>44136</c:v>
                </c:pt>
                <c:pt idx="306">
                  <c:v>44137</c:v>
                </c:pt>
                <c:pt idx="307">
                  <c:v>44138</c:v>
                </c:pt>
                <c:pt idx="308">
                  <c:v>44139</c:v>
                </c:pt>
                <c:pt idx="309">
                  <c:v>44140</c:v>
                </c:pt>
                <c:pt idx="310">
                  <c:v>44141</c:v>
                </c:pt>
                <c:pt idx="311">
                  <c:v>44142</c:v>
                </c:pt>
                <c:pt idx="312">
                  <c:v>44143</c:v>
                </c:pt>
                <c:pt idx="313">
                  <c:v>44144</c:v>
                </c:pt>
                <c:pt idx="314">
                  <c:v>44145</c:v>
                </c:pt>
                <c:pt idx="315">
                  <c:v>44146</c:v>
                </c:pt>
                <c:pt idx="316">
                  <c:v>44147</c:v>
                </c:pt>
                <c:pt idx="317">
                  <c:v>44148</c:v>
                </c:pt>
                <c:pt idx="318">
                  <c:v>44149</c:v>
                </c:pt>
                <c:pt idx="319">
                  <c:v>44150</c:v>
                </c:pt>
                <c:pt idx="320">
                  <c:v>44151</c:v>
                </c:pt>
                <c:pt idx="321">
                  <c:v>44152</c:v>
                </c:pt>
                <c:pt idx="322">
                  <c:v>44153</c:v>
                </c:pt>
                <c:pt idx="323">
                  <c:v>44154</c:v>
                </c:pt>
                <c:pt idx="324">
                  <c:v>44155</c:v>
                </c:pt>
                <c:pt idx="325">
                  <c:v>44156</c:v>
                </c:pt>
                <c:pt idx="326">
                  <c:v>44157</c:v>
                </c:pt>
                <c:pt idx="327">
                  <c:v>44158</c:v>
                </c:pt>
                <c:pt idx="328">
                  <c:v>44159</c:v>
                </c:pt>
                <c:pt idx="329">
                  <c:v>44160</c:v>
                </c:pt>
                <c:pt idx="330">
                  <c:v>44161</c:v>
                </c:pt>
                <c:pt idx="331">
                  <c:v>44162</c:v>
                </c:pt>
                <c:pt idx="332">
                  <c:v>44163</c:v>
                </c:pt>
                <c:pt idx="333">
                  <c:v>44164</c:v>
                </c:pt>
                <c:pt idx="334">
                  <c:v>44165</c:v>
                </c:pt>
                <c:pt idx="335">
                  <c:v>44166</c:v>
                </c:pt>
                <c:pt idx="336">
                  <c:v>44167</c:v>
                </c:pt>
                <c:pt idx="337">
                  <c:v>44168</c:v>
                </c:pt>
                <c:pt idx="338">
                  <c:v>44169</c:v>
                </c:pt>
                <c:pt idx="339">
                  <c:v>44170</c:v>
                </c:pt>
                <c:pt idx="340">
                  <c:v>44171</c:v>
                </c:pt>
                <c:pt idx="341">
                  <c:v>44172</c:v>
                </c:pt>
                <c:pt idx="342">
                  <c:v>44173</c:v>
                </c:pt>
                <c:pt idx="343">
                  <c:v>44174</c:v>
                </c:pt>
                <c:pt idx="344">
                  <c:v>44175</c:v>
                </c:pt>
                <c:pt idx="345">
                  <c:v>44176</c:v>
                </c:pt>
                <c:pt idx="346">
                  <c:v>44177</c:v>
                </c:pt>
                <c:pt idx="347">
                  <c:v>44178</c:v>
                </c:pt>
                <c:pt idx="348">
                  <c:v>44179</c:v>
                </c:pt>
                <c:pt idx="349">
                  <c:v>44180</c:v>
                </c:pt>
                <c:pt idx="350">
                  <c:v>44181</c:v>
                </c:pt>
                <c:pt idx="351">
                  <c:v>44182</c:v>
                </c:pt>
                <c:pt idx="352">
                  <c:v>44183</c:v>
                </c:pt>
                <c:pt idx="353">
                  <c:v>44184</c:v>
                </c:pt>
                <c:pt idx="354">
                  <c:v>44185</c:v>
                </c:pt>
                <c:pt idx="355">
                  <c:v>44186</c:v>
                </c:pt>
                <c:pt idx="356">
                  <c:v>44187</c:v>
                </c:pt>
                <c:pt idx="357">
                  <c:v>44188</c:v>
                </c:pt>
                <c:pt idx="358">
                  <c:v>44189</c:v>
                </c:pt>
                <c:pt idx="359">
                  <c:v>44190</c:v>
                </c:pt>
                <c:pt idx="360">
                  <c:v>44191</c:v>
                </c:pt>
                <c:pt idx="361">
                  <c:v>44192</c:v>
                </c:pt>
                <c:pt idx="362">
                  <c:v>44193</c:v>
                </c:pt>
                <c:pt idx="363">
                  <c:v>44194</c:v>
                </c:pt>
                <c:pt idx="364">
                  <c:v>44195</c:v>
                </c:pt>
                <c:pt idx="365">
                  <c:v>44196</c:v>
                </c:pt>
                <c:pt idx="366">
                  <c:v>44197</c:v>
                </c:pt>
                <c:pt idx="367">
                  <c:v>44198</c:v>
                </c:pt>
                <c:pt idx="368">
                  <c:v>44199</c:v>
                </c:pt>
                <c:pt idx="369">
                  <c:v>44200</c:v>
                </c:pt>
                <c:pt idx="370">
                  <c:v>44201</c:v>
                </c:pt>
                <c:pt idx="371">
                  <c:v>44202</c:v>
                </c:pt>
                <c:pt idx="372">
                  <c:v>44203</c:v>
                </c:pt>
                <c:pt idx="373">
                  <c:v>44204</c:v>
                </c:pt>
                <c:pt idx="374">
                  <c:v>44205</c:v>
                </c:pt>
                <c:pt idx="375">
                  <c:v>44206</c:v>
                </c:pt>
                <c:pt idx="376">
                  <c:v>44207</c:v>
                </c:pt>
                <c:pt idx="377">
                  <c:v>44208</c:v>
                </c:pt>
                <c:pt idx="378">
                  <c:v>44209</c:v>
                </c:pt>
                <c:pt idx="379">
                  <c:v>44210</c:v>
                </c:pt>
                <c:pt idx="380">
                  <c:v>44211</c:v>
                </c:pt>
                <c:pt idx="381">
                  <c:v>44212</c:v>
                </c:pt>
                <c:pt idx="382">
                  <c:v>44213</c:v>
                </c:pt>
                <c:pt idx="383">
                  <c:v>44214</c:v>
                </c:pt>
                <c:pt idx="384">
                  <c:v>44215</c:v>
                </c:pt>
                <c:pt idx="385">
                  <c:v>44216</c:v>
                </c:pt>
                <c:pt idx="386">
                  <c:v>44217</c:v>
                </c:pt>
                <c:pt idx="387">
                  <c:v>44218</c:v>
                </c:pt>
                <c:pt idx="388">
                  <c:v>44219</c:v>
                </c:pt>
                <c:pt idx="389">
                  <c:v>44220</c:v>
                </c:pt>
                <c:pt idx="390">
                  <c:v>44221</c:v>
                </c:pt>
                <c:pt idx="391">
                  <c:v>44222</c:v>
                </c:pt>
                <c:pt idx="392">
                  <c:v>44223</c:v>
                </c:pt>
                <c:pt idx="393">
                  <c:v>44224</c:v>
                </c:pt>
                <c:pt idx="394">
                  <c:v>44225</c:v>
                </c:pt>
                <c:pt idx="395">
                  <c:v>44226</c:v>
                </c:pt>
                <c:pt idx="396">
                  <c:v>44227</c:v>
                </c:pt>
                <c:pt idx="397">
                  <c:v>44228</c:v>
                </c:pt>
                <c:pt idx="398">
                  <c:v>44229</c:v>
                </c:pt>
                <c:pt idx="399">
                  <c:v>44230</c:v>
                </c:pt>
                <c:pt idx="400">
                  <c:v>44231</c:v>
                </c:pt>
                <c:pt idx="401">
                  <c:v>44232</c:v>
                </c:pt>
                <c:pt idx="402">
                  <c:v>44233</c:v>
                </c:pt>
                <c:pt idx="403">
                  <c:v>44234</c:v>
                </c:pt>
                <c:pt idx="404">
                  <c:v>44235</c:v>
                </c:pt>
                <c:pt idx="405">
                  <c:v>44236</c:v>
                </c:pt>
                <c:pt idx="406">
                  <c:v>44237</c:v>
                </c:pt>
                <c:pt idx="407">
                  <c:v>44238</c:v>
                </c:pt>
                <c:pt idx="408">
                  <c:v>44239</c:v>
                </c:pt>
                <c:pt idx="409">
                  <c:v>44240</c:v>
                </c:pt>
                <c:pt idx="410">
                  <c:v>44241</c:v>
                </c:pt>
                <c:pt idx="411">
                  <c:v>44242</c:v>
                </c:pt>
                <c:pt idx="412">
                  <c:v>44243</c:v>
                </c:pt>
                <c:pt idx="413">
                  <c:v>44244</c:v>
                </c:pt>
                <c:pt idx="414">
                  <c:v>44245</c:v>
                </c:pt>
                <c:pt idx="415">
                  <c:v>44246</c:v>
                </c:pt>
                <c:pt idx="416">
                  <c:v>44247</c:v>
                </c:pt>
                <c:pt idx="417">
                  <c:v>44248</c:v>
                </c:pt>
                <c:pt idx="418">
                  <c:v>44249</c:v>
                </c:pt>
                <c:pt idx="419">
                  <c:v>44250</c:v>
                </c:pt>
                <c:pt idx="420">
                  <c:v>44251</c:v>
                </c:pt>
                <c:pt idx="421">
                  <c:v>44252</c:v>
                </c:pt>
                <c:pt idx="422">
                  <c:v>44253</c:v>
                </c:pt>
                <c:pt idx="423">
                  <c:v>44254</c:v>
                </c:pt>
                <c:pt idx="424">
                  <c:v>44255</c:v>
                </c:pt>
                <c:pt idx="425">
                  <c:v>44256</c:v>
                </c:pt>
                <c:pt idx="426">
                  <c:v>44257</c:v>
                </c:pt>
                <c:pt idx="427">
                  <c:v>44258</c:v>
                </c:pt>
                <c:pt idx="428">
                  <c:v>44259</c:v>
                </c:pt>
                <c:pt idx="429">
                  <c:v>44260</c:v>
                </c:pt>
                <c:pt idx="430">
                  <c:v>44261</c:v>
                </c:pt>
                <c:pt idx="431">
                  <c:v>44262</c:v>
                </c:pt>
                <c:pt idx="432">
                  <c:v>44263</c:v>
                </c:pt>
                <c:pt idx="433">
                  <c:v>44264</c:v>
                </c:pt>
                <c:pt idx="434">
                  <c:v>44265</c:v>
                </c:pt>
                <c:pt idx="435">
                  <c:v>44266</c:v>
                </c:pt>
                <c:pt idx="436">
                  <c:v>44267</c:v>
                </c:pt>
                <c:pt idx="437">
                  <c:v>44268</c:v>
                </c:pt>
                <c:pt idx="438">
                  <c:v>44269</c:v>
                </c:pt>
                <c:pt idx="439">
                  <c:v>44270</c:v>
                </c:pt>
                <c:pt idx="440">
                  <c:v>44271</c:v>
                </c:pt>
                <c:pt idx="441">
                  <c:v>44272</c:v>
                </c:pt>
                <c:pt idx="442">
                  <c:v>44273</c:v>
                </c:pt>
                <c:pt idx="443">
                  <c:v>44274</c:v>
                </c:pt>
                <c:pt idx="444">
                  <c:v>44275</c:v>
                </c:pt>
                <c:pt idx="445">
                  <c:v>44276</c:v>
                </c:pt>
                <c:pt idx="446">
                  <c:v>44277</c:v>
                </c:pt>
                <c:pt idx="447">
                  <c:v>44278</c:v>
                </c:pt>
                <c:pt idx="448">
                  <c:v>44279</c:v>
                </c:pt>
                <c:pt idx="449">
                  <c:v>44280</c:v>
                </c:pt>
                <c:pt idx="450">
                  <c:v>44281</c:v>
                </c:pt>
                <c:pt idx="451">
                  <c:v>44282</c:v>
                </c:pt>
                <c:pt idx="452">
                  <c:v>44283</c:v>
                </c:pt>
                <c:pt idx="453">
                  <c:v>44284</c:v>
                </c:pt>
                <c:pt idx="454">
                  <c:v>44285</c:v>
                </c:pt>
                <c:pt idx="455">
                  <c:v>44286</c:v>
                </c:pt>
                <c:pt idx="456">
                  <c:v>44287</c:v>
                </c:pt>
                <c:pt idx="457">
                  <c:v>44288</c:v>
                </c:pt>
                <c:pt idx="458">
                  <c:v>44289</c:v>
                </c:pt>
                <c:pt idx="459">
                  <c:v>44290</c:v>
                </c:pt>
                <c:pt idx="460">
                  <c:v>44291</c:v>
                </c:pt>
                <c:pt idx="461">
                  <c:v>44292</c:v>
                </c:pt>
                <c:pt idx="462">
                  <c:v>44293</c:v>
                </c:pt>
                <c:pt idx="463">
                  <c:v>44294</c:v>
                </c:pt>
                <c:pt idx="464">
                  <c:v>44295</c:v>
                </c:pt>
                <c:pt idx="465">
                  <c:v>44296</c:v>
                </c:pt>
                <c:pt idx="466">
                  <c:v>44297</c:v>
                </c:pt>
                <c:pt idx="467">
                  <c:v>44298</c:v>
                </c:pt>
                <c:pt idx="468">
                  <c:v>44299</c:v>
                </c:pt>
                <c:pt idx="469">
                  <c:v>44300</c:v>
                </c:pt>
                <c:pt idx="470">
                  <c:v>44301</c:v>
                </c:pt>
                <c:pt idx="471">
                  <c:v>44302</c:v>
                </c:pt>
                <c:pt idx="472">
                  <c:v>44303</c:v>
                </c:pt>
                <c:pt idx="473">
                  <c:v>44304</c:v>
                </c:pt>
                <c:pt idx="474">
                  <c:v>44305</c:v>
                </c:pt>
                <c:pt idx="475">
                  <c:v>44306</c:v>
                </c:pt>
                <c:pt idx="476">
                  <c:v>44307</c:v>
                </c:pt>
                <c:pt idx="477">
                  <c:v>44308</c:v>
                </c:pt>
                <c:pt idx="478">
                  <c:v>44309</c:v>
                </c:pt>
                <c:pt idx="479">
                  <c:v>44310</c:v>
                </c:pt>
                <c:pt idx="480">
                  <c:v>44311</c:v>
                </c:pt>
                <c:pt idx="481">
                  <c:v>44312</c:v>
                </c:pt>
                <c:pt idx="482">
                  <c:v>44313</c:v>
                </c:pt>
                <c:pt idx="483">
                  <c:v>44314</c:v>
                </c:pt>
                <c:pt idx="484">
                  <c:v>44315</c:v>
                </c:pt>
                <c:pt idx="485">
                  <c:v>44316</c:v>
                </c:pt>
                <c:pt idx="486">
                  <c:v>44317</c:v>
                </c:pt>
                <c:pt idx="487">
                  <c:v>44318</c:v>
                </c:pt>
                <c:pt idx="488">
                  <c:v>44319</c:v>
                </c:pt>
                <c:pt idx="489">
                  <c:v>44320</c:v>
                </c:pt>
                <c:pt idx="490">
                  <c:v>44321</c:v>
                </c:pt>
                <c:pt idx="491">
                  <c:v>44322</c:v>
                </c:pt>
                <c:pt idx="492">
                  <c:v>44323</c:v>
                </c:pt>
                <c:pt idx="493">
                  <c:v>44324</c:v>
                </c:pt>
                <c:pt idx="494">
                  <c:v>44325</c:v>
                </c:pt>
                <c:pt idx="495">
                  <c:v>44326</c:v>
                </c:pt>
                <c:pt idx="496">
                  <c:v>44327</c:v>
                </c:pt>
                <c:pt idx="497">
                  <c:v>44328</c:v>
                </c:pt>
                <c:pt idx="498">
                  <c:v>44329</c:v>
                </c:pt>
                <c:pt idx="499">
                  <c:v>44330</c:v>
                </c:pt>
                <c:pt idx="500">
                  <c:v>44331</c:v>
                </c:pt>
                <c:pt idx="501">
                  <c:v>44332</c:v>
                </c:pt>
                <c:pt idx="502">
                  <c:v>44333</c:v>
                </c:pt>
                <c:pt idx="503">
                  <c:v>44334</c:v>
                </c:pt>
                <c:pt idx="504">
                  <c:v>44335</c:v>
                </c:pt>
                <c:pt idx="505">
                  <c:v>44336</c:v>
                </c:pt>
                <c:pt idx="506">
                  <c:v>44337</c:v>
                </c:pt>
                <c:pt idx="507">
                  <c:v>44338</c:v>
                </c:pt>
                <c:pt idx="508">
                  <c:v>44339</c:v>
                </c:pt>
                <c:pt idx="509">
                  <c:v>44340</c:v>
                </c:pt>
                <c:pt idx="510">
                  <c:v>44341</c:v>
                </c:pt>
                <c:pt idx="511">
                  <c:v>44342</c:v>
                </c:pt>
                <c:pt idx="512">
                  <c:v>44343</c:v>
                </c:pt>
                <c:pt idx="513">
                  <c:v>44344</c:v>
                </c:pt>
                <c:pt idx="514">
                  <c:v>44345</c:v>
                </c:pt>
                <c:pt idx="515">
                  <c:v>44346</c:v>
                </c:pt>
                <c:pt idx="516">
                  <c:v>44347</c:v>
                </c:pt>
                <c:pt idx="517">
                  <c:v>44348</c:v>
                </c:pt>
                <c:pt idx="518">
                  <c:v>44349</c:v>
                </c:pt>
                <c:pt idx="519">
                  <c:v>44350</c:v>
                </c:pt>
                <c:pt idx="520">
                  <c:v>44351</c:v>
                </c:pt>
                <c:pt idx="521">
                  <c:v>44352</c:v>
                </c:pt>
                <c:pt idx="522">
                  <c:v>44353</c:v>
                </c:pt>
                <c:pt idx="523">
                  <c:v>44354</c:v>
                </c:pt>
                <c:pt idx="524">
                  <c:v>44355</c:v>
                </c:pt>
                <c:pt idx="525">
                  <c:v>44356</c:v>
                </c:pt>
                <c:pt idx="526">
                  <c:v>44357</c:v>
                </c:pt>
                <c:pt idx="527">
                  <c:v>44358</c:v>
                </c:pt>
                <c:pt idx="528">
                  <c:v>44359</c:v>
                </c:pt>
                <c:pt idx="529">
                  <c:v>44360</c:v>
                </c:pt>
                <c:pt idx="530">
                  <c:v>44361</c:v>
                </c:pt>
                <c:pt idx="531">
                  <c:v>44362</c:v>
                </c:pt>
                <c:pt idx="532">
                  <c:v>44363</c:v>
                </c:pt>
                <c:pt idx="533">
                  <c:v>44364</c:v>
                </c:pt>
                <c:pt idx="534">
                  <c:v>44365</c:v>
                </c:pt>
                <c:pt idx="535">
                  <c:v>44366</c:v>
                </c:pt>
                <c:pt idx="536">
                  <c:v>44367</c:v>
                </c:pt>
                <c:pt idx="537">
                  <c:v>44368</c:v>
                </c:pt>
                <c:pt idx="538">
                  <c:v>44369</c:v>
                </c:pt>
                <c:pt idx="539">
                  <c:v>44370</c:v>
                </c:pt>
                <c:pt idx="540">
                  <c:v>44371</c:v>
                </c:pt>
                <c:pt idx="541">
                  <c:v>44372</c:v>
                </c:pt>
                <c:pt idx="542">
                  <c:v>44373</c:v>
                </c:pt>
                <c:pt idx="543">
                  <c:v>44374</c:v>
                </c:pt>
                <c:pt idx="544">
                  <c:v>44375</c:v>
                </c:pt>
                <c:pt idx="545">
                  <c:v>44376</c:v>
                </c:pt>
                <c:pt idx="546">
                  <c:v>44377</c:v>
                </c:pt>
                <c:pt idx="547">
                  <c:v>44378</c:v>
                </c:pt>
                <c:pt idx="548">
                  <c:v>44379</c:v>
                </c:pt>
                <c:pt idx="549">
                  <c:v>44380</c:v>
                </c:pt>
                <c:pt idx="550">
                  <c:v>44381</c:v>
                </c:pt>
                <c:pt idx="551">
                  <c:v>44382</c:v>
                </c:pt>
                <c:pt idx="552">
                  <c:v>44383</c:v>
                </c:pt>
                <c:pt idx="553">
                  <c:v>44384</c:v>
                </c:pt>
                <c:pt idx="554">
                  <c:v>44385</c:v>
                </c:pt>
                <c:pt idx="555">
                  <c:v>44386</c:v>
                </c:pt>
                <c:pt idx="556">
                  <c:v>44387</c:v>
                </c:pt>
                <c:pt idx="557">
                  <c:v>44388</c:v>
                </c:pt>
                <c:pt idx="558">
                  <c:v>44389</c:v>
                </c:pt>
                <c:pt idx="559">
                  <c:v>44390</c:v>
                </c:pt>
                <c:pt idx="560">
                  <c:v>44391</c:v>
                </c:pt>
                <c:pt idx="561">
                  <c:v>44392</c:v>
                </c:pt>
                <c:pt idx="562">
                  <c:v>44393</c:v>
                </c:pt>
                <c:pt idx="563">
                  <c:v>44394</c:v>
                </c:pt>
                <c:pt idx="564">
                  <c:v>44395</c:v>
                </c:pt>
                <c:pt idx="565">
                  <c:v>44396</c:v>
                </c:pt>
                <c:pt idx="566">
                  <c:v>44397</c:v>
                </c:pt>
                <c:pt idx="567">
                  <c:v>44398</c:v>
                </c:pt>
                <c:pt idx="568">
                  <c:v>44399</c:v>
                </c:pt>
                <c:pt idx="569">
                  <c:v>44400</c:v>
                </c:pt>
                <c:pt idx="570">
                  <c:v>44401</c:v>
                </c:pt>
                <c:pt idx="571">
                  <c:v>44402</c:v>
                </c:pt>
                <c:pt idx="572">
                  <c:v>44403</c:v>
                </c:pt>
                <c:pt idx="573">
                  <c:v>44404</c:v>
                </c:pt>
                <c:pt idx="574">
                  <c:v>44405</c:v>
                </c:pt>
                <c:pt idx="575">
                  <c:v>44406</c:v>
                </c:pt>
                <c:pt idx="576">
                  <c:v>44407</c:v>
                </c:pt>
                <c:pt idx="577">
                  <c:v>44408</c:v>
                </c:pt>
                <c:pt idx="578">
                  <c:v>44409</c:v>
                </c:pt>
                <c:pt idx="579">
                  <c:v>44410</c:v>
                </c:pt>
                <c:pt idx="580">
                  <c:v>44411</c:v>
                </c:pt>
                <c:pt idx="581">
                  <c:v>44412</c:v>
                </c:pt>
                <c:pt idx="582">
                  <c:v>44413</c:v>
                </c:pt>
                <c:pt idx="583">
                  <c:v>44414</c:v>
                </c:pt>
                <c:pt idx="584">
                  <c:v>44415</c:v>
                </c:pt>
                <c:pt idx="585">
                  <c:v>44416</c:v>
                </c:pt>
                <c:pt idx="586">
                  <c:v>44417</c:v>
                </c:pt>
                <c:pt idx="587">
                  <c:v>44418</c:v>
                </c:pt>
                <c:pt idx="588">
                  <c:v>44419</c:v>
                </c:pt>
                <c:pt idx="589">
                  <c:v>44420</c:v>
                </c:pt>
                <c:pt idx="590">
                  <c:v>44421</c:v>
                </c:pt>
                <c:pt idx="591">
                  <c:v>44422</c:v>
                </c:pt>
                <c:pt idx="592">
                  <c:v>44423</c:v>
                </c:pt>
                <c:pt idx="593">
                  <c:v>44424</c:v>
                </c:pt>
                <c:pt idx="594">
                  <c:v>44425</c:v>
                </c:pt>
                <c:pt idx="595">
                  <c:v>44426</c:v>
                </c:pt>
                <c:pt idx="596">
                  <c:v>44427</c:v>
                </c:pt>
                <c:pt idx="597">
                  <c:v>44428</c:v>
                </c:pt>
                <c:pt idx="598">
                  <c:v>44429</c:v>
                </c:pt>
                <c:pt idx="599">
                  <c:v>44430</c:v>
                </c:pt>
                <c:pt idx="600">
                  <c:v>44431</c:v>
                </c:pt>
                <c:pt idx="601">
                  <c:v>44432</c:v>
                </c:pt>
                <c:pt idx="602">
                  <c:v>44433</c:v>
                </c:pt>
                <c:pt idx="603">
                  <c:v>44434</c:v>
                </c:pt>
                <c:pt idx="604">
                  <c:v>44435</c:v>
                </c:pt>
                <c:pt idx="605">
                  <c:v>44436</c:v>
                </c:pt>
                <c:pt idx="606">
                  <c:v>44437</c:v>
                </c:pt>
                <c:pt idx="607">
                  <c:v>44438</c:v>
                </c:pt>
                <c:pt idx="608">
                  <c:v>44439</c:v>
                </c:pt>
                <c:pt idx="609">
                  <c:v>44440</c:v>
                </c:pt>
                <c:pt idx="610">
                  <c:v>44441</c:v>
                </c:pt>
                <c:pt idx="611">
                  <c:v>44442</c:v>
                </c:pt>
                <c:pt idx="612">
                  <c:v>44443</c:v>
                </c:pt>
                <c:pt idx="613">
                  <c:v>44444</c:v>
                </c:pt>
                <c:pt idx="614">
                  <c:v>44445</c:v>
                </c:pt>
                <c:pt idx="615">
                  <c:v>44446</c:v>
                </c:pt>
                <c:pt idx="616">
                  <c:v>44447</c:v>
                </c:pt>
                <c:pt idx="617">
                  <c:v>44448</c:v>
                </c:pt>
                <c:pt idx="618">
                  <c:v>44449</c:v>
                </c:pt>
                <c:pt idx="619">
                  <c:v>44450</c:v>
                </c:pt>
                <c:pt idx="620">
                  <c:v>44451</c:v>
                </c:pt>
                <c:pt idx="621">
                  <c:v>44452</c:v>
                </c:pt>
                <c:pt idx="622">
                  <c:v>44453</c:v>
                </c:pt>
                <c:pt idx="623">
                  <c:v>44454</c:v>
                </c:pt>
                <c:pt idx="624">
                  <c:v>44455</c:v>
                </c:pt>
                <c:pt idx="625">
                  <c:v>44456</c:v>
                </c:pt>
                <c:pt idx="626">
                  <c:v>44457</c:v>
                </c:pt>
                <c:pt idx="627">
                  <c:v>44458</c:v>
                </c:pt>
                <c:pt idx="628">
                  <c:v>44459</c:v>
                </c:pt>
                <c:pt idx="629">
                  <c:v>44460</c:v>
                </c:pt>
                <c:pt idx="630">
                  <c:v>44461</c:v>
                </c:pt>
                <c:pt idx="631">
                  <c:v>44462</c:v>
                </c:pt>
                <c:pt idx="632">
                  <c:v>44463</c:v>
                </c:pt>
                <c:pt idx="633">
                  <c:v>44464</c:v>
                </c:pt>
                <c:pt idx="634">
                  <c:v>44465</c:v>
                </c:pt>
                <c:pt idx="635">
                  <c:v>44466</c:v>
                </c:pt>
                <c:pt idx="636">
                  <c:v>44467</c:v>
                </c:pt>
                <c:pt idx="637">
                  <c:v>44468</c:v>
                </c:pt>
                <c:pt idx="638">
                  <c:v>44469</c:v>
                </c:pt>
                <c:pt idx="639">
                  <c:v>44470</c:v>
                </c:pt>
                <c:pt idx="640">
                  <c:v>44471</c:v>
                </c:pt>
                <c:pt idx="641">
                  <c:v>44472</c:v>
                </c:pt>
                <c:pt idx="642">
                  <c:v>44473</c:v>
                </c:pt>
                <c:pt idx="643">
                  <c:v>44474</c:v>
                </c:pt>
                <c:pt idx="644">
                  <c:v>44475</c:v>
                </c:pt>
                <c:pt idx="645">
                  <c:v>44476</c:v>
                </c:pt>
                <c:pt idx="646">
                  <c:v>44477</c:v>
                </c:pt>
                <c:pt idx="647">
                  <c:v>44478</c:v>
                </c:pt>
                <c:pt idx="648">
                  <c:v>44479</c:v>
                </c:pt>
                <c:pt idx="649">
                  <c:v>44480</c:v>
                </c:pt>
                <c:pt idx="650">
                  <c:v>44481</c:v>
                </c:pt>
                <c:pt idx="651">
                  <c:v>44482</c:v>
                </c:pt>
                <c:pt idx="652">
                  <c:v>44483</c:v>
                </c:pt>
                <c:pt idx="653">
                  <c:v>44484</c:v>
                </c:pt>
                <c:pt idx="654">
                  <c:v>44485</c:v>
                </c:pt>
                <c:pt idx="655">
                  <c:v>44486</c:v>
                </c:pt>
                <c:pt idx="656">
                  <c:v>44487</c:v>
                </c:pt>
                <c:pt idx="657">
                  <c:v>44488</c:v>
                </c:pt>
                <c:pt idx="658">
                  <c:v>44489</c:v>
                </c:pt>
                <c:pt idx="659">
                  <c:v>44490</c:v>
                </c:pt>
                <c:pt idx="660">
                  <c:v>44491</c:v>
                </c:pt>
                <c:pt idx="661">
                  <c:v>44492</c:v>
                </c:pt>
                <c:pt idx="662">
                  <c:v>44493</c:v>
                </c:pt>
                <c:pt idx="663">
                  <c:v>44494</c:v>
                </c:pt>
                <c:pt idx="664">
                  <c:v>44495</c:v>
                </c:pt>
                <c:pt idx="665">
                  <c:v>44496</c:v>
                </c:pt>
                <c:pt idx="666">
                  <c:v>44497</c:v>
                </c:pt>
                <c:pt idx="667">
                  <c:v>44498</c:v>
                </c:pt>
                <c:pt idx="668">
                  <c:v>44499</c:v>
                </c:pt>
                <c:pt idx="669">
                  <c:v>44500</c:v>
                </c:pt>
                <c:pt idx="670">
                  <c:v>44501</c:v>
                </c:pt>
                <c:pt idx="671">
                  <c:v>44502</c:v>
                </c:pt>
                <c:pt idx="672">
                  <c:v>44503</c:v>
                </c:pt>
                <c:pt idx="673">
                  <c:v>44504</c:v>
                </c:pt>
                <c:pt idx="674">
                  <c:v>44505</c:v>
                </c:pt>
                <c:pt idx="675">
                  <c:v>44506</c:v>
                </c:pt>
                <c:pt idx="676">
                  <c:v>44507</c:v>
                </c:pt>
                <c:pt idx="677">
                  <c:v>44508</c:v>
                </c:pt>
                <c:pt idx="678">
                  <c:v>44509</c:v>
                </c:pt>
                <c:pt idx="679">
                  <c:v>44510</c:v>
                </c:pt>
                <c:pt idx="680">
                  <c:v>44511</c:v>
                </c:pt>
                <c:pt idx="681">
                  <c:v>44512</c:v>
                </c:pt>
                <c:pt idx="682">
                  <c:v>44513</c:v>
                </c:pt>
                <c:pt idx="683">
                  <c:v>44514</c:v>
                </c:pt>
                <c:pt idx="684">
                  <c:v>44515</c:v>
                </c:pt>
                <c:pt idx="685">
                  <c:v>44516</c:v>
                </c:pt>
                <c:pt idx="686">
                  <c:v>44517</c:v>
                </c:pt>
                <c:pt idx="687">
                  <c:v>44518</c:v>
                </c:pt>
                <c:pt idx="688">
                  <c:v>44519</c:v>
                </c:pt>
                <c:pt idx="689">
                  <c:v>44520</c:v>
                </c:pt>
                <c:pt idx="690">
                  <c:v>44521</c:v>
                </c:pt>
                <c:pt idx="691">
                  <c:v>44522</c:v>
                </c:pt>
                <c:pt idx="692">
                  <c:v>44523</c:v>
                </c:pt>
                <c:pt idx="693">
                  <c:v>44524</c:v>
                </c:pt>
                <c:pt idx="694">
                  <c:v>44525</c:v>
                </c:pt>
                <c:pt idx="695">
                  <c:v>44526</c:v>
                </c:pt>
                <c:pt idx="696">
                  <c:v>44527</c:v>
                </c:pt>
                <c:pt idx="697">
                  <c:v>44528</c:v>
                </c:pt>
                <c:pt idx="698">
                  <c:v>44529</c:v>
                </c:pt>
                <c:pt idx="699">
                  <c:v>44530</c:v>
                </c:pt>
                <c:pt idx="700">
                  <c:v>44531</c:v>
                </c:pt>
                <c:pt idx="701">
                  <c:v>44532</c:v>
                </c:pt>
                <c:pt idx="702">
                  <c:v>44533</c:v>
                </c:pt>
                <c:pt idx="703">
                  <c:v>44534</c:v>
                </c:pt>
                <c:pt idx="704">
                  <c:v>44535</c:v>
                </c:pt>
                <c:pt idx="705">
                  <c:v>44536</c:v>
                </c:pt>
                <c:pt idx="706">
                  <c:v>44537</c:v>
                </c:pt>
                <c:pt idx="707">
                  <c:v>44538</c:v>
                </c:pt>
                <c:pt idx="708">
                  <c:v>44539</c:v>
                </c:pt>
                <c:pt idx="709">
                  <c:v>44540</c:v>
                </c:pt>
                <c:pt idx="710">
                  <c:v>44541</c:v>
                </c:pt>
                <c:pt idx="711">
                  <c:v>44542</c:v>
                </c:pt>
                <c:pt idx="712">
                  <c:v>44543</c:v>
                </c:pt>
                <c:pt idx="713">
                  <c:v>44544</c:v>
                </c:pt>
                <c:pt idx="714">
                  <c:v>44545</c:v>
                </c:pt>
                <c:pt idx="715">
                  <c:v>44546</c:v>
                </c:pt>
                <c:pt idx="716">
                  <c:v>44547</c:v>
                </c:pt>
                <c:pt idx="717">
                  <c:v>44548</c:v>
                </c:pt>
                <c:pt idx="718">
                  <c:v>44549</c:v>
                </c:pt>
                <c:pt idx="719">
                  <c:v>44550</c:v>
                </c:pt>
                <c:pt idx="720">
                  <c:v>44551</c:v>
                </c:pt>
                <c:pt idx="721">
                  <c:v>44552</c:v>
                </c:pt>
                <c:pt idx="722">
                  <c:v>44553</c:v>
                </c:pt>
                <c:pt idx="723">
                  <c:v>44554</c:v>
                </c:pt>
                <c:pt idx="724">
                  <c:v>44555</c:v>
                </c:pt>
                <c:pt idx="725">
                  <c:v>44556</c:v>
                </c:pt>
                <c:pt idx="726">
                  <c:v>44557</c:v>
                </c:pt>
                <c:pt idx="727">
                  <c:v>44558</c:v>
                </c:pt>
                <c:pt idx="728">
                  <c:v>44559</c:v>
                </c:pt>
                <c:pt idx="729">
                  <c:v>44560</c:v>
                </c:pt>
                <c:pt idx="730">
                  <c:v>44561</c:v>
                </c:pt>
                <c:pt idx="731">
                  <c:v>44562</c:v>
                </c:pt>
                <c:pt idx="732">
                  <c:v>44563</c:v>
                </c:pt>
                <c:pt idx="733">
                  <c:v>44564</c:v>
                </c:pt>
                <c:pt idx="734">
                  <c:v>44565</c:v>
                </c:pt>
                <c:pt idx="735">
                  <c:v>44566</c:v>
                </c:pt>
                <c:pt idx="736">
                  <c:v>44567</c:v>
                </c:pt>
                <c:pt idx="737">
                  <c:v>44568</c:v>
                </c:pt>
                <c:pt idx="738">
                  <c:v>44569</c:v>
                </c:pt>
                <c:pt idx="739">
                  <c:v>44570</c:v>
                </c:pt>
                <c:pt idx="740">
                  <c:v>44571</c:v>
                </c:pt>
                <c:pt idx="741">
                  <c:v>44572</c:v>
                </c:pt>
                <c:pt idx="742">
                  <c:v>44573</c:v>
                </c:pt>
                <c:pt idx="743">
                  <c:v>44574</c:v>
                </c:pt>
                <c:pt idx="744">
                  <c:v>44575</c:v>
                </c:pt>
                <c:pt idx="745">
                  <c:v>44576</c:v>
                </c:pt>
                <c:pt idx="746">
                  <c:v>44577</c:v>
                </c:pt>
                <c:pt idx="747">
                  <c:v>44578</c:v>
                </c:pt>
                <c:pt idx="748">
                  <c:v>44579</c:v>
                </c:pt>
                <c:pt idx="749">
                  <c:v>44580</c:v>
                </c:pt>
                <c:pt idx="750">
                  <c:v>44581</c:v>
                </c:pt>
                <c:pt idx="751">
                  <c:v>44582</c:v>
                </c:pt>
                <c:pt idx="752">
                  <c:v>44583</c:v>
                </c:pt>
                <c:pt idx="753">
                  <c:v>44584</c:v>
                </c:pt>
                <c:pt idx="754">
                  <c:v>44585</c:v>
                </c:pt>
                <c:pt idx="755">
                  <c:v>44586</c:v>
                </c:pt>
                <c:pt idx="756">
                  <c:v>44587</c:v>
                </c:pt>
                <c:pt idx="757">
                  <c:v>44588</c:v>
                </c:pt>
                <c:pt idx="758">
                  <c:v>44589</c:v>
                </c:pt>
                <c:pt idx="759">
                  <c:v>44590</c:v>
                </c:pt>
                <c:pt idx="760">
                  <c:v>44591</c:v>
                </c:pt>
                <c:pt idx="761">
                  <c:v>44592</c:v>
                </c:pt>
                <c:pt idx="762">
                  <c:v>44593</c:v>
                </c:pt>
                <c:pt idx="763">
                  <c:v>44594</c:v>
                </c:pt>
                <c:pt idx="764">
                  <c:v>44595</c:v>
                </c:pt>
                <c:pt idx="765">
                  <c:v>44596</c:v>
                </c:pt>
                <c:pt idx="766">
                  <c:v>44597</c:v>
                </c:pt>
                <c:pt idx="767">
                  <c:v>44598</c:v>
                </c:pt>
                <c:pt idx="768">
                  <c:v>44599</c:v>
                </c:pt>
                <c:pt idx="769">
                  <c:v>44600</c:v>
                </c:pt>
                <c:pt idx="770">
                  <c:v>44601</c:v>
                </c:pt>
                <c:pt idx="771">
                  <c:v>44602</c:v>
                </c:pt>
                <c:pt idx="772">
                  <c:v>44603</c:v>
                </c:pt>
                <c:pt idx="773">
                  <c:v>44604</c:v>
                </c:pt>
                <c:pt idx="774">
                  <c:v>44605</c:v>
                </c:pt>
                <c:pt idx="775">
                  <c:v>44606</c:v>
                </c:pt>
                <c:pt idx="776">
                  <c:v>44607</c:v>
                </c:pt>
                <c:pt idx="777">
                  <c:v>44608</c:v>
                </c:pt>
                <c:pt idx="778">
                  <c:v>44609</c:v>
                </c:pt>
                <c:pt idx="779">
                  <c:v>44610</c:v>
                </c:pt>
                <c:pt idx="780">
                  <c:v>44611</c:v>
                </c:pt>
                <c:pt idx="781">
                  <c:v>44612</c:v>
                </c:pt>
                <c:pt idx="782">
                  <c:v>44613</c:v>
                </c:pt>
                <c:pt idx="783">
                  <c:v>44614</c:v>
                </c:pt>
                <c:pt idx="784">
                  <c:v>44615</c:v>
                </c:pt>
                <c:pt idx="785">
                  <c:v>44616</c:v>
                </c:pt>
                <c:pt idx="786">
                  <c:v>44617</c:v>
                </c:pt>
                <c:pt idx="787">
                  <c:v>44618</c:v>
                </c:pt>
                <c:pt idx="788">
                  <c:v>44619</c:v>
                </c:pt>
                <c:pt idx="789">
                  <c:v>44620</c:v>
                </c:pt>
                <c:pt idx="790">
                  <c:v>44621</c:v>
                </c:pt>
                <c:pt idx="791">
                  <c:v>44622</c:v>
                </c:pt>
                <c:pt idx="792">
                  <c:v>44623</c:v>
                </c:pt>
                <c:pt idx="793">
                  <c:v>44624</c:v>
                </c:pt>
                <c:pt idx="794">
                  <c:v>44625</c:v>
                </c:pt>
                <c:pt idx="795">
                  <c:v>44626</c:v>
                </c:pt>
                <c:pt idx="796">
                  <c:v>44627</c:v>
                </c:pt>
                <c:pt idx="797">
                  <c:v>44628</c:v>
                </c:pt>
                <c:pt idx="798">
                  <c:v>44629</c:v>
                </c:pt>
                <c:pt idx="799">
                  <c:v>44630</c:v>
                </c:pt>
                <c:pt idx="800">
                  <c:v>44631</c:v>
                </c:pt>
                <c:pt idx="801">
                  <c:v>44632</c:v>
                </c:pt>
                <c:pt idx="802">
                  <c:v>44633</c:v>
                </c:pt>
                <c:pt idx="803">
                  <c:v>44634</c:v>
                </c:pt>
                <c:pt idx="804">
                  <c:v>44635</c:v>
                </c:pt>
                <c:pt idx="805">
                  <c:v>44636</c:v>
                </c:pt>
                <c:pt idx="806">
                  <c:v>44637</c:v>
                </c:pt>
                <c:pt idx="807">
                  <c:v>44638</c:v>
                </c:pt>
                <c:pt idx="808">
                  <c:v>44639</c:v>
                </c:pt>
                <c:pt idx="809">
                  <c:v>44640</c:v>
                </c:pt>
                <c:pt idx="810">
                  <c:v>44641</c:v>
                </c:pt>
                <c:pt idx="811">
                  <c:v>44642</c:v>
                </c:pt>
                <c:pt idx="812">
                  <c:v>44643</c:v>
                </c:pt>
                <c:pt idx="813">
                  <c:v>44644</c:v>
                </c:pt>
                <c:pt idx="814">
                  <c:v>44645</c:v>
                </c:pt>
                <c:pt idx="815">
                  <c:v>44646</c:v>
                </c:pt>
                <c:pt idx="816">
                  <c:v>44647</c:v>
                </c:pt>
                <c:pt idx="817">
                  <c:v>44648</c:v>
                </c:pt>
                <c:pt idx="818">
                  <c:v>44649</c:v>
                </c:pt>
                <c:pt idx="819">
                  <c:v>44650</c:v>
                </c:pt>
                <c:pt idx="820">
                  <c:v>44651</c:v>
                </c:pt>
                <c:pt idx="821">
                  <c:v>44652</c:v>
                </c:pt>
                <c:pt idx="822">
                  <c:v>44653</c:v>
                </c:pt>
                <c:pt idx="823">
                  <c:v>44654</c:v>
                </c:pt>
                <c:pt idx="824">
                  <c:v>44655</c:v>
                </c:pt>
                <c:pt idx="825">
                  <c:v>44656</c:v>
                </c:pt>
                <c:pt idx="826">
                  <c:v>44657</c:v>
                </c:pt>
                <c:pt idx="827">
                  <c:v>44658</c:v>
                </c:pt>
                <c:pt idx="828">
                  <c:v>44659</c:v>
                </c:pt>
                <c:pt idx="829">
                  <c:v>44660</c:v>
                </c:pt>
                <c:pt idx="830">
                  <c:v>44661</c:v>
                </c:pt>
                <c:pt idx="831">
                  <c:v>44662</c:v>
                </c:pt>
                <c:pt idx="832">
                  <c:v>44663</c:v>
                </c:pt>
                <c:pt idx="833">
                  <c:v>44664</c:v>
                </c:pt>
                <c:pt idx="834">
                  <c:v>44665</c:v>
                </c:pt>
                <c:pt idx="835">
                  <c:v>44666</c:v>
                </c:pt>
                <c:pt idx="836">
                  <c:v>44667</c:v>
                </c:pt>
                <c:pt idx="837">
                  <c:v>44668</c:v>
                </c:pt>
                <c:pt idx="838">
                  <c:v>44669</c:v>
                </c:pt>
                <c:pt idx="839">
                  <c:v>44670</c:v>
                </c:pt>
                <c:pt idx="840">
                  <c:v>44671</c:v>
                </c:pt>
                <c:pt idx="841">
                  <c:v>44672</c:v>
                </c:pt>
                <c:pt idx="842">
                  <c:v>44673</c:v>
                </c:pt>
                <c:pt idx="843">
                  <c:v>44674</c:v>
                </c:pt>
                <c:pt idx="844">
                  <c:v>44675</c:v>
                </c:pt>
                <c:pt idx="845">
                  <c:v>44676</c:v>
                </c:pt>
                <c:pt idx="846">
                  <c:v>44677</c:v>
                </c:pt>
                <c:pt idx="847">
                  <c:v>44678</c:v>
                </c:pt>
                <c:pt idx="848">
                  <c:v>44679</c:v>
                </c:pt>
                <c:pt idx="849">
                  <c:v>44680</c:v>
                </c:pt>
                <c:pt idx="850">
                  <c:v>44681</c:v>
                </c:pt>
                <c:pt idx="851">
                  <c:v>44682</c:v>
                </c:pt>
                <c:pt idx="852">
                  <c:v>44683</c:v>
                </c:pt>
                <c:pt idx="853">
                  <c:v>44684</c:v>
                </c:pt>
                <c:pt idx="854">
                  <c:v>44685</c:v>
                </c:pt>
                <c:pt idx="855">
                  <c:v>44686</c:v>
                </c:pt>
                <c:pt idx="856">
                  <c:v>44687</c:v>
                </c:pt>
                <c:pt idx="857">
                  <c:v>44688</c:v>
                </c:pt>
                <c:pt idx="858">
                  <c:v>44689</c:v>
                </c:pt>
                <c:pt idx="859">
                  <c:v>44690</c:v>
                </c:pt>
                <c:pt idx="860">
                  <c:v>44691</c:v>
                </c:pt>
                <c:pt idx="861">
                  <c:v>44692</c:v>
                </c:pt>
                <c:pt idx="862">
                  <c:v>44693</c:v>
                </c:pt>
                <c:pt idx="863">
                  <c:v>44694</c:v>
                </c:pt>
                <c:pt idx="864">
                  <c:v>44695</c:v>
                </c:pt>
                <c:pt idx="865">
                  <c:v>44696</c:v>
                </c:pt>
                <c:pt idx="866">
                  <c:v>44697</c:v>
                </c:pt>
                <c:pt idx="867">
                  <c:v>44698</c:v>
                </c:pt>
                <c:pt idx="868">
                  <c:v>44699</c:v>
                </c:pt>
                <c:pt idx="869">
                  <c:v>44700</c:v>
                </c:pt>
                <c:pt idx="870">
                  <c:v>44701</c:v>
                </c:pt>
                <c:pt idx="871">
                  <c:v>44702</c:v>
                </c:pt>
                <c:pt idx="872">
                  <c:v>44703</c:v>
                </c:pt>
                <c:pt idx="873">
                  <c:v>44704</c:v>
                </c:pt>
                <c:pt idx="874">
                  <c:v>44705</c:v>
                </c:pt>
                <c:pt idx="875">
                  <c:v>44706</c:v>
                </c:pt>
                <c:pt idx="876">
                  <c:v>44707</c:v>
                </c:pt>
                <c:pt idx="877">
                  <c:v>44708</c:v>
                </c:pt>
                <c:pt idx="878">
                  <c:v>44709</c:v>
                </c:pt>
                <c:pt idx="879">
                  <c:v>44710</c:v>
                </c:pt>
                <c:pt idx="880">
                  <c:v>44711</c:v>
                </c:pt>
                <c:pt idx="881">
                  <c:v>44712</c:v>
                </c:pt>
                <c:pt idx="882">
                  <c:v>44713</c:v>
                </c:pt>
                <c:pt idx="883">
                  <c:v>44714</c:v>
                </c:pt>
                <c:pt idx="884">
                  <c:v>44715</c:v>
                </c:pt>
                <c:pt idx="885">
                  <c:v>44716</c:v>
                </c:pt>
                <c:pt idx="886">
                  <c:v>44717</c:v>
                </c:pt>
                <c:pt idx="887">
                  <c:v>44718</c:v>
                </c:pt>
                <c:pt idx="888">
                  <c:v>44719</c:v>
                </c:pt>
                <c:pt idx="889">
                  <c:v>44720</c:v>
                </c:pt>
                <c:pt idx="890">
                  <c:v>44721</c:v>
                </c:pt>
                <c:pt idx="891">
                  <c:v>44722</c:v>
                </c:pt>
                <c:pt idx="892">
                  <c:v>44723</c:v>
                </c:pt>
                <c:pt idx="893">
                  <c:v>44724</c:v>
                </c:pt>
                <c:pt idx="894">
                  <c:v>44725</c:v>
                </c:pt>
                <c:pt idx="895">
                  <c:v>44726</c:v>
                </c:pt>
                <c:pt idx="896">
                  <c:v>44727</c:v>
                </c:pt>
                <c:pt idx="897">
                  <c:v>44728</c:v>
                </c:pt>
                <c:pt idx="898">
                  <c:v>44729</c:v>
                </c:pt>
                <c:pt idx="899">
                  <c:v>44730</c:v>
                </c:pt>
                <c:pt idx="900">
                  <c:v>44731</c:v>
                </c:pt>
                <c:pt idx="901">
                  <c:v>44732</c:v>
                </c:pt>
                <c:pt idx="902">
                  <c:v>44733</c:v>
                </c:pt>
                <c:pt idx="903">
                  <c:v>44734</c:v>
                </c:pt>
                <c:pt idx="904">
                  <c:v>44735</c:v>
                </c:pt>
                <c:pt idx="905">
                  <c:v>44736</c:v>
                </c:pt>
                <c:pt idx="906">
                  <c:v>44737</c:v>
                </c:pt>
                <c:pt idx="907">
                  <c:v>44738</c:v>
                </c:pt>
                <c:pt idx="908">
                  <c:v>44739</c:v>
                </c:pt>
                <c:pt idx="909">
                  <c:v>44740</c:v>
                </c:pt>
                <c:pt idx="910">
                  <c:v>44741</c:v>
                </c:pt>
                <c:pt idx="911">
                  <c:v>44742</c:v>
                </c:pt>
                <c:pt idx="912">
                  <c:v>44743</c:v>
                </c:pt>
                <c:pt idx="913">
                  <c:v>44744</c:v>
                </c:pt>
                <c:pt idx="914">
                  <c:v>44745</c:v>
                </c:pt>
                <c:pt idx="915">
                  <c:v>44746</c:v>
                </c:pt>
                <c:pt idx="916">
                  <c:v>44747</c:v>
                </c:pt>
                <c:pt idx="917">
                  <c:v>44748</c:v>
                </c:pt>
                <c:pt idx="918">
                  <c:v>44749</c:v>
                </c:pt>
                <c:pt idx="919">
                  <c:v>44750</c:v>
                </c:pt>
                <c:pt idx="920">
                  <c:v>44751</c:v>
                </c:pt>
                <c:pt idx="921">
                  <c:v>44752</c:v>
                </c:pt>
                <c:pt idx="922">
                  <c:v>44753</c:v>
                </c:pt>
                <c:pt idx="923">
                  <c:v>44754</c:v>
                </c:pt>
                <c:pt idx="924">
                  <c:v>44755</c:v>
                </c:pt>
                <c:pt idx="925">
                  <c:v>44756</c:v>
                </c:pt>
                <c:pt idx="926">
                  <c:v>44757</c:v>
                </c:pt>
                <c:pt idx="927">
                  <c:v>44758</c:v>
                </c:pt>
                <c:pt idx="928">
                  <c:v>44759</c:v>
                </c:pt>
                <c:pt idx="929">
                  <c:v>44760</c:v>
                </c:pt>
                <c:pt idx="930">
                  <c:v>44761</c:v>
                </c:pt>
                <c:pt idx="931">
                  <c:v>44762</c:v>
                </c:pt>
                <c:pt idx="932">
                  <c:v>44763</c:v>
                </c:pt>
                <c:pt idx="933">
                  <c:v>44764</c:v>
                </c:pt>
                <c:pt idx="934">
                  <c:v>44765</c:v>
                </c:pt>
                <c:pt idx="935">
                  <c:v>44766</c:v>
                </c:pt>
                <c:pt idx="936">
                  <c:v>44767</c:v>
                </c:pt>
                <c:pt idx="937">
                  <c:v>44768</c:v>
                </c:pt>
                <c:pt idx="938">
                  <c:v>44769</c:v>
                </c:pt>
                <c:pt idx="939">
                  <c:v>44770</c:v>
                </c:pt>
                <c:pt idx="940">
                  <c:v>44771</c:v>
                </c:pt>
                <c:pt idx="941">
                  <c:v>44772</c:v>
                </c:pt>
                <c:pt idx="942">
                  <c:v>44773</c:v>
                </c:pt>
              </c:numCache>
            </c:numRef>
          </c:cat>
          <c:val>
            <c:numRef>
              <c:f>GTM!$B$2:$B$944</c:f>
              <c:numCache>
                <c:formatCode>General</c:formatCode>
                <c:ptCount val="943"/>
                <c:pt idx="47" formatCode="_-* #,##0.0_-;\-* #,##0.0_-;_-* &quot;-&quot;??_-;_-@_-">
                  <c:v>11.11</c:v>
                </c:pt>
                <c:pt idx="48" formatCode="_-* #,##0.0_-;\-* #,##0.0_-;_-* &quot;-&quot;??_-;_-@_-">
                  <c:v>11.11</c:v>
                </c:pt>
                <c:pt idx="49" formatCode="_-* #,##0.0_-;\-* #,##0.0_-;_-* &quot;-&quot;??_-;_-@_-">
                  <c:v>11.11</c:v>
                </c:pt>
                <c:pt idx="50" formatCode="_-* #,##0.0_-;\-* #,##0.0_-;_-* &quot;-&quot;??_-;_-@_-">
                  <c:v>11.11</c:v>
                </c:pt>
                <c:pt idx="51" formatCode="_-* #,##0.0_-;\-* #,##0.0_-;_-* &quot;-&quot;??_-;_-@_-">
                  <c:v>11.11</c:v>
                </c:pt>
                <c:pt idx="52" formatCode="_-* #,##0.0_-;\-* #,##0.0_-;_-* &quot;-&quot;??_-;_-@_-">
                  <c:v>11.11</c:v>
                </c:pt>
                <c:pt idx="53" formatCode="_-* #,##0.0_-;\-* #,##0.0_-;_-* &quot;-&quot;??_-;_-@_-">
                  <c:v>11.11</c:v>
                </c:pt>
                <c:pt idx="54" formatCode="_-* #,##0.0_-;\-* #,##0.0_-;_-* &quot;-&quot;??_-;_-@_-">
                  <c:v>11.11</c:v>
                </c:pt>
                <c:pt idx="55" formatCode="_-* #,##0.0_-;\-* #,##0.0_-;_-* &quot;-&quot;??_-;_-@_-">
                  <c:v>11.11</c:v>
                </c:pt>
                <c:pt idx="56" formatCode="_-* #,##0.0_-;\-* #,##0.0_-;_-* &quot;-&quot;??_-;_-@_-">
                  <c:v>11.11</c:v>
                </c:pt>
                <c:pt idx="57" formatCode="_-* #,##0.0_-;\-* #,##0.0_-;_-* &quot;-&quot;??_-;_-@_-">
                  <c:v>11.11</c:v>
                </c:pt>
                <c:pt idx="58" formatCode="_-* #,##0.0_-;\-* #,##0.0_-;_-* &quot;-&quot;??_-;_-@_-">
                  <c:v>11.11</c:v>
                </c:pt>
                <c:pt idx="59" formatCode="_-* #,##0.0_-;\-* #,##0.0_-;_-* &quot;-&quot;??_-;_-@_-">
                  <c:v>11.11</c:v>
                </c:pt>
                <c:pt idx="60" formatCode="_-* #,##0.0_-;\-* #,##0.0_-;_-* &quot;-&quot;??_-;_-@_-">
                  <c:v>11.11</c:v>
                </c:pt>
                <c:pt idx="61" formatCode="_-* #,##0.0_-;\-* #,##0.0_-;_-* &quot;-&quot;??_-;_-@_-">
                  <c:v>11.11</c:v>
                </c:pt>
                <c:pt idx="62" formatCode="_-* #,##0.0_-;\-* #,##0.0_-;_-* &quot;-&quot;??_-;_-@_-">
                  <c:v>11.11</c:v>
                </c:pt>
                <c:pt idx="63" formatCode="_-* #,##0.0_-;\-* #,##0.0_-;_-* &quot;-&quot;??_-;_-@_-">
                  <c:v>11.11</c:v>
                </c:pt>
                <c:pt idx="64" formatCode="_-* #,##0.0_-;\-* #,##0.0_-;_-* &quot;-&quot;??_-;_-@_-">
                  <c:v>11.11</c:v>
                </c:pt>
                <c:pt idx="65" formatCode="_-* #,##0.0_-;\-* #,##0.0_-;_-* &quot;-&quot;??_-;_-@_-">
                  <c:v>25</c:v>
                </c:pt>
                <c:pt idx="66" formatCode="_-* #,##0.0_-;\-* #,##0.0_-;_-* &quot;-&quot;??_-;_-@_-">
                  <c:v>25</c:v>
                </c:pt>
                <c:pt idx="67" formatCode="_-* #,##0.0_-;\-* #,##0.0_-;_-* &quot;-&quot;??_-;_-@_-">
                  <c:v>25</c:v>
                </c:pt>
                <c:pt idx="68" formatCode="_-* #,##0.0_-;\-* #,##0.0_-;_-* &quot;-&quot;??_-;_-@_-">
                  <c:v>30.56</c:v>
                </c:pt>
                <c:pt idx="69" formatCode="_-* #,##0.0_-;\-* #,##0.0_-;_-* &quot;-&quot;??_-;_-@_-">
                  <c:v>30.56</c:v>
                </c:pt>
                <c:pt idx="70" formatCode="_-* #,##0.0_-;\-* #,##0.0_-;_-* &quot;-&quot;??_-;_-@_-">
                  <c:v>30.56</c:v>
                </c:pt>
                <c:pt idx="71" formatCode="_-* #,##0.0_-;\-* #,##0.0_-;_-* &quot;-&quot;??_-;_-@_-">
                  <c:v>33.33</c:v>
                </c:pt>
                <c:pt idx="72" formatCode="_-* #,##0.0_-;\-* #,##0.0_-;_-* &quot;-&quot;??_-;_-@_-">
                  <c:v>33.33</c:v>
                </c:pt>
                <c:pt idx="73" formatCode="_-* #,##0.0_-;\-* #,##0.0_-;_-* &quot;-&quot;??_-;_-@_-">
                  <c:v>33.33</c:v>
                </c:pt>
                <c:pt idx="74" formatCode="_-* #,##0.0_-;\-* #,##0.0_-;_-* &quot;-&quot;??_-;_-@_-">
                  <c:v>41.67</c:v>
                </c:pt>
                <c:pt idx="75" formatCode="_-* #,##0.0_-;\-* #,##0.0_-;_-* &quot;-&quot;??_-;_-@_-">
                  <c:v>52.78</c:v>
                </c:pt>
                <c:pt idx="76" formatCode="_-* #,##0.0_-;\-* #,##0.0_-;_-* &quot;-&quot;??_-;_-@_-">
                  <c:v>83.33</c:v>
                </c:pt>
                <c:pt idx="77" formatCode="_-* #,##0.0_-;\-* #,##0.0_-;_-* &quot;-&quot;??_-;_-@_-">
                  <c:v>83.33</c:v>
                </c:pt>
                <c:pt idx="78" formatCode="_-* #,##0.0_-;\-* #,##0.0_-;_-* &quot;-&quot;??_-;_-@_-">
                  <c:v>83.33</c:v>
                </c:pt>
                <c:pt idx="79" formatCode="_-* #,##0.0_-;\-* #,##0.0_-;_-* &quot;-&quot;??_-;_-@_-">
                  <c:v>83.33</c:v>
                </c:pt>
                <c:pt idx="80" formatCode="_-* #,##0.0_-;\-* #,##0.0_-;_-* &quot;-&quot;??_-;_-@_-">
                  <c:v>83.33</c:v>
                </c:pt>
                <c:pt idx="81" formatCode="_-* #,##0.0_-;\-* #,##0.0_-;_-* &quot;-&quot;??_-;_-@_-">
                  <c:v>93.52</c:v>
                </c:pt>
                <c:pt idx="82" formatCode="_-* #,##0.0_-;\-* #,##0.0_-;_-* &quot;-&quot;??_-;_-@_-">
                  <c:v>93.52</c:v>
                </c:pt>
                <c:pt idx="83" formatCode="_-* #,##0.0_-;\-* #,##0.0_-;_-* &quot;-&quot;??_-;_-@_-">
                  <c:v>93.52</c:v>
                </c:pt>
                <c:pt idx="84" formatCode="_-* #,##0.0_-;\-* #,##0.0_-;_-* &quot;-&quot;??_-;_-@_-">
                  <c:v>93.52</c:v>
                </c:pt>
                <c:pt idx="85" formatCode="_-* #,##0.0_-;\-* #,##0.0_-;_-* &quot;-&quot;??_-;_-@_-">
                  <c:v>93.52</c:v>
                </c:pt>
                <c:pt idx="86" formatCode="_-* #,##0.0_-;\-* #,##0.0_-;_-* &quot;-&quot;??_-;_-@_-">
                  <c:v>93.52</c:v>
                </c:pt>
                <c:pt idx="87" formatCode="_-* #,##0.0_-;\-* #,##0.0_-;_-* &quot;-&quot;??_-;_-@_-">
                  <c:v>93.52</c:v>
                </c:pt>
                <c:pt idx="88" formatCode="_-* #,##0.0_-;\-* #,##0.0_-;_-* &quot;-&quot;??_-;_-@_-">
                  <c:v>93.52</c:v>
                </c:pt>
                <c:pt idx="89" formatCode="_-* #,##0.0_-;\-* #,##0.0_-;_-* &quot;-&quot;??_-;_-@_-">
                  <c:v>93.52</c:v>
                </c:pt>
                <c:pt idx="90" formatCode="_-* #,##0.0_-;\-* #,##0.0_-;_-* &quot;-&quot;??_-;_-@_-">
                  <c:v>93.52</c:v>
                </c:pt>
                <c:pt idx="91" formatCode="_-* #,##0.0_-;\-* #,##0.0_-;_-* &quot;-&quot;??_-;_-@_-">
                  <c:v>93.52</c:v>
                </c:pt>
                <c:pt idx="92" formatCode="_-* #,##0.0_-;\-* #,##0.0_-;_-* &quot;-&quot;??_-;_-@_-">
                  <c:v>93.52</c:v>
                </c:pt>
                <c:pt idx="93" formatCode="_-* #,##0.0_-;\-* #,##0.0_-;_-* &quot;-&quot;??_-;_-@_-">
                  <c:v>93.52</c:v>
                </c:pt>
                <c:pt idx="94" formatCode="_-* #,##0.0_-;\-* #,##0.0_-;_-* &quot;-&quot;??_-;_-@_-">
                  <c:v>93.52</c:v>
                </c:pt>
                <c:pt idx="95" formatCode="_-* #,##0.0_-;\-* #,##0.0_-;_-* &quot;-&quot;??_-;_-@_-">
                  <c:v>93.52</c:v>
                </c:pt>
                <c:pt idx="96" formatCode="_-* #,##0.0_-;\-* #,##0.0_-;_-* &quot;-&quot;??_-;_-@_-">
                  <c:v>93.52</c:v>
                </c:pt>
                <c:pt idx="97" formatCode="_-* #,##0.0_-;\-* #,##0.0_-;_-* &quot;-&quot;??_-;_-@_-">
                  <c:v>93.52</c:v>
                </c:pt>
                <c:pt idx="98" formatCode="_-* #,##0.0_-;\-* #,##0.0_-;_-* &quot;-&quot;??_-;_-@_-">
                  <c:v>93.52</c:v>
                </c:pt>
                <c:pt idx="99" formatCode="_-* #,##0.0_-;\-* #,##0.0_-;_-* &quot;-&quot;??_-;_-@_-">
                  <c:v>93.52</c:v>
                </c:pt>
                <c:pt idx="100" formatCode="_-* #,##0.0_-;\-* #,##0.0_-;_-* &quot;-&quot;??_-;_-@_-">
                  <c:v>93.52</c:v>
                </c:pt>
                <c:pt idx="101" formatCode="_-* #,##0.0_-;\-* #,##0.0_-;_-* &quot;-&quot;??_-;_-@_-">
                  <c:v>93.52</c:v>
                </c:pt>
                <c:pt idx="102" formatCode="_-* #,##0.0_-;\-* #,##0.0_-;_-* &quot;-&quot;??_-;_-@_-">
                  <c:v>93.52</c:v>
                </c:pt>
                <c:pt idx="103" formatCode="_-* #,##0.0_-;\-* #,##0.0_-;_-* &quot;-&quot;??_-;_-@_-">
                  <c:v>93.52</c:v>
                </c:pt>
                <c:pt idx="104" formatCode="_-* #,##0.0_-;\-* #,##0.0_-;_-* &quot;-&quot;??_-;_-@_-">
                  <c:v>93.52</c:v>
                </c:pt>
                <c:pt idx="105" formatCode="_-* #,##0.0_-;\-* #,##0.0_-;_-* &quot;-&quot;??_-;_-@_-">
                  <c:v>93.52</c:v>
                </c:pt>
                <c:pt idx="106" formatCode="_-* #,##0.0_-;\-* #,##0.0_-;_-* &quot;-&quot;??_-;_-@_-">
                  <c:v>93.52</c:v>
                </c:pt>
                <c:pt idx="107" formatCode="_-* #,##0.0_-;\-* #,##0.0_-;_-* &quot;-&quot;??_-;_-@_-">
                  <c:v>93.52</c:v>
                </c:pt>
                <c:pt idx="108" formatCode="_-* #,##0.0_-;\-* #,##0.0_-;_-* &quot;-&quot;??_-;_-@_-">
                  <c:v>96.3</c:v>
                </c:pt>
                <c:pt idx="109" formatCode="_-* #,##0.0_-;\-* #,##0.0_-;_-* &quot;-&quot;??_-;_-@_-">
                  <c:v>96.3</c:v>
                </c:pt>
                <c:pt idx="110" formatCode="_-* #,##0.0_-;\-* #,##0.0_-;_-* &quot;-&quot;??_-;_-@_-">
                  <c:v>96.3</c:v>
                </c:pt>
                <c:pt idx="111" formatCode="_-* #,##0.0_-;\-* #,##0.0_-;_-* &quot;-&quot;??_-;_-@_-">
                  <c:v>96.3</c:v>
                </c:pt>
                <c:pt idx="112" formatCode="_-* #,##0.0_-;\-* #,##0.0_-;_-* &quot;-&quot;??_-;_-@_-">
                  <c:v>96.3</c:v>
                </c:pt>
                <c:pt idx="113" formatCode="_-* #,##0.0_-;\-* #,##0.0_-;_-* &quot;-&quot;??_-;_-@_-">
                  <c:v>96.3</c:v>
                </c:pt>
                <c:pt idx="114" formatCode="_-* #,##0.0_-;\-* #,##0.0_-;_-* &quot;-&quot;??_-;_-@_-">
                  <c:v>96.3</c:v>
                </c:pt>
                <c:pt idx="115" formatCode="_-* #,##0.0_-;\-* #,##0.0_-;_-* &quot;-&quot;??_-;_-@_-">
                  <c:v>96.3</c:v>
                </c:pt>
                <c:pt idx="116" formatCode="_-* #,##0.0_-;\-* #,##0.0_-;_-* &quot;-&quot;??_-;_-@_-">
                  <c:v>96.3</c:v>
                </c:pt>
                <c:pt idx="117" formatCode="_-* #,##0.0_-;\-* #,##0.0_-;_-* &quot;-&quot;??_-;_-@_-">
                  <c:v>96.3</c:v>
                </c:pt>
                <c:pt idx="118" formatCode="_-* #,##0.0_-;\-* #,##0.0_-;_-* &quot;-&quot;??_-;_-@_-">
                  <c:v>96.3</c:v>
                </c:pt>
                <c:pt idx="119" formatCode="_-* #,##0.0_-;\-* #,##0.0_-;_-* &quot;-&quot;??_-;_-@_-">
                  <c:v>96.3</c:v>
                </c:pt>
                <c:pt idx="120" formatCode="_-* #,##0.0_-;\-* #,##0.0_-;_-* &quot;-&quot;??_-;_-@_-">
                  <c:v>96.3</c:v>
                </c:pt>
                <c:pt idx="121" formatCode="_-* #,##0.0_-;\-* #,##0.0_-;_-* &quot;-&quot;??_-;_-@_-">
                  <c:v>96.3</c:v>
                </c:pt>
                <c:pt idx="122" formatCode="_-* #,##0.0_-;\-* #,##0.0_-;_-* &quot;-&quot;??_-;_-@_-">
                  <c:v>96.3</c:v>
                </c:pt>
                <c:pt idx="123" formatCode="_-* #,##0.0_-;\-* #,##0.0_-;_-* &quot;-&quot;??_-;_-@_-">
                  <c:v>96.3</c:v>
                </c:pt>
                <c:pt idx="124" formatCode="_-* #,##0.0_-;\-* #,##0.0_-;_-* &quot;-&quot;??_-;_-@_-">
                  <c:v>96.3</c:v>
                </c:pt>
                <c:pt idx="125" formatCode="_-* #,##0.0_-;\-* #,##0.0_-;_-* &quot;-&quot;??_-;_-@_-">
                  <c:v>96.3</c:v>
                </c:pt>
                <c:pt idx="126" formatCode="_-* #,##0.0_-;\-* #,##0.0_-;_-* &quot;-&quot;??_-;_-@_-">
                  <c:v>96.3</c:v>
                </c:pt>
                <c:pt idx="127" formatCode="_-* #,##0.0_-;\-* #,##0.0_-;_-* &quot;-&quot;??_-;_-@_-">
                  <c:v>96.3</c:v>
                </c:pt>
                <c:pt idx="128" formatCode="_-* #,##0.0_-;\-* #,##0.0_-;_-* &quot;-&quot;??_-;_-@_-">
                  <c:v>96.3</c:v>
                </c:pt>
                <c:pt idx="129" formatCode="_-* #,##0.0_-;\-* #,##0.0_-;_-* &quot;-&quot;??_-;_-@_-">
                  <c:v>96.3</c:v>
                </c:pt>
                <c:pt idx="130" formatCode="_-* #,##0.0_-;\-* #,##0.0_-;_-* &quot;-&quot;??_-;_-@_-">
                  <c:v>96.3</c:v>
                </c:pt>
                <c:pt idx="131" formatCode="_-* #,##0.0_-;\-* #,##0.0_-;_-* &quot;-&quot;??_-;_-@_-">
                  <c:v>96.3</c:v>
                </c:pt>
                <c:pt idx="132" formatCode="_-* #,##0.0_-;\-* #,##0.0_-;_-* &quot;-&quot;??_-;_-@_-">
                  <c:v>96.3</c:v>
                </c:pt>
                <c:pt idx="133" formatCode="_-* #,##0.0_-;\-* #,##0.0_-;_-* &quot;-&quot;??_-;_-@_-">
                  <c:v>96.3</c:v>
                </c:pt>
                <c:pt idx="134" formatCode="_-* #,##0.0_-;\-* #,##0.0_-;_-* &quot;-&quot;??_-;_-@_-">
                  <c:v>96.3</c:v>
                </c:pt>
                <c:pt idx="135" formatCode="_-* #,##0.0_-;\-* #,##0.0_-;_-* &quot;-&quot;??_-;_-@_-">
                  <c:v>96.3</c:v>
                </c:pt>
                <c:pt idx="136" formatCode="_-* #,##0.0_-;\-* #,##0.0_-;_-* &quot;-&quot;??_-;_-@_-">
                  <c:v>96.3</c:v>
                </c:pt>
                <c:pt idx="137" formatCode="_-* #,##0.0_-;\-* #,##0.0_-;_-* &quot;-&quot;??_-;_-@_-">
                  <c:v>96.3</c:v>
                </c:pt>
                <c:pt idx="138" formatCode="_-* #,##0.0_-;\-* #,##0.0_-;_-* &quot;-&quot;??_-;_-@_-">
                  <c:v>96.3</c:v>
                </c:pt>
                <c:pt idx="139" formatCode="_-* #,##0.0_-;\-* #,##0.0_-;_-* &quot;-&quot;??_-;_-@_-">
                  <c:v>96.3</c:v>
                </c:pt>
                <c:pt idx="140" formatCode="_-* #,##0.0_-;\-* #,##0.0_-;_-* &quot;-&quot;??_-;_-@_-">
                  <c:v>96.3</c:v>
                </c:pt>
                <c:pt idx="141" formatCode="_-* #,##0.0_-;\-* #,##0.0_-;_-* &quot;-&quot;??_-;_-@_-">
                  <c:v>96.3</c:v>
                </c:pt>
                <c:pt idx="142" formatCode="_-* #,##0.0_-;\-* #,##0.0_-;_-* &quot;-&quot;??_-;_-@_-">
                  <c:v>96.3</c:v>
                </c:pt>
                <c:pt idx="143" formatCode="_-* #,##0.0_-;\-* #,##0.0_-;_-* &quot;-&quot;??_-;_-@_-">
                  <c:v>96.3</c:v>
                </c:pt>
                <c:pt idx="144" formatCode="_-* #,##0.0_-;\-* #,##0.0_-;_-* &quot;-&quot;??_-;_-@_-">
                  <c:v>96.3</c:v>
                </c:pt>
                <c:pt idx="145" formatCode="_-* #,##0.0_-;\-* #,##0.0_-;_-* &quot;-&quot;??_-;_-@_-">
                  <c:v>96.3</c:v>
                </c:pt>
                <c:pt idx="146" formatCode="_-* #,##0.0_-;\-* #,##0.0_-;_-* &quot;-&quot;??_-;_-@_-">
                  <c:v>96.3</c:v>
                </c:pt>
                <c:pt idx="147" formatCode="_-* #,##0.0_-;\-* #,##0.0_-;_-* &quot;-&quot;??_-;_-@_-">
                  <c:v>96.3</c:v>
                </c:pt>
                <c:pt idx="148" formatCode="_-* #,##0.0_-;\-* #,##0.0_-;_-* &quot;-&quot;??_-;_-@_-">
                  <c:v>96.3</c:v>
                </c:pt>
                <c:pt idx="149" formatCode="_-* #,##0.0_-;\-* #,##0.0_-;_-* &quot;-&quot;??_-;_-@_-">
                  <c:v>96.3</c:v>
                </c:pt>
                <c:pt idx="150" formatCode="_-* #,##0.0_-;\-* #,##0.0_-;_-* &quot;-&quot;??_-;_-@_-">
                  <c:v>96.3</c:v>
                </c:pt>
                <c:pt idx="151" formatCode="_-* #,##0.0_-;\-* #,##0.0_-;_-* &quot;-&quot;??_-;_-@_-">
                  <c:v>96.3</c:v>
                </c:pt>
                <c:pt idx="152" formatCode="_-* #,##0.0_-;\-* #,##0.0_-;_-* &quot;-&quot;??_-;_-@_-">
                  <c:v>96.3</c:v>
                </c:pt>
                <c:pt idx="153" formatCode="_-* #,##0.0_-;\-* #,##0.0_-;_-* &quot;-&quot;??_-;_-@_-">
                  <c:v>96.3</c:v>
                </c:pt>
                <c:pt idx="154" formatCode="_-* #,##0.0_-;\-* #,##0.0_-;_-* &quot;-&quot;??_-;_-@_-">
                  <c:v>96.3</c:v>
                </c:pt>
                <c:pt idx="155" formatCode="_-* #,##0.0_-;\-* #,##0.0_-;_-* &quot;-&quot;??_-;_-@_-">
                  <c:v>96.3</c:v>
                </c:pt>
                <c:pt idx="156" formatCode="_-* #,##0.0_-;\-* #,##0.0_-;_-* &quot;-&quot;??_-;_-@_-">
                  <c:v>96.3</c:v>
                </c:pt>
                <c:pt idx="157" formatCode="_-* #,##0.0_-;\-* #,##0.0_-;_-* &quot;-&quot;??_-;_-@_-">
                  <c:v>96.3</c:v>
                </c:pt>
                <c:pt idx="158" formatCode="_-* #,##0.0_-;\-* #,##0.0_-;_-* &quot;-&quot;??_-;_-@_-">
                  <c:v>96.3</c:v>
                </c:pt>
                <c:pt idx="159" formatCode="_-* #,##0.0_-;\-* #,##0.0_-;_-* &quot;-&quot;??_-;_-@_-">
                  <c:v>96.3</c:v>
                </c:pt>
                <c:pt idx="160" formatCode="_-* #,##0.0_-;\-* #,##0.0_-;_-* &quot;-&quot;??_-;_-@_-">
                  <c:v>96.3</c:v>
                </c:pt>
                <c:pt idx="161" formatCode="_-* #,##0.0_-;\-* #,##0.0_-;_-* &quot;-&quot;??_-;_-@_-">
                  <c:v>96.3</c:v>
                </c:pt>
                <c:pt idx="162" formatCode="_-* #,##0.0_-;\-* #,##0.0_-;_-* &quot;-&quot;??_-;_-@_-">
                  <c:v>96.3</c:v>
                </c:pt>
                <c:pt idx="163" formatCode="_-* #,##0.0_-;\-* #,##0.0_-;_-* &quot;-&quot;??_-;_-@_-">
                  <c:v>96.3</c:v>
                </c:pt>
                <c:pt idx="164" formatCode="_-* #,##0.0_-;\-* #,##0.0_-;_-* &quot;-&quot;??_-;_-@_-">
                  <c:v>96.3</c:v>
                </c:pt>
                <c:pt idx="165" formatCode="_-* #,##0.0_-;\-* #,##0.0_-;_-* &quot;-&quot;??_-;_-@_-">
                  <c:v>96.3</c:v>
                </c:pt>
                <c:pt idx="166" formatCode="_-* #,##0.0_-;\-* #,##0.0_-;_-* &quot;-&quot;??_-;_-@_-">
                  <c:v>96.3</c:v>
                </c:pt>
                <c:pt idx="167" formatCode="_-* #,##0.0_-;\-* #,##0.0_-;_-* &quot;-&quot;??_-;_-@_-">
                  <c:v>96.3</c:v>
                </c:pt>
                <c:pt idx="168" formatCode="_-* #,##0.0_-;\-* #,##0.0_-;_-* &quot;-&quot;??_-;_-@_-">
                  <c:v>96.3</c:v>
                </c:pt>
                <c:pt idx="169" formatCode="_-* #,##0.0_-;\-* #,##0.0_-;_-* &quot;-&quot;??_-;_-@_-">
                  <c:v>96.3</c:v>
                </c:pt>
                <c:pt idx="170" formatCode="_-* #,##0.0_-;\-* #,##0.0_-;_-* &quot;-&quot;??_-;_-@_-">
                  <c:v>96.3</c:v>
                </c:pt>
                <c:pt idx="171" formatCode="_-* #,##0.0_-;\-* #,##0.0_-;_-* &quot;-&quot;??_-;_-@_-">
                  <c:v>96.3</c:v>
                </c:pt>
                <c:pt idx="172" formatCode="_-* #,##0.0_-;\-* #,##0.0_-;_-* &quot;-&quot;??_-;_-@_-">
                  <c:v>96.3</c:v>
                </c:pt>
                <c:pt idx="173" formatCode="_-* #,##0.0_-;\-* #,##0.0_-;_-* &quot;-&quot;??_-;_-@_-">
                  <c:v>96.3</c:v>
                </c:pt>
                <c:pt idx="174" formatCode="_-* #,##0.0_-;\-* #,##0.0_-;_-* &quot;-&quot;??_-;_-@_-">
                  <c:v>96.3</c:v>
                </c:pt>
                <c:pt idx="175" formatCode="_-* #,##0.0_-;\-* #,##0.0_-;_-* &quot;-&quot;??_-;_-@_-">
                  <c:v>96.3</c:v>
                </c:pt>
                <c:pt idx="176" formatCode="_-* #,##0.0_-;\-* #,##0.0_-;_-* &quot;-&quot;??_-;_-@_-">
                  <c:v>96.3</c:v>
                </c:pt>
                <c:pt idx="177" formatCode="_-* #,##0.0_-;\-* #,##0.0_-;_-* &quot;-&quot;??_-;_-@_-">
                  <c:v>96.3</c:v>
                </c:pt>
                <c:pt idx="178" formatCode="_-* #,##0.0_-;\-* #,##0.0_-;_-* &quot;-&quot;??_-;_-@_-">
                  <c:v>96.3</c:v>
                </c:pt>
                <c:pt idx="179" formatCode="_-* #,##0.0_-;\-* #,##0.0_-;_-* &quot;-&quot;??_-;_-@_-">
                  <c:v>96.3</c:v>
                </c:pt>
                <c:pt idx="180" formatCode="_-* #,##0.0_-;\-* #,##0.0_-;_-* &quot;-&quot;??_-;_-@_-">
                  <c:v>96.3</c:v>
                </c:pt>
                <c:pt idx="181" formatCode="_-* #,##0.0_-;\-* #,##0.0_-;_-* &quot;-&quot;??_-;_-@_-">
                  <c:v>96.3</c:v>
                </c:pt>
                <c:pt idx="182" formatCode="_-* #,##0.0_-;\-* #,##0.0_-;_-* &quot;-&quot;??_-;_-@_-">
                  <c:v>96.3</c:v>
                </c:pt>
                <c:pt idx="183" formatCode="_-* #,##0.0_-;\-* #,##0.0_-;_-* &quot;-&quot;??_-;_-@_-">
                  <c:v>96.3</c:v>
                </c:pt>
                <c:pt idx="184" formatCode="_-* #,##0.0_-;\-* #,##0.0_-;_-* &quot;-&quot;??_-;_-@_-">
                  <c:v>96.3</c:v>
                </c:pt>
                <c:pt idx="185" formatCode="_-* #,##0.0_-;\-* #,##0.0_-;_-* &quot;-&quot;??_-;_-@_-">
                  <c:v>96.3</c:v>
                </c:pt>
                <c:pt idx="186" formatCode="_-* #,##0.0_-;\-* #,##0.0_-;_-* &quot;-&quot;??_-;_-@_-">
                  <c:v>96.3</c:v>
                </c:pt>
                <c:pt idx="187" formatCode="_-* #,##0.0_-;\-* #,##0.0_-;_-* &quot;-&quot;??_-;_-@_-">
                  <c:v>96.3</c:v>
                </c:pt>
                <c:pt idx="188" formatCode="_-* #,##0.0_-;\-* #,##0.0_-;_-* &quot;-&quot;??_-;_-@_-">
                  <c:v>96.3</c:v>
                </c:pt>
                <c:pt idx="189" formatCode="_-* #,##0.0_-;\-* #,##0.0_-;_-* &quot;-&quot;??_-;_-@_-">
                  <c:v>96.3</c:v>
                </c:pt>
                <c:pt idx="190" formatCode="_-* #,##0.0_-;\-* #,##0.0_-;_-* &quot;-&quot;??_-;_-@_-">
                  <c:v>96.3</c:v>
                </c:pt>
                <c:pt idx="191" formatCode="_-* #,##0.0_-;\-* #,##0.0_-;_-* &quot;-&quot;??_-;_-@_-">
                  <c:v>96.3</c:v>
                </c:pt>
                <c:pt idx="192" formatCode="_-* #,##0.0_-;\-* #,##0.0_-;_-* &quot;-&quot;??_-;_-@_-">
                  <c:v>96.3</c:v>
                </c:pt>
                <c:pt idx="193" formatCode="_-* #,##0.0_-;\-* #,##0.0_-;_-* &quot;-&quot;??_-;_-@_-">
                  <c:v>96.3</c:v>
                </c:pt>
                <c:pt idx="194" formatCode="_-* #,##0.0_-;\-* #,##0.0_-;_-* &quot;-&quot;??_-;_-@_-">
                  <c:v>96.3</c:v>
                </c:pt>
                <c:pt idx="195" formatCode="_-* #,##0.0_-;\-* #,##0.0_-;_-* &quot;-&quot;??_-;_-@_-">
                  <c:v>96.3</c:v>
                </c:pt>
                <c:pt idx="196" formatCode="_-* #,##0.0_-;\-* #,##0.0_-;_-* &quot;-&quot;??_-;_-@_-">
                  <c:v>96.3</c:v>
                </c:pt>
                <c:pt idx="197" formatCode="_-* #,##0.0_-;\-* #,##0.0_-;_-* &quot;-&quot;??_-;_-@_-">
                  <c:v>96.3</c:v>
                </c:pt>
                <c:pt idx="198" formatCode="_-* #,##0.0_-;\-* #,##0.0_-;_-* &quot;-&quot;??_-;_-@_-">
                  <c:v>96.3</c:v>
                </c:pt>
                <c:pt idx="199" formatCode="_-* #,##0.0_-;\-* #,##0.0_-;_-* &quot;-&quot;??_-;_-@_-">
                  <c:v>96.3</c:v>
                </c:pt>
                <c:pt idx="200" formatCode="_-* #,##0.0_-;\-* #,##0.0_-;_-* &quot;-&quot;??_-;_-@_-">
                  <c:v>96.3</c:v>
                </c:pt>
                <c:pt idx="201" formatCode="_-* #,##0.0_-;\-* #,##0.0_-;_-* &quot;-&quot;??_-;_-@_-">
                  <c:v>96.3</c:v>
                </c:pt>
                <c:pt idx="202" formatCode="_-* #,##0.0_-;\-* #,##0.0_-;_-* &quot;-&quot;??_-;_-@_-">
                  <c:v>96.3</c:v>
                </c:pt>
                <c:pt idx="203" formatCode="_-* #,##0.0_-;\-* #,##0.0_-;_-* &quot;-&quot;??_-;_-@_-">
                  <c:v>96.3</c:v>
                </c:pt>
                <c:pt idx="204" formatCode="_-* #,##0.0_-;\-* #,##0.0_-;_-* &quot;-&quot;??_-;_-@_-">
                  <c:v>96.3</c:v>
                </c:pt>
                <c:pt idx="205" formatCode="_-* #,##0.0_-;\-* #,##0.0_-;_-* &quot;-&quot;??_-;_-@_-">
                  <c:v>96.3</c:v>
                </c:pt>
                <c:pt idx="206" formatCode="_-* #,##0.0_-;\-* #,##0.0_-;_-* &quot;-&quot;??_-;_-@_-">
                  <c:v>96.3</c:v>
                </c:pt>
                <c:pt idx="207" formatCode="_-* #,##0.0_-;\-* #,##0.0_-;_-* &quot;-&quot;??_-;_-@_-">
                  <c:v>96.3</c:v>
                </c:pt>
                <c:pt idx="208" formatCode="_-* #,##0.0_-;\-* #,##0.0_-;_-* &quot;-&quot;??_-;_-@_-">
                  <c:v>87.04</c:v>
                </c:pt>
                <c:pt idx="209" formatCode="_-* #,##0.0_-;\-* #,##0.0_-;_-* &quot;-&quot;??_-;_-@_-">
                  <c:v>87.04</c:v>
                </c:pt>
                <c:pt idx="210" formatCode="_-* #,##0.0_-;\-* #,##0.0_-;_-* &quot;-&quot;??_-;_-@_-">
                  <c:v>87.04</c:v>
                </c:pt>
                <c:pt idx="211" formatCode="_-* #,##0.0_-;\-* #,##0.0_-;_-* &quot;-&quot;??_-;_-@_-">
                  <c:v>87.04</c:v>
                </c:pt>
                <c:pt idx="212" formatCode="_-* #,##0.0_-;\-* #,##0.0_-;_-* &quot;-&quot;??_-;_-@_-">
                  <c:v>87.04</c:v>
                </c:pt>
                <c:pt idx="213" formatCode="_-* #,##0.0_-;\-* #,##0.0_-;_-* &quot;-&quot;??_-;_-@_-">
                  <c:v>87.04</c:v>
                </c:pt>
                <c:pt idx="214" formatCode="_-* #,##0.0_-;\-* #,##0.0_-;_-* &quot;-&quot;??_-;_-@_-">
                  <c:v>87.04</c:v>
                </c:pt>
                <c:pt idx="215" formatCode="_-* #,##0.0_-;\-* #,##0.0_-;_-* &quot;-&quot;??_-;_-@_-">
                  <c:v>87.04</c:v>
                </c:pt>
                <c:pt idx="216" formatCode="_-* #,##0.0_-;\-* #,##0.0_-;_-* &quot;-&quot;??_-;_-@_-">
                  <c:v>87.04</c:v>
                </c:pt>
                <c:pt idx="217" formatCode="_-* #,##0.0_-;\-* #,##0.0_-;_-* &quot;-&quot;??_-;_-@_-">
                  <c:v>87.04</c:v>
                </c:pt>
                <c:pt idx="218" formatCode="_-* #,##0.0_-;\-* #,##0.0_-;_-* &quot;-&quot;??_-;_-@_-">
                  <c:v>87.04</c:v>
                </c:pt>
                <c:pt idx="219" formatCode="_-* #,##0.0_-;\-* #,##0.0_-;_-* &quot;-&quot;??_-;_-@_-">
                  <c:v>87.04</c:v>
                </c:pt>
                <c:pt idx="220" formatCode="_-* #,##0.0_-;\-* #,##0.0_-;_-* &quot;-&quot;??_-;_-@_-">
                  <c:v>87.04</c:v>
                </c:pt>
                <c:pt idx="221" formatCode="_-* #,##0.0_-;\-* #,##0.0_-;_-* &quot;-&quot;??_-;_-@_-">
                  <c:v>87.04</c:v>
                </c:pt>
                <c:pt idx="222" formatCode="_-* #,##0.0_-;\-* #,##0.0_-;_-* &quot;-&quot;??_-;_-@_-">
                  <c:v>87.04</c:v>
                </c:pt>
                <c:pt idx="223" formatCode="_-* #,##0.0_-;\-* #,##0.0_-;_-* &quot;-&quot;??_-;_-@_-">
                  <c:v>87.04</c:v>
                </c:pt>
                <c:pt idx="224" formatCode="_-* #,##0.0_-;\-* #,##0.0_-;_-* &quot;-&quot;??_-;_-@_-">
                  <c:v>87.04</c:v>
                </c:pt>
                <c:pt idx="225" formatCode="_-* #,##0.0_-;\-* #,##0.0_-;_-* &quot;-&quot;??_-;_-@_-">
                  <c:v>87.04</c:v>
                </c:pt>
                <c:pt idx="226" formatCode="_-* #,##0.0_-;\-* #,##0.0_-;_-* &quot;-&quot;??_-;_-@_-">
                  <c:v>87.04</c:v>
                </c:pt>
                <c:pt idx="227" formatCode="_-* #,##0.0_-;\-* #,##0.0_-;_-* &quot;-&quot;??_-;_-@_-">
                  <c:v>87.04</c:v>
                </c:pt>
                <c:pt idx="228" formatCode="_-* #,##0.0_-;\-* #,##0.0_-;_-* &quot;-&quot;??_-;_-@_-">
                  <c:v>87.04</c:v>
                </c:pt>
                <c:pt idx="229" formatCode="_-* #,##0.0_-;\-* #,##0.0_-;_-* &quot;-&quot;??_-;_-@_-">
                  <c:v>87.04</c:v>
                </c:pt>
                <c:pt idx="230" formatCode="_-* #,##0.0_-;\-* #,##0.0_-;_-* &quot;-&quot;??_-;_-@_-">
                  <c:v>87.04</c:v>
                </c:pt>
                <c:pt idx="231" formatCode="_-* #,##0.0_-;\-* #,##0.0_-;_-* &quot;-&quot;??_-;_-@_-">
                  <c:v>87.04</c:v>
                </c:pt>
                <c:pt idx="232" formatCode="_-* #,##0.0_-;\-* #,##0.0_-;_-* &quot;-&quot;??_-;_-@_-">
                  <c:v>87.04</c:v>
                </c:pt>
                <c:pt idx="233" formatCode="_-* #,##0.0_-;\-* #,##0.0_-;_-* &quot;-&quot;??_-;_-@_-">
                  <c:v>87.04</c:v>
                </c:pt>
                <c:pt idx="234" formatCode="_-* #,##0.0_-;\-* #,##0.0_-;_-* &quot;-&quot;??_-;_-@_-">
                  <c:v>87.04</c:v>
                </c:pt>
                <c:pt idx="235" formatCode="_-* #,##0.0_-;\-* #,##0.0_-;_-* &quot;-&quot;??_-;_-@_-">
                  <c:v>87.04</c:v>
                </c:pt>
                <c:pt idx="236" formatCode="_-* #,##0.0_-;\-* #,##0.0_-;_-* &quot;-&quot;??_-;_-@_-">
                  <c:v>87.04</c:v>
                </c:pt>
                <c:pt idx="237" formatCode="_-* #,##0.0_-;\-* #,##0.0_-;_-* &quot;-&quot;??_-;_-@_-">
                  <c:v>87.04</c:v>
                </c:pt>
                <c:pt idx="238" formatCode="_-* #,##0.0_-;\-* #,##0.0_-;_-* &quot;-&quot;??_-;_-@_-">
                  <c:v>87.04</c:v>
                </c:pt>
                <c:pt idx="239" formatCode="_-* #,##0.0_-;\-* #,##0.0_-;_-* &quot;-&quot;??_-;_-@_-">
                  <c:v>87.04</c:v>
                </c:pt>
                <c:pt idx="240" formatCode="_-* #,##0.0_-;\-* #,##0.0_-;_-* &quot;-&quot;??_-;_-@_-">
                  <c:v>87.04</c:v>
                </c:pt>
                <c:pt idx="241" formatCode="_-* #,##0.0_-;\-* #,##0.0_-;_-* &quot;-&quot;??_-;_-@_-">
                  <c:v>87.04</c:v>
                </c:pt>
                <c:pt idx="242" formatCode="_-* #,##0.0_-;\-* #,##0.0_-;_-* &quot;-&quot;??_-;_-@_-">
                  <c:v>87.04</c:v>
                </c:pt>
                <c:pt idx="243" formatCode="_-* #,##0.0_-;\-* #,##0.0_-;_-* &quot;-&quot;??_-;_-@_-">
                  <c:v>87.04</c:v>
                </c:pt>
                <c:pt idx="244" formatCode="_-* #,##0.0_-;\-* #,##0.0_-;_-* &quot;-&quot;??_-;_-@_-">
                  <c:v>87.04</c:v>
                </c:pt>
                <c:pt idx="245" formatCode="_-* #,##0.0_-;\-* #,##0.0_-;_-* &quot;-&quot;??_-;_-@_-">
                  <c:v>87.04</c:v>
                </c:pt>
                <c:pt idx="246" formatCode="_-* #,##0.0_-;\-* #,##0.0_-;_-* &quot;-&quot;??_-;_-@_-">
                  <c:v>87.04</c:v>
                </c:pt>
                <c:pt idx="247" formatCode="_-* #,##0.0_-;\-* #,##0.0_-;_-* &quot;-&quot;??_-;_-@_-">
                  <c:v>87.04</c:v>
                </c:pt>
                <c:pt idx="248" formatCode="_-* #,##0.0_-;\-* #,##0.0_-;_-* &quot;-&quot;??_-;_-@_-">
                  <c:v>87.04</c:v>
                </c:pt>
                <c:pt idx="249" formatCode="_-* #,##0.0_-;\-* #,##0.0_-;_-* &quot;-&quot;??_-;_-@_-">
                  <c:v>87.04</c:v>
                </c:pt>
                <c:pt idx="250" formatCode="_-* #,##0.0_-;\-* #,##0.0_-;_-* &quot;-&quot;??_-;_-@_-">
                  <c:v>87.04</c:v>
                </c:pt>
                <c:pt idx="251" formatCode="_-* #,##0.0_-;\-* #,##0.0_-;_-* &quot;-&quot;??_-;_-@_-">
                  <c:v>87.04</c:v>
                </c:pt>
                <c:pt idx="252" formatCode="_-* #,##0.0_-;\-* #,##0.0_-;_-* &quot;-&quot;??_-;_-@_-">
                  <c:v>87.04</c:v>
                </c:pt>
                <c:pt idx="253" formatCode="_-* #,##0.0_-;\-* #,##0.0_-;_-* &quot;-&quot;??_-;_-@_-">
                  <c:v>87.04</c:v>
                </c:pt>
                <c:pt idx="254" formatCode="_-* #,##0.0_-;\-* #,##0.0_-;_-* &quot;-&quot;??_-;_-@_-">
                  <c:v>87.04</c:v>
                </c:pt>
                <c:pt idx="255" formatCode="_-* #,##0.0_-;\-* #,##0.0_-;_-* &quot;-&quot;??_-;_-@_-">
                  <c:v>87.04</c:v>
                </c:pt>
                <c:pt idx="256" formatCode="_-* #,##0.0_-;\-* #,##0.0_-;_-* &quot;-&quot;??_-;_-@_-">
                  <c:v>87.04</c:v>
                </c:pt>
                <c:pt idx="257" formatCode="_-* #,##0.0_-;\-* #,##0.0_-;_-* &quot;-&quot;??_-;_-@_-">
                  <c:v>87.04</c:v>
                </c:pt>
                <c:pt idx="258" formatCode="_-* #,##0.0_-;\-* #,##0.0_-;_-* &quot;-&quot;??_-;_-@_-">
                  <c:v>87.04</c:v>
                </c:pt>
                <c:pt idx="259" formatCode="_-* #,##0.0_-;\-* #,##0.0_-;_-* &quot;-&quot;??_-;_-@_-">
                  <c:v>87.04</c:v>
                </c:pt>
                <c:pt idx="260" formatCode="_-* #,##0.0_-;\-* #,##0.0_-;_-* &quot;-&quot;??_-;_-@_-">
                  <c:v>87.04</c:v>
                </c:pt>
                <c:pt idx="261" formatCode="_-* #,##0.0_-;\-* #,##0.0_-;_-* &quot;-&quot;??_-;_-@_-">
                  <c:v>67.59</c:v>
                </c:pt>
                <c:pt idx="262" formatCode="_-* #,##0.0_-;\-* #,##0.0_-;_-* &quot;-&quot;??_-;_-@_-">
                  <c:v>67.59</c:v>
                </c:pt>
                <c:pt idx="263" formatCode="_-* #,##0.0_-;\-* #,##0.0_-;_-* &quot;-&quot;??_-;_-@_-">
                  <c:v>67.59</c:v>
                </c:pt>
                <c:pt idx="264" formatCode="_-* #,##0.0_-;\-* #,##0.0_-;_-* &quot;-&quot;??_-;_-@_-">
                  <c:v>67.59</c:v>
                </c:pt>
                <c:pt idx="265" formatCode="_-* #,##0.0_-;\-* #,##0.0_-;_-* &quot;-&quot;??_-;_-@_-">
                  <c:v>67.59</c:v>
                </c:pt>
                <c:pt idx="266" formatCode="_-* #,##0.0_-;\-* #,##0.0_-;_-* &quot;-&quot;??_-;_-@_-">
                  <c:v>67.59</c:v>
                </c:pt>
                <c:pt idx="267" formatCode="_-* #,##0.0_-;\-* #,##0.0_-;_-* &quot;-&quot;??_-;_-@_-">
                  <c:v>67.59</c:v>
                </c:pt>
                <c:pt idx="268" formatCode="_-* #,##0.0_-;\-* #,##0.0_-;_-* &quot;-&quot;??_-;_-@_-">
                  <c:v>67.59</c:v>
                </c:pt>
                <c:pt idx="269" formatCode="_-* #,##0.0_-;\-* #,##0.0_-;_-* &quot;-&quot;??_-;_-@_-">
                  <c:v>67.59</c:v>
                </c:pt>
                <c:pt idx="270" formatCode="_-* #,##0.0_-;\-* #,##0.0_-;_-* &quot;-&quot;??_-;_-@_-">
                  <c:v>67.59</c:v>
                </c:pt>
                <c:pt idx="271" formatCode="_-* #,##0.0_-;\-* #,##0.0_-;_-* &quot;-&quot;??_-;_-@_-">
                  <c:v>67.59</c:v>
                </c:pt>
                <c:pt idx="272" formatCode="_-* #,##0.0_-;\-* #,##0.0_-;_-* &quot;-&quot;??_-;_-@_-">
                  <c:v>67.59</c:v>
                </c:pt>
                <c:pt idx="273" formatCode="_-* #,##0.0_-;\-* #,##0.0_-;_-* &quot;-&quot;??_-;_-@_-">
                  <c:v>67.59</c:v>
                </c:pt>
                <c:pt idx="274" formatCode="_-* #,##0.0_-;\-* #,##0.0_-;_-* &quot;-&quot;??_-;_-@_-">
                  <c:v>49.54</c:v>
                </c:pt>
                <c:pt idx="275" formatCode="_-* #,##0.0_-;\-* #,##0.0_-;_-* &quot;-&quot;??_-;_-@_-">
                  <c:v>49.54</c:v>
                </c:pt>
                <c:pt idx="276" formatCode="_-* #,##0.0_-;\-* #,##0.0_-;_-* &quot;-&quot;??_-;_-@_-">
                  <c:v>49.54</c:v>
                </c:pt>
                <c:pt idx="277" formatCode="_-* #,##0.0_-;\-* #,##0.0_-;_-* &quot;-&quot;??_-;_-@_-">
                  <c:v>49.54</c:v>
                </c:pt>
                <c:pt idx="278" formatCode="_-* #,##0.0_-;\-* #,##0.0_-;_-* &quot;-&quot;??_-;_-@_-">
                  <c:v>49.54</c:v>
                </c:pt>
                <c:pt idx="279" formatCode="_-* #,##0.0_-;\-* #,##0.0_-;_-* &quot;-&quot;??_-;_-@_-">
                  <c:v>49.54</c:v>
                </c:pt>
                <c:pt idx="280" formatCode="_-* #,##0.0_-;\-* #,##0.0_-;_-* &quot;-&quot;??_-;_-@_-">
                  <c:v>49.54</c:v>
                </c:pt>
                <c:pt idx="281" formatCode="_-* #,##0.0_-;\-* #,##0.0_-;_-* &quot;-&quot;??_-;_-@_-">
                  <c:v>49.54</c:v>
                </c:pt>
                <c:pt idx="282" formatCode="_-* #,##0.0_-;\-* #,##0.0_-;_-* &quot;-&quot;??_-;_-@_-">
                  <c:v>49.54</c:v>
                </c:pt>
                <c:pt idx="283" formatCode="_-* #,##0.0_-;\-* #,##0.0_-;_-* &quot;-&quot;??_-;_-@_-">
                  <c:v>49.54</c:v>
                </c:pt>
                <c:pt idx="284" formatCode="_-* #,##0.0_-;\-* #,##0.0_-;_-* &quot;-&quot;??_-;_-@_-">
                  <c:v>49.54</c:v>
                </c:pt>
                <c:pt idx="285" formatCode="_-* #,##0.0_-;\-* #,##0.0_-;_-* &quot;-&quot;??_-;_-@_-">
                  <c:v>49.54</c:v>
                </c:pt>
                <c:pt idx="286" formatCode="_-* #,##0.0_-;\-* #,##0.0_-;_-* &quot;-&quot;??_-;_-@_-">
                  <c:v>49.54</c:v>
                </c:pt>
                <c:pt idx="287" formatCode="_-* #,##0.0_-;\-* #,##0.0_-;_-* &quot;-&quot;??_-;_-@_-">
                  <c:v>49.54</c:v>
                </c:pt>
                <c:pt idx="288" formatCode="_-* #,##0.0_-;\-* #,##0.0_-;_-* &quot;-&quot;??_-;_-@_-">
                  <c:v>49.54</c:v>
                </c:pt>
                <c:pt idx="289" formatCode="_-* #,##0.0_-;\-* #,##0.0_-;_-* &quot;-&quot;??_-;_-@_-">
                  <c:v>49.54</c:v>
                </c:pt>
                <c:pt idx="290" formatCode="_-* #,##0.0_-;\-* #,##0.0_-;_-* &quot;-&quot;??_-;_-@_-">
                  <c:v>49.54</c:v>
                </c:pt>
                <c:pt idx="291" formatCode="_-* #,##0.0_-;\-* #,##0.0_-;_-* &quot;-&quot;??_-;_-@_-">
                  <c:v>49.54</c:v>
                </c:pt>
                <c:pt idx="292" formatCode="_-* #,##0.0_-;\-* #,##0.0_-;_-* &quot;-&quot;??_-;_-@_-">
                  <c:v>49.54</c:v>
                </c:pt>
                <c:pt idx="293" formatCode="_-* #,##0.0_-;\-* #,##0.0_-;_-* &quot;-&quot;??_-;_-@_-">
                  <c:v>49.54</c:v>
                </c:pt>
                <c:pt idx="294" formatCode="_-* #,##0.0_-;\-* #,##0.0_-;_-* &quot;-&quot;??_-;_-@_-">
                  <c:v>49.54</c:v>
                </c:pt>
                <c:pt idx="295" formatCode="_-* #,##0.0_-;\-* #,##0.0_-;_-* &quot;-&quot;??_-;_-@_-">
                  <c:v>49.54</c:v>
                </c:pt>
                <c:pt idx="296" formatCode="_-* #,##0.0_-;\-* #,##0.0_-;_-* &quot;-&quot;??_-;_-@_-">
                  <c:v>49.54</c:v>
                </c:pt>
                <c:pt idx="297" formatCode="_-* #,##0.0_-;\-* #,##0.0_-;_-* &quot;-&quot;??_-;_-@_-">
                  <c:v>49.54</c:v>
                </c:pt>
                <c:pt idx="298" formatCode="_-* #,##0.0_-;\-* #,##0.0_-;_-* &quot;-&quot;??_-;_-@_-">
                  <c:v>49.54</c:v>
                </c:pt>
                <c:pt idx="299" formatCode="_-* #,##0.0_-;\-* #,##0.0_-;_-* &quot;-&quot;??_-;_-@_-">
                  <c:v>49.54</c:v>
                </c:pt>
                <c:pt idx="300" formatCode="_-* #,##0.0_-;\-* #,##0.0_-;_-* &quot;-&quot;??_-;_-@_-">
                  <c:v>49.54</c:v>
                </c:pt>
                <c:pt idx="301" formatCode="_-* #,##0.0_-;\-* #,##0.0_-;_-* &quot;-&quot;??_-;_-@_-">
                  <c:v>49.54</c:v>
                </c:pt>
                <c:pt idx="302" formatCode="_-* #,##0.0_-;\-* #,##0.0_-;_-* &quot;-&quot;??_-;_-@_-">
                  <c:v>49.54</c:v>
                </c:pt>
                <c:pt idx="303" formatCode="_-* #,##0.0_-;\-* #,##0.0_-;_-* &quot;-&quot;??_-;_-@_-">
                  <c:v>49.54</c:v>
                </c:pt>
                <c:pt idx="304" formatCode="_-* #,##0.0_-;\-* #,##0.0_-;_-* &quot;-&quot;??_-;_-@_-">
                  <c:v>49.54</c:v>
                </c:pt>
                <c:pt idx="305" formatCode="_-* #,##0.0_-;\-* #,##0.0_-;_-* &quot;-&quot;??_-;_-@_-">
                  <c:v>49.54</c:v>
                </c:pt>
                <c:pt idx="306" formatCode="_-* #,##0.0_-;\-* #,##0.0_-;_-* &quot;-&quot;??_-;_-@_-">
                  <c:v>49.54</c:v>
                </c:pt>
                <c:pt idx="307" formatCode="_-* #,##0.0_-;\-* #,##0.0_-;_-* &quot;-&quot;??_-;_-@_-">
                  <c:v>49.54</c:v>
                </c:pt>
                <c:pt idx="308" formatCode="_-* #,##0.0_-;\-* #,##0.0_-;_-* &quot;-&quot;??_-;_-@_-">
                  <c:v>49.54</c:v>
                </c:pt>
                <c:pt idx="309" formatCode="_-* #,##0.0_-;\-* #,##0.0_-;_-* &quot;-&quot;??_-;_-@_-">
                  <c:v>49.54</c:v>
                </c:pt>
                <c:pt idx="310" formatCode="_-* #,##0.0_-;\-* #,##0.0_-;_-* &quot;-&quot;??_-;_-@_-">
                  <c:v>49.54</c:v>
                </c:pt>
                <c:pt idx="311" formatCode="_-* #,##0.0_-;\-* #,##0.0_-;_-* &quot;-&quot;??_-;_-@_-">
                  <c:v>49.54</c:v>
                </c:pt>
                <c:pt idx="312" formatCode="_-* #,##0.0_-;\-* #,##0.0_-;_-* &quot;-&quot;??_-;_-@_-">
                  <c:v>49.54</c:v>
                </c:pt>
                <c:pt idx="313" formatCode="_-* #,##0.0_-;\-* #,##0.0_-;_-* &quot;-&quot;??_-;_-@_-">
                  <c:v>49.54</c:v>
                </c:pt>
                <c:pt idx="314" formatCode="_-* #,##0.0_-;\-* #,##0.0_-;_-* &quot;-&quot;??_-;_-@_-">
                  <c:v>49.54</c:v>
                </c:pt>
                <c:pt idx="315" formatCode="_-* #,##0.0_-;\-* #,##0.0_-;_-* &quot;-&quot;??_-;_-@_-">
                  <c:v>49.54</c:v>
                </c:pt>
                <c:pt idx="316" formatCode="_-* #,##0.0_-;\-* #,##0.0_-;_-* &quot;-&quot;??_-;_-@_-">
                  <c:v>49.54</c:v>
                </c:pt>
                <c:pt idx="317" formatCode="_-* #,##0.0_-;\-* #,##0.0_-;_-* &quot;-&quot;??_-;_-@_-">
                  <c:v>49.54</c:v>
                </c:pt>
                <c:pt idx="318" formatCode="_-* #,##0.0_-;\-* #,##0.0_-;_-* &quot;-&quot;??_-;_-@_-">
                  <c:v>49.54</c:v>
                </c:pt>
                <c:pt idx="319" formatCode="_-* #,##0.0_-;\-* #,##0.0_-;_-* &quot;-&quot;??_-;_-@_-">
                  <c:v>49.54</c:v>
                </c:pt>
                <c:pt idx="320" formatCode="_-* #,##0.0_-;\-* #,##0.0_-;_-* &quot;-&quot;??_-;_-@_-">
                  <c:v>49.54</c:v>
                </c:pt>
                <c:pt idx="321" formatCode="_-* #,##0.0_-;\-* #,##0.0_-;_-* &quot;-&quot;??_-;_-@_-">
                  <c:v>49.54</c:v>
                </c:pt>
                <c:pt idx="322" formatCode="_-* #,##0.0_-;\-* #,##0.0_-;_-* &quot;-&quot;??_-;_-@_-">
                  <c:v>49.54</c:v>
                </c:pt>
                <c:pt idx="323" formatCode="_-* #,##0.0_-;\-* #,##0.0_-;_-* &quot;-&quot;??_-;_-@_-">
                  <c:v>49.54</c:v>
                </c:pt>
                <c:pt idx="324" formatCode="_-* #,##0.0_-;\-* #,##0.0_-;_-* &quot;-&quot;??_-;_-@_-">
                  <c:v>49.54</c:v>
                </c:pt>
                <c:pt idx="325" formatCode="_-* #,##0.0_-;\-* #,##0.0_-;_-* &quot;-&quot;??_-;_-@_-">
                  <c:v>49.54</c:v>
                </c:pt>
                <c:pt idx="326" formatCode="_-* #,##0.0_-;\-* #,##0.0_-;_-* &quot;-&quot;??_-;_-@_-">
                  <c:v>49.54</c:v>
                </c:pt>
                <c:pt idx="327" formatCode="_-* #,##0.0_-;\-* #,##0.0_-;_-* &quot;-&quot;??_-;_-@_-">
                  <c:v>49.54</c:v>
                </c:pt>
                <c:pt idx="328" formatCode="_-* #,##0.0_-;\-* #,##0.0_-;_-* &quot;-&quot;??_-;_-@_-">
                  <c:v>49.54</c:v>
                </c:pt>
                <c:pt idx="329" formatCode="_-* #,##0.0_-;\-* #,##0.0_-;_-* &quot;-&quot;??_-;_-@_-">
                  <c:v>49.54</c:v>
                </c:pt>
                <c:pt idx="330" formatCode="_-* #,##0.0_-;\-* #,##0.0_-;_-* &quot;-&quot;??_-;_-@_-">
                  <c:v>49.54</c:v>
                </c:pt>
                <c:pt idx="331" formatCode="_-* #,##0.0_-;\-* #,##0.0_-;_-* &quot;-&quot;??_-;_-@_-">
                  <c:v>49.54</c:v>
                </c:pt>
                <c:pt idx="332" formatCode="_-* #,##0.0_-;\-* #,##0.0_-;_-* &quot;-&quot;??_-;_-@_-">
                  <c:v>49.54</c:v>
                </c:pt>
                <c:pt idx="333" formatCode="_-* #,##0.0_-;\-* #,##0.0_-;_-* &quot;-&quot;??_-;_-@_-">
                  <c:v>49.54</c:v>
                </c:pt>
                <c:pt idx="334" formatCode="_-* #,##0.0_-;\-* #,##0.0_-;_-* &quot;-&quot;??_-;_-@_-">
                  <c:v>49.54</c:v>
                </c:pt>
                <c:pt idx="335" formatCode="_-* #,##0.0_-;\-* #,##0.0_-;_-* &quot;-&quot;??_-;_-@_-">
                  <c:v>49.54</c:v>
                </c:pt>
                <c:pt idx="336" formatCode="_-* #,##0.0_-;\-* #,##0.0_-;_-* &quot;-&quot;??_-;_-@_-">
                  <c:v>49.54</c:v>
                </c:pt>
                <c:pt idx="337" formatCode="_-* #,##0.0_-;\-* #,##0.0_-;_-* &quot;-&quot;??_-;_-@_-">
                  <c:v>49.54</c:v>
                </c:pt>
                <c:pt idx="338" formatCode="_-* #,##0.0_-;\-* #,##0.0_-;_-* &quot;-&quot;??_-;_-@_-">
                  <c:v>49.54</c:v>
                </c:pt>
                <c:pt idx="339" formatCode="_-* #,##0.0_-;\-* #,##0.0_-;_-* &quot;-&quot;??_-;_-@_-">
                  <c:v>49.54</c:v>
                </c:pt>
                <c:pt idx="340" formatCode="_-* #,##0.0_-;\-* #,##0.0_-;_-* &quot;-&quot;??_-;_-@_-">
                  <c:v>49.54</c:v>
                </c:pt>
                <c:pt idx="341" formatCode="_-* #,##0.0_-;\-* #,##0.0_-;_-* &quot;-&quot;??_-;_-@_-">
                  <c:v>49.54</c:v>
                </c:pt>
                <c:pt idx="342" formatCode="_-* #,##0.0_-;\-* #,##0.0_-;_-* &quot;-&quot;??_-;_-@_-">
                  <c:v>49.54</c:v>
                </c:pt>
                <c:pt idx="343" formatCode="_-* #,##0.0_-;\-* #,##0.0_-;_-* &quot;-&quot;??_-;_-@_-">
                  <c:v>49.54</c:v>
                </c:pt>
                <c:pt idx="344" formatCode="_-* #,##0.0_-;\-* #,##0.0_-;_-* &quot;-&quot;??_-;_-@_-">
                  <c:v>49.54</c:v>
                </c:pt>
                <c:pt idx="345" formatCode="_-* #,##0.0_-;\-* #,##0.0_-;_-* &quot;-&quot;??_-;_-@_-">
                  <c:v>49.54</c:v>
                </c:pt>
                <c:pt idx="346" formatCode="_-* #,##0.0_-;\-* #,##0.0_-;_-* &quot;-&quot;??_-;_-@_-">
                  <c:v>49.54</c:v>
                </c:pt>
                <c:pt idx="347" formatCode="_-* #,##0.0_-;\-* #,##0.0_-;_-* &quot;-&quot;??_-;_-@_-">
                  <c:v>49.54</c:v>
                </c:pt>
                <c:pt idx="348" formatCode="_-* #,##0.0_-;\-* #,##0.0_-;_-* &quot;-&quot;??_-;_-@_-">
                  <c:v>49.54</c:v>
                </c:pt>
                <c:pt idx="349" formatCode="_-* #,##0.0_-;\-* #,##0.0_-;_-* &quot;-&quot;??_-;_-@_-">
                  <c:v>49.54</c:v>
                </c:pt>
                <c:pt idx="350" formatCode="_-* #,##0.0_-;\-* #,##0.0_-;_-* &quot;-&quot;??_-;_-@_-">
                  <c:v>49.54</c:v>
                </c:pt>
                <c:pt idx="351" formatCode="_-* #,##0.0_-;\-* #,##0.0_-;_-* &quot;-&quot;??_-;_-@_-">
                  <c:v>49.54</c:v>
                </c:pt>
                <c:pt idx="352" formatCode="_-* #,##0.0_-;\-* #,##0.0_-;_-* &quot;-&quot;??_-;_-@_-">
                  <c:v>49.54</c:v>
                </c:pt>
                <c:pt idx="353" formatCode="_-* #,##0.0_-;\-* #,##0.0_-;_-* &quot;-&quot;??_-;_-@_-">
                  <c:v>49.54</c:v>
                </c:pt>
                <c:pt idx="354" formatCode="_-* #,##0.0_-;\-* #,##0.0_-;_-* &quot;-&quot;??_-;_-@_-">
                  <c:v>49.54</c:v>
                </c:pt>
                <c:pt idx="355" formatCode="_-* #,##0.0_-;\-* #,##0.0_-;_-* &quot;-&quot;??_-;_-@_-">
                  <c:v>49.54</c:v>
                </c:pt>
                <c:pt idx="356" formatCode="_-* #,##0.0_-;\-* #,##0.0_-;_-* &quot;-&quot;??_-;_-@_-">
                  <c:v>49.54</c:v>
                </c:pt>
                <c:pt idx="357" formatCode="_-* #,##0.0_-;\-* #,##0.0_-;_-* &quot;-&quot;??_-;_-@_-">
                  <c:v>52.31</c:v>
                </c:pt>
                <c:pt idx="358" formatCode="_-* #,##0.0_-;\-* #,##0.0_-;_-* &quot;-&quot;??_-;_-@_-">
                  <c:v>52.31</c:v>
                </c:pt>
                <c:pt idx="359" formatCode="_-* #,##0.0_-;\-* #,##0.0_-;_-* &quot;-&quot;??_-;_-@_-">
                  <c:v>52.31</c:v>
                </c:pt>
                <c:pt idx="360" formatCode="_-* #,##0.0_-;\-* #,##0.0_-;_-* &quot;-&quot;??_-;_-@_-">
                  <c:v>52.31</c:v>
                </c:pt>
                <c:pt idx="361" formatCode="_-* #,##0.0_-;\-* #,##0.0_-;_-* &quot;-&quot;??_-;_-@_-">
                  <c:v>52.31</c:v>
                </c:pt>
                <c:pt idx="362" formatCode="_-* #,##0.0_-;\-* #,##0.0_-;_-* &quot;-&quot;??_-;_-@_-">
                  <c:v>52.31</c:v>
                </c:pt>
                <c:pt idx="363" formatCode="_-* #,##0.0_-;\-* #,##0.0_-;_-* &quot;-&quot;??_-;_-@_-">
                  <c:v>52.31</c:v>
                </c:pt>
                <c:pt idx="364" formatCode="_-* #,##0.0_-;\-* #,##0.0_-;_-* &quot;-&quot;??_-;_-@_-">
                  <c:v>52.31</c:v>
                </c:pt>
                <c:pt idx="365" formatCode="_-* #,##0.0_-;\-* #,##0.0_-;_-* &quot;-&quot;??_-;_-@_-">
                  <c:v>52.31</c:v>
                </c:pt>
                <c:pt idx="366" formatCode="_-* #,##0.0_-;\-* #,##0.0_-;_-* &quot;-&quot;??_-;_-@_-">
                  <c:v>52.31</c:v>
                </c:pt>
                <c:pt idx="367" formatCode="_-* #,##0.0_-;\-* #,##0.0_-;_-* &quot;-&quot;??_-;_-@_-">
                  <c:v>52.31</c:v>
                </c:pt>
                <c:pt idx="368" formatCode="_-* #,##0.0_-;\-* #,##0.0_-;_-* &quot;-&quot;??_-;_-@_-">
                  <c:v>52.31</c:v>
                </c:pt>
                <c:pt idx="369" formatCode="_-* #,##0.0_-;\-* #,##0.0_-;_-* &quot;-&quot;??_-;_-@_-">
                  <c:v>48.61</c:v>
                </c:pt>
                <c:pt idx="370" formatCode="_-* #,##0.0_-;\-* #,##0.0_-;_-* &quot;-&quot;??_-;_-@_-">
                  <c:v>48.61</c:v>
                </c:pt>
                <c:pt idx="371" formatCode="_-* #,##0.0_-;\-* #,##0.0_-;_-* &quot;-&quot;??_-;_-@_-">
                  <c:v>48.61</c:v>
                </c:pt>
                <c:pt idx="372" formatCode="_-* #,##0.0_-;\-* #,##0.0_-;_-* &quot;-&quot;??_-;_-@_-">
                  <c:v>48.61</c:v>
                </c:pt>
                <c:pt idx="373" formatCode="_-* #,##0.0_-;\-* #,##0.0_-;_-* &quot;-&quot;??_-;_-@_-">
                  <c:v>48.61</c:v>
                </c:pt>
                <c:pt idx="374" formatCode="_-* #,##0.0_-;\-* #,##0.0_-;_-* &quot;-&quot;??_-;_-@_-">
                  <c:v>48.61</c:v>
                </c:pt>
                <c:pt idx="375" formatCode="_-* #,##0.0_-;\-* #,##0.0_-;_-* &quot;-&quot;??_-;_-@_-">
                  <c:v>48.61</c:v>
                </c:pt>
                <c:pt idx="376" formatCode="_-* #,##0.0_-;\-* #,##0.0_-;_-* &quot;-&quot;??_-;_-@_-">
                  <c:v>48.61</c:v>
                </c:pt>
                <c:pt idx="377" formatCode="_-* #,##0.0_-;\-* #,##0.0_-;_-* &quot;-&quot;??_-;_-@_-">
                  <c:v>48.61</c:v>
                </c:pt>
                <c:pt idx="378" formatCode="_-* #,##0.0_-;\-* #,##0.0_-;_-* &quot;-&quot;??_-;_-@_-">
                  <c:v>48.61</c:v>
                </c:pt>
                <c:pt idx="379" formatCode="_-* #,##0.0_-;\-* #,##0.0_-;_-* &quot;-&quot;??_-;_-@_-">
                  <c:v>59.72</c:v>
                </c:pt>
                <c:pt idx="380" formatCode="_-* #,##0.0_-;\-* #,##0.0_-;_-* &quot;-&quot;??_-;_-@_-">
                  <c:v>59.72</c:v>
                </c:pt>
                <c:pt idx="381" formatCode="_-* #,##0.0_-;\-* #,##0.0_-;_-* &quot;-&quot;??_-;_-@_-">
                  <c:v>59.72</c:v>
                </c:pt>
                <c:pt idx="382" formatCode="_-* #,##0.0_-;\-* #,##0.0_-;_-* &quot;-&quot;??_-;_-@_-">
                  <c:v>59.72</c:v>
                </c:pt>
                <c:pt idx="383" formatCode="_-* #,##0.0_-;\-* #,##0.0_-;_-* &quot;-&quot;??_-;_-@_-">
                  <c:v>59.72</c:v>
                </c:pt>
                <c:pt idx="384" formatCode="_-* #,##0.0_-;\-* #,##0.0_-;_-* &quot;-&quot;??_-;_-@_-">
                  <c:v>59.72</c:v>
                </c:pt>
                <c:pt idx="385" formatCode="_-* #,##0.0_-;\-* #,##0.0_-;_-* &quot;-&quot;??_-;_-@_-">
                  <c:v>59.72</c:v>
                </c:pt>
                <c:pt idx="386" formatCode="_-* #,##0.0_-;\-* #,##0.0_-;_-* &quot;-&quot;??_-;_-@_-">
                  <c:v>59.72</c:v>
                </c:pt>
                <c:pt idx="387" formatCode="_-* #,##0.0_-;\-* #,##0.0_-;_-* &quot;-&quot;??_-;_-@_-">
                  <c:v>59.72</c:v>
                </c:pt>
                <c:pt idx="388" formatCode="_-* #,##0.0_-;\-* #,##0.0_-;_-* &quot;-&quot;??_-;_-@_-">
                  <c:v>59.72</c:v>
                </c:pt>
                <c:pt idx="389" formatCode="_-* #,##0.0_-;\-* #,##0.0_-;_-* &quot;-&quot;??_-;_-@_-">
                  <c:v>59.72</c:v>
                </c:pt>
                <c:pt idx="390" formatCode="_-* #,##0.0_-;\-* #,##0.0_-;_-* &quot;-&quot;??_-;_-@_-">
                  <c:v>59.72</c:v>
                </c:pt>
                <c:pt idx="391" formatCode="_-* #,##0.0_-;\-* #,##0.0_-;_-* &quot;-&quot;??_-;_-@_-">
                  <c:v>59.72</c:v>
                </c:pt>
                <c:pt idx="392" formatCode="_-* #,##0.0_-;\-* #,##0.0_-;_-* &quot;-&quot;??_-;_-@_-">
                  <c:v>59.72</c:v>
                </c:pt>
                <c:pt idx="393" formatCode="_-* #,##0.0_-;\-* #,##0.0_-;_-* &quot;-&quot;??_-;_-@_-">
                  <c:v>59.72</c:v>
                </c:pt>
                <c:pt idx="394" formatCode="_-* #,##0.0_-;\-* #,##0.0_-;_-* &quot;-&quot;??_-;_-@_-">
                  <c:v>51.39</c:v>
                </c:pt>
                <c:pt idx="395" formatCode="_-* #,##0.0_-;\-* #,##0.0_-;_-* &quot;-&quot;??_-;_-@_-">
                  <c:v>51.39</c:v>
                </c:pt>
                <c:pt idx="396" formatCode="_-* #,##0.0_-;\-* #,##0.0_-;_-* &quot;-&quot;??_-;_-@_-">
                  <c:v>51.39</c:v>
                </c:pt>
                <c:pt idx="397" formatCode="_-* #,##0.0_-;\-* #,##0.0_-;_-* &quot;-&quot;??_-;_-@_-">
                  <c:v>43.06</c:v>
                </c:pt>
                <c:pt idx="398" formatCode="_-* #,##0.0_-;\-* #,##0.0_-;_-* &quot;-&quot;??_-;_-@_-">
                  <c:v>43.06</c:v>
                </c:pt>
                <c:pt idx="399" formatCode="_-* #,##0.0_-;\-* #,##0.0_-;_-* &quot;-&quot;??_-;_-@_-">
                  <c:v>43.06</c:v>
                </c:pt>
                <c:pt idx="400" formatCode="_-* #,##0.0_-;\-* #,##0.0_-;_-* &quot;-&quot;??_-;_-@_-">
                  <c:v>43.06</c:v>
                </c:pt>
                <c:pt idx="401" formatCode="_-* #,##0.0_-;\-* #,##0.0_-;_-* &quot;-&quot;??_-;_-@_-">
                  <c:v>43.06</c:v>
                </c:pt>
                <c:pt idx="402" formatCode="_-* #,##0.0_-;\-* #,##0.0_-;_-* &quot;-&quot;??_-;_-@_-">
                  <c:v>43.06</c:v>
                </c:pt>
                <c:pt idx="403" formatCode="_-* #,##0.0_-;\-* #,##0.0_-;_-* &quot;-&quot;??_-;_-@_-">
                  <c:v>43.06</c:v>
                </c:pt>
                <c:pt idx="404" formatCode="_-* #,##0.0_-;\-* #,##0.0_-;_-* &quot;-&quot;??_-;_-@_-">
                  <c:v>43.06</c:v>
                </c:pt>
                <c:pt idx="405" formatCode="_-* #,##0.0_-;\-* #,##0.0_-;_-* &quot;-&quot;??_-;_-@_-">
                  <c:v>43.06</c:v>
                </c:pt>
                <c:pt idx="406" formatCode="_-* #,##0.0_-;\-* #,##0.0_-;_-* &quot;-&quot;??_-;_-@_-">
                  <c:v>43.06</c:v>
                </c:pt>
                <c:pt idx="407" formatCode="_-* #,##0.0_-;\-* #,##0.0_-;_-* &quot;-&quot;??_-;_-@_-">
                  <c:v>43.06</c:v>
                </c:pt>
                <c:pt idx="408" formatCode="_-* #,##0.0_-;\-* #,##0.0_-;_-* &quot;-&quot;??_-;_-@_-">
                  <c:v>43.06</c:v>
                </c:pt>
                <c:pt idx="409" formatCode="_-* #,##0.0_-;\-* #,##0.0_-;_-* &quot;-&quot;??_-;_-@_-">
                  <c:v>43.06</c:v>
                </c:pt>
                <c:pt idx="410" formatCode="_-* #,##0.0_-;\-* #,##0.0_-;_-* &quot;-&quot;??_-;_-@_-">
                  <c:v>43.06</c:v>
                </c:pt>
                <c:pt idx="411" formatCode="_-* #,##0.0_-;\-* #,##0.0_-;_-* &quot;-&quot;??_-;_-@_-">
                  <c:v>43.06</c:v>
                </c:pt>
                <c:pt idx="412" formatCode="_-* #,##0.0_-;\-* #,##0.0_-;_-* &quot;-&quot;??_-;_-@_-">
                  <c:v>52.78</c:v>
                </c:pt>
                <c:pt idx="413" formatCode="_-* #,##0.0_-;\-* #,##0.0_-;_-* &quot;-&quot;??_-;_-@_-">
                  <c:v>52.78</c:v>
                </c:pt>
                <c:pt idx="414" formatCode="_-* #,##0.0_-;\-* #,##0.0_-;_-* &quot;-&quot;??_-;_-@_-">
                  <c:v>52.78</c:v>
                </c:pt>
                <c:pt idx="415" formatCode="_-* #,##0.0_-;\-* #,##0.0_-;_-* &quot;-&quot;??_-;_-@_-">
                  <c:v>52.78</c:v>
                </c:pt>
                <c:pt idx="416" formatCode="_-* #,##0.0_-;\-* #,##0.0_-;_-* &quot;-&quot;??_-;_-@_-">
                  <c:v>52.78</c:v>
                </c:pt>
                <c:pt idx="417" formatCode="_-* #,##0.0_-;\-* #,##0.0_-;_-* &quot;-&quot;??_-;_-@_-">
                  <c:v>52.78</c:v>
                </c:pt>
                <c:pt idx="418" formatCode="_-* #,##0.0_-;\-* #,##0.0_-;_-* &quot;-&quot;??_-;_-@_-">
                  <c:v>52.78</c:v>
                </c:pt>
                <c:pt idx="419" formatCode="_-* #,##0.0_-;\-* #,##0.0_-;_-* &quot;-&quot;??_-;_-@_-">
                  <c:v>52.78</c:v>
                </c:pt>
                <c:pt idx="420" formatCode="_-* #,##0.0_-;\-* #,##0.0_-;_-* &quot;-&quot;??_-;_-@_-">
                  <c:v>52.78</c:v>
                </c:pt>
                <c:pt idx="421" formatCode="_-* #,##0.0_-;\-* #,##0.0_-;_-* &quot;-&quot;??_-;_-@_-">
                  <c:v>52.78</c:v>
                </c:pt>
                <c:pt idx="422" formatCode="_-* #,##0.0_-;\-* #,##0.0_-;_-* &quot;-&quot;??_-;_-@_-">
                  <c:v>52.78</c:v>
                </c:pt>
                <c:pt idx="423" formatCode="_-* #,##0.0_-;\-* #,##0.0_-;_-* &quot;-&quot;??_-;_-@_-">
                  <c:v>52.78</c:v>
                </c:pt>
                <c:pt idx="424" formatCode="_-* #,##0.0_-;\-* #,##0.0_-;_-* &quot;-&quot;??_-;_-@_-">
                  <c:v>52.78</c:v>
                </c:pt>
                <c:pt idx="425" formatCode="_-* #,##0.0_-;\-* #,##0.0_-;_-* &quot;-&quot;??_-;_-@_-">
                  <c:v>52.78</c:v>
                </c:pt>
                <c:pt idx="426" formatCode="_-* #,##0.0_-;\-* #,##0.0_-;_-* &quot;-&quot;??_-;_-@_-">
                  <c:v>52.78</c:v>
                </c:pt>
                <c:pt idx="427" formatCode="_-* #,##0.0_-;\-* #,##0.0_-;_-* &quot;-&quot;??_-;_-@_-">
                  <c:v>52.78</c:v>
                </c:pt>
                <c:pt idx="428" formatCode="_-* #,##0.0_-;\-* #,##0.0_-;_-* &quot;-&quot;??_-;_-@_-">
                  <c:v>52.78</c:v>
                </c:pt>
                <c:pt idx="429" formatCode="_-* #,##0.0_-;\-* #,##0.0_-;_-* &quot;-&quot;??_-;_-@_-">
                  <c:v>52.78</c:v>
                </c:pt>
                <c:pt idx="430" formatCode="_-* #,##0.0_-;\-* #,##0.0_-;_-* &quot;-&quot;??_-;_-@_-">
                  <c:v>52.78</c:v>
                </c:pt>
                <c:pt idx="431" formatCode="_-* #,##0.0_-;\-* #,##0.0_-;_-* &quot;-&quot;??_-;_-@_-">
                  <c:v>52.78</c:v>
                </c:pt>
                <c:pt idx="432" formatCode="_-* #,##0.0_-;\-* #,##0.0_-;_-* &quot;-&quot;??_-;_-@_-">
                  <c:v>52.78</c:v>
                </c:pt>
                <c:pt idx="433" formatCode="_-* #,##0.0_-;\-* #,##0.0_-;_-* &quot;-&quot;??_-;_-@_-">
                  <c:v>52.78</c:v>
                </c:pt>
                <c:pt idx="434" formatCode="_-* #,##0.0_-;\-* #,##0.0_-;_-* &quot;-&quot;??_-;_-@_-">
                  <c:v>52.78</c:v>
                </c:pt>
                <c:pt idx="435" formatCode="_-* #,##0.0_-;\-* #,##0.0_-;_-* &quot;-&quot;??_-;_-@_-">
                  <c:v>52.78</c:v>
                </c:pt>
                <c:pt idx="436" formatCode="_-* #,##0.0_-;\-* #,##0.0_-;_-* &quot;-&quot;??_-;_-@_-">
                  <c:v>52.78</c:v>
                </c:pt>
                <c:pt idx="437" formatCode="_-* #,##0.0_-;\-* #,##0.0_-;_-* &quot;-&quot;??_-;_-@_-">
                  <c:v>52.78</c:v>
                </c:pt>
                <c:pt idx="438" formatCode="_-* #,##0.0_-;\-* #,##0.0_-;_-* &quot;-&quot;??_-;_-@_-">
                  <c:v>52.78</c:v>
                </c:pt>
                <c:pt idx="439" formatCode="_-* #,##0.0_-;\-* #,##0.0_-;_-* &quot;-&quot;??_-;_-@_-">
                  <c:v>52.78</c:v>
                </c:pt>
                <c:pt idx="440" formatCode="_-* #,##0.0_-;\-* #,##0.0_-;_-* &quot;-&quot;??_-;_-@_-">
                  <c:v>52.78</c:v>
                </c:pt>
                <c:pt idx="441" formatCode="_-* #,##0.0_-;\-* #,##0.0_-;_-* &quot;-&quot;??_-;_-@_-">
                  <c:v>52.78</c:v>
                </c:pt>
                <c:pt idx="442" formatCode="_-* #,##0.0_-;\-* #,##0.0_-;_-* &quot;-&quot;??_-;_-@_-">
                  <c:v>52.78</c:v>
                </c:pt>
                <c:pt idx="443" formatCode="_-* #,##0.0_-;\-* #,##0.0_-;_-* &quot;-&quot;??_-;_-@_-">
                  <c:v>52.78</c:v>
                </c:pt>
                <c:pt idx="444" formatCode="_-* #,##0.0_-;\-* #,##0.0_-;_-* &quot;-&quot;??_-;_-@_-">
                  <c:v>52.78</c:v>
                </c:pt>
                <c:pt idx="445" formatCode="_-* #,##0.0_-;\-* #,##0.0_-;_-* &quot;-&quot;??_-;_-@_-">
                  <c:v>52.78</c:v>
                </c:pt>
                <c:pt idx="446" formatCode="_-* #,##0.0_-;\-* #,##0.0_-;_-* &quot;-&quot;??_-;_-@_-">
                  <c:v>52.78</c:v>
                </c:pt>
                <c:pt idx="447" formatCode="_-* #,##0.0_-;\-* #,##0.0_-;_-* &quot;-&quot;??_-;_-@_-">
                  <c:v>52.78</c:v>
                </c:pt>
                <c:pt idx="448" formatCode="_-* #,##0.0_-;\-* #,##0.0_-;_-* &quot;-&quot;??_-;_-@_-">
                  <c:v>52.78</c:v>
                </c:pt>
                <c:pt idx="449" formatCode="_-* #,##0.0_-;\-* #,##0.0_-;_-* &quot;-&quot;??_-;_-@_-">
                  <c:v>52.78</c:v>
                </c:pt>
                <c:pt idx="450" formatCode="_-* #,##0.0_-;\-* #,##0.0_-;_-* &quot;-&quot;??_-;_-@_-">
                  <c:v>52.78</c:v>
                </c:pt>
                <c:pt idx="451" formatCode="_-* #,##0.0_-;\-* #,##0.0_-;_-* &quot;-&quot;??_-;_-@_-">
                  <c:v>52.78</c:v>
                </c:pt>
                <c:pt idx="452" formatCode="_-* #,##0.0_-;\-* #,##0.0_-;_-* &quot;-&quot;??_-;_-@_-">
                  <c:v>52.78</c:v>
                </c:pt>
                <c:pt idx="453" formatCode="_-* #,##0.0_-;\-* #,##0.0_-;_-* &quot;-&quot;??_-;_-@_-">
                  <c:v>54.63</c:v>
                </c:pt>
                <c:pt idx="454" formatCode="_-* #,##0.0_-;\-* #,##0.0_-;_-* &quot;-&quot;??_-;_-@_-">
                  <c:v>54.63</c:v>
                </c:pt>
                <c:pt idx="455" formatCode="_-* #,##0.0_-;\-* #,##0.0_-;_-* &quot;-&quot;??_-;_-@_-">
                  <c:v>54.63</c:v>
                </c:pt>
                <c:pt idx="456" formatCode="_-* #,##0.0_-;\-* #,##0.0_-;_-* &quot;-&quot;??_-;_-@_-">
                  <c:v>49.07</c:v>
                </c:pt>
                <c:pt idx="457" formatCode="_-* #,##0.0_-;\-* #,##0.0_-;_-* &quot;-&quot;??_-;_-@_-">
                  <c:v>49.07</c:v>
                </c:pt>
                <c:pt idx="458" formatCode="_-* #,##0.0_-;\-* #,##0.0_-;_-* &quot;-&quot;??_-;_-@_-">
                  <c:v>49.07</c:v>
                </c:pt>
                <c:pt idx="459" formatCode="_-* #,##0.0_-;\-* #,##0.0_-;_-* &quot;-&quot;??_-;_-@_-">
                  <c:v>49.07</c:v>
                </c:pt>
                <c:pt idx="460" formatCode="_-* #,##0.0_-;\-* #,##0.0_-;_-* &quot;-&quot;??_-;_-@_-">
                  <c:v>49.07</c:v>
                </c:pt>
                <c:pt idx="461" formatCode="_-* #,##0.0_-;\-* #,##0.0_-;_-* &quot;-&quot;??_-;_-@_-">
                  <c:v>49.07</c:v>
                </c:pt>
                <c:pt idx="462" formatCode="_-* #,##0.0_-;\-* #,##0.0_-;_-* &quot;-&quot;??_-;_-@_-">
                  <c:v>49.07</c:v>
                </c:pt>
                <c:pt idx="463" formatCode="_-* #,##0.0_-;\-* #,##0.0_-;_-* &quot;-&quot;??_-;_-@_-">
                  <c:v>49.07</c:v>
                </c:pt>
                <c:pt idx="464" formatCode="_-* #,##0.0_-;\-* #,##0.0_-;_-* &quot;-&quot;??_-;_-@_-">
                  <c:v>49.07</c:v>
                </c:pt>
                <c:pt idx="465" formatCode="_-* #,##0.0_-;\-* #,##0.0_-;_-* &quot;-&quot;??_-;_-@_-">
                  <c:v>49.07</c:v>
                </c:pt>
                <c:pt idx="466" formatCode="_-* #,##0.0_-;\-* #,##0.0_-;_-* &quot;-&quot;??_-;_-@_-">
                  <c:v>46.3</c:v>
                </c:pt>
                <c:pt idx="467" formatCode="_-* #,##0.0_-;\-* #,##0.0_-;_-* &quot;-&quot;??_-;_-@_-">
                  <c:v>46.3</c:v>
                </c:pt>
                <c:pt idx="468" formatCode="_-* #,##0.0_-;\-* #,##0.0_-;_-* &quot;-&quot;??_-;_-@_-">
                  <c:v>46.3</c:v>
                </c:pt>
                <c:pt idx="469" formatCode="_-* #,##0.0_-;\-* #,##0.0_-;_-* &quot;-&quot;??_-;_-@_-">
                  <c:v>46.3</c:v>
                </c:pt>
                <c:pt idx="470" formatCode="_-* #,##0.0_-;\-* #,##0.0_-;_-* &quot;-&quot;??_-;_-@_-">
                  <c:v>46.3</c:v>
                </c:pt>
                <c:pt idx="471" formatCode="_-* #,##0.0_-;\-* #,##0.0_-;_-* &quot;-&quot;??_-;_-@_-">
                  <c:v>46.3</c:v>
                </c:pt>
                <c:pt idx="472" formatCode="_-* #,##0.0_-;\-* #,##0.0_-;_-* &quot;-&quot;??_-;_-@_-">
                  <c:v>51.85</c:v>
                </c:pt>
                <c:pt idx="473" formatCode="_-* #,##0.0_-;\-* #,##0.0_-;_-* &quot;-&quot;??_-;_-@_-">
                  <c:v>51.85</c:v>
                </c:pt>
                <c:pt idx="474" formatCode="_-* #,##0.0_-;\-* #,##0.0_-;_-* &quot;-&quot;??_-;_-@_-">
                  <c:v>51.85</c:v>
                </c:pt>
                <c:pt idx="475" formatCode="_-* #,##0.0_-;\-* #,##0.0_-;_-* &quot;-&quot;??_-;_-@_-">
                  <c:v>51.85</c:v>
                </c:pt>
                <c:pt idx="476" formatCode="_-* #,##0.0_-;\-* #,##0.0_-;_-* &quot;-&quot;??_-;_-@_-">
                  <c:v>51.85</c:v>
                </c:pt>
                <c:pt idx="477" formatCode="_-* #,##0.0_-;\-* #,##0.0_-;_-* &quot;-&quot;??_-;_-@_-">
                  <c:v>51.85</c:v>
                </c:pt>
                <c:pt idx="478" formatCode="_-* #,##0.0_-;\-* #,##0.0_-;_-* &quot;-&quot;??_-;_-@_-">
                  <c:v>51.85</c:v>
                </c:pt>
                <c:pt idx="479" formatCode="_-* #,##0.0_-;\-* #,##0.0_-;_-* &quot;-&quot;??_-;_-@_-">
                  <c:v>51.85</c:v>
                </c:pt>
                <c:pt idx="480" formatCode="_-* #,##0.0_-;\-* #,##0.0_-;_-* &quot;-&quot;??_-;_-@_-">
                  <c:v>51.85</c:v>
                </c:pt>
                <c:pt idx="481" formatCode="_-* #,##0.0_-;\-* #,##0.0_-;_-* &quot;-&quot;??_-;_-@_-">
                  <c:v>51.85</c:v>
                </c:pt>
                <c:pt idx="482" formatCode="_-* #,##0.0_-;\-* #,##0.0_-;_-* &quot;-&quot;??_-;_-@_-">
                  <c:v>51.85</c:v>
                </c:pt>
                <c:pt idx="483" formatCode="_-* #,##0.0_-;\-* #,##0.0_-;_-* &quot;-&quot;??_-;_-@_-">
                  <c:v>51.85</c:v>
                </c:pt>
                <c:pt idx="484" formatCode="_-* #,##0.0_-;\-* #,##0.0_-;_-* &quot;-&quot;??_-;_-@_-">
                  <c:v>51.85</c:v>
                </c:pt>
                <c:pt idx="485" formatCode="_-* #,##0.0_-;\-* #,##0.0_-;_-* &quot;-&quot;??_-;_-@_-">
                  <c:v>51.85</c:v>
                </c:pt>
                <c:pt idx="486" formatCode="_-* #,##0.0_-;\-* #,##0.0_-;_-* &quot;-&quot;??_-;_-@_-">
                  <c:v>51.85</c:v>
                </c:pt>
                <c:pt idx="487" formatCode="_-* #,##0.0_-;\-* #,##0.0_-;_-* &quot;-&quot;??_-;_-@_-">
                  <c:v>51.85</c:v>
                </c:pt>
                <c:pt idx="488" formatCode="_-* #,##0.0_-;\-* #,##0.0_-;_-* &quot;-&quot;??_-;_-@_-">
                  <c:v>51.85</c:v>
                </c:pt>
                <c:pt idx="489" formatCode="_-* #,##0.0_-;\-* #,##0.0_-;_-* &quot;-&quot;??_-;_-@_-">
                  <c:v>51.85</c:v>
                </c:pt>
                <c:pt idx="490" formatCode="_-* #,##0.0_-;\-* #,##0.0_-;_-* &quot;-&quot;??_-;_-@_-">
                  <c:v>51.85</c:v>
                </c:pt>
                <c:pt idx="491" formatCode="_-* #,##0.0_-;\-* #,##0.0_-;_-* &quot;-&quot;??_-;_-@_-">
                  <c:v>51.85</c:v>
                </c:pt>
                <c:pt idx="492" formatCode="_-* #,##0.0_-;\-* #,##0.0_-;_-* &quot;-&quot;??_-;_-@_-">
                  <c:v>51.85</c:v>
                </c:pt>
                <c:pt idx="493" formatCode="_-* #,##0.0_-;\-* #,##0.0_-;_-* &quot;-&quot;??_-;_-@_-">
                  <c:v>51.85</c:v>
                </c:pt>
                <c:pt idx="494" formatCode="_-* #,##0.0_-;\-* #,##0.0_-;_-* &quot;-&quot;??_-;_-@_-">
                  <c:v>51.85</c:v>
                </c:pt>
                <c:pt idx="495" formatCode="_-* #,##0.0_-;\-* #,##0.0_-;_-* &quot;-&quot;??_-;_-@_-">
                  <c:v>51.85</c:v>
                </c:pt>
                <c:pt idx="496" formatCode="_-* #,##0.0_-;\-* #,##0.0_-;_-* &quot;-&quot;??_-;_-@_-">
                  <c:v>51.85</c:v>
                </c:pt>
                <c:pt idx="497" formatCode="_-* #,##0.0_-;\-* #,##0.0_-;_-* &quot;-&quot;??_-;_-@_-">
                  <c:v>51.85</c:v>
                </c:pt>
                <c:pt idx="498" formatCode="_-* #,##0.0_-;\-* #,##0.0_-;_-* &quot;-&quot;??_-;_-@_-">
                  <c:v>51.85</c:v>
                </c:pt>
                <c:pt idx="499" formatCode="_-* #,##0.0_-;\-* #,##0.0_-;_-* &quot;-&quot;??_-;_-@_-">
                  <c:v>51.85</c:v>
                </c:pt>
                <c:pt idx="500" formatCode="_-* #,##0.0_-;\-* #,##0.0_-;_-* &quot;-&quot;??_-;_-@_-">
                  <c:v>51.85</c:v>
                </c:pt>
                <c:pt idx="501" formatCode="_-* #,##0.0_-;\-* #,##0.0_-;_-* &quot;-&quot;??_-;_-@_-">
                  <c:v>51.85</c:v>
                </c:pt>
                <c:pt idx="502" formatCode="_-* #,##0.0_-;\-* #,##0.0_-;_-* &quot;-&quot;??_-;_-@_-">
                  <c:v>51.85</c:v>
                </c:pt>
                <c:pt idx="503" formatCode="_-* #,##0.0_-;\-* #,##0.0_-;_-* &quot;-&quot;??_-;_-@_-">
                  <c:v>51.85</c:v>
                </c:pt>
                <c:pt idx="504" formatCode="_-* #,##0.0_-;\-* #,##0.0_-;_-* &quot;-&quot;??_-;_-@_-">
                  <c:v>51.85</c:v>
                </c:pt>
                <c:pt idx="505" formatCode="_-* #,##0.0_-;\-* #,##0.0_-;_-* &quot;-&quot;??_-;_-@_-">
                  <c:v>51.85</c:v>
                </c:pt>
                <c:pt idx="506" formatCode="_-* #,##0.0_-;\-* #,##0.0_-;_-* &quot;-&quot;??_-;_-@_-">
                  <c:v>51.85</c:v>
                </c:pt>
                <c:pt idx="507" formatCode="_-* #,##0.0_-;\-* #,##0.0_-;_-* &quot;-&quot;??_-;_-@_-">
                  <c:v>51.85</c:v>
                </c:pt>
                <c:pt idx="508" formatCode="_-* #,##0.0_-;\-* #,##0.0_-;_-* &quot;-&quot;??_-;_-@_-">
                  <c:v>51.85</c:v>
                </c:pt>
                <c:pt idx="509" formatCode="_-* #,##0.0_-;\-* #,##0.0_-;_-* &quot;-&quot;??_-;_-@_-">
                  <c:v>51.85</c:v>
                </c:pt>
                <c:pt idx="510" formatCode="_-* #,##0.0_-;\-* #,##0.0_-;_-* &quot;-&quot;??_-;_-@_-">
                  <c:v>51.85</c:v>
                </c:pt>
                <c:pt idx="511" formatCode="_-* #,##0.0_-;\-* #,##0.0_-;_-* &quot;-&quot;??_-;_-@_-">
                  <c:v>51.85</c:v>
                </c:pt>
                <c:pt idx="512" formatCode="_-* #,##0.0_-;\-* #,##0.0_-;_-* &quot;-&quot;??_-;_-@_-">
                  <c:v>51.85</c:v>
                </c:pt>
                <c:pt idx="513" formatCode="_-* #,##0.0_-;\-* #,##0.0_-;_-* &quot;-&quot;??_-;_-@_-">
                  <c:v>51.85</c:v>
                </c:pt>
                <c:pt idx="514" formatCode="_-* #,##0.0_-;\-* #,##0.0_-;_-* &quot;-&quot;??_-;_-@_-">
                  <c:v>51.85</c:v>
                </c:pt>
                <c:pt idx="515" formatCode="_-* #,##0.0_-;\-* #,##0.0_-;_-* &quot;-&quot;??_-;_-@_-">
                  <c:v>51.85</c:v>
                </c:pt>
                <c:pt idx="516" formatCode="_-* #,##0.0_-;\-* #,##0.0_-;_-* &quot;-&quot;??_-;_-@_-">
                  <c:v>51.85</c:v>
                </c:pt>
                <c:pt idx="517" formatCode="_-* #,##0.0_-;\-* #,##0.0_-;_-* &quot;-&quot;??_-;_-@_-">
                  <c:v>51.85</c:v>
                </c:pt>
                <c:pt idx="518" formatCode="_-* #,##0.0_-;\-* #,##0.0_-;_-* &quot;-&quot;??_-;_-@_-">
                  <c:v>51.85</c:v>
                </c:pt>
                <c:pt idx="519" formatCode="_-* #,##0.0_-;\-* #,##0.0_-;_-* &quot;-&quot;??_-;_-@_-">
                  <c:v>51.85</c:v>
                </c:pt>
                <c:pt idx="520" formatCode="_-* #,##0.0_-;\-* #,##0.0_-;_-* &quot;-&quot;??_-;_-@_-">
                  <c:v>51.85</c:v>
                </c:pt>
                <c:pt idx="521" formatCode="_-* #,##0.0_-;\-* #,##0.0_-;_-* &quot;-&quot;??_-;_-@_-">
                  <c:v>51.85</c:v>
                </c:pt>
                <c:pt idx="522" formatCode="_-* #,##0.0_-;\-* #,##0.0_-;_-* &quot;-&quot;??_-;_-@_-">
                  <c:v>51.85</c:v>
                </c:pt>
                <c:pt idx="523" formatCode="_-* #,##0.0_-;\-* #,##0.0_-;_-* &quot;-&quot;??_-;_-@_-">
                  <c:v>51.85</c:v>
                </c:pt>
                <c:pt idx="524" formatCode="_-* #,##0.0_-;\-* #,##0.0_-;_-* &quot;-&quot;??_-;_-@_-">
                  <c:v>51.85</c:v>
                </c:pt>
                <c:pt idx="525" formatCode="_-* #,##0.0_-;\-* #,##0.0_-;_-* &quot;-&quot;??_-;_-@_-">
                  <c:v>51.85</c:v>
                </c:pt>
                <c:pt idx="526" formatCode="_-* #,##0.0_-;\-* #,##0.0_-;_-* &quot;-&quot;??_-;_-@_-">
                  <c:v>51.85</c:v>
                </c:pt>
                <c:pt idx="527" formatCode="_-* #,##0.0_-;\-* #,##0.0_-;_-* &quot;-&quot;??_-;_-@_-">
                  <c:v>51.85</c:v>
                </c:pt>
                <c:pt idx="528" formatCode="_-* #,##0.0_-;\-* #,##0.0_-;_-* &quot;-&quot;??_-;_-@_-">
                  <c:v>51.85</c:v>
                </c:pt>
                <c:pt idx="529" formatCode="_-* #,##0.0_-;\-* #,##0.0_-;_-* &quot;-&quot;??_-;_-@_-">
                  <c:v>51.85</c:v>
                </c:pt>
                <c:pt idx="530" formatCode="_-* #,##0.0_-;\-* #,##0.0_-;_-* &quot;-&quot;??_-;_-@_-">
                  <c:v>51.85</c:v>
                </c:pt>
                <c:pt idx="531" formatCode="_-* #,##0.0_-;\-* #,##0.0_-;_-* &quot;-&quot;??_-;_-@_-">
                  <c:v>51.85</c:v>
                </c:pt>
                <c:pt idx="532" formatCode="_-* #,##0.0_-;\-* #,##0.0_-;_-* &quot;-&quot;??_-;_-@_-">
                  <c:v>51.85</c:v>
                </c:pt>
                <c:pt idx="533" formatCode="_-* #,##0.0_-;\-* #,##0.0_-;_-* &quot;-&quot;??_-;_-@_-">
                  <c:v>51.85</c:v>
                </c:pt>
                <c:pt idx="534" formatCode="_-* #,##0.0_-;\-* #,##0.0_-;_-* &quot;-&quot;??_-;_-@_-">
                  <c:v>51.85</c:v>
                </c:pt>
                <c:pt idx="535" formatCode="_-* #,##0.0_-;\-* #,##0.0_-;_-* &quot;-&quot;??_-;_-@_-">
                  <c:v>51.85</c:v>
                </c:pt>
                <c:pt idx="536" formatCode="_-* #,##0.0_-;\-* #,##0.0_-;_-* &quot;-&quot;??_-;_-@_-">
                  <c:v>51.85</c:v>
                </c:pt>
                <c:pt idx="537" formatCode="_-* #,##0.0_-;\-* #,##0.0_-;_-* &quot;-&quot;??_-;_-@_-">
                  <c:v>51.85</c:v>
                </c:pt>
                <c:pt idx="538" formatCode="_-* #,##0.0_-;\-* #,##0.0_-;_-* &quot;-&quot;??_-;_-@_-">
                  <c:v>51.85</c:v>
                </c:pt>
                <c:pt idx="539" formatCode="_-* #,##0.0_-;\-* #,##0.0_-;_-* &quot;-&quot;??_-;_-@_-">
                  <c:v>51.85</c:v>
                </c:pt>
                <c:pt idx="540" formatCode="_-* #,##0.0_-;\-* #,##0.0_-;_-* &quot;-&quot;??_-;_-@_-">
                  <c:v>51.85</c:v>
                </c:pt>
                <c:pt idx="541" formatCode="_-* #,##0.0_-;\-* #,##0.0_-;_-* &quot;-&quot;??_-;_-@_-">
                  <c:v>51.85</c:v>
                </c:pt>
                <c:pt idx="542" formatCode="_-* #,##0.0_-;\-* #,##0.0_-;_-* &quot;-&quot;??_-;_-@_-">
                  <c:v>51.85</c:v>
                </c:pt>
                <c:pt idx="543" formatCode="_-* #,##0.0_-;\-* #,##0.0_-;_-* &quot;-&quot;??_-;_-@_-">
                  <c:v>51.85</c:v>
                </c:pt>
                <c:pt idx="544" formatCode="_-* #,##0.0_-;\-* #,##0.0_-;_-* &quot;-&quot;??_-;_-@_-">
                  <c:v>51.85</c:v>
                </c:pt>
                <c:pt idx="545" formatCode="_-* #,##0.0_-;\-* #,##0.0_-;_-* &quot;-&quot;??_-;_-@_-">
                  <c:v>51.85</c:v>
                </c:pt>
                <c:pt idx="546" formatCode="_-* #,##0.0_-;\-* #,##0.0_-;_-* &quot;-&quot;??_-;_-@_-">
                  <c:v>51.85</c:v>
                </c:pt>
                <c:pt idx="547" formatCode="_-* #,##0.0_-;\-* #,##0.0_-;_-* &quot;-&quot;??_-;_-@_-">
                  <c:v>51.85</c:v>
                </c:pt>
                <c:pt idx="548" formatCode="_-* #,##0.0_-;\-* #,##0.0_-;_-* &quot;-&quot;??_-;_-@_-">
                  <c:v>51.85</c:v>
                </c:pt>
                <c:pt idx="549" formatCode="_-* #,##0.0_-;\-* #,##0.0_-;_-* &quot;-&quot;??_-;_-@_-">
                  <c:v>51.85</c:v>
                </c:pt>
                <c:pt idx="550" formatCode="_-* #,##0.0_-;\-* #,##0.0_-;_-* &quot;-&quot;??_-;_-@_-">
                  <c:v>51.85</c:v>
                </c:pt>
                <c:pt idx="551" formatCode="_-* #,##0.0_-;\-* #,##0.0_-;_-* &quot;-&quot;??_-;_-@_-">
                  <c:v>51.85</c:v>
                </c:pt>
                <c:pt idx="552" formatCode="_-* #,##0.0_-;\-* #,##0.0_-;_-* &quot;-&quot;??_-;_-@_-">
                  <c:v>51.85</c:v>
                </c:pt>
                <c:pt idx="553" formatCode="_-* #,##0.0_-;\-* #,##0.0_-;_-* &quot;-&quot;??_-;_-@_-">
                  <c:v>51.85</c:v>
                </c:pt>
                <c:pt idx="554" formatCode="_-* #,##0.0_-;\-* #,##0.0_-;_-* &quot;-&quot;??_-;_-@_-">
                  <c:v>51.85</c:v>
                </c:pt>
                <c:pt idx="555" formatCode="_-* #,##0.0_-;\-* #,##0.0_-;_-* &quot;-&quot;??_-;_-@_-">
                  <c:v>51.85</c:v>
                </c:pt>
                <c:pt idx="556" formatCode="_-* #,##0.0_-;\-* #,##0.0_-;_-* &quot;-&quot;??_-;_-@_-">
                  <c:v>51.85</c:v>
                </c:pt>
                <c:pt idx="557" formatCode="_-* #,##0.0_-;\-* #,##0.0_-;_-* &quot;-&quot;??_-;_-@_-">
                  <c:v>51.85</c:v>
                </c:pt>
                <c:pt idx="558" formatCode="_-* #,##0.0_-;\-* #,##0.0_-;_-* &quot;-&quot;??_-;_-@_-">
                  <c:v>51.85</c:v>
                </c:pt>
                <c:pt idx="559" formatCode="_-* #,##0.0_-;\-* #,##0.0_-;_-* &quot;-&quot;??_-;_-@_-">
                  <c:v>52.78</c:v>
                </c:pt>
                <c:pt idx="560" formatCode="_-* #,##0.0_-;\-* #,##0.0_-;_-* &quot;-&quot;??_-;_-@_-">
                  <c:v>52.78</c:v>
                </c:pt>
                <c:pt idx="561" formatCode="_-* #,##0.0_-;\-* #,##0.0_-;_-* &quot;-&quot;??_-;_-@_-">
                  <c:v>52.78</c:v>
                </c:pt>
                <c:pt idx="562" formatCode="_-* #,##0.0_-;\-* #,##0.0_-;_-* &quot;-&quot;??_-;_-@_-">
                  <c:v>52.78</c:v>
                </c:pt>
                <c:pt idx="563" formatCode="_-* #,##0.0_-;\-* #,##0.0_-;_-* &quot;-&quot;??_-;_-@_-">
                  <c:v>52.78</c:v>
                </c:pt>
                <c:pt idx="564" formatCode="_-* #,##0.0_-;\-* #,##0.0_-;_-* &quot;-&quot;??_-;_-@_-">
                  <c:v>52.78</c:v>
                </c:pt>
                <c:pt idx="565" formatCode="_-* #,##0.0_-;\-* #,##0.0_-;_-* &quot;-&quot;??_-;_-@_-">
                  <c:v>52.78</c:v>
                </c:pt>
                <c:pt idx="566" formatCode="_-* #,##0.0_-;\-* #,##0.0_-;_-* &quot;-&quot;??_-;_-@_-">
                  <c:v>52.78</c:v>
                </c:pt>
                <c:pt idx="567" formatCode="_-* #,##0.0_-;\-* #,##0.0_-;_-* &quot;-&quot;??_-;_-@_-">
                  <c:v>52.78</c:v>
                </c:pt>
                <c:pt idx="568" formatCode="_-* #,##0.0_-;\-* #,##0.0_-;_-* &quot;-&quot;??_-;_-@_-">
                  <c:v>52.78</c:v>
                </c:pt>
                <c:pt idx="569" formatCode="_-* #,##0.0_-;\-* #,##0.0_-;_-* &quot;-&quot;??_-;_-@_-">
                  <c:v>52.78</c:v>
                </c:pt>
                <c:pt idx="570" formatCode="_-* #,##0.0_-;\-* #,##0.0_-;_-* &quot;-&quot;??_-;_-@_-">
                  <c:v>52.78</c:v>
                </c:pt>
                <c:pt idx="571" formatCode="_-* #,##0.0_-;\-* #,##0.0_-;_-* &quot;-&quot;??_-;_-@_-">
                  <c:v>52.78</c:v>
                </c:pt>
                <c:pt idx="572" formatCode="_-* #,##0.0_-;\-* #,##0.0_-;_-* &quot;-&quot;??_-;_-@_-">
                  <c:v>52.78</c:v>
                </c:pt>
                <c:pt idx="573" formatCode="_-* #,##0.0_-;\-* #,##0.0_-;_-* &quot;-&quot;??_-;_-@_-">
                  <c:v>52.78</c:v>
                </c:pt>
                <c:pt idx="574" formatCode="_-* #,##0.0_-;\-* #,##0.0_-;_-* &quot;-&quot;??_-;_-@_-">
                  <c:v>52.78</c:v>
                </c:pt>
                <c:pt idx="575" formatCode="_-* #,##0.0_-;\-* #,##0.0_-;_-* &quot;-&quot;??_-;_-@_-">
                  <c:v>52.78</c:v>
                </c:pt>
                <c:pt idx="576" formatCode="_-* #,##0.0_-;\-* #,##0.0_-;_-* &quot;-&quot;??_-;_-@_-">
                  <c:v>52.78</c:v>
                </c:pt>
                <c:pt idx="577" formatCode="_-* #,##0.0_-;\-* #,##0.0_-;_-* &quot;-&quot;??_-;_-@_-">
                  <c:v>52.78</c:v>
                </c:pt>
                <c:pt idx="578" formatCode="_-* #,##0.0_-;\-* #,##0.0_-;_-* &quot;-&quot;??_-;_-@_-">
                  <c:v>52.78</c:v>
                </c:pt>
                <c:pt idx="579" formatCode="_-* #,##0.0_-;\-* #,##0.0_-;_-* &quot;-&quot;??_-;_-@_-">
                  <c:v>52.78</c:v>
                </c:pt>
                <c:pt idx="580" formatCode="_-* #,##0.0_-;\-* #,##0.0_-;_-* &quot;-&quot;??_-;_-@_-">
                  <c:v>52.78</c:v>
                </c:pt>
                <c:pt idx="581" formatCode="_-* #,##0.0_-;\-* #,##0.0_-;_-* &quot;-&quot;??_-;_-@_-">
                  <c:v>52.78</c:v>
                </c:pt>
                <c:pt idx="582" formatCode="_-* #,##0.0_-;\-* #,##0.0_-;_-* &quot;-&quot;??_-;_-@_-">
                  <c:v>52.78</c:v>
                </c:pt>
                <c:pt idx="583" formatCode="_-* #,##0.0_-;\-* #,##0.0_-;_-* &quot;-&quot;??_-;_-@_-">
                  <c:v>52.78</c:v>
                </c:pt>
                <c:pt idx="584" formatCode="_-* #,##0.0_-;\-* #,##0.0_-;_-* &quot;-&quot;??_-;_-@_-">
                  <c:v>52.78</c:v>
                </c:pt>
                <c:pt idx="585" formatCode="_-* #,##0.0_-;\-* #,##0.0_-;_-* &quot;-&quot;??_-;_-@_-">
                  <c:v>52.78</c:v>
                </c:pt>
                <c:pt idx="586" formatCode="_-* #,##0.0_-;\-* #,##0.0_-;_-* &quot;-&quot;??_-;_-@_-">
                  <c:v>52.78</c:v>
                </c:pt>
                <c:pt idx="587" formatCode="_-* #,##0.0_-;\-* #,##0.0_-;_-* &quot;-&quot;??_-;_-@_-">
                  <c:v>52.78</c:v>
                </c:pt>
                <c:pt idx="588" formatCode="_-* #,##0.0_-;\-* #,##0.0_-;_-* &quot;-&quot;??_-;_-@_-">
                  <c:v>52.78</c:v>
                </c:pt>
                <c:pt idx="589" formatCode="_-* #,##0.0_-;\-* #,##0.0_-;_-* &quot;-&quot;??_-;_-@_-">
                  <c:v>52.78</c:v>
                </c:pt>
                <c:pt idx="590" formatCode="_-* #,##0.0_-;\-* #,##0.0_-;_-* &quot;-&quot;??_-;_-@_-">
                  <c:v>52.78</c:v>
                </c:pt>
                <c:pt idx="591" formatCode="_-* #,##0.0_-;\-* #,##0.0_-;_-* &quot;-&quot;??_-;_-@_-">
                  <c:v>52.78</c:v>
                </c:pt>
                <c:pt idx="592" formatCode="_-* #,##0.0_-;\-* #,##0.0_-;_-* &quot;-&quot;??_-;_-@_-">
                  <c:v>52.78</c:v>
                </c:pt>
                <c:pt idx="593" formatCode="_-* #,##0.0_-;\-* #,##0.0_-;_-* &quot;-&quot;??_-;_-@_-">
                  <c:v>52.78</c:v>
                </c:pt>
                <c:pt idx="594" formatCode="_-* #,##0.0_-;\-* #,##0.0_-;_-* &quot;-&quot;??_-;_-@_-">
                  <c:v>52.78</c:v>
                </c:pt>
                <c:pt idx="595" formatCode="_-* #,##0.0_-;\-* #,##0.0_-;_-* &quot;-&quot;??_-;_-@_-">
                  <c:v>52.78</c:v>
                </c:pt>
                <c:pt idx="596" formatCode="_-* #,##0.0_-;\-* #,##0.0_-;_-* &quot;-&quot;??_-;_-@_-">
                  <c:v>52.78</c:v>
                </c:pt>
                <c:pt idx="597" formatCode="_-* #,##0.0_-;\-* #,##0.0_-;_-* &quot;-&quot;??_-;_-@_-">
                  <c:v>52.78</c:v>
                </c:pt>
                <c:pt idx="598" formatCode="_-* #,##0.0_-;\-* #,##0.0_-;_-* &quot;-&quot;??_-;_-@_-">
                  <c:v>52.78</c:v>
                </c:pt>
                <c:pt idx="599" formatCode="_-* #,##0.0_-;\-* #,##0.0_-;_-* &quot;-&quot;??_-;_-@_-">
                  <c:v>52.78</c:v>
                </c:pt>
                <c:pt idx="600" formatCode="_-* #,##0.0_-;\-* #,##0.0_-;_-* &quot;-&quot;??_-;_-@_-">
                  <c:v>52.78</c:v>
                </c:pt>
                <c:pt idx="601" formatCode="_-* #,##0.0_-;\-* #,##0.0_-;_-* &quot;-&quot;??_-;_-@_-">
                  <c:v>66.2</c:v>
                </c:pt>
                <c:pt idx="602" formatCode="_-* #,##0.0_-;\-* #,##0.0_-;_-* &quot;-&quot;??_-;_-@_-">
                  <c:v>66.2</c:v>
                </c:pt>
                <c:pt idx="603" formatCode="_-* #,##0.0_-;\-* #,##0.0_-;_-* &quot;-&quot;??_-;_-@_-">
                  <c:v>66.2</c:v>
                </c:pt>
                <c:pt idx="604" formatCode="_-* #,##0.0_-;\-* #,##0.0_-;_-* &quot;-&quot;??_-;_-@_-">
                  <c:v>66.2</c:v>
                </c:pt>
                <c:pt idx="605" formatCode="_-* #,##0.0_-;\-* #,##0.0_-;_-* &quot;-&quot;??_-;_-@_-">
                  <c:v>66.2</c:v>
                </c:pt>
                <c:pt idx="606" formatCode="_-* #,##0.0_-;\-* #,##0.0_-;_-* &quot;-&quot;??_-;_-@_-">
                  <c:v>66.2</c:v>
                </c:pt>
                <c:pt idx="607" formatCode="_-* #,##0.0_-;\-* #,##0.0_-;_-* &quot;-&quot;??_-;_-@_-">
                  <c:v>66.2</c:v>
                </c:pt>
                <c:pt idx="608" formatCode="_-* #,##0.0_-;\-* #,##0.0_-;_-* &quot;-&quot;??_-;_-@_-">
                  <c:v>66.2</c:v>
                </c:pt>
                <c:pt idx="609" formatCode="_-* #,##0.0_-;\-* #,##0.0_-;_-* &quot;-&quot;??_-;_-@_-">
                  <c:v>66.2</c:v>
                </c:pt>
                <c:pt idx="610" formatCode="_-* #,##0.0_-;\-* #,##0.0_-;_-* &quot;-&quot;??_-;_-@_-">
                  <c:v>66.2</c:v>
                </c:pt>
                <c:pt idx="611" formatCode="_-* #,##0.0_-;\-* #,##0.0_-;_-* &quot;-&quot;??_-;_-@_-">
                  <c:v>66.2</c:v>
                </c:pt>
                <c:pt idx="612" formatCode="_-* #,##0.0_-;\-* #,##0.0_-;_-* &quot;-&quot;??_-;_-@_-">
                  <c:v>66.2</c:v>
                </c:pt>
                <c:pt idx="613" formatCode="_-* #,##0.0_-;\-* #,##0.0_-;_-* &quot;-&quot;??_-;_-@_-">
                  <c:v>66.2</c:v>
                </c:pt>
                <c:pt idx="614" formatCode="_-* #,##0.0_-;\-* #,##0.0_-;_-* &quot;-&quot;??_-;_-@_-">
                  <c:v>66.2</c:v>
                </c:pt>
                <c:pt idx="615" formatCode="_-* #,##0.0_-;\-* #,##0.0_-;_-* &quot;-&quot;??_-;_-@_-">
                  <c:v>66.2</c:v>
                </c:pt>
                <c:pt idx="616" formatCode="_-* #,##0.0_-;\-* #,##0.0_-;_-* &quot;-&quot;??_-;_-@_-">
                  <c:v>66.2</c:v>
                </c:pt>
                <c:pt idx="617" formatCode="_-* #,##0.0_-;\-* #,##0.0_-;_-* &quot;-&quot;??_-;_-@_-">
                  <c:v>66.2</c:v>
                </c:pt>
                <c:pt idx="618" formatCode="_-* #,##0.0_-;\-* #,##0.0_-;_-* &quot;-&quot;??_-;_-@_-">
                  <c:v>66.2</c:v>
                </c:pt>
                <c:pt idx="619" formatCode="_-* #,##0.0_-;\-* #,##0.0_-;_-* &quot;-&quot;??_-;_-@_-">
                  <c:v>66.2</c:v>
                </c:pt>
                <c:pt idx="620" formatCode="_-* #,##0.0_-;\-* #,##0.0_-;_-* &quot;-&quot;??_-;_-@_-">
                  <c:v>66.2</c:v>
                </c:pt>
                <c:pt idx="621" formatCode="_-* #,##0.0_-;\-* #,##0.0_-;_-* &quot;-&quot;??_-;_-@_-">
                  <c:v>66.2</c:v>
                </c:pt>
                <c:pt idx="622" formatCode="_-* #,##0.0_-;\-* #,##0.0_-;_-* &quot;-&quot;??_-;_-@_-">
                  <c:v>66.2</c:v>
                </c:pt>
                <c:pt idx="623" formatCode="_-* #,##0.0_-;\-* #,##0.0_-;_-* &quot;-&quot;??_-;_-@_-">
                  <c:v>66.2</c:v>
                </c:pt>
                <c:pt idx="624" formatCode="_-* #,##0.0_-;\-* #,##0.0_-;_-* &quot;-&quot;??_-;_-@_-">
                  <c:v>66.2</c:v>
                </c:pt>
                <c:pt idx="625" formatCode="_-* #,##0.0_-;\-* #,##0.0_-;_-* &quot;-&quot;??_-;_-@_-">
                  <c:v>66.2</c:v>
                </c:pt>
                <c:pt idx="626" formatCode="_-* #,##0.0_-;\-* #,##0.0_-;_-* &quot;-&quot;??_-;_-@_-">
                  <c:v>66.2</c:v>
                </c:pt>
                <c:pt idx="627" formatCode="_-* #,##0.0_-;\-* #,##0.0_-;_-* &quot;-&quot;??_-;_-@_-">
                  <c:v>66.2</c:v>
                </c:pt>
                <c:pt idx="628" formatCode="_-* #,##0.0_-;\-* #,##0.0_-;_-* &quot;-&quot;??_-;_-@_-">
                  <c:v>66.2</c:v>
                </c:pt>
                <c:pt idx="629" formatCode="_-* #,##0.0_-;\-* #,##0.0_-;_-* &quot;-&quot;??_-;_-@_-">
                  <c:v>66.2</c:v>
                </c:pt>
                <c:pt idx="630" formatCode="_-* #,##0.0_-;\-* #,##0.0_-;_-* &quot;-&quot;??_-;_-@_-">
                  <c:v>66.2</c:v>
                </c:pt>
                <c:pt idx="631" formatCode="_-* #,##0.0_-;\-* #,##0.0_-;_-* &quot;-&quot;??_-;_-@_-">
                  <c:v>66.2</c:v>
                </c:pt>
                <c:pt idx="632" formatCode="_-* #,##0.0_-;\-* #,##0.0_-;_-* &quot;-&quot;??_-;_-@_-">
                  <c:v>66.2</c:v>
                </c:pt>
                <c:pt idx="633" formatCode="_-* #,##0.0_-;\-* #,##0.0_-;_-* &quot;-&quot;??_-;_-@_-">
                  <c:v>66.2</c:v>
                </c:pt>
                <c:pt idx="634" formatCode="_-* #,##0.0_-;\-* #,##0.0_-;_-* &quot;-&quot;??_-;_-@_-">
                  <c:v>66.2</c:v>
                </c:pt>
                <c:pt idx="635" formatCode="_-* #,##0.0_-;\-* #,##0.0_-;_-* &quot;-&quot;??_-;_-@_-">
                  <c:v>66.2</c:v>
                </c:pt>
                <c:pt idx="636" formatCode="_-* #,##0.0_-;\-* #,##0.0_-;_-* &quot;-&quot;??_-;_-@_-">
                  <c:v>66.2</c:v>
                </c:pt>
                <c:pt idx="637" formatCode="_-* #,##0.0_-;\-* #,##0.0_-;_-* &quot;-&quot;??_-;_-@_-">
                  <c:v>66.2</c:v>
                </c:pt>
                <c:pt idx="638" formatCode="_-* #,##0.0_-;\-* #,##0.0_-;_-* &quot;-&quot;??_-;_-@_-">
                  <c:v>66.2</c:v>
                </c:pt>
                <c:pt idx="639" formatCode="_-* #,##0.0_-;\-* #,##0.0_-;_-* &quot;-&quot;??_-;_-@_-">
                  <c:v>66.2</c:v>
                </c:pt>
                <c:pt idx="640" formatCode="_-* #,##0.0_-;\-* #,##0.0_-;_-* &quot;-&quot;??_-;_-@_-">
                  <c:v>66.2</c:v>
                </c:pt>
                <c:pt idx="641" formatCode="_-* #,##0.0_-;\-* #,##0.0_-;_-* &quot;-&quot;??_-;_-@_-">
                  <c:v>66.2</c:v>
                </c:pt>
                <c:pt idx="642" formatCode="_-* #,##0.0_-;\-* #,##0.0_-;_-* &quot;-&quot;??_-;_-@_-">
                  <c:v>66.2</c:v>
                </c:pt>
                <c:pt idx="643" formatCode="_-* #,##0.0_-;\-* #,##0.0_-;_-* &quot;-&quot;??_-;_-@_-">
                  <c:v>49.54</c:v>
                </c:pt>
                <c:pt idx="644" formatCode="_-* #,##0.0_-;\-* #,##0.0_-;_-* &quot;-&quot;??_-;_-@_-">
                  <c:v>49.54</c:v>
                </c:pt>
                <c:pt idx="645" formatCode="_-* #,##0.0_-;\-* #,##0.0_-;_-* &quot;-&quot;??_-;_-@_-">
                  <c:v>49.54</c:v>
                </c:pt>
                <c:pt idx="646" formatCode="_-* #,##0.0_-;\-* #,##0.0_-;_-* &quot;-&quot;??_-;_-@_-">
                  <c:v>49.54</c:v>
                </c:pt>
                <c:pt idx="647" formatCode="_-* #,##0.0_-;\-* #,##0.0_-;_-* &quot;-&quot;??_-;_-@_-">
                  <c:v>49.54</c:v>
                </c:pt>
                <c:pt idx="648" formatCode="_-* #,##0.0_-;\-* #,##0.0_-;_-* &quot;-&quot;??_-;_-@_-">
                  <c:v>49.54</c:v>
                </c:pt>
                <c:pt idx="649" formatCode="_-* #,##0.0_-;\-* #,##0.0_-;_-* &quot;-&quot;??_-;_-@_-">
                  <c:v>49.54</c:v>
                </c:pt>
                <c:pt idx="650" formatCode="_-* #,##0.0_-;\-* #,##0.0_-;_-* &quot;-&quot;??_-;_-@_-">
                  <c:v>49.54</c:v>
                </c:pt>
                <c:pt idx="651" formatCode="_-* #,##0.0_-;\-* #,##0.0_-;_-* &quot;-&quot;??_-;_-@_-">
                  <c:v>49.54</c:v>
                </c:pt>
                <c:pt idx="652" formatCode="_-* #,##0.0_-;\-* #,##0.0_-;_-* &quot;-&quot;??_-;_-@_-">
                  <c:v>49.54</c:v>
                </c:pt>
                <c:pt idx="653" formatCode="_-* #,##0.0_-;\-* #,##0.0_-;_-* &quot;-&quot;??_-;_-@_-">
                  <c:v>49.54</c:v>
                </c:pt>
                <c:pt idx="654" formatCode="_-* #,##0.0_-;\-* #,##0.0_-;_-* &quot;-&quot;??_-;_-@_-">
                  <c:v>49.54</c:v>
                </c:pt>
                <c:pt idx="655" formatCode="_-* #,##0.0_-;\-* #,##0.0_-;_-* &quot;-&quot;??_-;_-@_-">
                  <c:v>49.54</c:v>
                </c:pt>
                <c:pt idx="656" formatCode="_-* #,##0.0_-;\-* #,##0.0_-;_-* &quot;-&quot;??_-;_-@_-">
                  <c:v>46.76</c:v>
                </c:pt>
                <c:pt idx="657" formatCode="_-* #,##0.0_-;\-* #,##0.0_-;_-* &quot;-&quot;??_-;_-@_-">
                  <c:v>46.76</c:v>
                </c:pt>
                <c:pt idx="658" formatCode="_-* #,##0.0_-;\-* #,##0.0_-;_-* &quot;-&quot;??_-;_-@_-">
                  <c:v>46.76</c:v>
                </c:pt>
                <c:pt idx="659" formatCode="_-* #,##0.0_-;\-* #,##0.0_-;_-* &quot;-&quot;??_-;_-@_-">
                  <c:v>46.76</c:v>
                </c:pt>
                <c:pt idx="660" formatCode="_-* #,##0.0_-;\-* #,##0.0_-;_-* &quot;-&quot;??_-;_-@_-">
                  <c:v>46.76</c:v>
                </c:pt>
                <c:pt idx="661" formatCode="_-* #,##0.0_-;\-* #,##0.0_-;_-* &quot;-&quot;??_-;_-@_-">
                  <c:v>46.76</c:v>
                </c:pt>
                <c:pt idx="662" formatCode="_-* #,##0.0_-;\-* #,##0.0_-;_-* &quot;-&quot;??_-;_-@_-">
                  <c:v>46.76</c:v>
                </c:pt>
                <c:pt idx="663" formatCode="_-* #,##0.0_-;\-* #,##0.0_-;_-* &quot;-&quot;??_-;_-@_-">
                  <c:v>46.76</c:v>
                </c:pt>
                <c:pt idx="664" formatCode="_-* #,##0.0_-;\-* #,##0.0_-;_-* &quot;-&quot;??_-;_-@_-">
                  <c:v>46.76</c:v>
                </c:pt>
                <c:pt idx="665" formatCode="_-* #,##0.0_-;\-* #,##0.0_-;_-* &quot;-&quot;??_-;_-@_-">
                  <c:v>46.76</c:v>
                </c:pt>
                <c:pt idx="666" formatCode="_-* #,##0.0_-;\-* #,##0.0_-;_-* &quot;-&quot;??_-;_-@_-">
                  <c:v>46.76</c:v>
                </c:pt>
                <c:pt idx="667" formatCode="_-* #,##0.0_-;\-* #,##0.0_-;_-* &quot;-&quot;??_-;_-@_-">
                  <c:v>46.76</c:v>
                </c:pt>
                <c:pt idx="668" formatCode="_-* #,##0.0_-;\-* #,##0.0_-;_-* &quot;-&quot;??_-;_-@_-">
                  <c:v>46.76</c:v>
                </c:pt>
                <c:pt idx="669" formatCode="_-* #,##0.0_-;\-* #,##0.0_-;_-* &quot;-&quot;??_-;_-@_-">
                  <c:v>46.76</c:v>
                </c:pt>
                <c:pt idx="670" formatCode="_-* #,##0.0_-;\-* #,##0.0_-;_-* &quot;-&quot;??_-;_-@_-">
                  <c:v>46.76</c:v>
                </c:pt>
                <c:pt idx="671" formatCode="_-* #,##0.0_-;\-* #,##0.0_-;_-* &quot;-&quot;??_-;_-@_-">
                  <c:v>46.76</c:v>
                </c:pt>
                <c:pt idx="672" formatCode="_-* #,##0.0_-;\-* #,##0.0_-;_-* &quot;-&quot;??_-;_-@_-">
                  <c:v>46.76</c:v>
                </c:pt>
                <c:pt idx="673" formatCode="_-* #,##0.0_-;\-* #,##0.0_-;_-* &quot;-&quot;??_-;_-@_-">
                  <c:v>46.76</c:v>
                </c:pt>
                <c:pt idx="674" formatCode="_-* #,##0.0_-;\-* #,##0.0_-;_-* &quot;-&quot;??_-;_-@_-">
                  <c:v>46.76</c:v>
                </c:pt>
                <c:pt idx="675" formatCode="_-* #,##0.0_-;\-* #,##0.0_-;_-* &quot;-&quot;??_-;_-@_-">
                  <c:v>46.76</c:v>
                </c:pt>
                <c:pt idx="676" formatCode="_-* #,##0.0_-;\-* #,##0.0_-;_-* &quot;-&quot;??_-;_-@_-">
                  <c:v>46.76</c:v>
                </c:pt>
                <c:pt idx="677" formatCode="_-* #,##0.0_-;\-* #,##0.0_-;_-* &quot;-&quot;??_-;_-@_-">
                  <c:v>46.76</c:v>
                </c:pt>
                <c:pt idx="678" formatCode="_-* #,##0.0_-;\-* #,##0.0_-;_-* &quot;-&quot;??_-;_-@_-">
                  <c:v>46.76</c:v>
                </c:pt>
                <c:pt idx="679" formatCode="_-* #,##0.0_-;\-* #,##0.0_-;_-* &quot;-&quot;??_-;_-@_-">
                  <c:v>46.76</c:v>
                </c:pt>
                <c:pt idx="680" formatCode="_-* #,##0.0_-;\-* #,##0.0_-;_-* &quot;-&quot;??_-;_-@_-">
                  <c:v>46.76</c:v>
                </c:pt>
                <c:pt idx="681" formatCode="_-* #,##0.0_-;\-* #,##0.0_-;_-* &quot;-&quot;??_-;_-@_-">
                  <c:v>46.76</c:v>
                </c:pt>
                <c:pt idx="682" formatCode="_-* #,##0.0_-;\-* #,##0.0_-;_-* &quot;-&quot;??_-;_-@_-">
                  <c:v>46.76</c:v>
                </c:pt>
                <c:pt idx="683" formatCode="_-* #,##0.0_-;\-* #,##0.0_-;_-* &quot;-&quot;??_-;_-@_-">
                  <c:v>46.76</c:v>
                </c:pt>
                <c:pt idx="684" formatCode="_-* #,##0.0_-;\-* #,##0.0_-;_-* &quot;-&quot;??_-;_-@_-">
                  <c:v>46.76</c:v>
                </c:pt>
                <c:pt idx="685" formatCode="_-* #,##0.0_-;\-* #,##0.0_-;_-* &quot;-&quot;??_-;_-@_-">
                  <c:v>46.76</c:v>
                </c:pt>
                <c:pt idx="686" formatCode="_-* #,##0.0_-;\-* #,##0.0_-;_-* &quot;-&quot;??_-;_-@_-">
                  <c:v>46.76</c:v>
                </c:pt>
                <c:pt idx="687" formatCode="_-* #,##0.0_-;\-* #,##0.0_-;_-* &quot;-&quot;??_-;_-@_-">
                  <c:v>46.76</c:v>
                </c:pt>
                <c:pt idx="688" formatCode="_-* #,##0.0_-;\-* #,##0.0_-;_-* &quot;-&quot;??_-;_-@_-">
                  <c:v>46.76</c:v>
                </c:pt>
                <c:pt idx="689" formatCode="_-* #,##0.0_-;\-* #,##0.0_-;_-* &quot;-&quot;??_-;_-@_-">
                  <c:v>46.76</c:v>
                </c:pt>
                <c:pt idx="690" formatCode="_-* #,##0.0_-;\-* #,##0.0_-;_-* &quot;-&quot;??_-;_-@_-">
                  <c:v>46.76</c:v>
                </c:pt>
                <c:pt idx="691" formatCode="_-* #,##0.0_-;\-* #,##0.0_-;_-* &quot;-&quot;??_-;_-@_-">
                  <c:v>46.76</c:v>
                </c:pt>
                <c:pt idx="692" formatCode="_-* #,##0.0_-;\-* #,##0.0_-;_-* &quot;-&quot;??_-;_-@_-">
                  <c:v>46.76</c:v>
                </c:pt>
                <c:pt idx="693" formatCode="_-* #,##0.0_-;\-* #,##0.0_-;_-* &quot;-&quot;??_-;_-@_-">
                  <c:v>46.76</c:v>
                </c:pt>
                <c:pt idx="694" formatCode="_-* #,##0.0_-;\-* #,##0.0_-;_-* &quot;-&quot;??_-;_-@_-">
                  <c:v>46.76</c:v>
                </c:pt>
                <c:pt idx="695" formatCode="_-* #,##0.0_-;\-* #,##0.0_-;_-* &quot;-&quot;??_-;_-@_-">
                  <c:v>46.76</c:v>
                </c:pt>
                <c:pt idx="696" formatCode="_-* #,##0.0_-;\-* #,##0.0_-;_-* &quot;-&quot;??_-;_-@_-">
                  <c:v>46.76</c:v>
                </c:pt>
                <c:pt idx="697" formatCode="_-* #,##0.0_-;\-* #,##0.0_-;_-* &quot;-&quot;??_-;_-@_-">
                  <c:v>46.76</c:v>
                </c:pt>
                <c:pt idx="698" formatCode="_-* #,##0.0_-;\-* #,##0.0_-;_-* &quot;-&quot;??_-;_-@_-">
                  <c:v>52.31</c:v>
                </c:pt>
                <c:pt idx="699" formatCode="_-* #,##0.0_-;\-* #,##0.0_-;_-* &quot;-&quot;??_-;_-@_-">
                  <c:v>52.31</c:v>
                </c:pt>
                <c:pt idx="700" formatCode="_-* #,##0.0_-;\-* #,##0.0_-;_-* &quot;-&quot;??_-;_-@_-">
                  <c:v>52.31</c:v>
                </c:pt>
                <c:pt idx="701" formatCode="_-* #,##0.0_-;\-* #,##0.0_-;_-* &quot;-&quot;??_-;_-@_-">
                  <c:v>52.31</c:v>
                </c:pt>
                <c:pt idx="702" formatCode="_-* #,##0.0_-;\-* #,##0.0_-;_-* &quot;-&quot;??_-;_-@_-">
                  <c:v>52.31</c:v>
                </c:pt>
                <c:pt idx="703" formatCode="_-* #,##0.0_-;\-* #,##0.0_-;_-* &quot;-&quot;??_-;_-@_-">
                  <c:v>52.31</c:v>
                </c:pt>
                <c:pt idx="704" formatCode="_-* #,##0.0_-;\-* #,##0.0_-;_-* &quot;-&quot;??_-;_-@_-">
                  <c:v>52.31</c:v>
                </c:pt>
                <c:pt idx="705" formatCode="_-* #,##0.0_-;\-* #,##0.0_-;_-* &quot;-&quot;??_-;_-@_-">
                  <c:v>52.31</c:v>
                </c:pt>
                <c:pt idx="706" formatCode="_-* #,##0.0_-;\-* #,##0.0_-;_-* &quot;-&quot;??_-;_-@_-">
                  <c:v>59.72</c:v>
                </c:pt>
                <c:pt idx="707" formatCode="_-* #,##0.0_-;\-* #,##0.0_-;_-* &quot;-&quot;??_-;_-@_-">
                  <c:v>59.72</c:v>
                </c:pt>
                <c:pt idx="708" formatCode="_-* #,##0.0_-;\-* #,##0.0_-;_-* &quot;-&quot;??_-;_-@_-">
                  <c:v>59.72</c:v>
                </c:pt>
                <c:pt idx="709" formatCode="_-* #,##0.0_-;\-* #,##0.0_-;_-* &quot;-&quot;??_-;_-@_-">
                  <c:v>59.72</c:v>
                </c:pt>
                <c:pt idx="710" formatCode="_-* #,##0.0_-;\-* #,##0.0_-;_-* &quot;-&quot;??_-;_-@_-">
                  <c:v>59.72</c:v>
                </c:pt>
                <c:pt idx="711" formatCode="_-* #,##0.0_-;\-* #,##0.0_-;_-* &quot;-&quot;??_-;_-@_-">
                  <c:v>59.72</c:v>
                </c:pt>
                <c:pt idx="712" formatCode="_-* #,##0.0_-;\-* #,##0.0_-;_-* &quot;-&quot;??_-;_-@_-">
                  <c:v>59.72</c:v>
                </c:pt>
                <c:pt idx="713" formatCode="_-* #,##0.0_-;\-* #,##0.0_-;_-* &quot;-&quot;??_-;_-@_-">
                  <c:v>59.72</c:v>
                </c:pt>
                <c:pt idx="714" formatCode="_-* #,##0.0_-;\-* #,##0.0_-;_-* &quot;-&quot;??_-;_-@_-">
                  <c:v>59.72</c:v>
                </c:pt>
                <c:pt idx="715" formatCode="_-* #,##0.0_-;\-* #,##0.0_-;_-* &quot;-&quot;??_-;_-@_-">
                  <c:v>59.72</c:v>
                </c:pt>
                <c:pt idx="716" formatCode="_-* #,##0.0_-;\-* #,##0.0_-;_-* &quot;-&quot;??_-;_-@_-">
                  <c:v>59.72</c:v>
                </c:pt>
                <c:pt idx="717" formatCode="_-* #,##0.0_-;\-* #,##0.0_-;_-* &quot;-&quot;??_-;_-@_-">
                  <c:v>59.72</c:v>
                </c:pt>
                <c:pt idx="718" formatCode="_-* #,##0.0_-;\-* #,##0.0_-;_-* &quot;-&quot;??_-;_-@_-">
                  <c:v>59.72</c:v>
                </c:pt>
                <c:pt idx="719" formatCode="_-* #,##0.0_-;\-* #,##0.0_-;_-* &quot;-&quot;??_-;_-@_-">
                  <c:v>59.72</c:v>
                </c:pt>
                <c:pt idx="720" formatCode="_-* #,##0.0_-;\-* #,##0.0_-;_-* &quot;-&quot;??_-;_-@_-">
                  <c:v>59.72</c:v>
                </c:pt>
                <c:pt idx="721" formatCode="_-* #,##0.0_-;\-* #,##0.0_-;_-* &quot;-&quot;??_-;_-@_-">
                  <c:v>59.72</c:v>
                </c:pt>
                <c:pt idx="722" formatCode="_-* #,##0.0_-;\-* #,##0.0_-;_-* &quot;-&quot;??_-;_-@_-">
                  <c:v>59.72</c:v>
                </c:pt>
                <c:pt idx="723" formatCode="_-* #,##0.0_-;\-* #,##0.0_-;_-* &quot;-&quot;??_-;_-@_-">
                  <c:v>59.72</c:v>
                </c:pt>
                <c:pt idx="724" formatCode="_-* #,##0.0_-;\-* #,##0.0_-;_-* &quot;-&quot;??_-;_-@_-">
                  <c:v>59.72</c:v>
                </c:pt>
                <c:pt idx="725" formatCode="_-* #,##0.0_-;\-* #,##0.0_-;_-* &quot;-&quot;??_-;_-@_-">
                  <c:v>59.72</c:v>
                </c:pt>
                <c:pt idx="726" formatCode="_-* #,##0.0_-;\-* #,##0.0_-;_-* &quot;-&quot;??_-;_-@_-">
                  <c:v>59.72</c:v>
                </c:pt>
                <c:pt idx="727" formatCode="_-* #,##0.0_-;\-* #,##0.0_-;_-* &quot;-&quot;??_-;_-@_-">
                  <c:v>59.72</c:v>
                </c:pt>
                <c:pt idx="728" formatCode="_-* #,##0.0_-;\-* #,##0.0_-;_-* &quot;-&quot;??_-;_-@_-">
                  <c:v>59.72</c:v>
                </c:pt>
                <c:pt idx="729" formatCode="_-* #,##0.0_-;\-* #,##0.0_-;_-* &quot;-&quot;??_-;_-@_-">
                  <c:v>59.72</c:v>
                </c:pt>
                <c:pt idx="730" formatCode="_-* #,##0.0_-;\-* #,##0.0_-;_-* &quot;-&quot;??_-;_-@_-">
                  <c:v>59.72</c:v>
                </c:pt>
                <c:pt idx="731" formatCode="_-* #,##0.0_-;\-* #,##0.0_-;_-* &quot;-&quot;??_-;_-@_-">
                  <c:v>59.72</c:v>
                </c:pt>
                <c:pt idx="732" formatCode="_-* #,##0.0_-;\-* #,##0.0_-;_-* &quot;-&quot;??_-;_-@_-">
                  <c:v>59.72</c:v>
                </c:pt>
                <c:pt idx="733" formatCode="_-* #,##0.0_-;\-* #,##0.0_-;_-* &quot;-&quot;??_-;_-@_-">
                  <c:v>59.72</c:v>
                </c:pt>
                <c:pt idx="734" formatCode="_-* #,##0.0_-;\-* #,##0.0_-;_-* &quot;-&quot;??_-;_-@_-">
                  <c:v>59.72</c:v>
                </c:pt>
                <c:pt idx="735" formatCode="_-* #,##0.0_-;\-* #,##0.0_-;_-* &quot;-&quot;??_-;_-@_-">
                  <c:v>59.72</c:v>
                </c:pt>
                <c:pt idx="736" formatCode="_-* #,##0.0_-;\-* #,##0.0_-;_-* &quot;-&quot;??_-;_-@_-">
                  <c:v>59.72</c:v>
                </c:pt>
                <c:pt idx="737" formatCode="_-* #,##0.0_-;\-* #,##0.0_-;_-* &quot;-&quot;??_-;_-@_-">
                  <c:v>59.72</c:v>
                </c:pt>
                <c:pt idx="738" formatCode="_-* #,##0.0_-;\-* #,##0.0_-;_-* &quot;-&quot;??_-;_-@_-">
                  <c:v>59.72</c:v>
                </c:pt>
                <c:pt idx="739" formatCode="_-* #,##0.0_-;\-* #,##0.0_-;_-* &quot;-&quot;??_-;_-@_-">
                  <c:v>59.72</c:v>
                </c:pt>
                <c:pt idx="740" formatCode="_-* #,##0.0_-;\-* #,##0.0_-;_-* &quot;-&quot;??_-;_-@_-">
                  <c:v>62.5</c:v>
                </c:pt>
                <c:pt idx="741" formatCode="_-* #,##0.0_-;\-* #,##0.0_-;_-* &quot;-&quot;??_-;_-@_-">
                  <c:v>52.31</c:v>
                </c:pt>
                <c:pt idx="742" formatCode="_-* #,##0.0_-;\-* #,##0.0_-;_-* &quot;-&quot;??_-;_-@_-">
                  <c:v>52.31</c:v>
                </c:pt>
                <c:pt idx="743" formatCode="_-* #,##0.0_-;\-* #,##0.0_-;_-* &quot;-&quot;??_-;_-@_-">
                  <c:v>52.31</c:v>
                </c:pt>
                <c:pt idx="744" formatCode="_-* #,##0.0_-;\-* #,##0.0_-;_-* &quot;-&quot;??_-;_-@_-">
                  <c:v>52.31</c:v>
                </c:pt>
                <c:pt idx="745" formatCode="_-* #,##0.0_-;\-* #,##0.0_-;_-* &quot;-&quot;??_-;_-@_-">
                  <c:v>52.31</c:v>
                </c:pt>
                <c:pt idx="746" formatCode="_-* #,##0.0_-;\-* #,##0.0_-;_-* &quot;-&quot;??_-;_-@_-">
                  <c:v>52.31</c:v>
                </c:pt>
                <c:pt idx="747" formatCode="_-* #,##0.0_-;\-* #,##0.0_-;_-* &quot;-&quot;??_-;_-@_-">
                  <c:v>52.31</c:v>
                </c:pt>
                <c:pt idx="748" formatCode="_-* #,##0.0_-;\-* #,##0.0_-;_-* &quot;-&quot;??_-;_-@_-">
                  <c:v>52.31</c:v>
                </c:pt>
                <c:pt idx="749" formatCode="_-* #,##0.0_-;\-* #,##0.0_-;_-* &quot;-&quot;??_-;_-@_-">
                  <c:v>52.31</c:v>
                </c:pt>
                <c:pt idx="750" formatCode="_-* #,##0.0_-;\-* #,##0.0_-;_-* &quot;-&quot;??_-;_-@_-">
                  <c:v>52.31</c:v>
                </c:pt>
                <c:pt idx="751" formatCode="_-* #,##0.0_-;\-* #,##0.0_-;_-* &quot;-&quot;??_-;_-@_-">
                  <c:v>52.31</c:v>
                </c:pt>
                <c:pt idx="752" formatCode="_-* #,##0.0_-;\-* #,##0.0_-;_-* &quot;-&quot;??_-;_-@_-">
                  <c:v>52.31</c:v>
                </c:pt>
                <c:pt idx="753" formatCode="_-* #,##0.0_-;\-* #,##0.0_-;_-* &quot;-&quot;??_-;_-@_-">
                  <c:v>52.31</c:v>
                </c:pt>
                <c:pt idx="754" formatCode="_-* #,##0.0_-;\-* #,##0.0_-;_-* &quot;-&quot;??_-;_-@_-">
                  <c:v>52.31</c:v>
                </c:pt>
                <c:pt idx="755" formatCode="_-* #,##0.0_-;\-* #,##0.0_-;_-* &quot;-&quot;??_-;_-@_-">
                  <c:v>52.31</c:v>
                </c:pt>
                <c:pt idx="756" formatCode="_-* #,##0.0_-;\-* #,##0.0_-;_-* &quot;-&quot;??_-;_-@_-">
                  <c:v>52.31</c:v>
                </c:pt>
                <c:pt idx="757" formatCode="_-* #,##0.0_-;\-* #,##0.0_-;_-* &quot;-&quot;??_-;_-@_-">
                  <c:v>52.31</c:v>
                </c:pt>
                <c:pt idx="758" formatCode="_-* #,##0.0_-;\-* #,##0.0_-;_-* &quot;-&quot;??_-;_-@_-">
                  <c:v>52.31</c:v>
                </c:pt>
                <c:pt idx="759" formatCode="_-* #,##0.0_-;\-* #,##0.0_-;_-* &quot;-&quot;??_-;_-@_-">
                  <c:v>52.31</c:v>
                </c:pt>
                <c:pt idx="760" formatCode="_-* #,##0.0_-;\-* #,##0.0_-;_-* &quot;-&quot;??_-;_-@_-">
                  <c:v>52.31</c:v>
                </c:pt>
                <c:pt idx="761" formatCode="_-* #,##0.0_-;\-* #,##0.0_-;_-* &quot;-&quot;??_-;_-@_-">
                  <c:v>52.31</c:v>
                </c:pt>
                <c:pt idx="762" formatCode="_-* #,##0.0_-;\-* #,##0.0_-;_-* &quot;-&quot;??_-;_-@_-">
                  <c:v>52.31</c:v>
                </c:pt>
                <c:pt idx="763" formatCode="_-* #,##0.0_-;\-* #,##0.0_-;_-* &quot;-&quot;??_-;_-@_-">
                  <c:v>61.57</c:v>
                </c:pt>
                <c:pt idx="764" formatCode="_-* #,##0.0_-;\-* #,##0.0_-;_-* &quot;-&quot;??_-;_-@_-">
                  <c:v>61.57</c:v>
                </c:pt>
                <c:pt idx="765" formatCode="_-* #,##0.0_-;\-* #,##0.0_-;_-* &quot;-&quot;??_-;_-@_-">
                  <c:v>61.57</c:v>
                </c:pt>
                <c:pt idx="766" formatCode="_-* #,##0.0_-;\-* #,##0.0_-;_-* &quot;-&quot;??_-;_-@_-">
                  <c:v>61.57</c:v>
                </c:pt>
                <c:pt idx="767" formatCode="_-* #,##0.0_-;\-* #,##0.0_-;_-* &quot;-&quot;??_-;_-@_-">
                  <c:v>61.57</c:v>
                </c:pt>
                <c:pt idx="768" formatCode="_-* #,##0.0_-;\-* #,##0.0_-;_-* &quot;-&quot;??_-;_-@_-">
                  <c:v>61.57</c:v>
                </c:pt>
                <c:pt idx="769" formatCode="_-* #,##0.0_-;\-* #,##0.0_-;_-* &quot;-&quot;??_-;_-@_-">
                  <c:v>61.57</c:v>
                </c:pt>
                <c:pt idx="770" formatCode="_-* #,##0.0_-;\-* #,##0.0_-;_-* &quot;-&quot;??_-;_-@_-">
                  <c:v>61.57</c:v>
                </c:pt>
                <c:pt idx="771" formatCode="_-* #,##0.0_-;\-* #,##0.0_-;_-* &quot;-&quot;??_-;_-@_-">
                  <c:v>61.57</c:v>
                </c:pt>
                <c:pt idx="772" formatCode="_-* #,##0.0_-;\-* #,##0.0_-;_-* &quot;-&quot;??_-;_-@_-">
                  <c:v>61.57</c:v>
                </c:pt>
                <c:pt idx="773" formatCode="_-* #,##0.0_-;\-* #,##0.0_-;_-* &quot;-&quot;??_-;_-@_-">
                  <c:v>61.57</c:v>
                </c:pt>
                <c:pt idx="774" formatCode="_-* #,##0.0_-;\-* #,##0.0_-;_-* &quot;-&quot;??_-;_-@_-">
                  <c:v>61.57</c:v>
                </c:pt>
                <c:pt idx="775" formatCode="_-* #,##0.0_-;\-* #,##0.0_-;_-* &quot;-&quot;??_-;_-@_-">
                  <c:v>61.57</c:v>
                </c:pt>
                <c:pt idx="776" formatCode="_-* #,##0.0_-;\-* #,##0.0_-;_-* &quot;-&quot;??_-;_-@_-">
                  <c:v>61.57</c:v>
                </c:pt>
                <c:pt idx="777" formatCode="_-* #,##0.0_-;\-* #,##0.0_-;_-* &quot;-&quot;??_-;_-@_-">
                  <c:v>61.57</c:v>
                </c:pt>
                <c:pt idx="778" formatCode="_-* #,##0.0_-;\-* #,##0.0_-;_-* &quot;-&quot;??_-;_-@_-">
                  <c:v>61.57</c:v>
                </c:pt>
                <c:pt idx="779" formatCode="_-* #,##0.0_-;\-* #,##0.0_-;_-* &quot;-&quot;??_-;_-@_-">
                  <c:v>61.57</c:v>
                </c:pt>
                <c:pt idx="780" formatCode="_-* #,##0.0_-;\-* #,##0.0_-;_-* &quot;-&quot;??_-;_-@_-">
                  <c:v>61.57</c:v>
                </c:pt>
                <c:pt idx="781" formatCode="_-* #,##0.0_-;\-* #,##0.0_-;_-* &quot;-&quot;??_-;_-@_-">
                  <c:v>61.57</c:v>
                </c:pt>
                <c:pt idx="782" formatCode="_-* #,##0.0_-;\-* #,##0.0_-;_-* &quot;-&quot;??_-;_-@_-">
                  <c:v>61.57</c:v>
                </c:pt>
                <c:pt idx="783" formatCode="_-* #,##0.0_-;\-* #,##0.0_-;_-* &quot;-&quot;??_-;_-@_-">
                  <c:v>61.57</c:v>
                </c:pt>
                <c:pt idx="784" formatCode="_-* #,##0.0_-;\-* #,##0.0_-;_-* &quot;-&quot;??_-;_-@_-">
                  <c:v>61.57</c:v>
                </c:pt>
                <c:pt idx="785" formatCode="_-* #,##0.0_-;\-* #,##0.0_-;_-* &quot;-&quot;??_-;_-@_-">
                  <c:v>61.57</c:v>
                </c:pt>
                <c:pt idx="786" formatCode="_-* #,##0.0_-;\-* #,##0.0_-;_-* &quot;-&quot;??_-;_-@_-">
                  <c:v>61.57</c:v>
                </c:pt>
                <c:pt idx="787" formatCode="_-* #,##0.0_-;\-* #,##0.0_-;_-* &quot;-&quot;??_-;_-@_-">
                  <c:v>61.57</c:v>
                </c:pt>
                <c:pt idx="788" formatCode="_-* #,##0.0_-;\-* #,##0.0_-;_-* &quot;-&quot;??_-;_-@_-">
                  <c:v>61.57</c:v>
                </c:pt>
                <c:pt idx="789" formatCode="_-* #,##0.0_-;\-* #,##0.0_-;_-* &quot;-&quot;??_-;_-@_-">
                  <c:v>61.57</c:v>
                </c:pt>
                <c:pt idx="790" formatCode="_-* #,##0.0_-;\-* #,##0.0_-;_-* &quot;-&quot;??_-;_-@_-">
                  <c:v>61.57</c:v>
                </c:pt>
                <c:pt idx="791" formatCode="_-* #,##0.0_-;\-* #,##0.0_-;_-* &quot;-&quot;??_-;_-@_-">
                  <c:v>61.57</c:v>
                </c:pt>
                <c:pt idx="792" formatCode="_-* #,##0.0_-;\-* #,##0.0_-;_-* &quot;-&quot;??_-;_-@_-">
                  <c:v>61.57</c:v>
                </c:pt>
                <c:pt idx="793" formatCode="_-* #,##0.0_-;\-* #,##0.0_-;_-* &quot;-&quot;??_-;_-@_-">
                  <c:v>61.57</c:v>
                </c:pt>
                <c:pt idx="794" formatCode="_-* #,##0.0_-;\-* #,##0.0_-;_-* &quot;-&quot;??_-;_-@_-">
                  <c:v>61.57</c:v>
                </c:pt>
                <c:pt idx="795" formatCode="_-* #,##0.0_-;\-* #,##0.0_-;_-* &quot;-&quot;??_-;_-@_-">
                  <c:v>61.57</c:v>
                </c:pt>
                <c:pt idx="796" formatCode="_-* #,##0.0_-;\-* #,##0.0_-;_-* &quot;-&quot;??_-;_-@_-">
                  <c:v>61.57</c:v>
                </c:pt>
                <c:pt idx="797" formatCode="_-* #,##0.0_-;\-* #,##0.0_-;_-* &quot;-&quot;??_-;_-@_-">
                  <c:v>61.57</c:v>
                </c:pt>
                <c:pt idx="798" formatCode="_-* #,##0.0_-;\-* #,##0.0_-;_-* &quot;-&quot;??_-;_-@_-">
                  <c:v>61.57</c:v>
                </c:pt>
                <c:pt idx="799" formatCode="_-* #,##0.0_-;\-* #,##0.0_-;_-* &quot;-&quot;??_-;_-@_-">
                  <c:v>61.57</c:v>
                </c:pt>
                <c:pt idx="800" formatCode="_-* #,##0.0_-;\-* #,##0.0_-;_-* &quot;-&quot;??_-;_-@_-">
                  <c:v>53.24</c:v>
                </c:pt>
                <c:pt idx="801" formatCode="_-* #,##0.0_-;\-* #,##0.0_-;_-* &quot;-&quot;??_-;_-@_-">
                  <c:v>53.24</c:v>
                </c:pt>
                <c:pt idx="802" formatCode="_-* #,##0.0_-;\-* #,##0.0_-;_-* &quot;-&quot;??_-;_-@_-">
                  <c:v>53.24</c:v>
                </c:pt>
                <c:pt idx="803" formatCode="_-* #,##0.0_-;\-* #,##0.0_-;_-* &quot;-&quot;??_-;_-@_-">
                  <c:v>53.24</c:v>
                </c:pt>
                <c:pt idx="804" formatCode="_-* #,##0.0_-;\-* #,##0.0_-;_-* &quot;-&quot;??_-;_-@_-">
                  <c:v>53.24</c:v>
                </c:pt>
                <c:pt idx="805" formatCode="_-* #,##0.0_-;\-* #,##0.0_-;_-* &quot;-&quot;??_-;_-@_-">
                  <c:v>39.81</c:v>
                </c:pt>
                <c:pt idx="806" formatCode="_-* #,##0.0_-;\-* #,##0.0_-;_-* &quot;-&quot;??_-;_-@_-">
                  <c:v>39.81</c:v>
                </c:pt>
                <c:pt idx="807" formatCode="_-* #,##0.0_-;\-* #,##0.0_-;_-* &quot;-&quot;??_-;_-@_-">
                  <c:v>39.81</c:v>
                </c:pt>
                <c:pt idx="808" formatCode="_-* #,##0.0_-;\-* #,##0.0_-;_-* &quot;-&quot;??_-;_-@_-">
                  <c:v>39.81</c:v>
                </c:pt>
                <c:pt idx="809" formatCode="_-* #,##0.0_-;\-* #,##0.0_-;_-* &quot;-&quot;??_-;_-@_-">
                  <c:v>39.81</c:v>
                </c:pt>
                <c:pt idx="810" formatCode="_-* #,##0.0_-;\-* #,##0.0_-;_-* &quot;-&quot;??_-;_-@_-">
                  <c:v>39.81</c:v>
                </c:pt>
                <c:pt idx="811" formatCode="_-* #,##0.0_-;\-* #,##0.0_-;_-* &quot;-&quot;??_-;_-@_-">
                  <c:v>39.81</c:v>
                </c:pt>
                <c:pt idx="812" formatCode="_-* #,##0.0_-;\-* #,##0.0_-;_-* &quot;-&quot;??_-;_-@_-">
                  <c:v>39.81</c:v>
                </c:pt>
                <c:pt idx="813" formatCode="_-* #,##0.0_-;\-* #,##0.0_-;_-* &quot;-&quot;??_-;_-@_-">
                  <c:v>39.81</c:v>
                </c:pt>
                <c:pt idx="814" formatCode="_-* #,##0.0_-;\-* #,##0.0_-;_-* &quot;-&quot;??_-;_-@_-">
                  <c:v>39.81</c:v>
                </c:pt>
                <c:pt idx="815" formatCode="_-* #,##0.0_-;\-* #,##0.0_-;_-* &quot;-&quot;??_-;_-@_-">
                  <c:v>39.81</c:v>
                </c:pt>
                <c:pt idx="816" formatCode="_-* #,##0.0_-;\-* #,##0.0_-;_-* &quot;-&quot;??_-;_-@_-">
                  <c:v>39.81</c:v>
                </c:pt>
                <c:pt idx="817" formatCode="_-* #,##0.0_-;\-* #,##0.0_-;_-* &quot;-&quot;??_-;_-@_-">
                  <c:v>39.81</c:v>
                </c:pt>
                <c:pt idx="818" formatCode="_-* #,##0.0_-;\-* #,##0.0_-;_-* &quot;-&quot;??_-;_-@_-">
                  <c:v>39.81</c:v>
                </c:pt>
                <c:pt idx="819" formatCode="_-* #,##0.0_-;\-* #,##0.0_-;_-* &quot;-&quot;??_-;_-@_-">
                  <c:v>39.81</c:v>
                </c:pt>
                <c:pt idx="820" formatCode="_-* #,##0.0_-;\-* #,##0.0_-;_-* &quot;-&quot;??_-;_-@_-">
                  <c:v>39.81</c:v>
                </c:pt>
                <c:pt idx="821" formatCode="_-* #,##0.0_-;\-* #,##0.0_-;_-* &quot;-&quot;??_-;_-@_-">
                  <c:v>39.81</c:v>
                </c:pt>
                <c:pt idx="822" formatCode="_-* #,##0.0_-;\-* #,##0.0_-;_-* &quot;-&quot;??_-;_-@_-">
                  <c:v>39.81</c:v>
                </c:pt>
                <c:pt idx="823" formatCode="_-* #,##0.0_-;\-* #,##0.0_-;_-* &quot;-&quot;??_-;_-@_-">
                  <c:v>39.81</c:v>
                </c:pt>
                <c:pt idx="824" formatCode="_-* #,##0.0_-;\-* #,##0.0_-;_-* &quot;-&quot;??_-;_-@_-">
                  <c:v>39.81</c:v>
                </c:pt>
                <c:pt idx="825" formatCode="_-* #,##0.0_-;\-* #,##0.0_-;_-* &quot;-&quot;??_-;_-@_-">
                  <c:v>39.81</c:v>
                </c:pt>
                <c:pt idx="826" formatCode="_-* #,##0.0_-;\-* #,##0.0_-;_-* &quot;-&quot;??_-;_-@_-">
                  <c:v>39.81</c:v>
                </c:pt>
                <c:pt idx="827" formatCode="_-* #,##0.0_-;\-* #,##0.0_-;_-* &quot;-&quot;??_-;_-@_-">
                  <c:v>39.81</c:v>
                </c:pt>
                <c:pt idx="828" formatCode="_-* #,##0.0_-;\-* #,##0.0_-;_-* &quot;-&quot;??_-;_-@_-">
                  <c:v>39.81</c:v>
                </c:pt>
                <c:pt idx="829" formatCode="_-* #,##0.0_-;\-* #,##0.0_-;_-* &quot;-&quot;??_-;_-@_-">
                  <c:v>39.81</c:v>
                </c:pt>
                <c:pt idx="830" formatCode="_-* #,##0.0_-;\-* #,##0.0_-;_-* &quot;-&quot;??_-;_-@_-">
                  <c:v>39.81</c:v>
                </c:pt>
                <c:pt idx="831" formatCode="_-* #,##0.0_-;\-* #,##0.0_-;_-* &quot;-&quot;??_-;_-@_-">
                  <c:v>39.81</c:v>
                </c:pt>
                <c:pt idx="832" formatCode="_-* #,##0.0_-;\-* #,##0.0_-;_-* &quot;-&quot;??_-;_-@_-">
                  <c:v>39.81</c:v>
                </c:pt>
                <c:pt idx="833" formatCode="_-* #,##0.0_-;\-* #,##0.0_-;_-* &quot;-&quot;??_-;_-@_-">
                  <c:v>39.81</c:v>
                </c:pt>
                <c:pt idx="834" formatCode="_-* #,##0.0_-;\-* #,##0.0_-;_-* &quot;-&quot;??_-;_-@_-">
                  <c:v>39.81</c:v>
                </c:pt>
                <c:pt idx="835" formatCode="_-* #,##0.0_-;\-* #,##0.0_-;_-* &quot;-&quot;??_-;_-@_-">
                  <c:v>39.81</c:v>
                </c:pt>
                <c:pt idx="836" formatCode="_-* #,##0.0_-;\-* #,##0.0_-;_-* &quot;-&quot;??_-;_-@_-">
                  <c:v>39.81</c:v>
                </c:pt>
                <c:pt idx="837" formatCode="_-* #,##0.0_-;\-* #,##0.0_-;_-* &quot;-&quot;??_-;_-@_-">
                  <c:v>39.81</c:v>
                </c:pt>
                <c:pt idx="838" formatCode="_-* #,##0.0_-;\-* #,##0.0_-;_-* &quot;-&quot;??_-;_-@_-">
                  <c:v>39.81</c:v>
                </c:pt>
                <c:pt idx="839" formatCode="_-* #,##0.0_-;\-* #,##0.0_-;_-* &quot;-&quot;??_-;_-@_-">
                  <c:v>39.81</c:v>
                </c:pt>
                <c:pt idx="840" formatCode="_-* #,##0.0_-;\-* #,##0.0_-;_-* &quot;-&quot;??_-;_-@_-">
                  <c:v>39.81</c:v>
                </c:pt>
                <c:pt idx="841" formatCode="_-* #,##0.0_-;\-* #,##0.0_-;_-* &quot;-&quot;??_-;_-@_-">
                  <c:v>39.81</c:v>
                </c:pt>
                <c:pt idx="842" formatCode="_-* #,##0.0_-;\-* #,##0.0_-;_-* &quot;-&quot;??_-;_-@_-">
                  <c:v>39.81</c:v>
                </c:pt>
                <c:pt idx="843" formatCode="_-* #,##0.0_-;\-* #,##0.0_-;_-* &quot;-&quot;??_-;_-@_-">
                  <c:v>39.81</c:v>
                </c:pt>
                <c:pt idx="844" formatCode="_-* #,##0.0_-;\-* #,##0.0_-;_-* &quot;-&quot;??_-;_-@_-">
                  <c:v>39.81</c:v>
                </c:pt>
                <c:pt idx="845" formatCode="_-* #,##0.0_-;\-* #,##0.0_-;_-* &quot;-&quot;??_-;_-@_-">
                  <c:v>39.81</c:v>
                </c:pt>
                <c:pt idx="846" formatCode="_-* #,##0.0_-;\-* #,##0.0_-;_-* &quot;-&quot;??_-;_-@_-">
                  <c:v>39.81</c:v>
                </c:pt>
                <c:pt idx="847" formatCode="_-* #,##0.0_-;\-* #,##0.0_-;_-* &quot;-&quot;??_-;_-@_-">
                  <c:v>46.76</c:v>
                </c:pt>
                <c:pt idx="848" formatCode="_-* #,##0.0_-;\-* #,##0.0_-;_-* &quot;-&quot;??_-;_-@_-">
                  <c:v>46.76</c:v>
                </c:pt>
                <c:pt idx="849" formatCode="_-* #,##0.0_-;\-* #,##0.0_-;_-* &quot;-&quot;??_-;_-@_-">
                  <c:v>46.76</c:v>
                </c:pt>
                <c:pt idx="850" formatCode="_-* #,##0.0_-;\-* #,##0.0_-;_-* &quot;-&quot;??_-;_-@_-">
                  <c:v>46.76</c:v>
                </c:pt>
                <c:pt idx="851" formatCode="_-* #,##0.0_-;\-* #,##0.0_-;_-* &quot;-&quot;??_-;_-@_-">
                  <c:v>46.76</c:v>
                </c:pt>
                <c:pt idx="852" formatCode="_-* #,##0.0_-;\-* #,##0.0_-;_-* &quot;-&quot;??_-;_-@_-">
                  <c:v>46.76</c:v>
                </c:pt>
                <c:pt idx="853" formatCode="_-* #,##0.0_-;\-* #,##0.0_-;_-* &quot;-&quot;??_-;_-@_-">
                  <c:v>46.76</c:v>
                </c:pt>
                <c:pt idx="854" formatCode="_-* #,##0.0_-;\-* #,##0.0_-;_-* &quot;-&quot;??_-;_-@_-">
                  <c:v>46.76</c:v>
                </c:pt>
                <c:pt idx="855" formatCode="_-* #,##0.0_-;\-* #,##0.0_-;_-* &quot;-&quot;??_-;_-@_-">
                  <c:v>46.76</c:v>
                </c:pt>
                <c:pt idx="856" formatCode="_-* #,##0.0_-;\-* #,##0.0_-;_-* &quot;-&quot;??_-;_-@_-">
                  <c:v>46.76</c:v>
                </c:pt>
                <c:pt idx="857" formatCode="_-* #,##0.0_-;\-* #,##0.0_-;_-* &quot;-&quot;??_-;_-@_-">
                  <c:v>46.76</c:v>
                </c:pt>
                <c:pt idx="858" formatCode="_-* #,##0.0_-;\-* #,##0.0_-;_-* &quot;-&quot;??_-;_-@_-">
                  <c:v>46.76</c:v>
                </c:pt>
                <c:pt idx="859" formatCode="_-* #,##0.0_-;\-* #,##0.0_-;_-* &quot;-&quot;??_-;_-@_-">
                  <c:v>46.76</c:v>
                </c:pt>
                <c:pt idx="860" formatCode="_-* #,##0.0_-;\-* #,##0.0_-;_-* &quot;-&quot;??_-;_-@_-">
                  <c:v>46.76</c:v>
                </c:pt>
                <c:pt idx="861" formatCode="_-* #,##0.0_-;\-* #,##0.0_-;_-* &quot;-&quot;??_-;_-@_-">
                  <c:v>46.76</c:v>
                </c:pt>
                <c:pt idx="862" formatCode="_-* #,##0.0_-;\-* #,##0.0_-;_-* &quot;-&quot;??_-;_-@_-">
                  <c:v>46.76</c:v>
                </c:pt>
                <c:pt idx="863" formatCode="_-* #,##0.0_-;\-* #,##0.0_-;_-* &quot;-&quot;??_-;_-@_-">
                  <c:v>46.76</c:v>
                </c:pt>
                <c:pt idx="864" formatCode="_-* #,##0.0_-;\-* #,##0.0_-;_-* &quot;-&quot;??_-;_-@_-">
                  <c:v>46.76</c:v>
                </c:pt>
                <c:pt idx="865" formatCode="_-* #,##0.0_-;\-* #,##0.0_-;_-* &quot;-&quot;??_-;_-@_-">
                  <c:v>46.76</c:v>
                </c:pt>
                <c:pt idx="866" formatCode="_-* #,##0.0_-;\-* #,##0.0_-;_-* &quot;-&quot;??_-;_-@_-">
                  <c:v>46.76</c:v>
                </c:pt>
                <c:pt idx="867" formatCode="_-* #,##0.0_-;\-* #,##0.0_-;_-* &quot;-&quot;??_-;_-@_-">
                  <c:v>46.76</c:v>
                </c:pt>
                <c:pt idx="868" formatCode="_-* #,##0.0_-;\-* #,##0.0_-;_-* &quot;-&quot;??_-;_-@_-">
                  <c:v>46.76</c:v>
                </c:pt>
                <c:pt idx="869" formatCode="_-* #,##0.0_-;\-* #,##0.0_-;_-* &quot;-&quot;??_-;_-@_-">
                  <c:v>46.76</c:v>
                </c:pt>
                <c:pt idx="870" formatCode="_-* #,##0.0_-;\-* #,##0.0_-;_-* &quot;-&quot;??_-;_-@_-">
                  <c:v>43.06</c:v>
                </c:pt>
                <c:pt idx="871" formatCode="_-* #,##0.0_-;\-* #,##0.0_-;_-* &quot;-&quot;??_-;_-@_-">
                  <c:v>43.06</c:v>
                </c:pt>
                <c:pt idx="872" formatCode="_-* #,##0.0_-;\-* #,##0.0_-;_-* &quot;-&quot;??_-;_-@_-">
                  <c:v>43.06</c:v>
                </c:pt>
                <c:pt idx="873" formatCode="_-* #,##0.0_-;\-* #,##0.0_-;_-* &quot;-&quot;??_-;_-@_-">
                  <c:v>43.06</c:v>
                </c:pt>
                <c:pt idx="874" formatCode="_-* #,##0.0_-;\-* #,##0.0_-;_-* &quot;-&quot;??_-;_-@_-">
                  <c:v>43.06</c:v>
                </c:pt>
                <c:pt idx="875" formatCode="_-* #,##0.0_-;\-* #,##0.0_-;_-* &quot;-&quot;??_-;_-@_-">
                  <c:v>43.06</c:v>
                </c:pt>
                <c:pt idx="876" formatCode="_-* #,##0.0_-;\-* #,##0.0_-;_-* &quot;-&quot;??_-;_-@_-">
                  <c:v>43.06</c:v>
                </c:pt>
                <c:pt idx="877" formatCode="_-* #,##0.0_-;\-* #,##0.0_-;_-* &quot;-&quot;??_-;_-@_-">
                  <c:v>43.06</c:v>
                </c:pt>
                <c:pt idx="878" formatCode="_-* #,##0.0_-;\-* #,##0.0_-;_-* &quot;-&quot;??_-;_-@_-">
                  <c:v>43.06</c:v>
                </c:pt>
                <c:pt idx="879" formatCode="_-* #,##0.0_-;\-* #,##0.0_-;_-* &quot;-&quot;??_-;_-@_-">
                  <c:v>43.06</c:v>
                </c:pt>
                <c:pt idx="880" formatCode="_-* #,##0.0_-;\-* #,##0.0_-;_-* &quot;-&quot;??_-;_-@_-">
                  <c:v>43.06</c:v>
                </c:pt>
                <c:pt idx="881" formatCode="_-* #,##0.0_-;\-* #,##0.0_-;_-* &quot;-&quot;??_-;_-@_-">
                  <c:v>43.06</c:v>
                </c:pt>
                <c:pt idx="882" formatCode="_-* #,##0.0_-;\-* #,##0.0_-;_-* &quot;-&quot;??_-;_-@_-">
                  <c:v>43.06</c:v>
                </c:pt>
                <c:pt idx="883" formatCode="_-* #,##0.0_-;\-* #,##0.0_-;_-* &quot;-&quot;??_-;_-@_-">
                  <c:v>43.06</c:v>
                </c:pt>
                <c:pt idx="884" formatCode="_-* #,##0.0_-;\-* #,##0.0_-;_-* &quot;-&quot;??_-;_-@_-">
                  <c:v>43.06</c:v>
                </c:pt>
                <c:pt idx="885" formatCode="_-* #,##0.0_-;\-* #,##0.0_-;_-* &quot;-&quot;??_-;_-@_-">
                  <c:v>43.06</c:v>
                </c:pt>
                <c:pt idx="886" formatCode="_-* #,##0.0_-;\-* #,##0.0_-;_-* &quot;-&quot;??_-;_-@_-">
                  <c:v>43.06</c:v>
                </c:pt>
                <c:pt idx="887" formatCode="_-* #,##0.0_-;\-* #,##0.0_-;_-* &quot;-&quot;??_-;_-@_-">
                  <c:v>43.06</c:v>
                </c:pt>
                <c:pt idx="888" formatCode="_-* #,##0.0_-;\-* #,##0.0_-;_-* &quot;-&quot;??_-;_-@_-">
                  <c:v>43.06</c:v>
                </c:pt>
                <c:pt idx="889" formatCode="_-* #,##0.0_-;\-* #,##0.0_-;_-* &quot;-&quot;??_-;_-@_-">
                  <c:v>43.06</c:v>
                </c:pt>
                <c:pt idx="890" formatCode="_-* #,##0.0_-;\-* #,##0.0_-;_-* &quot;-&quot;??_-;_-@_-">
                  <c:v>43.06</c:v>
                </c:pt>
                <c:pt idx="891" formatCode="_-* #,##0.0_-;\-* #,##0.0_-;_-* &quot;-&quot;??_-;_-@_-">
                  <c:v>43.06</c:v>
                </c:pt>
                <c:pt idx="892" formatCode="_-* #,##0.0_-;\-* #,##0.0_-;_-* &quot;-&quot;??_-;_-@_-">
                  <c:v>43.06</c:v>
                </c:pt>
                <c:pt idx="893" formatCode="_-* #,##0.0_-;\-* #,##0.0_-;_-* &quot;-&quot;??_-;_-@_-">
                  <c:v>46.76</c:v>
                </c:pt>
                <c:pt idx="894" formatCode="_-* #,##0.0_-;\-* #,##0.0_-;_-* &quot;-&quot;??_-;_-@_-">
                  <c:v>46.76</c:v>
                </c:pt>
                <c:pt idx="895" formatCode="_-* #,##0.0_-;\-* #,##0.0_-;_-* &quot;-&quot;??_-;_-@_-">
                  <c:v>46.76</c:v>
                </c:pt>
                <c:pt idx="896" formatCode="_-* #,##0.0_-;\-* #,##0.0_-;_-* &quot;-&quot;??_-;_-@_-">
                  <c:v>46.76</c:v>
                </c:pt>
                <c:pt idx="897" formatCode="_-* #,##0.0_-;\-* #,##0.0_-;_-* &quot;-&quot;??_-;_-@_-">
                  <c:v>46.76</c:v>
                </c:pt>
                <c:pt idx="898" formatCode="_-* #,##0.0_-;\-* #,##0.0_-;_-* &quot;-&quot;??_-;_-@_-">
                  <c:v>46.76</c:v>
                </c:pt>
                <c:pt idx="899" formatCode="_-* #,##0.0_-;\-* #,##0.0_-;_-* &quot;-&quot;??_-;_-@_-">
                  <c:v>46.76</c:v>
                </c:pt>
                <c:pt idx="900" formatCode="_-* #,##0.0_-;\-* #,##0.0_-;_-* &quot;-&quot;??_-;_-@_-">
                  <c:v>46.76</c:v>
                </c:pt>
                <c:pt idx="901" formatCode="_-* #,##0.0_-;\-* #,##0.0_-;_-* &quot;-&quot;??_-;_-@_-">
                  <c:v>46.76</c:v>
                </c:pt>
                <c:pt idx="902" formatCode="_-* #,##0.0_-;\-* #,##0.0_-;_-* &quot;-&quot;??_-;_-@_-">
                  <c:v>46.76</c:v>
                </c:pt>
                <c:pt idx="903" formatCode="_-* #,##0.0_-;\-* #,##0.0_-;_-* &quot;-&quot;??_-;_-@_-">
                  <c:v>46.76</c:v>
                </c:pt>
                <c:pt idx="904" formatCode="_-* #,##0.0_-;\-* #,##0.0_-;_-* &quot;-&quot;??_-;_-@_-">
                  <c:v>46.76</c:v>
                </c:pt>
                <c:pt idx="905" formatCode="_-* #,##0.0_-;\-* #,##0.0_-;_-* &quot;-&quot;??_-;_-@_-">
                  <c:v>46.76</c:v>
                </c:pt>
                <c:pt idx="906" formatCode="_-* #,##0.0_-;\-* #,##0.0_-;_-* &quot;-&quot;??_-;_-@_-">
                  <c:v>46.76</c:v>
                </c:pt>
                <c:pt idx="907" formatCode="_-* #,##0.0_-;\-* #,##0.0_-;_-* &quot;-&quot;??_-;_-@_-">
                  <c:v>46.76</c:v>
                </c:pt>
                <c:pt idx="908" formatCode="_-* #,##0.0_-;\-* #,##0.0_-;_-* &quot;-&quot;??_-;_-@_-">
                  <c:v>46.76</c:v>
                </c:pt>
                <c:pt idx="909" formatCode="_-* #,##0.0_-;\-* #,##0.0_-;_-* &quot;-&quot;??_-;_-@_-">
                  <c:v>46.76</c:v>
                </c:pt>
                <c:pt idx="910" formatCode="_-* #,##0.0_-;\-* #,##0.0_-;_-* &quot;-&quot;??_-;_-@_-">
                  <c:v>46.76</c:v>
                </c:pt>
                <c:pt idx="911" formatCode="_-* #,##0.0_-;\-* #,##0.0_-;_-* &quot;-&quot;??_-;_-@_-">
                  <c:v>46.76</c:v>
                </c:pt>
                <c:pt idx="912" formatCode="_-* #,##0.0_-;\-* #,##0.0_-;_-* &quot;-&quot;??_-;_-@_-">
                  <c:v>46.76</c:v>
                </c:pt>
                <c:pt idx="913" formatCode="_-* #,##0.0_-;\-* #,##0.0_-;_-* &quot;-&quot;??_-;_-@_-">
                  <c:v>46.76</c:v>
                </c:pt>
                <c:pt idx="914" formatCode="_-* #,##0.0_-;\-* #,##0.0_-;_-* &quot;-&quot;??_-;_-@_-">
                  <c:v>46.76</c:v>
                </c:pt>
                <c:pt idx="915" formatCode="_-* #,##0.0_-;\-* #,##0.0_-;_-* &quot;-&quot;??_-;_-@_-">
                  <c:v>46.76</c:v>
                </c:pt>
                <c:pt idx="916" formatCode="_-* #,##0.0_-;\-* #,##0.0_-;_-* &quot;-&quot;??_-;_-@_-">
                  <c:v>46.76</c:v>
                </c:pt>
                <c:pt idx="917" formatCode="_-* #,##0.0_-;\-* #,##0.0_-;_-* &quot;-&quot;??_-;_-@_-">
                  <c:v>46.76</c:v>
                </c:pt>
                <c:pt idx="918" formatCode="_-* #,##0.0_-;\-* #,##0.0_-;_-* &quot;-&quot;??_-;_-@_-">
                  <c:v>46.76</c:v>
                </c:pt>
                <c:pt idx="919" formatCode="_-* #,##0.0_-;\-* #,##0.0_-;_-* &quot;-&quot;??_-;_-@_-">
                  <c:v>46.76</c:v>
                </c:pt>
                <c:pt idx="920" formatCode="_-* #,##0.0_-;\-* #,##0.0_-;_-* &quot;-&quot;??_-;_-@_-">
                  <c:v>46.76</c:v>
                </c:pt>
                <c:pt idx="921" formatCode="_-* #,##0.0_-;\-* #,##0.0_-;_-* &quot;-&quot;??_-;_-@_-">
                  <c:v>46.76</c:v>
                </c:pt>
                <c:pt idx="922" formatCode="_-* #,##0.0_-;\-* #,##0.0_-;_-* &quot;-&quot;??_-;_-@_-">
                  <c:v>46.76</c:v>
                </c:pt>
                <c:pt idx="923" formatCode="_-* #,##0.0_-;\-* #,##0.0_-;_-* &quot;-&quot;??_-;_-@_-">
                  <c:v>43.98</c:v>
                </c:pt>
                <c:pt idx="924" formatCode="_-* #,##0.0_-;\-* #,##0.0_-;_-* &quot;-&quot;??_-;_-@_-">
                  <c:v>43.98</c:v>
                </c:pt>
                <c:pt idx="925" formatCode="_-* #,##0.0_-;\-* #,##0.0_-;_-* &quot;-&quot;??_-;_-@_-">
                  <c:v>43.98</c:v>
                </c:pt>
                <c:pt idx="926" formatCode="_-* #,##0.0_-;\-* #,##0.0_-;_-* &quot;-&quot;??_-;_-@_-">
                  <c:v>43.98</c:v>
                </c:pt>
                <c:pt idx="927" formatCode="_-* #,##0.0_-;\-* #,##0.0_-;_-* &quot;-&quot;??_-;_-@_-">
                  <c:v>43.98</c:v>
                </c:pt>
                <c:pt idx="928" formatCode="_-* #,##0.0_-;\-* #,##0.0_-;_-* &quot;-&quot;??_-;_-@_-">
                  <c:v>43.98</c:v>
                </c:pt>
                <c:pt idx="929" formatCode="_-* #,##0.0_-;\-* #,##0.0_-;_-* &quot;-&quot;??_-;_-@_-">
                  <c:v>43.98</c:v>
                </c:pt>
                <c:pt idx="930" formatCode="_-* #,##0.0_-;\-* #,##0.0_-;_-* &quot;-&quot;??_-;_-@_-">
                  <c:v>43.98</c:v>
                </c:pt>
                <c:pt idx="931" formatCode="_-* #,##0.0_-;\-* #,##0.0_-;_-* &quot;-&quot;??_-;_-@_-">
                  <c:v>43.98</c:v>
                </c:pt>
                <c:pt idx="932" formatCode="_-* #,##0.0_-;\-* #,##0.0_-;_-* &quot;-&quot;??_-;_-@_-">
                  <c:v>43.98</c:v>
                </c:pt>
                <c:pt idx="933" formatCode="_-* #,##0.0_-;\-* #,##0.0_-;_-* &quot;-&quot;??_-;_-@_-">
                  <c:v>43.98</c:v>
                </c:pt>
                <c:pt idx="934" formatCode="_-* #,##0.0_-;\-* #,##0.0_-;_-* &quot;-&quot;??_-;_-@_-">
                  <c:v>43.98</c:v>
                </c:pt>
                <c:pt idx="935" formatCode="_-* #,##0.0_-;\-* #,##0.0_-;_-* &quot;-&quot;??_-;_-@_-">
                  <c:v>43.98</c:v>
                </c:pt>
                <c:pt idx="936" formatCode="_-* #,##0.0_-;\-* #,##0.0_-;_-* &quot;-&quot;??_-;_-@_-">
                  <c:v>43.98</c:v>
                </c:pt>
                <c:pt idx="937" formatCode="_-* #,##0.0_-;\-* #,##0.0_-;_-* &quot;-&quot;??_-;_-@_-">
                  <c:v>43.98</c:v>
                </c:pt>
                <c:pt idx="938" formatCode="_-* #,##0.0_-;\-* #,##0.0_-;_-* &quot;-&quot;??_-;_-@_-">
                  <c:v>43.98</c:v>
                </c:pt>
                <c:pt idx="939" formatCode="_-* #,##0.0_-;\-* #,##0.0_-;_-* &quot;-&quot;??_-;_-@_-">
                  <c:v>43.98</c:v>
                </c:pt>
                <c:pt idx="940" formatCode="_-* #,##0.0_-;\-* #,##0.0_-;_-* &quot;-&quot;??_-;_-@_-">
                  <c:v>43.98</c:v>
                </c:pt>
                <c:pt idx="941" formatCode="_-* #,##0.0_-;\-* #,##0.0_-;_-* &quot;-&quot;??_-;_-@_-">
                  <c:v>43.98</c:v>
                </c:pt>
                <c:pt idx="942" formatCode="_-* #,##0.0_-;\-* #,##0.0_-;_-* &quot;-&quot;??_-;_-@_-">
                  <c:v>43.98</c:v>
                </c:pt>
              </c:numCache>
            </c:numRef>
          </c:val>
          <c:smooth val="0"/>
          <c:extLst>
            <c:ext xmlns:c16="http://schemas.microsoft.com/office/drawing/2014/chart" uri="{C3380CC4-5D6E-409C-BE32-E72D297353CC}">
              <c16:uniqueId val="{00000000-8500-4A85-B847-A5C28AD7FE98}"/>
            </c:ext>
          </c:extLst>
        </c:ser>
        <c:ser>
          <c:idx val="2"/>
          <c:order val="1"/>
          <c:tx>
            <c:strRef>
              <c:f>GTM!$C$1</c:f>
              <c:strCache>
                <c:ptCount val="1"/>
                <c:pt idx="0">
                  <c:v>Promedio 2020</c:v>
                </c:pt>
              </c:strCache>
            </c:strRef>
          </c:tx>
          <c:spPr>
            <a:ln w="19050" cap="rnd">
              <a:solidFill>
                <a:schemeClr val="accent2"/>
              </a:solidFill>
              <a:prstDash val="sysDash"/>
              <a:round/>
            </a:ln>
            <a:effectLst/>
          </c:spPr>
          <c:marker>
            <c:symbol val="none"/>
          </c:marker>
          <c:dLbls>
            <c:dLbl>
              <c:idx val="19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00-4A85-B847-A5C28AD7FE9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GTM!$A$2:$A$944</c:f>
              <c:numCache>
                <c:formatCode>mm/dd/yyyy</c:formatCode>
                <c:ptCount val="943"/>
                <c:pt idx="0">
                  <c:v>43831</c:v>
                </c:pt>
                <c:pt idx="1">
                  <c:v>43832</c:v>
                </c:pt>
                <c:pt idx="2">
                  <c:v>43833</c:v>
                </c:pt>
                <c:pt idx="3">
                  <c:v>43834</c:v>
                </c:pt>
                <c:pt idx="4">
                  <c:v>43835</c:v>
                </c:pt>
                <c:pt idx="5">
                  <c:v>43836</c:v>
                </c:pt>
                <c:pt idx="6">
                  <c:v>43837</c:v>
                </c:pt>
                <c:pt idx="7">
                  <c:v>43838</c:v>
                </c:pt>
                <c:pt idx="8">
                  <c:v>43839</c:v>
                </c:pt>
                <c:pt idx="9">
                  <c:v>43840</c:v>
                </c:pt>
                <c:pt idx="10">
                  <c:v>43841</c:v>
                </c:pt>
                <c:pt idx="11">
                  <c:v>43842</c:v>
                </c:pt>
                <c:pt idx="12">
                  <c:v>43843</c:v>
                </c:pt>
                <c:pt idx="13">
                  <c:v>43844</c:v>
                </c:pt>
                <c:pt idx="14">
                  <c:v>43845</c:v>
                </c:pt>
                <c:pt idx="15">
                  <c:v>43846</c:v>
                </c:pt>
                <c:pt idx="16">
                  <c:v>43847</c:v>
                </c:pt>
                <c:pt idx="17">
                  <c:v>43848</c:v>
                </c:pt>
                <c:pt idx="18">
                  <c:v>43849</c:v>
                </c:pt>
                <c:pt idx="19">
                  <c:v>43850</c:v>
                </c:pt>
                <c:pt idx="20">
                  <c:v>43851</c:v>
                </c:pt>
                <c:pt idx="21">
                  <c:v>43852</c:v>
                </c:pt>
                <c:pt idx="22">
                  <c:v>43853</c:v>
                </c:pt>
                <c:pt idx="23">
                  <c:v>43854</c:v>
                </c:pt>
                <c:pt idx="24">
                  <c:v>43855</c:v>
                </c:pt>
                <c:pt idx="25">
                  <c:v>43856</c:v>
                </c:pt>
                <c:pt idx="26">
                  <c:v>43857</c:v>
                </c:pt>
                <c:pt idx="27">
                  <c:v>43858</c:v>
                </c:pt>
                <c:pt idx="28">
                  <c:v>43859</c:v>
                </c:pt>
                <c:pt idx="29">
                  <c:v>43860</c:v>
                </c:pt>
                <c:pt idx="30">
                  <c:v>43861</c:v>
                </c:pt>
                <c:pt idx="31">
                  <c:v>43862</c:v>
                </c:pt>
                <c:pt idx="32">
                  <c:v>43863</c:v>
                </c:pt>
                <c:pt idx="33">
                  <c:v>43864</c:v>
                </c:pt>
                <c:pt idx="34">
                  <c:v>43865</c:v>
                </c:pt>
                <c:pt idx="35">
                  <c:v>43866</c:v>
                </c:pt>
                <c:pt idx="36">
                  <c:v>43867</c:v>
                </c:pt>
                <c:pt idx="37">
                  <c:v>43868</c:v>
                </c:pt>
                <c:pt idx="38">
                  <c:v>43869</c:v>
                </c:pt>
                <c:pt idx="39">
                  <c:v>43870</c:v>
                </c:pt>
                <c:pt idx="40">
                  <c:v>43871</c:v>
                </c:pt>
                <c:pt idx="41">
                  <c:v>43872</c:v>
                </c:pt>
                <c:pt idx="42">
                  <c:v>43873</c:v>
                </c:pt>
                <c:pt idx="43">
                  <c:v>43874</c:v>
                </c:pt>
                <c:pt idx="44">
                  <c:v>43875</c:v>
                </c:pt>
                <c:pt idx="45">
                  <c:v>43876</c:v>
                </c:pt>
                <c:pt idx="46">
                  <c:v>43877</c:v>
                </c:pt>
                <c:pt idx="47">
                  <c:v>43878</c:v>
                </c:pt>
                <c:pt idx="48">
                  <c:v>43879</c:v>
                </c:pt>
                <c:pt idx="49">
                  <c:v>43880</c:v>
                </c:pt>
                <c:pt idx="50">
                  <c:v>43881</c:v>
                </c:pt>
                <c:pt idx="51">
                  <c:v>43882</c:v>
                </c:pt>
                <c:pt idx="52">
                  <c:v>43883</c:v>
                </c:pt>
                <c:pt idx="53">
                  <c:v>43884</c:v>
                </c:pt>
                <c:pt idx="54">
                  <c:v>43885</c:v>
                </c:pt>
                <c:pt idx="55">
                  <c:v>43886</c:v>
                </c:pt>
                <c:pt idx="56">
                  <c:v>43887</c:v>
                </c:pt>
                <c:pt idx="57">
                  <c:v>43888</c:v>
                </c:pt>
                <c:pt idx="58">
                  <c:v>43889</c:v>
                </c:pt>
                <c:pt idx="59">
                  <c:v>43890</c:v>
                </c:pt>
                <c:pt idx="60">
                  <c:v>43891</c:v>
                </c:pt>
                <c:pt idx="61">
                  <c:v>43892</c:v>
                </c:pt>
                <c:pt idx="62">
                  <c:v>43893</c:v>
                </c:pt>
                <c:pt idx="63">
                  <c:v>43894</c:v>
                </c:pt>
                <c:pt idx="64">
                  <c:v>43895</c:v>
                </c:pt>
                <c:pt idx="65">
                  <c:v>43896</c:v>
                </c:pt>
                <c:pt idx="66">
                  <c:v>43897</c:v>
                </c:pt>
                <c:pt idx="67">
                  <c:v>43898</c:v>
                </c:pt>
                <c:pt idx="68">
                  <c:v>43899</c:v>
                </c:pt>
                <c:pt idx="69">
                  <c:v>43900</c:v>
                </c:pt>
                <c:pt idx="70">
                  <c:v>43901</c:v>
                </c:pt>
                <c:pt idx="71">
                  <c:v>43902</c:v>
                </c:pt>
                <c:pt idx="72">
                  <c:v>43903</c:v>
                </c:pt>
                <c:pt idx="73">
                  <c:v>43904</c:v>
                </c:pt>
                <c:pt idx="74">
                  <c:v>43905</c:v>
                </c:pt>
                <c:pt idx="75">
                  <c:v>43906</c:v>
                </c:pt>
                <c:pt idx="76">
                  <c:v>43907</c:v>
                </c:pt>
                <c:pt idx="77">
                  <c:v>43908</c:v>
                </c:pt>
                <c:pt idx="78">
                  <c:v>43909</c:v>
                </c:pt>
                <c:pt idx="79">
                  <c:v>43910</c:v>
                </c:pt>
                <c:pt idx="80">
                  <c:v>43911</c:v>
                </c:pt>
                <c:pt idx="81">
                  <c:v>43912</c:v>
                </c:pt>
                <c:pt idx="82">
                  <c:v>43913</c:v>
                </c:pt>
                <c:pt idx="83">
                  <c:v>43914</c:v>
                </c:pt>
                <c:pt idx="84">
                  <c:v>43915</c:v>
                </c:pt>
                <c:pt idx="85">
                  <c:v>43916</c:v>
                </c:pt>
                <c:pt idx="86">
                  <c:v>43917</c:v>
                </c:pt>
                <c:pt idx="87">
                  <c:v>43918</c:v>
                </c:pt>
                <c:pt idx="88">
                  <c:v>43919</c:v>
                </c:pt>
                <c:pt idx="89">
                  <c:v>43920</c:v>
                </c:pt>
                <c:pt idx="90">
                  <c:v>43921</c:v>
                </c:pt>
                <c:pt idx="91">
                  <c:v>43922</c:v>
                </c:pt>
                <c:pt idx="92">
                  <c:v>43923</c:v>
                </c:pt>
                <c:pt idx="93">
                  <c:v>43924</c:v>
                </c:pt>
                <c:pt idx="94">
                  <c:v>43925</c:v>
                </c:pt>
                <c:pt idx="95">
                  <c:v>43926</c:v>
                </c:pt>
                <c:pt idx="96">
                  <c:v>43927</c:v>
                </c:pt>
                <c:pt idx="97">
                  <c:v>43928</c:v>
                </c:pt>
                <c:pt idx="98">
                  <c:v>43929</c:v>
                </c:pt>
                <c:pt idx="99">
                  <c:v>43930</c:v>
                </c:pt>
                <c:pt idx="100">
                  <c:v>43931</c:v>
                </c:pt>
                <c:pt idx="101">
                  <c:v>43932</c:v>
                </c:pt>
                <c:pt idx="102">
                  <c:v>43933</c:v>
                </c:pt>
                <c:pt idx="103">
                  <c:v>43934</c:v>
                </c:pt>
                <c:pt idx="104">
                  <c:v>43935</c:v>
                </c:pt>
                <c:pt idx="105">
                  <c:v>43936</c:v>
                </c:pt>
                <c:pt idx="106">
                  <c:v>43937</c:v>
                </c:pt>
                <c:pt idx="107">
                  <c:v>43938</c:v>
                </c:pt>
                <c:pt idx="108">
                  <c:v>43939</c:v>
                </c:pt>
                <c:pt idx="109">
                  <c:v>43940</c:v>
                </c:pt>
                <c:pt idx="110">
                  <c:v>43941</c:v>
                </c:pt>
                <c:pt idx="111">
                  <c:v>43942</c:v>
                </c:pt>
                <c:pt idx="112">
                  <c:v>43943</c:v>
                </c:pt>
                <c:pt idx="113">
                  <c:v>43944</c:v>
                </c:pt>
                <c:pt idx="114">
                  <c:v>43945</c:v>
                </c:pt>
                <c:pt idx="115">
                  <c:v>43946</c:v>
                </c:pt>
                <c:pt idx="116">
                  <c:v>43947</c:v>
                </c:pt>
                <c:pt idx="117">
                  <c:v>43948</c:v>
                </c:pt>
                <c:pt idx="118">
                  <c:v>43949</c:v>
                </c:pt>
                <c:pt idx="119">
                  <c:v>43950</c:v>
                </c:pt>
                <c:pt idx="120">
                  <c:v>43951</c:v>
                </c:pt>
                <c:pt idx="121">
                  <c:v>43952</c:v>
                </c:pt>
                <c:pt idx="122">
                  <c:v>43953</c:v>
                </c:pt>
                <c:pt idx="123">
                  <c:v>43954</c:v>
                </c:pt>
                <c:pt idx="124">
                  <c:v>43955</c:v>
                </c:pt>
                <c:pt idx="125">
                  <c:v>43956</c:v>
                </c:pt>
                <c:pt idx="126">
                  <c:v>43957</c:v>
                </c:pt>
                <c:pt idx="127">
                  <c:v>43958</c:v>
                </c:pt>
                <c:pt idx="128">
                  <c:v>43959</c:v>
                </c:pt>
                <c:pt idx="129">
                  <c:v>43960</c:v>
                </c:pt>
                <c:pt idx="130">
                  <c:v>43961</c:v>
                </c:pt>
                <c:pt idx="131">
                  <c:v>43962</c:v>
                </c:pt>
                <c:pt idx="132">
                  <c:v>43963</c:v>
                </c:pt>
                <c:pt idx="133">
                  <c:v>43964</c:v>
                </c:pt>
                <c:pt idx="134">
                  <c:v>43965</c:v>
                </c:pt>
                <c:pt idx="135">
                  <c:v>43966</c:v>
                </c:pt>
                <c:pt idx="136">
                  <c:v>43967</c:v>
                </c:pt>
                <c:pt idx="137">
                  <c:v>43968</c:v>
                </c:pt>
                <c:pt idx="138">
                  <c:v>43969</c:v>
                </c:pt>
                <c:pt idx="139">
                  <c:v>43970</c:v>
                </c:pt>
                <c:pt idx="140">
                  <c:v>43971</c:v>
                </c:pt>
                <c:pt idx="141">
                  <c:v>43972</c:v>
                </c:pt>
                <c:pt idx="142">
                  <c:v>43973</c:v>
                </c:pt>
                <c:pt idx="143">
                  <c:v>43974</c:v>
                </c:pt>
                <c:pt idx="144">
                  <c:v>43975</c:v>
                </c:pt>
                <c:pt idx="145">
                  <c:v>43976</c:v>
                </c:pt>
                <c:pt idx="146">
                  <c:v>43977</c:v>
                </c:pt>
                <c:pt idx="147">
                  <c:v>43978</c:v>
                </c:pt>
                <c:pt idx="148">
                  <c:v>43979</c:v>
                </c:pt>
                <c:pt idx="149">
                  <c:v>43980</c:v>
                </c:pt>
                <c:pt idx="150">
                  <c:v>43981</c:v>
                </c:pt>
                <c:pt idx="151">
                  <c:v>43982</c:v>
                </c:pt>
                <c:pt idx="152">
                  <c:v>43983</c:v>
                </c:pt>
                <c:pt idx="153">
                  <c:v>43984</c:v>
                </c:pt>
                <c:pt idx="154">
                  <c:v>43985</c:v>
                </c:pt>
                <c:pt idx="155">
                  <c:v>43986</c:v>
                </c:pt>
                <c:pt idx="156">
                  <c:v>43987</c:v>
                </c:pt>
                <c:pt idx="157">
                  <c:v>43988</c:v>
                </c:pt>
                <c:pt idx="158">
                  <c:v>43989</c:v>
                </c:pt>
                <c:pt idx="159">
                  <c:v>43990</c:v>
                </c:pt>
                <c:pt idx="160">
                  <c:v>43991</c:v>
                </c:pt>
                <c:pt idx="161">
                  <c:v>43992</c:v>
                </c:pt>
                <c:pt idx="162">
                  <c:v>43993</c:v>
                </c:pt>
                <c:pt idx="163">
                  <c:v>43994</c:v>
                </c:pt>
                <c:pt idx="164">
                  <c:v>43995</c:v>
                </c:pt>
                <c:pt idx="165">
                  <c:v>43996</c:v>
                </c:pt>
                <c:pt idx="166">
                  <c:v>43997</c:v>
                </c:pt>
                <c:pt idx="167">
                  <c:v>43998</c:v>
                </c:pt>
                <c:pt idx="168">
                  <c:v>43999</c:v>
                </c:pt>
                <c:pt idx="169">
                  <c:v>44000</c:v>
                </c:pt>
                <c:pt idx="170">
                  <c:v>44001</c:v>
                </c:pt>
                <c:pt idx="171">
                  <c:v>44002</c:v>
                </c:pt>
                <c:pt idx="172">
                  <c:v>44003</c:v>
                </c:pt>
                <c:pt idx="173">
                  <c:v>44004</c:v>
                </c:pt>
                <c:pt idx="174">
                  <c:v>44005</c:v>
                </c:pt>
                <c:pt idx="175">
                  <c:v>44006</c:v>
                </c:pt>
                <c:pt idx="176">
                  <c:v>44007</c:v>
                </c:pt>
                <c:pt idx="177">
                  <c:v>44008</c:v>
                </c:pt>
                <c:pt idx="178">
                  <c:v>44009</c:v>
                </c:pt>
                <c:pt idx="179">
                  <c:v>44010</c:v>
                </c:pt>
                <c:pt idx="180">
                  <c:v>44011</c:v>
                </c:pt>
                <c:pt idx="181">
                  <c:v>44012</c:v>
                </c:pt>
                <c:pt idx="182">
                  <c:v>44013</c:v>
                </c:pt>
                <c:pt idx="183">
                  <c:v>44014</c:v>
                </c:pt>
                <c:pt idx="184">
                  <c:v>44015</c:v>
                </c:pt>
                <c:pt idx="185">
                  <c:v>44016</c:v>
                </c:pt>
                <c:pt idx="186">
                  <c:v>44017</c:v>
                </c:pt>
                <c:pt idx="187">
                  <c:v>44018</c:v>
                </c:pt>
                <c:pt idx="188">
                  <c:v>44019</c:v>
                </c:pt>
                <c:pt idx="189">
                  <c:v>44020</c:v>
                </c:pt>
                <c:pt idx="190">
                  <c:v>44021</c:v>
                </c:pt>
                <c:pt idx="191">
                  <c:v>44022</c:v>
                </c:pt>
                <c:pt idx="192">
                  <c:v>44023</c:v>
                </c:pt>
                <c:pt idx="193">
                  <c:v>44024</c:v>
                </c:pt>
                <c:pt idx="194">
                  <c:v>44025</c:v>
                </c:pt>
                <c:pt idx="195">
                  <c:v>44026</c:v>
                </c:pt>
                <c:pt idx="196">
                  <c:v>44027</c:v>
                </c:pt>
                <c:pt idx="197">
                  <c:v>44028</c:v>
                </c:pt>
                <c:pt idx="198">
                  <c:v>44029</c:v>
                </c:pt>
                <c:pt idx="199">
                  <c:v>44030</c:v>
                </c:pt>
                <c:pt idx="200">
                  <c:v>44031</c:v>
                </c:pt>
                <c:pt idx="201">
                  <c:v>44032</c:v>
                </c:pt>
                <c:pt idx="202">
                  <c:v>44033</c:v>
                </c:pt>
                <c:pt idx="203">
                  <c:v>44034</c:v>
                </c:pt>
                <c:pt idx="204">
                  <c:v>44035</c:v>
                </c:pt>
                <c:pt idx="205">
                  <c:v>44036</c:v>
                </c:pt>
                <c:pt idx="206">
                  <c:v>44037</c:v>
                </c:pt>
                <c:pt idx="207">
                  <c:v>44038</c:v>
                </c:pt>
                <c:pt idx="208">
                  <c:v>44039</c:v>
                </c:pt>
                <c:pt idx="209">
                  <c:v>44040</c:v>
                </c:pt>
                <c:pt idx="210">
                  <c:v>44041</c:v>
                </c:pt>
                <c:pt idx="211">
                  <c:v>44042</c:v>
                </c:pt>
                <c:pt idx="212">
                  <c:v>44043</c:v>
                </c:pt>
                <c:pt idx="213">
                  <c:v>44044</c:v>
                </c:pt>
                <c:pt idx="214">
                  <c:v>44045</c:v>
                </c:pt>
                <c:pt idx="215">
                  <c:v>44046</c:v>
                </c:pt>
                <c:pt idx="216">
                  <c:v>44047</c:v>
                </c:pt>
                <c:pt idx="217">
                  <c:v>44048</c:v>
                </c:pt>
                <c:pt idx="218">
                  <c:v>44049</c:v>
                </c:pt>
                <c:pt idx="219">
                  <c:v>44050</c:v>
                </c:pt>
                <c:pt idx="220">
                  <c:v>44051</c:v>
                </c:pt>
                <c:pt idx="221">
                  <c:v>44052</c:v>
                </c:pt>
                <c:pt idx="222">
                  <c:v>44053</c:v>
                </c:pt>
                <c:pt idx="223">
                  <c:v>44054</c:v>
                </c:pt>
                <c:pt idx="224">
                  <c:v>44055</c:v>
                </c:pt>
                <c:pt idx="225">
                  <c:v>44056</c:v>
                </c:pt>
                <c:pt idx="226">
                  <c:v>44057</c:v>
                </c:pt>
                <c:pt idx="227">
                  <c:v>44058</c:v>
                </c:pt>
                <c:pt idx="228">
                  <c:v>44059</c:v>
                </c:pt>
                <c:pt idx="229">
                  <c:v>44060</c:v>
                </c:pt>
                <c:pt idx="230">
                  <c:v>44061</c:v>
                </c:pt>
                <c:pt idx="231">
                  <c:v>44062</c:v>
                </c:pt>
                <c:pt idx="232">
                  <c:v>44063</c:v>
                </c:pt>
                <c:pt idx="233">
                  <c:v>44064</c:v>
                </c:pt>
                <c:pt idx="234">
                  <c:v>44065</c:v>
                </c:pt>
                <c:pt idx="235">
                  <c:v>44066</c:v>
                </c:pt>
                <c:pt idx="236">
                  <c:v>44067</c:v>
                </c:pt>
                <c:pt idx="237">
                  <c:v>44068</c:v>
                </c:pt>
                <c:pt idx="238">
                  <c:v>44069</c:v>
                </c:pt>
                <c:pt idx="239">
                  <c:v>44070</c:v>
                </c:pt>
                <c:pt idx="240">
                  <c:v>44071</c:v>
                </c:pt>
                <c:pt idx="241">
                  <c:v>44072</c:v>
                </c:pt>
                <c:pt idx="242">
                  <c:v>44073</c:v>
                </c:pt>
                <c:pt idx="243">
                  <c:v>44074</c:v>
                </c:pt>
                <c:pt idx="244">
                  <c:v>44075</c:v>
                </c:pt>
                <c:pt idx="245">
                  <c:v>44076</c:v>
                </c:pt>
                <c:pt idx="246">
                  <c:v>44077</c:v>
                </c:pt>
                <c:pt idx="247">
                  <c:v>44078</c:v>
                </c:pt>
                <c:pt idx="248">
                  <c:v>44079</c:v>
                </c:pt>
                <c:pt idx="249">
                  <c:v>44080</c:v>
                </c:pt>
                <c:pt idx="250">
                  <c:v>44081</c:v>
                </c:pt>
                <c:pt idx="251">
                  <c:v>44082</c:v>
                </c:pt>
                <c:pt idx="252">
                  <c:v>44083</c:v>
                </c:pt>
                <c:pt idx="253">
                  <c:v>44084</c:v>
                </c:pt>
                <c:pt idx="254">
                  <c:v>44085</c:v>
                </c:pt>
                <c:pt idx="255">
                  <c:v>44086</c:v>
                </c:pt>
                <c:pt idx="256">
                  <c:v>44087</c:v>
                </c:pt>
                <c:pt idx="257">
                  <c:v>44088</c:v>
                </c:pt>
                <c:pt idx="258">
                  <c:v>44089</c:v>
                </c:pt>
                <c:pt idx="259">
                  <c:v>44090</c:v>
                </c:pt>
                <c:pt idx="260">
                  <c:v>44091</c:v>
                </c:pt>
                <c:pt idx="261">
                  <c:v>44092</c:v>
                </c:pt>
                <c:pt idx="262">
                  <c:v>44093</c:v>
                </c:pt>
                <c:pt idx="263">
                  <c:v>44094</c:v>
                </c:pt>
                <c:pt idx="264">
                  <c:v>44095</c:v>
                </c:pt>
                <c:pt idx="265">
                  <c:v>44096</c:v>
                </c:pt>
                <c:pt idx="266">
                  <c:v>44097</c:v>
                </c:pt>
                <c:pt idx="267">
                  <c:v>44098</c:v>
                </c:pt>
                <c:pt idx="268">
                  <c:v>44099</c:v>
                </c:pt>
                <c:pt idx="269">
                  <c:v>44100</c:v>
                </c:pt>
                <c:pt idx="270">
                  <c:v>44101</c:v>
                </c:pt>
                <c:pt idx="271">
                  <c:v>44102</c:v>
                </c:pt>
                <c:pt idx="272">
                  <c:v>44103</c:v>
                </c:pt>
                <c:pt idx="273">
                  <c:v>44104</c:v>
                </c:pt>
                <c:pt idx="274">
                  <c:v>44105</c:v>
                </c:pt>
                <c:pt idx="275">
                  <c:v>44106</c:v>
                </c:pt>
                <c:pt idx="276">
                  <c:v>44107</c:v>
                </c:pt>
                <c:pt idx="277">
                  <c:v>44108</c:v>
                </c:pt>
                <c:pt idx="278">
                  <c:v>44109</c:v>
                </c:pt>
                <c:pt idx="279">
                  <c:v>44110</c:v>
                </c:pt>
                <c:pt idx="280">
                  <c:v>44111</c:v>
                </c:pt>
                <c:pt idx="281">
                  <c:v>44112</c:v>
                </c:pt>
                <c:pt idx="282">
                  <c:v>44113</c:v>
                </c:pt>
                <c:pt idx="283">
                  <c:v>44114</c:v>
                </c:pt>
                <c:pt idx="284">
                  <c:v>44115</c:v>
                </c:pt>
                <c:pt idx="285">
                  <c:v>44116</c:v>
                </c:pt>
                <c:pt idx="286">
                  <c:v>44117</c:v>
                </c:pt>
                <c:pt idx="287">
                  <c:v>44118</c:v>
                </c:pt>
                <c:pt idx="288">
                  <c:v>44119</c:v>
                </c:pt>
                <c:pt idx="289">
                  <c:v>44120</c:v>
                </c:pt>
                <c:pt idx="290">
                  <c:v>44121</c:v>
                </c:pt>
                <c:pt idx="291">
                  <c:v>44122</c:v>
                </c:pt>
                <c:pt idx="292">
                  <c:v>44123</c:v>
                </c:pt>
                <c:pt idx="293">
                  <c:v>44124</c:v>
                </c:pt>
                <c:pt idx="294">
                  <c:v>44125</c:v>
                </c:pt>
                <c:pt idx="295">
                  <c:v>44126</c:v>
                </c:pt>
                <c:pt idx="296">
                  <c:v>44127</c:v>
                </c:pt>
                <c:pt idx="297">
                  <c:v>44128</c:v>
                </c:pt>
                <c:pt idx="298">
                  <c:v>44129</c:v>
                </c:pt>
                <c:pt idx="299">
                  <c:v>44130</c:v>
                </c:pt>
                <c:pt idx="300">
                  <c:v>44131</c:v>
                </c:pt>
                <c:pt idx="301">
                  <c:v>44132</c:v>
                </c:pt>
                <c:pt idx="302">
                  <c:v>44133</c:v>
                </c:pt>
                <c:pt idx="303">
                  <c:v>44134</c:v>
                </c:pt>
                <c:pt idx="304">
                  <c:v>44135</c:v>
                </c:pt>
                <c:pt idx="305">
                  <c:v>44136</c:v>
                </c:pt>
                <c:pt idx="306">
                  <c:v>44137</c:v>
                </c:pt>
                <c:pt idx="307">
                  <c:v>44138</c:v>
                </c:pt>
                <c:pt idx="308">
                  <c:v>44139</c:v>
                </c:pt>
                <c:pt idx="309">
                  <c:v>44140</c:v>
                </c:pt>
                <c:pt idx="310">
                  <c:v>44141</c:v>
                </c:pt>
                <c:pt idx="311">
                  <c:v>44142</c:v>
                </c:pt>
                <c:pt idx="312">
                  <c:v>44143</c:v>
                </c:pt>
                <c:pt idx="313">
                  <c:v>44144</c:v>
                </c:pt>
                <c:pt idx="314">
                  <c:v>44145</c:v>
                </c:pt>
                <c:pt idx="315">
                  <c:v>44146</c:v>
                </c:pt>
                <c:pt idx="316">
                  <c:v>44147</c:v>
                </c:pt>
                <c:pt idx="317">
                  <c:v>44148</c:v>
                </c:pt>
                <c:pt idx="318">
                  <c:v>44149</c:v>
                </c:pt>
                <c:pt idx="319">
                  <c:v>44150</c:v>
                </c:pt>
                <c:pt idx="320">
                  <c:v>44151</c:v>
                </c:pt>
                <c:pt idx="321">
                  <c:v>44152</c:v>
                </c:pt>
                <c:pt idx="322">
                  <c:v>44153</c:v>
                </c:pt>
                <c:pt idx="323">
                  <c:v>44154</c:v>
                </c:pt>
                <c:pt idx="324">
                  <c:v>44155</c:v>
                </c:pt>
                <c:pt idx="325">
                  <c:v>44156</c:v>
                </c:pt>
                <c:pt idx="326">
                  <c:v>44157</c:v>
                </c:pt>
                <c:pt idx="327">
                  <c:v>44158</c:v>
                </c:pt>
                <c:pt idx="328">
                  <c:v>44159</c:v>
                </c:pt>
                <c:pt idx="329">
                  <c:v>44160</c:v>
                </c:pt>
                <c:pt idx="330">
                  <c:v>44161</c:v>
                </c:pt>
                <c:pt idx="331">
                  <c:v>44162</c:v>
                </c:pt>
                <c:pt idx="332">
                  <c:v>44163</c:v>
                </c:pt>
                <c:pt idx="333">
                  <c:v>44164</c:v>
                </c:pt>
                <c:pt idx="334">
                  <c:v>44165</c:v>
                </c:pt>
                <c:pt idx="335">
                  <c:v>44166</c:v>
                </c:pt>
                <c:pt idx="336">
                  <c:v>44167</c:v>
                </c:pt>
                <c:pt idx="337">
                  <c:v>44168</c:v>
                </c:pt>
                <c:pt idx="338">
                  <c:v>44169</c:v>
                </c:pt>
                <c:pt idx="339">
                  <c:v>44170</c:v>
                </c:pt>
                <c:pt idx="340">
                  <c:v>44171</c:v>
                </c:pt>
                <c:pt idx="341">
                  <c:v>44172</c:v>
                </c:pt>
                <c:pt idx="342">
                  <c:v>44173</c:v>
                </c:pt>
                <c:pt idx="343">
                  <c:v>44174</c:v>
                </c:pt>
                <c:pt idx="344">
                  <c:v>44175</c:v>
                </c:pt>
                <c:pt idx="345">
                  <c:v>44176</c:v>
                </c:pt>
                <c:pt idx="346">
                  <c:v>44177</c:v>
                </c:pt>
                <c:pt idx="347">
                  <c:v>44178</c:v>
                </c:pt>
                <c:pt idx="348">
                  <c:v>44179</c:v>
                </c:pt>
                <c:pt idx="349">
                  <c:v>44180</c:v>
                </c:pt>
                <c:pt idx="350">
                  <c:v>44181</c:v>
                </c:pt>
                <c:pt idx="351">
                  <c:v>44182</c:v>
                </c:pt>
                <c:pt idx="352">
                  <c:v>44183</c:v>
                </c:pt>
                <c:pt idx="353">
                  <c:v>44184</c:v>
                </c:pt>
                <c:pt idx="354">
                  <c:v>44185</c:v>
                </c:pt>
                <c:pt idx="355">
                  <c:v>44186</c:v>
                </c:pt>
                <c:pt idx="356">
                  <c:v>44187</c:v>
                </c:pt>
                <c:pt idx="357">
                  <c:v>44188</c:v>
                </c:pt>
                <c:pt idx="358">
                  <c:v>44189</c:v>
                </c:pt>
                <c:pt idx="359">
                  <c:v>44190</c:v>
                </c:pt>
                <c:pt idx="360">
                  <c:v>44191</c:v>
                </c:pt>
                <c:pt idx="361">
                  <c:v>44192</c:v>
                </c:pt>
                <c:pt idx="362">
                  <c:v>44193</c:v>
                </c:pt>
                <c:pt idx="363">
                  <c:v>44194</c:v>
                </c:pt>
                <c:pt idx="364">
                  <c:v>44195</c:v>
                </c:pt>
                <c:pt idx="365">
                  <c:v>44196</c:v>
                </c:pt>
                <c:pt idx="366">
                  <c:v>44197</c:v>
                </c:pt>
                <c:pt idx="367">
                  <c:v>44198</c:v>
                </c:pt>
                <c:pt idx="368">
                  <c:v>44199</c:v>
                </c:pt>
                <c:pt idx="369">
                  <c:v>44200</c:v>
                </c:pt>
                <c:pt idx="370">
                  <c:v>44201</c:v>
                </c:pt>
                <c:pt idx="371">
                  <c:v>44202</c:v>
                </c:pt>
                <c:pt idx="372">
                  <c:v>44203</c:v>
                </c:pt>
                <c:pt idx="373">
                  <c:v>44204</c:v>
                </c:pt>
                <c:pt idx="374">
                  <c:v>44205</c:v>
                </c:pt>
                <c:pt idx="375">
                  <c:v>44206</c:v>
                </c:pt>
                <c:pt idx="376">
                  <c:v>44207</c:v>
                </c:pt>
                <c:pt idx="377">
                  <c:v>44208</c:v>
                </c:pt>
                <c:pt idx="378">
                  <c:v>44209</c:v>
                </c:pt>
                <c:pt idx="379">
                  <c:v>44210</c:v>
                </c:pt>
                <c:pt idx="380">
                  <c:v>44211</c:v>
                </c:pt>
                <c:pt idx="381">
                  <c:v>44212</c:v>
                </c:pt>
                <c:pt idx="382">
                  <c:v>44213</c:v>
                </c:pt>
                <c:pt idx="383">
                  <c:v>44214</c:v>
                </c:pt>
                <c:pt idx="384">
                  <c:v>44215</c:v>
                </c:pt>
                <c:pt idx="385">
                  <c:v>44216</c:v>
                </c:pt>
                <c:pt idx="386">
                  <c:v>44217</c:v>
                </c:pt>
                <c:pt idx="387">
                  <c:v>44218</c:v>
                </c:pt>
                <c:pt idx="388">
                  <c:v>44219</c:v>
                </c:pt>
                <c:pt idx="389">
                  <c:v>44220</c:v>
                </c:pt>
                <c:pt idx="390">
                  <c:v>44221</c:v>
                </c:pt>
                <c:pt idx="391">
                  <c:v>44222</c:v>
                </c:pt>
                <c:pt idx="392">
                  <c:v>44223</c:v>
                </c:pt>
                <c:pt idx="393">
                  <c:v>44224</c:v>
                </c:pt>
                <c:pt idx="394">
                  <c:v>44225</c:v>
                </c:pt>
                <c:pt idx="395">
                  <c:v>44226</c:v>
                </c:pt>
                <c:pt idx="396">
                  <c:v>44227</c:v>
                </c:pt>
                <c:pt idx="397">
                  <c:v>44228</c:v>
                </c:pt>
                <c:pt idx="398">
                  <c:v>44229</c:v>
                </c:pt>
                <c:pt idx="399">
                  <c:v>44230</c:v>
                </c:pt>
                <c:pt idx="400">
                  <c:v>44231</c:v>
                </c:pt>
                <c:pt idx="401">
                  <c:v>44232</c:v>
                </c:pt>
                <c:pt idx="402">
                  <c:v>44233</c:v>
                </c:pt>
                <c:pt idx="403">
                  <c:v>44234</c:v>
                </c:pt>
                <c:pt idx="404">
                  <c:v>44235</c:v>
                </c:pt>
                <c:pt idx="405">
                  <c:v>44236</c:v>
                </c:pt>
                <c:pt idx="406">
                  <c:v>44237</c:v>
                </c:pt>
                <c:pt idx="407">
                  <c:v>44238</c:v>
                </c:pt>
                <c:pt idx="408">
                  <c:v>44239</c:v>
                </c:pt>
                <c:pt idx="409">
                  <c:v>44240</c:v>
                </c:pt>
                <c:pt idx="410">
                  <c:v>44241</c:v>
                </c:pt>
                <c:pt idx="411">
                  <c:v>44242</c:v>
                </c:pt>
                <c:pt idx="412">
                  <c:v>44243</c:v>
                </c:pt>
                <c:pt idx="413">
                  <c:v>44244</c:v>
                </c:pt>
                <c:pt idx="414">
                  <c:v>44245</c:v>
                </c:pt>
                <c:pt idx="415">
                  <c:v>44246</c:v>
                </c:pt>
                <c:pt idx="416">
                  <c:v>44247</c:v>
                </c:pt>
                <c:pt idx="417">
                  <c:v>44248</c:v>
                </c:pt>
                <c:pt idx="418">
                  <c:v>44249</c:v>
                </c:pt>
                <c:pt idx="419">
                  <c:v>44250</c:v>
                </c:pt>
                <c:pt idx="420">
                  <c:v>44251</c:v>
                </c:pt>
                <c:pt idx="421">
                  <c:v>44252</c:v>
                </c:pt>
                <c:pt idx="422">
                  <c:v>44253</c:v>
                </c:pt>
                <c:pt idx="423">
                  <c:v>44254</c:v>
                </c:pt>
                <c:pt idx="424">
                  <c:v>44255</c:v>
                </c:pt>
                <c:pt idx="425">
                  <c:v>44256</c:v>
                </c:pt>
                <c:pt idx="426">
                  <c:v>44257</c:v>
                </c:pt>
                <c:pt idx="427">
                  <c:v>44258</c:v>
                </c:pt>
                <c:pt idx="428">
                  <c:v>44259</c:v>
                </c:pt>
                <c:pt idx="429">
                  <c:v>44260</c:v>
                </c:pt>
                <c:pt idx="430">
                  <c:v>44261</c:v>
                </c:pt>
                <c:pt idx="431">
                  <c:v>44262</c:v>
                </c:pt>
                <c:pt idx="432">
                  <c:v>44263</c:v>
                </c:pt>
                <c:pt idx="433">
                  <c:v>44264</c:v>
                </c:pt>
                <c:pt idx="434">
                  <c:v>44265</c:v>
                </c:pt>
                <c:pt idx="435">
                  <c:v>44266</c:v>
                </c:pt>
                <c:pt idx="436">
                  <c:v>44267</c:v>
                </c:pt>
                <c:pt idx="437">
                  <c:v>44268</c:v>
                </c:pt>
                <c:pt idx="438">
                  <c:v>44269</c:v>
                </c:pt>
                <c:pt idx="439">
                  <c:v>44270</c:v>
                </c:pt>
                <c:pt idx="440">
                  <c:v>44271</c:v>
                </c:pt>
                <c:pt idx="441">
                  <c:v>44272</c:v>
                </c:pt>
                <c:pt idx="442">
                  <c:v>44273</c:v>
                </c:pt>
                <c:pt idx="443">
                  <c:v>44274</c:v>
                </c:pt>
                <c:pt idx="444">
                  <c:v>44275</c:v>
                </c:pt>
                <c:pt idx="445">
                  <c:v>44276</c:v>
                </c:pt>
                <c:pt idx="446">
                  <c:v>44277</c:v>
                </c:pt>
                <c:pt idx="447">
                  <c:v>44278</c:v>
                </c:pt>
                <c:pt idx="448">
                  <c:v>44279</c:v>
                </c:pt>
                <c:pt idx="449">
                  <c:v>44280</c:v>
                </c:pt>
                <c:pt idx="450">
                  <c:v>44281</c:v>
                </c:pt>
                <c:pt idx="451">
                  <c:v>44282</c:v>
                </c:pt>
                <c:pt idx="452">
                  <c:v>44283</c:v>
                </c:pt>
                <c:pt idx="453">
                  <c:v>44284</c:v>
                </c:pt>
                <c:pt idx="454">
                  <c:v>44285</c:v>
                </c:pt>
                <c:pt idx="455">
                  <c:v>44286</c:v>
                </c:pt>
                <c:pt idx="456">
                  <c:v>44287</c:v>
                </c:pt>
                <c:pt idx="457">
                  <c:v>44288</c:v>
                </c:pt>
                <c:pt idx="458">
                  <c:v>44289</c:v>
                </c:pt>
                <c:pt idx="459">
                  <c:v>44290</c:v>
                </c:pt>
                <c:pt idx="460">
                  <c:v>44291</c:v>
                </c:pt>
                <c:pt idx="461">
                  <c:v>44292</c:v>
                </c:pt>
                <c:pt idx="462">
                  <c:v>44293</c:v>
                </c:pt>
                <c:pt idx="463">
                  <c:v>44294</c:v>
                </c:pt>
                <c:pt idx="464">
                  <c:v>44295</c:v>
                </c:pt>
                <c:pt idx="465">
                  <c:v>44296</c:v>
                </c:pt>
                <c:pt idx="466">
                  <c:v>44297</c:v>
                </c:pt>
                <c:pt idx="467">
                  <c:v>44298</c:v>
                </c:pt>
                <c:pt idx="468">
                  <c:v>44299</c:v>
                </c:pt>
                <c:pt idx="469">
                  <c:v>44300</c:v>
                </c:pt>
                <c:pt idx="470">
                  <c:v>44301</c:v>
                </c:pt>
                <c:pt idx="471">
                  <c:v>44302</c:v>
                </c:pt>
                <c:pt idx="472">
                  <c:v>44303</c:v>
                </c:pt>
                <c:pt idx="473">
                  <c:v>44304</c:v>
                </c:pt>
                <c:pt idx="474">
                  <c:v>44305</c:v>
                </c:pt>
                <c:pt idx="475">
                  <c:v>44306</c:v>
                </c:pt>
                <c:pt idx="476">
                  <c:v>44307</c:v>
                </c:pt>
                <c:pt idx="477">
                  <c:v>44308</c:v>
                </c:pt>
                <c:pt idx="478">
                  <c:v>44309</c:v>
                </c:pt>
                <c:pt idx="479">
                  <c:v>44310</c:v>
                </c:pt>
                <c:pt idx="480">
                  <c:v>44311</c:v>
                </c:pt>
                <c:pt idx="481">
                  <c:v>44312</c:v>
                </c:pt>
                <c:pt idx="482">
                  <c:v>44313</c:v>
                </c:pt>
                <c:pt idx="483">
                  <c:v>44314</c:v>
                </c:pt>
                <c:pt idx="484">
                  <c:v>44315</c:v>
                </c:pt>
                <c:pt idx="485">
                  <c:v>44316</c:v>
                </c:pt>
                <c:pt idx="486">
                  <c:v>44317</c:v>
                </c:pt>
                <c:pt idx="487">
                  <c:v>44318</c:v>
                </c:pt>
                <c:pt idx="488">
                  <c:v>44319</c:v>
                </c:pt>
                <c:pt idx="489">
                  <c:v>44320</c:v>
                </c:pt>
                <c:pt idx="490">
                  <c:v>44321</c:v>
                </c:pt>
                <c:pt idx="491">
                  <c:v>44322</c:v>
                </c:pt>
                <c:pt idx="492">
                  <c:v>44323</c:v>
                </c:pt>
                <c:pt idx="493">
                  <c:v>44324</c:v>
                </c:pt>
                <c:pt idx="494">
                  <c:v>44325</c:v>
                </c:pt>
                <c:pt idx="495">
                  <c:v>44326</c:v>
                </c:pt>
                <c:pt idx="496">
                  <c:v>44327</c:v>
                </c:pt>
                <c:pt idx="497">
                  <c:v>44328</c:v>
                </c:pt>
                <c:pt idx="498">
                  <c:v>44329</c:v>
                </c:pt>
                <c:pt idx="499">
                  <c:v>44330</c:v>
                </c:pt>
                <c:pt idx="500">
                  <c:v>44331</c:v>
                </c:pt>
                <c:pt idx="501">
                  <c:v>44332</c:v>
                </c:pt>
                <c:pt idx="502">
                  <c:v>44333</c:v>
                </c:pt>
                <c:pt idx="503">
                  <c:v>44334</c:v>
                </c:pt>
                <c:pt idx="504">
                  <c:v>44335</c:v>
                </c:pt>
                <c:pt idx="505">
                  <c:v>44336</c:v>
                </c:pt>
                <c:pt idx="506">
                  <c:v>44337</c:v>
                </c:pt>
                <c:pt idx="507">
                  <c:v>44338</c:v>
                </c:pt>
                <c:pt idx="508">
                  <c:v>44339</c:v>
                </c:pt>
                <c:pt idx="509">
                  <c:v>44340</c:v>
                </c:pt>
                <c:pt idx="510">
                  <c:v>44341</c:v>
                </c:pt>
                <c:pt idx="511">
                  <c:v>44342</c:v>
                </c:pt>
                <c:pt idx="512">
                  <c:v>44343</c:v>
                </c:pt>
                <c:pt idx="513">
                  <c:v>44344</c:v>
                </c:pt>
                <c:pt idx="514">
                  <c:v>44345</c:v>
                </c:pt>
                <c:pt idx="515">
                  <c:v>44346</c:v>
                </c:pt>
                <c:pt idx="516">
                  <c:v>44347</c:v>
                </c:pt>
                <c:pt idx="517">
                  <c:v>44348</c:v>
                </c:pt>
                <c:pt idx="518">
                  <c:v>44349</c:v>
                </c:pt>
                <c:pt idx="519">
                  <c:v>44350</c:v>
                </c:pt>
                <c:pt idx="520">
                  <c:v>44351</c:v>
                </c:pt>
                <c:pt idx="521">
                  <c:v>44352</c:v>
                </c:pt>
                <c:pt idx="522">
                  <c:v>44353</c:v>
                </c:pt>
                <c:pt idx="523">
                  <c:v>44354</c:v>
                </c:pt>
                <c:pt idx="524">
                  <c:v>44355</c:v>
                </c:pt>
                <c:pt idx="525">
                  <c:v>44356</c:v>
                </c:pt>
                <c:pt idx="526">
                  <c:v>44357</c:v>
                </c:pt>
                <c:pt idx="527">
                  <c:v>44358</c:v>
                </c:pt>
                <c:pt idx="528">
                  <c:v>44359</c:v>
                </c:pt>
                <c:pt idx="529">
                  <c:v>44360</c:v>
                </c:pt>
                <c:pt idx="530">
                  <c:v>44361</c:v>
                </c:pt>
                <c:pt idx="531">
                  <c:v>44362</c:v>
                </c:pt>
                <c:pt idx="532">
                  <c:v>44363</c:v>
                </c:pt>
                <c:pt idx="533">
                  <c:v>44364</c:v>
                </c:pt>
                <c:pt idx="534">
                  <c:v>44365</c:v>
                </c:pt>
                <c:pt idx="535">
                  <c:v>44366</c:v>
                </c:pt>
                <c:pt idx="536">
                  <c:v>44367</c:v>
                </c:pt>
                <c:pt idx="537">
                  <c:v>44368</c:v>
                </c:pt>
                <c:pt idx="538">
                  <c:v>44369</c:v>
                </c:pt>
                <c:pt idx="539">
                  <c:v>44370</c:v>
                </c:pt>
                <c:pt idx="540">
                  <c:v>44371</c:v>
                </c:pt>
                <c:pt idx="541">
                  <c:v>44372</c:v>
                </c:pt>
                <c:pt idx="542">
                  <c:v>44373</c:v>
                </c:pt>
                <c:pt idx="543">
                  <c:v>44374</c:v>
                </c:pt>
                <c:pt idx="544">
                  <c:v>44375</c:v>
                </c:pt>
                <c:pt idx="545">
                  <c:v>44376</c:v>
                </c:pt>
                <c:pt idx="546">
                  <c:v>44377</c:v>
                </c:pt>
                <c:pt idx="547">
                  <c:v>44378</c:v>
                </c:pt>
                <c:pt idx="548">
                  <c:v>44379</c:v>
                </c:pt>
                <c:pt idx="549">
                  <c:v>44380</c:v>
                </c:pt>
                <c:pt idx="550">
                  <c:v>44381</c:v>
                </c:pt>
                <c:pt idx="551">
                  <c:v>44382</c:v>
                </c:pt>
                <c:pt idx="552">
                  <c:v>44383</c:v>
                </c:pt>
                <c:pt idx="553">
                  <c:v>44384</c:v>
                </c:pt>
                <c:pt idx="554">
                  <c:v>44385</c:v>
                </c:pt>
                <c:pt idx="555">
                  <c:v>44386</c:v>
                </c:pt>
                <c:pt idx="556">
                  <c:v>44387</c:v>
                </c:pt>
                <c:pt idx="557">
                  <c:v>44388</c:v>
                </c:pt>
                <c:pt idx="558">
                  <c:v>44389</c:v>
                </c:pt>
                <c:pt idx="559">
                  <c:v>44390</c:v>
                </c:pt>
                <c:pt idx="560">
                  <c:v>44391</c:v>
                </c:pt>
                <c:pt idx="561">
                  <c:v>44392</c:v>
                </c:pt>
                <c:pt idx="562">
                  <c:v>44393</c:v>
                </c:pt>
                <c:pt idx="563">
                  <c:v>44394</c:v>
                </c:pt>
                <c:pt idx="564">
                  <c:v>44395</c:v>
                </c:pt>
                <c:pt idx="565">
                  <c:v>44396</c:v>
                </c:pt>
                <c:pt idx="566">
                  <c:v>44397</c:v>
                </c:pt>
                <c:pt idx="567">
                  <c:v>44398</c:v>
                </c:pt>
                <c:pt idx="568">
                  <c:v>44399</c:v>
                </c:pt>
                <c:pt idx="569">
                  <c:v>44400</c:v>
                </c:pt>
                <c:pt idx="570">
                  <c:v>44401</c:v>
                </c:pt>
                <c:pt idx="571">
                  <c:v>44402</c:v>
                </c:pt>
                <c:pt idx="572">
                  <c:v>44403</c:v>
                </c:pt>
                <c:pt idx="573">
                  <c:v>44404</c:v>
                </c:pt>
                <c:pt idx="574">
                  <c:v>44405</c:v>
                </c:pt>
                <c:pt idx="575">
                  <c:v>44406</c:v>
                </c:pt>
                <c:pt idx="576">
                  <c:v>44407</c:v>
                </c:pt>
                <c:pt idx="577">
                  <c:v>44408</c:v>
                </c:pt>
                <c:pt idx="578">
                  <c:v>44409</c:v>
                </c:pt>
                <c:pt idx="579">
                  <c:v>44410</c:v>
                </c:pt>
                <c:pt idx="580">
                  <c:v>44411</c:v>
                </c:pt>
                <c:pt idx="581">
                  <c:v>44412</c:v>
                </c:pt>
                <c:pt idx="582">
                  <c:v>44413</c:v>
                </c:pt>
                <c:pt idx="583">
                  <c:v>44414</c:v>
                </c:pt>
                <c:pt idx="584">
                  <c:v>44415</c:v>
                </c:pt>
                <c:pt idx="585">
                  <c:v>44416</c:v>
                </c:pt>
                <c:pt idx="586">
                  <c:v>44417</c:v>
                </c:pt>
                <c:pt idx="587">
                  <c:v>44418</c:v>
                </c:pt>
                <c:pt idx="588">
                  <c:v>44419</c:v>
                </c:pt>
                <c:pt idx="589">
                  <c:v>44420</c:v>
                </c:pt>
                <c:pt idx="590">
                  <c:v>44421</c:v>
                </c:pt>
                <c:pt idx="591">
                  <c:v>44422</c:v>
                </c:pt>
                <c:pt idx="592">
                  <c:v>44423</c:v>
                </c:pt>
                <c:pt idx="593">
                  <c:v>44424</c:v>
                </c:pt>
                <c:pt idx="594">
                  <c:v>44425</c:v>
                </c:pt>
                <c:pt idx="595">
                  <c:v>44426</c:v>
                </c:pt>
                <c:pt idx="596">
                  <c:v>44427</c:v>
                </c:pt>
                <c:pt idx="597">
                  <c:v>44428</c:v>
                </c:pt>
                <c:pt idx="598">
                  <c:v>44429</c:v>
                </c:pt>
                <c:pt idx="599">
                  <c:v>44430</c:v>
                </c:pt>
                <c:pt idx="600">
                  <c:v>44431</c:v>
                </c:pt>
                <c:pt idx="601">
                  <c:v>44432</c:v>
                </c:pt>
                <c:pt idx="602">
                  <c:v>44433</c:v>
                </c:pt>
                <c:pt idx="603">
                  <c:v>44434</c:v>
                </c:pt>
                <c:pt idx="604">
                  <c:v>44435</c:v>
                </c:pt>
                <c:pt idx="605">
                  <c:v>44436</c:v>
                </c:pt>
                <c:pt idx="606">
                  <c:v>44437</c:v>
                </c:pt>
                <c:pt idx="607">
                  <c:v>44438</c:v>
                </c:pt>
                <c:pt idx="608">
                  <c:v>44439</c:v>
                </c:pt>
                <c:pt idx="609">
                  <c:v>44440</c:v>
                </c:pt>
                <c:pt idx="610">
                  <c:v>44441</c:v>
                </c:pt>
                <c:pt idx="611">
                  <c:v>44442</c:v>
                </c:pt>
                <c:pt idx="612">
                  <c:v>44443</c:v>
                </c:pt>
                <c:pt idx="613">
                  <c:v>44444</c:v>
                </c:pt>
                <c:pt idx="614">
                  <c:v>44445</c:v>
                </c:pt>
                <c:pt idx="615">
                  <c:v>44446</c:v>
                </c:pt>
                <c:pt idx="616">
                  <c:v>44447</c:v>
                </c:pt>
                <c:pt idx="617">
                  <c:v>44448</c:v>
                </c:pt>
                <c:pt idx="618">
                  <c:v>44449</c:v>
                </c:pt>
                <c:pt idx="619">
                  <c:v>44450</c:v>
                </c:pt>
                <c:pt idx="620">
                  <c:v>44451</c:v>
                </c:pt>
                <c:pt idx="621">
                  <c:v>44452</c:v>
                </c:pt>
                <c:pt idx="622">
                  <c:v>44453</c:v>
                </c:pt>
                <c:pt idx="623">
                  <c:v>44454</c:v>
                </c:pt>
                <c:pt idx="624">
                  <c:v>44455</c:v>
                </c:pt>
                <c:pt idx="625">
                  <c:v>44456</c:v>
                </c:pt>
                <c:pt idx="626">
                  <c:v>44457</c:v>
                </c:pt>
                <c:pt idx="627">
                  <c:v>44458</c:v>
                </c:pt>
                <c:pt idx="628">
                  <c:v>44459</c:v>
                </c:pt>
                <c:pt idx="629">
                  <c:v>44460</c:v>
                </c:pt>
                <c:pt idx="630">
                  <c:v>44461</c:v>
                </c:pt>
                <c:pt idx="631">
                  <c:v>44462</c:v>
                </c:pt>
                <c:pt idx="632">
                  <c:v>44463</c:v>
                </c:pt>
                <c:pt idx="633">
                  <c:v>44464</c:v>
                </c:pt>
                <c:pt idx="634">
                  <c:v>44465</c:v>
                </c:pt>
                <c:pt idx="635">
                  <c:v>44466</c:v>
                </c:pt>
                <c:pt idx="636">
                  <c:v>44467</c:v>
                </c:pt>
                <c:pt idx="637">
                  <c:v>44468</c:v>
                </c:pt>
                <c:pt idx="638">
                  <c:v>44469</c:v>
                </c:pt>
                <c:pt idx="639">
                  <c:v>44470</c:v>
                </c:pt>
                <c:pt idx="640">
                  <c:v>44471</c:v>
                </c:pt>
                <c:pt idx="641">
                  <c:v>44472</c:v>
                </c:pt>
                <c:pt idx="642">
                  <c:v>44473</c:v>
                </c:pt>
                <c:pt idx="643">
                  <c:v>44474</c:v>
                </c:pt>
                <c:pt idx="644">
                  <c:v>44475</c:v>
                </c:pt>
                <c:pt idx="645">
                  <c:v>44476</c:v>
                </c:pt>
                <c:pt idx="646">
                  <c:v>44477</c:v>
                </c:pt>
                <c:pt idx="647">
                  <c:v>44478</c:v>
                </c:pt>
                <c:pt idx="648">
                  <c:v>44479</c:v>
                </c:pt>
                <c:pt idx="649">
                  <c:v>44480</c:v>
                </c:pt>
                <c:pt idx="650">
                  <c:v>44481</c:v>
                </c:pt>
                <c:pt idx="651">
                  <c:v>44482</c:v>
                </c:pt>
                <c:pt idx="652">
                  <c:v>44483</c:v>
                </c:pt>
                <c:pt idx="653">
                  <c:v>44484</c:v>
                </c:pt>
                <c:pt idx="654">
                  <c:v>44485</c:v>
                </c:pt>
                <c:pt idx="655">
                  <c:v>44486</c:v>
                </c:pt>
                <c:pt idx="656">
                  <c:v>44487</c:v>
                </c:pt>
                <c:pt idx="657">
                  <c:v>44488</c:v>
                </c:pt>
                <c:pt idx="658">
                  <c:v>44489</c:v>
                </c:pt>
                <c:pt idx="659">
                  <c:v>44490</c:v>
                </c:pt>
                <c:pt idx="660">
                  <c:v>44491</c:v>
                </c:pt>
                <c:pt idx="661">
                  <c:v>44492</c:v>
                </c:pt>
                <c:pt idx="662">
                  <c:v>44493</c:v>
                </c:pt>
                <c:pt idx="663">
                  <c:v>44494</c:v>
                </c:pt>
                <c:pt idx="664">
                  <c:v>44495</c:v>
                </c:pt>
                <c:pt idx="665">
                  <c:v>44496</c:v>
                </c:pt>
                <c:pt idx="666">
                  <c:v>44497</c:v>
                </c:pt>
                <c:pt idx="667">
                  <c:v>44498</c:v>
                </c:pt>
                <c:pt idx="668">
                  <c:v>44499</c:v>
                </c:pt>
                <c:pt idx="669">
                  <c:v>44500</c:v>
                </c:pt>
                <c:pt idx="670">
                  <c:v>44501</c:v>
                </c:pt>
                <c:pt idx="671">
                  <c:v>44502</c:v>
                </c:pt>
                <c:pt idx="672">
                  <c:v>44503</c:v>
                </c:pt>
                <c:pt idx="673">
                  <c:v>44504</c:v>
                </c:pt>
                <c:pt idx="674">
                  <c:v>44505</c:v>
                </c:pt>
                <c:pt idx="675">
                  <c:v>44506</c:v>
                </c:pt>
                <c:pt idx="676">
                  <c:v>44507</c:v>
                </c:pt>
                <c:pt idx="677">
                  <c:v>44508</c:v>
                </c:pt>
                <c:pt idx="678">
                  <c:v>44509</c:v>
                </c:pt>
                <c:pt idx="679">
                  <c:v>44510</c:v>
                </c:pt>
                <c:pt idx="680">
                  <c:v>44511</c:v>
                </c:pt>
                <c:pt idx="681">
                  <c:v>44512</c:v>
                </c:pt>
                <c:pt idx="682">
                  <c:v>44513</c:v>
                </c:pt>
                <c:pt idx="683">
                  <c:v>44514</c:v>
                </c:pt>
                <c:pt idx="684">
                  <c:v>44515</c:v>
                </c:pt>
                <c:pt idx="685">
                  <c:v>44516</c:v>
                </c:pt>
                <c:pt idx="686">
                  <c:v>44517</c:v>
                </c:pt>
                <c:pt idx="687">
                  <c:v>44518</c:v>
                </c:pt>
                <c:pt idx="688">
                  <c:v>44519</c:v>
                </c:pt>
                <c:pt idx="689">
                  <c:v>44520</c:v>
                </c:pt>
                <c:pt idx="690">
                  <c:v>44521</c:v>
                </c:pt>
                <c:pt idx="691">
                  <c:v>44522</c:v>
                </c:pt>
                <c:pt idx="692">
                  <c:v>44523</c:v>
                </c:pt>
                <c:pt idx="693">
                  <c:v>44524</c:v>
                </c:pt>
                <c:pt idx="694">
                  <c:v>44525</c:v>
                </c:pt>
                <c:pt idx="695">
                  <c:v>44526</c:v>
                </c:pt>
                <c:pt idx="696">
                  <c:v>44527</c:v>
                </c:pt>
                <c:pt idx="697">
                  <c:v>44528</c:v>
                </c:pt>
                <c:pt idx="698">
                  <c:v>44529</c:v>
                </c:pt>
                <c:pt idx="699">
                  <c:v>44530</c:v>
                </c:pt>
                <c:pt idx="700">
                  <c:v>44531</c:v>
                </c:pt>
                <c:pt idx="701">
                  <c:v>44532</c:v>
                </c:pt>
                <c:pt idx="702">
                  <c:v>44533</c:v>
                </c:pt>
                <c:pt idx="703">
                  <c:v>44534</c:v>
                </c:pt>
                <c:pt idx="704">
                  <c:v>44535</c:v>
                </c:pt>
                <c:pt idx="705">
                  <c:v>44536</c:v>
                </c:pt>
                <c:pt idx="706">
                  <c:v>44537</c:v>
                </c:pt>
                <c:pt idx="707">
                  <c:v>44538</c:v>
                </c:pt>
                <c:pt idx="708">
                  <c:v>44539</c:v>
                </c:pt>
                <c:pt idx="709">
                  <c:v>44540</c:v>
                </c:pt>
                <c:pt idx="710">
                  <c:v>44541</c:v>
                </c:pt>
                <c:pt idx="711">
                  <c:v>44542</c:v>
                </c:pt>
                <c:pt idx="712">
                  <c:v>44543</c:v>
                </c:pt>
                <c:pt idx="713">
                  <c:v>44544</c:v>
                </c:pt>
                <c:pt idx="714">
                  <c:v>44545</c:v>
                </c:pt>
                <c:pt idx="715">
                  <c:v>44546</c:v>
                </c:pt>
                <c:pt idx="716">
                  <c:v>44547</c:v>
                </c:pt>
                <c:pt idx="717">
                  <c:v>44548</c:v>
                </c:pt>
                <c:pt idx="718">
                  <c:v>44549</c:v>
                </c:pt>
                <c:pt idx="719">
                  <c:v>44550</c:v>
                </c:pt>
                <c:pt idx="720">
                  <c:v>44551</c:v>
                </c:pt>
                <c:pt idx="721">
                  <c:v>44552</c:v>
                </c:pt>
                <c:pt idx="722">
                  <c:v>44553</c:v>
                </c:pt>
                <c:pt idx="723">
                  <c:v>44554</c:v>
                </c:pt>
                <c:pt idx="724">
                  <c:v>44555</c:v>
                </c:pt>
                <c:pt idx="725">
                  <c:v>44556</c:v>
                </c:pt>
                <c:pt idx="726">
                  <c:v>44557</c:v>
                </c:pt>
                <c:pt idx="727">
                  <c:v>44558</c:v>
                </c:pt>
                <c:pt idx="728">
                  <c:v>44559</c:v>
                </c:pt>
                <c:pt idx="729">
                  <c:v>44560</c:v>
                </c:pt>
                <c:pt idx="730">
                  <c:v>44561</c:v>
                </c:pt>
                <c:pt idx="731">
                  <c:v>44562</c:v>
                </c:pt>
                <c:pt idx="732">
                  <c:v>44563</c:v>
                </c:pt>
                <c:pt idx="733">
                  <c:v>44564</c:v>
                </c:pt>
                <c:pt idx="734">
                  <c:v>44565</c:v>
                </c:pt>
                <c:pt idx="735">
                  <c:v>44566</c:v>
                </c:pt>
                <c:pt idx="736">
                  <c:v>44567</c:v>
                </c:pt>
                <c:pt idx="737">
                  <c:v>44568</c:v>
                </c:pt>
                <c:pt idx="738">
                  <c:v>44569</c:v>
                </c:pt>
                <c:pt idx="739">
                  <c:v>44570</c:v>
                </c:pt>
                <c:pt idx="740">
                  <c:v>44571</c:v>
                </c:pt>
                <c:pt idx="741">
                  <c:v>44572</c:v>
                </c:pt>
                <c:pt idx="742">
                  <c:v>44573</c:v>
                </c:pt>
                <c:pt idx="743">
                  <c:v>44574</c:v>
                </c:pt>
                <c:pt idx="744">
                  <c:v>44575</c:v>
                </c:pt>
                <c:pt idx="745">
                  <c:v>44576</c:v>
                </c:pt>
                <c:pt idx="746">
                  <c:v>44577</c:v>
                </c:pt>
                <c:pt idx="747">
                  <c:v>44578</c:v>
                </c:pt>
                <c:pt idx="748">
                  <c:v>44579</c:v>
                </c:pt>
                <c:pt idx="749">
                  <c:v>44580</c:v>
                </c:pt>
                <c:pt idx="750">
                  <c:v>44581</c:v>
                </c:pt>
                <c:pt idx="751">
                  <c:v>44582</c:v>
                </c:pt>
                <c:pt idx="752">
                  <c:v>44583</c:v>
                </c:pt>
                <c:pt idx="753">
                  <c:v>44584</c:v>
                </c:pt>
                <c:pt idx="754">
                  <c:v>44585</c:v>
                </c:pt>
                <c:pt idx="755">
                  <c:v>44586</c:v>
                </c:pt>
                <c:pt idx="756">
                  <c:v>44587</c:v>
                </c:pt>
                <c:pt idx="757">
                  <c:v>44588</c:v>
                </c:pt>
                <c:pt idx="758">
                  <c:v>44589</c:v>
                </c:pt>
                <c:pt idx="759">
                  <c:v>44590</c:v>
                </c:pt>
                <c:pt idx="760">
                  <c:v>44591</c:v>
                </c:pt>
                <c:pt idx="761">
                  <c:v>44592</c:v>
                </c:pt>
                <c:pt idx="762">
                  <c:v>44593</c:v>
                </c:pt>
                <c:pt idx="763">
                  <c:v>44594</c:v>
                </c:pt>
                <c:pt idx="764">
                  <c:v>44595</c:v>
                </c:pt>
                <c:pt idx="765">
                  <c:v>44596</c:v>
                </c:pt>
                <c:pt idx="766">
                  <c:v>44597</c:v>
                </c:pt>
                <c:pt idx="767">
                  <c:v>44598</c:v>
                </c:pt>
                <c:pt idx="768">
                  <c:v>44599</c:v>
                </c:pt>
                <c:pt idx="769">
                  <c:v>44600</c:v>
                </c:pt>
                <c:pt idx="770">
                  <c:v>44601</c:v>
                </c:pt>
                <c:pt idx="771">
                  <c:v>44602</c:v>
                </c:pt>
                <c:pt idx="772">
                  <c:v>44603</c:v>
                </c:pt>
                <c:pt idx="773">
                  <c:v>44604</c:v>
                </c:pt>
                <c:pt idx="774">
                  <c:v>44605</c:v>
                </c:pt>
                <c:pt idx="775">
                  <c:v>44606</c:v>
                </c:pt>
                <c:pt idx="776">
                  <c:v>44607</c:v>
                </c:pt>
                <c:pt idx="777">
                  <c:v>44608</c:v>
                </c:pt>
                <c:pt idx="778">
                  <c:v>44609</c:v>
                </c:pt>
                <c:pt idx="779">
                  <c:v>44610</c:v>
                </c:pt>
                <c:pt idx="780">
                  <c:v>44611</c:v>
                </c:pt>
                <c:pt idx="781">
                  <c:v>44612</c:v>
                </c:pt>
                <c:pt idx="782">
                  <c:v>44613</c:v>
                </c:pt>
                <c:pt idx="783">
                  <c:v>44614</c:v>
                </c:pt>
                <c:pt idx="784">
                  <c:v>44615</c:v>
                </c:pt>
                <c:pt idx="785">
                  <c:v>44616</c:v>
                </c:pt>
                <c:pt idx="786">
                  <c:v>44617</c:v>
                </c:pt>
                <c:pt idx="787">
                  <c:v>44618</c:v>
                </c:pt>
                <c:pt idx="788">
                  <c:v>44619</c:v>
                </c:pt>
                <c:pt idx="789">
                  <c:v>44620</c:v>
                </c:pt>
                <c:pt idx="790">
                  <c:v>44621</c:v>
                </c:pt>
                <c:pt idx="791">
                  <c:v>44622</c:v>
                </c:pt>
                <c:pt idx="792">
                  <c:v>44623</c:v>
                </c:pt>
                <c:pt idx="793">
                  <c:v>44624</c:v>
                </c:pt>
                <c:pt idx="794">
                  <c:v>44625</c:v>
                </c:pt>
                <c:pt idx="795">
                  <c:v>44626</c:v>
                </c:pt>
                <c:pt idx="796">
                  <c:v>44627</c:v>
                </c:pt>
                <c:pt idx="797">
                  <c:v>44628</c:v>
                </c:pt>
                <c:pt idx="798">
                  <c:v>44629</c:v>
                </c:pt>
                <c:pt idx="799">
                  <c:v>44630</c:v>
                </c:pt>
                <c:pt idx="800">
                  <c:v>44631</c:v>
                </c:pt>
                <c:pt idx="801">
                  <c:v>44632</c:v>
                </c:pt>
                <c:pt idx="802">
                  <c:v>44633</c:v>
                </c:pt>
                <c:pt idx="803">
                  <c:v>44634</c:v>
                </c:pt>
                <c:pt idx="804">
                  <c:v>44635</c:v>
                </c:pt>
                <c:pt idx="805">
                  <c:v>44636</c:v>
                </c:pt>
                <c:pt idx="806">
                  <c:v>44637</c:v>
                </c:pt>
                <c:pt idx="807">
                  <c:v>44638</c:v>
                </c:pt>
                <c:pt idx="808">
                  <c:v>44639</c:v>
                </c:pt>
                <c:pt idx="809">
                  <c:v>44640</c:v>
                </c:pt>
                <c:pt idx="810">
                  <c:v>44641</c:v>
                </c:pt>
                <c:pt idx="811">
                  <c:v>44642</c:v>
                </c:pt>
                <c:pt idx="812">
                  <c:v>44643</c:v>
                </c:pt>
                <c:pt idx="813">
                  <c:v>44644</c:v>
                </c:pt>
                <c:pt idx="814">
                  <c:v>44645</c:v>
                </c:pt>
                <c:pt idx="815">
                  <c:v>44646</c:v>
                </c:pt>
                <c:pt idx="816">
                  <c:v>44647</c:v>
                </c:pt>
                <c:pt idx="817">
                  <c:v>44648</c:v>
                </c:pt>
                <c:pt idx="818">
                  <c:v>44649</c:v>
                </c:pt>
                <c:pt idx="819">
                  <c:v>44650</c:v>
                </c:pt>
                <c:pt idx="820">
                  <c:v>44651</c:v>
                </c:pt>
                <c:pt idx="821">
                  <c:v>44652</c:v>
                </c:pt>
                <c:pt idx="822">
                  <c:v>44653</c:v>
                </c:pt>
                <c:pt idx="823">
                  <c:v>44654</c:v>
                </c:pt>
                <c:pt idx="824">
                  <c:v>44655</c:v>
                </c:pt>
                <c:pt idx="825">
                  <c:v>44656</c:v>
                </c:pt>
                <c:pt idx="826">
                  <c:v>44657</c:v>
                </c:pt>
                <c:pt idx="827">
                  <c:v>44658</c:v>
                </c:pt>
                <c:pt idx="828">
                  <c:v>44659</c:v>
                </c:pt>
                <c:pt idx="829">
                  <c:v>44660</c:v>
                </c:pt>
                <c:pt idx="830">
                  <c:v>44661</c:v>
                </c:pt>
                <c:pt idx="831">
                  <c:v>44662</c:v>
                </c:pt>
                <c:pt idx="832">
                  <c:v>44663</c:v>
                </c:pt>
                <c:pt idx="833">
                  <c:v>44664</c:v>
                </c:pt>
                <c:pt idx="834">
                  <c:v>44665</c:v>
                </c:pt>
                <c:pt idx="835">
                  <c:v>44666</c:v>
                </c:pt>
                <c:pt idx="836">
                  <c:v>44667</c:v>
                </c:pt>
                <c:pt idx="837">
                  <c:v>44668</c:v>
                </c:pt>
                <c:pt idx="838">
                  <c:v>44669</c:v>
                </c:pt>
                <c:pt idx="839">
                  <c:v>44670</c:v>
                </c:pt>
                <c:pt idx="840">
                  <c:v>44671</c:v>
                </c:pt>
                <c:pt idx="841">
                  <c:v>44672</c:v>
                </c:pt>
                <c:pt idx="842">
                  <c:v>44673</c:v>
                </c:pt>
                <c:pt idx="843">
                  <c:v>44674</c:v>
                </c:pt>
                <c:pt idx="844">
                  <c:v>44675</c:v>
                </c:pt>
                <c:pt idx="845">
                  <c:v>44676</c:v>
                </c:pt>
                <c:pt idx="846">
                  <c:v>44677</c:v>
                </c:pt>
                <c:pt idx="847">
                  <c:v>44678</c:v>
                </c:pt>
                <c:pt idx="848">
                  <c:v>44679</c:v>
                </c:pt>
                <c:pt idx="849">
                  <c:v>44680</c:v>
                </c:pt>
                <c:pt idx="850">
                  <c:v>44681</c:v>
                </c:pt>
                <c:pt idx="851">
                  <c:v>44682</c:v>
                </c:pt>
                <c:pt idx="852">
                  <c:v>44683</c:v>
                </c:pt>
                <c:pt idx="853">
                  <c:v>44684</c:v>
                </c:pt>
                <c:pt idx="854">
                  <c:v>44685</c:v>
                </c:pt>
                <c:pt idx="855">
                  <c:v>44686</c:v>
                </c:pt>
                <c:pt idx="856">
                  <c:v>44687</c:v>
                </c:pt>
                <c:pt idx="857">
                  <c:v>44688</c:v>
                </c:pt>
                <c:pt idx="858">
                  <c:v>44689</c:v>
                </c:pt>
                <c:pt idx="859">
                  <c:v>44690</c:v>
                </c:pt>
                <c:pt idx="860">
                  <c:v>44691</c:v>
                </c:pt>
                <c:pt idx="861">
                  <c:v>44692</c:v>
                </c:pt>
                <c:pt idx="862">
                  <c:v>44693</c:v>
                </c:pt>
                <c:pt idx="863">
                  <c:v>44694</c:v>
                </c:pt>
                <c:pt idx="864">
                  <c:v>44695</c:v>
                </c:pt>
                <c:pt idx="865">
                  <c:v>44696</c:v>
                </c:pt>
                <c:pt idx="866">
                  <c:v>44697</c:v>
                </c:pt>
                <c:pt idx="867">
                  <c:v>44698</c:v>
                </c:pt>
                <c:pt idx="868">
                  <c:v>44699</c:v>
                </c:pt>
                <c:pt idx="869">
                  <c:v>44700</c:v>
                </c:pt>
                <c:pt idx="870">
                  <c:v>44701</c:v>
                </c:pt>
                <c:pt idx="871">
                  <c:v>44702</c:v>
                </c:pt>
                <c:pt idx="872">
                  <c:v>44703</c:v>
                </c:pt>
                <c:pt idx="873">
                  <c:v>44704</c:v>
                </c:pt>
                <c:pt idx="874">
                  <c:v>44705</c:v>
                </c:pt>
                <c:pt idx="875">
                  <c:v>44706</c:v>
                </c:pt>
                <c:pt idx="876">
                  <c:v>44707</c:v>
                </c:pt>
                <c:pt idx="877">
                  <c:v>44708</c:v>
                </c:pt>
                <c:pt idx="878">
                  <c:v>44709</c:v>
                </c:pt>
                <c:pt idx="879">
                  <c:v>44710</c:v>
                </c:pt>
                <c:pt idx="880">
                  <c:v>44711</c:v>
                </c:pt>
                <c:pt idx="881">
                  <c:v>44712</c:v>
                </c:pt>
                <c:pt idx="882">
                  <c:v>44713</c:v>
                </c:pt>
                <c:pt idx="883">
                  <c:v>44714</c:v>
                </c:pt>
                <c:pt idx="884">
                  <c:v>44715</c:v>
                </c:pt>
                <c:pt idx="885">
                  <c:v>44716</c:v>
                </c:pt>
                <c:pt idx="886">
                  <c:v>44717</c:v>
                </c:pt>
                <c:pt idx="887">
                  <c:v>44718</c:v>
                </c:pt>
                <c:pt idx="888">
                  <c:v>44719</c:v>
                </c:pt>
                <c:pt idx="889">
                  <c:v>44720</c:v>
                </c:pt>
                <c:pt idx="890">
                  <c:v>44721</c:v>
                </c:pt>
                <c:pt idx="891">
                  <c:v>44722</c:v>
                </c:pt>
                <c:pt idx="892">
                  <c:v>44723</c:v>
                </c:pt>
                <c:pt idx="893">
                  <c:v>44724</c:v>
                </c:pt>
                <c:pt idx="894">
                  <c:v>44725</c:v>
                </c:pt>
                <c:pt idx="895">
                  <c:v>44726</c:v>
                </c:pt>
                <c:pt idx="896">
                  <c:v>44727</c:v>
                </c:pt>
                <c:pt idx="897">
                  <c:v>44728</c:v>
                </c:pt>
                <c:pt idx="898">
                  <c:v>44729</c:v>
                </c:pt>
                <c:pt idx="899">
                  <c:v>44730</c:v>
                </c:pt>
                <c:pt idx="900">
                  <c:v>44731</c:v>
                </c:pt>
                <c:pt idx="901">
                  <c:v>44732</c:v>
                </c:pt>
                <c:pt idx="902">
                  <c:v>44733</c:v>
                </c:pt>
                <c:pt idx="903">
                  <c:v>44734</c:v>
                </c:pt>
                <c:pt idx="904">
                  <c:v>44735</c:v>
                </c:pt>
                <c:pt idx="905">
                  <c:v>44736</c:v>
                </c:pt>
                <c:pt idx="906">
                  <c:v>44737</c:v>
                </c:pt>
                <c:pt idx="907">
                  <c:v>44738</c:v>
                </c:pt>
                <c:pt idx="908">
                  <c:v>44739</c:v>
                </c:pt>
                <c:pt idx="909">
                  <c:v>44740</c:v>
                </c:pt>
                <c:pt idx="910">
                  <c:v>44741</c:v>
                </c:pt>
                <c:pt idx="911">
                  <c:v>44742</c:v>
                </c:pt>
                <c:pt idx="912">
                  <c:v>44743</c:v>
                </c:pt>
                <c:pt idx="913">
                  <c:v>44744</c:v>
                </c:pt>
                <c:pt idx="914">
                  <c:v>44745</c:v>
                </c:pt>
                <c:pt idx="915">
                  <c:v>44746</c:v>
                </c:pt>
                <c:pt idx="916">
                  <c:v>44747</c:v>
                </c:pt>
                <c:pt idx="917">
                  <c:v>44748</c:v>
                </c:pt>
                <c:pt idx="918">
                  <c:v>44749</c:v>
                </c:pt>
                <c:pt idx="919">
                  <c:v>44750</c:v>
                </c:pt>
                <c:pt idx="920">
                  <c:v>44751</c:v>
                </c:pt>
                <c:pt idx="921">
                  <c:v>44752</c:v>
                </c:pt>
                <c:pt idx="922">
                  <c:v>44753</c:v>
                </c:pt>
                <c:pt idx="923">
                  <c:v>44754</c:v>
                </c:pt>
                <c:pt idx="924">
                  <c:v>44755</c:v>
                </c:pt>
                <c:pt idx="925">
                  <c:v>44756</c:v>
                </c:pt>
                <c:pt idx="926">
                  <c:v>44757</c:v>
                </c:pt>
                <c:pt idx="927">
                  <c:v>44758</c:v>
                </c:pt>
                <c:pt idx="928">
                  <c:v>44759</c:v>
                </c:pt>
                <c:pt idx="929">
                  <c:v>44760</c:v>
                </c:pt>
                <c:pt idx="930">
                  <c:v>44761</c:v>
                </c:pt>
                <c:pt idx="931">
                  <c:v>44762</c:v>
                </c:pt>
                <c:pt idx="932">
                  <c:v>44763</c:v>
                </c:pt>
                <c:pt idx="933">
                  <c:v>44764</c:v>
                </c:pt>
                <c:pt idx="934">
                  <c:v>44765</c:v>
                </c:pt>
                <c:pt idx="935">
                  <c:v>44766</c:v>
                </c:pt>
                <c:pt idx="936">
                  <c:v>44767</c:v>
                </c:pt>
                <c:pt idx="937">
                  <c:v>44768</c:v>
                </c:pt>
                <c:pt idx="938">
                  <c:v>44769</c:v>
                </c:pt>
                <c:pt idx="939">
                  <c:v>44770</c:v>
                </c:pt>
                <c:pt idx="940">
                  <c:v>44771</c:v>
                </c:pt>
                <c:pt idx="941">
                  <c:v>44772</c:v>
                </c:pt>
                <c:pt idx="942">
                  <c:v>44773</c:v>
                </c:pt>
              </c:numCache>
            </c:numRef>
          </c:cat>
          <c:val>
            <c:numRef>
              <c:f>GTM!$C$2:$C$944</c:f>
              <c:numCache>
                <c:formatCode>General</c:formatCode>
                <c:ptCount val="943"/>
                <c:pt idx="60" formatCode="_-* #,##0.0_-;\-* #,##0.0_-;_-* &quot;-&quot;??_-;_-@_-">
                  <c:v>78.002989690722018</c:v>
                </c:pt>
                <c:pt idx="61" formatCode="_-* #,##0.0_-;\-* #,##0.0_-;_-* &quot;-&quot;??_-;_-@_-">
                  <c:v>78.002989690722018</c:v>
                </c:pt>
                <c:pt idx="62" formatCode="_-* #,##0.0_-;\-* #,##0.0_-;_-* &quot;-&quot;??_-;_-@_-">
                  <c:v>78.002989690722018</c:v>
                </c:pt>
                <c:pt idx="63" formatCode="_-* #,##0.0_-;\-* #,##0.0_-;_-* &quot;-&quot;??_-;_-@_-">
                  <c:v>78.002989690722018</c:v>
                </c:pt>
                <c:pt idx="64" formatCode="_-* #,##0.0_-;\-* #,##0.0_-;_-* &quot;-&quot;??_-;_-@_-">
                  <c:v>78.002989690722018</c:v>
                </c:pt>
                <c:pt idx="65" formatCode="_-* #,##0.0_-;\-* #,##0.0_-;_-* &quot;-&quot;??_-;_-@_-">
                  <c:v>78.002989690722018</c:v>
                </c:pt>
                <c:pt idx="66" formatCode="_-* #,##0.0_-;\-* #,##0.0_-;_-* &quot;-&quot;??_-;_-@_-">
                  <c:v>78.002989690722018</c:v>
                </c:pt>
                <c:pt idx="67" formatCode="_-* #,##0.0_-;\-* #,##0.0_-;_-* &quot;-&quot;??_-;_-@_-">
                  <c:v>78.002989690722018</c:v>
                </c:pt>
                <c:pt idx="68" formatCode="_-* #,##0.0_-;\-* #,##0.0_-;_-* &quot;-&quot;??_-;_-@_-">
                  <c:v>78.002989690722018</c:v>
                </c:pt>
                <c:pt idx="69" formatCode="_-* #,##0.0_-;\-* #,##0.0_-;_-* &quot;-&quot;??_-;_-@_-">
                  <c:v>78.002989690722018</c:v>
                </c:pt>
                <c:pt idx="70" formatCode="_-* #,##0.0_-;\-* #,##0.0_-;_-* &quot;-&quot;??_-;_-@_-">
                  <c:v>78.002989690722018</c:v>
                </c:pt>
                <c:pt idx="71" formatCode="_-* #,##0.0_-;\-* #,##0.0_-;_-* &quot;-&quot;??_-;_-@_-">
                  <c:v>78.002989690722018</c:v>
                </c:pt>
                <c:pt idx="72" formatCode="_-* #,##0.0_-;\-* #,##0.0_-;_-* &quot;-&quot;??_-;_-@_-">
                  <c:v>78.002989690722018</c:v>
                </c:pt>
                <c:pt idx="73" formatCode="_-* #,##0.0_-;\-* #,##0.0_-;_-* &quot;-&quot;??_-;_-@_-">
                  <c:v>78.002989690722018</c:v>
                </c:pt>
                <c:pt idx="74" formatCode="_-* #,##0.0_-;\-* #,##0.0_-;_-* &quot;-&quot;??_-;_-@_-">
                  <c:v>78.002989690722018</c:v>
                </c:pt>
                <c:pt idx="75" formatCode="_-* #,##0.0_-;\-* #,##0.0_-;_-* &quot;-&quot;??_-;_-@_-">
                  <c:v>78.002989690722018</c:v>
                </c:pt>
                <c:pt idx="76" formatCode="_-* #,##0.0_-;\-* #,##0.0_-;_-* &quot;-&quot;??_-;_-@_-">
                  <c:v>78.002989690722018</c:v>
                </c:pt>
                <c:pt idx="77" formatCode="_-* #,##0.0_-;\-* #,##0.0_-;_-* &quot;-&quot;??_-;_-@_-">
                  <c:v>78.002989690722018</c:v>
                </c:pt>
                <c:pt idx="78" formatCode="_-* #,##0.0_-;\-* #,##0.0_-;_-* &quot;-&quot;??_-;_-@_-">
                  <c:v>78.002989690722018</c:v>
                </c:pt>
                <c:pt idx="79" formatCode="_-* #,##0.0_-;\-* #,##0.0_-;_-* &quot;-&quot;??_-;_-@_-">
                  <c:v>78.002989690722018</c:v>
                </c:pt>
                <c:pt idx="80" formatCode="_-* #,##0.0_-;\-* #,##0.0_-;_-* &quot;-&quot;??_-;_-@_-">
                  <c:v>78.002989690722018</c:v>
                </c:pt>
                <c:pt idx="81" formatCode="_-* #,##0.0_-;\-* #,##0.0_-;_-* &quot;-&quot;??_-;_-@_-">
                  <c:v>78.002989690722018</c:v>
                </c:pt>
                <c:pt idx="82" formatCode="_-* #,##0.0_-;\-* #,##0.0_-;_-* &quot;-&quot;??_-;_-@_-">
                  <c:v>78.002989690722018</c:v>
                </c:pt>
                <c:pt idx="83" formatCode="_-* #,##0.0_-;\-* #,##0.0_-;_-* &quot;-&quot;??_-;_-@_-">
                  <c:v>78.002989690722018</c:v>
                </c:pt>
                <c:pt idx="84" formatCode="_-* #,##0.0_-;\-* #,##0.0_-;_-* &quot;-&quot;??_-;_-@_-">
                  <c:v>78.002989690722018</c:v>
                </c:pt>
                <c:pt idx="85" formatCode="_-* #,##0.0_-;\-* #,##0.0_-;_-* &quot;-&quot;??_-;_-@_-">
                  <c:v>78.002989690722018</c:v>
                </c:pt>
                <c:pt idx="86" formatCode="_-* #,##0.0_-;\-* #,##0.0_-;_-* &quot;-&quot;??_-;_-@_-">
                  <c:v>78.002989690722018</c:v>
                </c:pt>
                <c:pt idx="87" formatCode="_-* #,##0.0_-;\-* #,##0.0_-;_-* &quot;-&quot;??_-;_-@_-">
                  <c:v>78.002989690722018</c:v>
                </c:pt>
                <c:pt idx="88" formatCode="_-* #,##0.0_-;\-* #,##0.0_-;_-* &quot;-&quot;??_-;_-@_-">
                  <c:v>78.002989690722018</c:v>
                </c:pt>
                <c:pt idx="89" formatCode="_-* #,##0.0_-;\-* #,##0.0_-;_-* &quot;-&quot;??_-;_-@_-">
                  <c:v>78.002989690722018</c:v>
                </c:pt>
                <c:pt idx="90" formatCode="_-* #,##0.0_-;\-* #,##0.0_-;_-* &quot;-&quot;??_-;_-@_-">
                  <c:v>78.002989690722018</c:v>
                </c:pt>
                <c:pt idx="91" formatCode="_-* #,##0.0_-;\-* #,##0.0_-;_-* &quot;-&quot;??_-;_-@_-">
                  <c:v>78.002989690722018</c:v>
                </c:pt>
                <c:pt idx="92" formatCode="_-* #,##0.0_-;\-* #,##0.0_-;_-* &quot;-&quot;??_-;_-@_-">
                  <c:v>78.002989690722018</c:v>
                </c:pt>
                <c:pt idx="93" formatCode="_-* #,##0.0_-;\-* #,##0.0_-;_-* &quot;-&quot;??_-;_-@_-">
                  <c:v>78.002989690722018</c:v>
                </c:pt>
                <c:pt idx="94" formatCode="_-* #,##0.0_-;\-* #,##0.0_-;_-* &quot;-&quot;??_-;_-@_-">
                  <c:v>78.002989690722018</c:v>
                </c:pt>
                <c:pt idx="95" formatCode="_-* #,##0.0_-;\-* #,##0.0_-;_-* &quot;-&quot;??_-;_-@_-">
                  <c:v>78.002989690722018</c:v>
                </c:pt>
                <c:pt idx="96" formatCode="_-* #,##0.0_-;\-* #,##0.0_-;_-* &quot;-&quot;??_-;_-@_-">
                  <c:v>78.002989690722018</c:v>
                </c:pt>
                <c:pt idx="97" formatCode="_-* #,##0.0_-;\-* #,##0.0_-;_-* &quot;-&quot;??_-;_-@_-">
                  <c:v>78.002989690722018</c:v>
                </c:pt>
                <c:pt idx="98" formatCode="_-* #,##0.0_-;\-* #,##0.0_-;_-* &quot;-&quot;??_-;_-@_-">
                  <c:v>78.002989690722018</c:v>
                </c:pt>
                <c:pt idx="99" formatCode="_-* #,##0.0_-;\-* #,##0.0_-;_-* &quot;-&quot;??_-;_-@_-">
                  <c:v>78.002989690722018</c:v>
                </c:pt>
                <c:pt idx="100" formatCode="_-* #,##0.0_-;\-* #,##0.0_-;_-* &quot;-&quot;??_-;_-@_-">
                  <c:v>78.002989690722018</c:v>
                </c:pt>
                <c:pt idx="101" formatCode="_-* #,##0.0_-;\-* #,##0.0_-;_-* &quot;-&quot;??_-;_-@_-">
                  <c:v>78.002989690722018</c:v>
                </c:pt>
                <c:pt idx="102" formatCode="_-* #,##0.0_-;\-* #,##0.0_-;_-* &quot;-&quot;??_-;_-@_-">
                  <c:v>78.002989690722018</c:v>
                </c:pt>
                <c:pt idx="103" formatCode="_-* #,##0.0_-;\-* #,##0.0_-;_-* &quot;-&quot;??_-;_-@_-">
                  <c:v>78.002989690722018</c:v>
                </c:pt>
                <c:pt idx="104" formatCode="_-* #,##0.0_-;\-* #,##0.0_-;_-* &quot;-&quot;??_-;_-@_-">
                  <c:v>78.002989690722018</c:v>
                </c:pt>
                <c:pt idx="105" formatCode="_-* #,##0.0_-;\-* #,##0.0_-;_-* &quot;-&quot;??_-;_-@_-">
                  <c:v>78.002989690722018</c:v>
                </c:pt>
                <c:pt idx="106" formatCode="_-* #,##0.0_-;\-* #,##0.0_-;_-* &quot;-&quot;??_-;_-@_-">
                  <c:v>78.002989690722018</c:v>
                </c:pt>
                <c:pt idx="107" formatCode="_-* #,##0.0_-;\-* #,##0.0_-;_-* &quot;-&quot;??_-;_-@_-">
                  <c:v>78.002989690722018</c:v>
                </c:pt>
                <c:pt idx="108" formatCode="_-* #,##0.0_-;\-* #,##0.0_-;_-* &quot;-&quot;??_-;_-@_-">
                  <c:v>78.002989690722018</c:v>
                </c:pt>
                <c:pt idx="109" formatCode="_-* #,##0.0_-;\-* #,##0.0_-;_-* &quot;-&quot;??_-;_-@_-">
                  <c:v>78.002989690722018</c:v>
                </c:pt>
                <c:pt idx="110" formatCode="_-* #,##0.0_-;\-* #,##0.0_-;_-* &quot;-&quot;??_-;_-@_-">
                  <c:v>78.002989690722018</c:v>
                </c:pt>
                <c:pt idx="111" formatCode="_-* #,##0.0_-;\-* #,##0.0_-;_-* &quot;-&quot;??_-;_-@_-">
                  <c:v>78.002989690722018</c:v>
                </c:pt>
                <c:pt idx="112" formatCode="_-* #,##0.0_-;\-* #,##0.0_-;_-* &quot;-&quot;??_-;_-@_-">
                  <c:v>78.002989690722018</c:v>
                </c:pt>
                <c:pt idx="113" formatCode="_-* #,##0.0_-;\-* #,##0.0_-;_-* &quot;-&quot;??_-;_-@_-">
                  <c:v>78.002989690722018</c:v>
                </c:pt>
                <c:pt idx="114" formatCode="_-* #,##0.0_-;\-* #,##0.0_-;_-* &quot;-&quot;??_-;_-@_-">
                  <c:v>78.002989690722018</c:v>
                </c:pt>
                <c:pt idx="115" formatCode="_-* #,##0.0_-;\-* #,##0.0_-;_-* &quot;-&quot;??_-;_-@_-">
                  <c:v>78.002989690722018</c:v>
                </c:pt>
                <c:pt idx="116" formatCode="_-* #,##0.0_-;\-* #,##0.0_-;_-* &quot;-&quot;??_-;_-@_-">
                  <c:v>78.002989690722018</c:v>
                </c:pt>
                <c:pt idx="117" formatCode="_-* #,##0.0_-;\-* #,##0.0_-;_-* &quot;-&quot;??_-;_-@_-">
                  <c:v>78.002989690722018</c:v>
                </c:pt>
                <c:pt idx="118" formatCode="_-* #,##0.0_-;\-* #,##0.0_-;_-* &quot;-&quot;??_-;_-@_-">
                  <c:v>78.002989690722018</c:v>
                </c:pt>
                <c:pt idx="119" formatCode="_-* #,##0.0_-;\-* #,##0.0_-;_-* &quot;-&quot;??_-;_-@_-">
                  <c:v>78.002989690722018</c:v>
                </c:pt>
                <c:pt idx="120" formatCode="_-* #,##0.0_-;\-* #,##0.0_-;_-* &quot;-&quot;??_-;_-@_-">
                  <c:v>78.002989690722018</c:v>
                </c:pt>
                <c:pt idx="121" formatCode="_-* #,##0.0_-;\-* #,##0.0_-;_-* &quot;-&quot;??_-;_-@_-">
                  <c:v>78.002989690722018</c:v>
                </c:pt>
                <c:pt idx="122" formatCode="_-* #,##0.0_-;\-* #,##0.0_-;_-* &quot;-&quot;??_-;_-@_-">
                  <c:v>78.002989690722018</c:v>
                </c:pt>
                <c:pt idx="123" formatCode="_-* #,##0.0_-;\-* #,##0.0_-;_-* &quot;-&quot;??_-;_-@_-">
                  <c:v>78.002989690722018</c:v>
                </c:pt>
                <c:pt idx="124" formatCode="_-* #,##0.0_-;\-* #,##0.0_-;_-* &quot;-&quot;??_-;_-@_-">
                  <c:v>78.002989690722018</c:v>
                </c:pt>
                <c:pt idx="125" formatCode="_-* #,##0.0_-;\-* #,##0.0_-;_-* &quot;-&quot;??_-;_-@_-">
                  <c:v>78.002989690722018</c:v>
                </c:pt>
                <c:pt idx="126" formatCode="_-* #,##0.0_-;\-* #,##0.0_-;_-* &quot;-&quot;??_-;_-@_-">
                  <c:v>78.002989690722018</c:v>
                </c:pt>
                <c:pt idx="127" formatCode="_-* #,##0.0_-;\-* #,##0.0_-;_-* &quot;-&quot;??_-;_-@_-">
                  <c:v>78.002989690722018</c:v>
                </c:pt>
                <c:pt idx="128" formatCode="_-* #,##0.0_-;\-* #,##0.0_-;_-* &quot;-&quot;??_-;_-@_-">
                  <c:v>78.002989690722018</c:v>
                </c:pt>
                <c:pt idx="129" formatCode="_-* #,##0.0_-;\-* #,##0.0_-;_-* &quot;-&quot;??_-;_-@_-">
                  <c:v>78.002989690722018</c:v>
                </c:pt>
                <c:pt idx="130" formatCode="_-* #,##0.0_-;\-* #,##0.0_-;_-* &quot;-&quot;??_-;_-@_-">
                  <c:v>78.002989690722018</c:v>
                </c:pt>
                <c:pt idx="131" formatCode="_-* #,##0.0_-;\-* #,##0.0_-;_-* &quot;-&quot;??_-;_-@_-">
                  <c:v>78.002989690722018</c:v>
                </c:pt>
                <c:pt idx="132" formatCode="_-* #,##0.0_-;\-* #,##0.0_-;_-* &quot;-&quot;??_-;_-@_-">
                  <c:v>78.002989690722018</c:v>
                </c:pt>
                <c:pt idx="133" formatCode="_-* #,##0.0_-;\-* #,##0.0_-;_-* &quot;-&quot;??_-;_-@_-">
                  <c:v>78.002989690722018</c:v>
                </c:pt>
                <c:pt idx="134" formatCode="_-* #,##0.0_-;\-* #,##0.0_-;_-* &quot;-&quot;??_-;_-@_-">
                  <c:v>78.002989690722018</c:v>
                </c:pt>
                <c:pt idx="135" formatCode="_-* #,##0.0_-;\-* #,##0.0_-;_-* &quot;-&quot;??_-;_-@_-">
                  <c:v>78.002989690722018</c:v>
                </c:pt>
                <c:pt idx="136" formatCode="_-* #,##0.0_-;\-* #,##0.0_-;_-* &quot;-&quot;??_-;_-@_-">
                  <c:v>78.002989690722018</c:v>
                </c:pt>
                <c:pt idx="137" formatCode="_-* #,##0.0_-;\-* #,##0.0_-;_-* &quot;-&quot;??_-;_-@_-">
                  <c:v>78.002989690722018</c:v>
                </c:pt>
                <c:pt idx="138" formatCode="_-* #,##0.0_-;\-* #,##0.0_-;_-* &quot;-&quot;??_-;_-@_-">
                  <c:v>78.002989690722018</c:v>
                </c:pt>
                <c:pt idx="139" formatCode="_-* #,##0.0_-;\-* #,##0.0_-;_-* &quot;-&quot;??_-;_-@_-">
                  <c:v>78.002989690722018</c:v>
                </c:pt>
                <c:pt idx="140" formatCode="_-* #,##0.0_-;\-* #,##0.0_-;_-* &quot;-&quot;??_-;_-@_-">
                  <c:v>78.002989690722018</c:v>
                </c:pt>
                <c:pt idx="141" formatCode="_-* #,##0.0_-;\-* #,##0.0_-;_-* &quot;-&quot;??_-;_-@_-">
                  <c:v>78.002989690722018</c:v>
                </c:pt>
                <c:pt idx="142" formatCode="_-* #,##0.0_-;\-* #,##0.0_-;_-* &quot;-&quot;??_-;_-@_-">
                  <c:v>78.002989690722018</c:v>
                </c:pt>
                <c:pt idx="143" formatCode="_-* #,##0.0_-;\-* #,##0.0_-;_-* &quot;-&quot;??_-;_-@_-">
                  <c:v>78.002989690722018</c:v>
                </c:pt>
                <c:pt idx="144" formatCode="_-* #,##0.0_-;\-* #,##0.0_-;_-* &quot;-&quot;??_-;_-@_-">
                  <c:v>78.002989690722018</c:v>
                </c:pt>
                <c:pt idx="145" formatCode="_-* #,##0.0_-;\-* #,##0.0_-;_-* &quot;-&quot;??_-;_-@_-">
                  <c:v>78.002989690722018</c:v>
                </c:pt>
                <c:pt idx="146" formatCode="_-* #,##0.0_-;\-* #,##0.0_-;_-* &quot;-&quot;??_-;_-@_-">
                  <c:v>78.002989690722018</c:v>
                </c:pt>
                <c:pt idx="147" formatCode="_-* #,##0.0_-;\-* #,##0.0_-;_-* &quot;-&quot;??_-;_-@_-">
                  <c:v>78.002989690722018</c:v>
                </c:pt>
                <c:pt idx="148" formatCode="_-* #,##0.0_-;\-* #,##0.0_-;_-* &quot;-&quot;??_-;_-@_-">
                  <c:v>78.002989690722018</c:v>
                </c:pt>
                <c:pt idx="149" formatCode="_-* #,##0.0_-;\-* #,##0.0_-;_-* &quot;-&quot;??_-;_-@_-">
                  <c:v>78.002989690722018</c:v>
                </c:pt>
                <c:pt idx="150" formatCode="_-* #,##0.0_-;\-* #,##0.0_-;_-* &quot;-&quot;??_-;_-@_-">
                  <c:v>78.002989690722018</c:v>
                </c:pt>
                <c:pt idx="151" formatCode="_-* #,##0.0_-;\-* #,##0.0_-;_-* &quot;-&quot;??_-;_-@_-">
                  <c:v>78.002989690722018</c:v>
                </c:pt>
                <c:pt idx="152" formatCode="_-* #,##0.0_-;\-* #,##0.0_-;_-* &quot;-&quot;??_-;_-@_-">
                  <c:v>78.002989690722018</c:v>
                </c:pt>
                <c:pt idx="153" formatCode="_-* #,##0.0_-;\-* #,##0.0_-;_-* &quot;-&quot;??_-;_-@_-">
                  <c:v>78.002989690722018</c:v>
                </c:pt>
                <c:pt idx="154" formatCode="_-* #,##0.0_-;\-* #,##0.0_-;_-* &quot;-&quot;??_-;_-@_-">
                  <c:v>78.002989690722018</c:v>
                </c:pt>
                <c:pt idx="155" formatCode="_-* #,##0.0_-;\-* #,##0.0_-;_-* &quot;-&quot;??_-;_-@_-">
                  <c:v>78.002989690722018</c:v>
                </c:pt>
                <c:pt idx="156" formatCode="_-* #,##0.0_-;\-* #,##0.0_-;_-* &quot;-&quot;??_-;_-@_-">
                  <c:v>78.002989690722018</c:v>
                </c:pt>
                <c:pt idx="157" formatCode="_-* #,##0.0_-;\-* #,##0.0_-;_-* &quot;-&quot;??_-;_-@_-">
                  <c:v>78.002989690722018</c:v>
                </c:pt>
                <c:pt idx="158" formatCode="_-* #,##0.0_-;\-* #,##0.0_-;_-* &quot;-&quot;??_-;_-@_-">
                  <c:v>78.002989690722018</c:v>
                </c:pt>
                <c:pt idx="159" formatCode="_-* #,##0.0_-;\-* #,##0.0_-;_-* &quot;-&quot;??_-;_-@_-">
                  <c:v>78.002989690722018</c:v>
                </c:pt>
                <c:pt idx="160" formatCode="_-* #,##0.0_-;\-* #,##0.0_-;_-* &quot;-&quot;??_-;_-@_-">
                  <c:v>78.002989690722018</c:v>
                </c:pt>
                <c:pt idx="161" formatCode="_-* #,##0.0_-;\-* #,##0.0_-;_-* &quot;-&quot;??_-;_-@_-">
                  <c:v>78.002989690722018</c:v>
                </c:pt>
                <c:pt idx="162" formatCode="_-* #,##0.0_-;\-* #,##0.0_-;_-* &quot;-&quot;??_-;_-@_-">
                  <c:v>78.002989690722018</c:v>
                </c:pt>
                <c:pt idx="163" formatCode="_-* #,##0.0_-;\-* #,##0.0_-;_-* &quot;-&quot;??_-;_-@_-">
                  <c:v>78.002989690722018</c:v>
                </c:pt>
                <c:pt idx="164" formatCode="_-* #,##0.0_-;\-* #,##0.0_-;_-* &quot;-&quot;??_-;_-@_-">
                  <c:v>78.002989690722018</c:v>
                </c:pt>
                <c:pt idx="165" formatCode="_-* #,##0.0_-;\-* #,##0.0_-;_-* &quot;-&quot;??_-;_-@_-">
                  <c:v>78.002989690722018</c:v>
                </c:pt>
                <c:pt idx="166" formatCode="_-* #,##0.0_-;\-* #,##0.0_-;_-* &quot;-&quot;??_-;_-@_-">
                  <c:v>78.002989690722018</c:v>
                </c:pt>
                <c:pt idx="167" formatCode="_-* #,##0.0_-;\-* #,##0.0_-;_-* &quot;-&quot;??_-;_-@_-">
                  <c:v>78.002989690722018</c:v>
                </c:pt>
                <c:pt idx="168" formatCode="_-* #,##0.0_-;\-* #,##0.0_-;_-* &quot;-&quot;??_-;_-@_-">
                  <c:v>78.002989690722018</c:v>
                </c:pt>
                <c:pt idx="169" formatCode="_-* #,##0.0_-;\-* #,##0.0_-;_-* &quot;-&quot;??_-;_-@_-">
                  <c:v>78.002989690722018</c:v>
                </c:pt>
                <c:pt idx="170" formatCode="_-* #,##0.0_-;\-* #,##0.0_-;_-* &quot;-&quot;??_-;_-@_-">
                  <c:v>78.002989690722018</c:v>
                </c:pt>
                <c:pt idx="171" formatCode="_-* #,##0.0_-;\-* #,##0.0_-;_-* &quot;-&quot;??_-;_-@_-">
                  <c:v>78.002989690722018</c:v>
                </c:pt>
                <c:pt idx="172" formatCode="_-* #,##0.0_-;\-* #,##0.0_-;_-* &quot;-&quot;??_-;_-@_-">
                  <c:v>78.002989690722018</c:v>
                </c:pt>
                <c:pt idx="173" formatCode="_-* #,##0.0_-;\-* #,##0.0_-;_-* &quot;-&quot;??_-;_-@_-">
                  <c:v>78.002989690722018</c:v>
                </c:pt>
                <c:pt idx="174" formatCode="_-* #,##0.0_-;\-* #,##0.0_-;_-* &quot;-&quot;??_-;_-@_-">
                  <c:v>78.002989690722018</c:v>
                </c:pt>
                <c:pt idx="175" formatCode="_-* #,##0.0_-;\-* #,##0.0_-;_-* &quot;-&quot;??_-;_-@_-">
                  <c:v>78.002989690722018</c:v>
                </c:pt>
                <c:pt idx="176" formatCode="_-* #,##0.0_-;\-* #,##0.0_-;_-* &quot;-&quot;??_-;_-@_-">
                  <c:v>78.002989690722018</c:v>
                </c:pt>
                <c:pt idx="177" formatCode="_-* #,##0.0_-;\-* #,##0.0_-;_-* &quot;-&quot;??_-;_-@_-">
                  <c:v>78.002989690722018</c:v>
                </c:pt>
                <c:pt idx="178" formatCode="_-* #,##0.0_-;\-* #,##0.0_-;_-* &quot;-&quot;??_-;_-@_-">
                  <c:v>78.002989690722018</c:v>
                </c:pt>
                <c:pt idx="179" formatCode="_-* #,##0.0_-;\-* #,##0.0_-;_-* &quot;-&quot;??_-;_-@_-">
                  <c:v>78.002989690722018</c:v>
                </c:pt>
                <c:pt idx="180" formatCode="_-* #,##0.0_-;\-* #,##0.0_-;_-* &quot;-&quot;??_-;_-@_-">
                  <c:v>78.002989690722018</c:v>
                </c:pt>
                <c:pt idx="181" formatCode="_-* #,##0.0_-;\-* #,##0.0_-;_-* &quot;-&quot;??_-;_-@_-">
                  <c:v>78.002989690722018</c:v>
                </c:pt>
                <c:pt idx="182" formatCode="_-* #,##0.0_-;\-* #,##0.0_-;_-* &quot;-&quot;??_-;_-@_-">
                  <c:v>78.002989690722018</c:v>
                </c:pt>
                <c:pt idx="183" formatCode="_-* #,##0.0_-;\-* #,##0.0_-;_-* &quot;-&quot;??_-;_-@_-">
                  <c:v>78.002989690722018</c:v>
                </c:pt>
                <c:pt idx="184" formatCode="_-* #,##0.0_-;\-* #,##0.0_-;_-* &quot;-&quot;??_-;_-@_-">
                  <c:v>78.002989690722018</c:v>
                </c:pt>
                <c:pt idx="185" formatCode="_-* #,##0.0_-;\-* #,##0.0_-;_-* &quot;-&quot;??_-;_-@_-">
                  <c:v>78.002989690722018</c:v>
                </c:pt>
                <c:pt idx="186" formatCode="_-* #,##0.0_-;\-* #,##0.0_-;_-* &quot;-&quot;??_-;_-@_-">
                  <c:v>78.002989690722018</c:v>
                </c:pt>
                <c:pt idx="187" formatCode="_-* #,##0.0_-;\-* #,##0.0_-;_-* &quot;-&quot;??_-;_-@_-">
                  <c:v>78.002989690722018</c:v>
                </c:pt>
                <c:pt idx="188" formatCode="_-* #,##0.0_-;\-* #,##0.0_-;_-* &quot;-&quot;??_-;_-@_-">
                  <c:v>78.002989690722018</c:v>
                </c:pt>
                <c:pt idx="189" formatCode="_-* #,##0.0_-;\-* #,##0.0_-;_-* &quot;-&quot;??_-;_-@_-">
                  <c:v>78.002989690722018</c:v>
                </c:pt>
                <c:pt idx="190" formatCode="_-* #,##0.0_-;\-* #,##0.0_-;_-* &quot;-&quot;??_-;_-@_-">
                  <c:v>78.002989690722018</c:v>
                </c:pt>
                <c:pt idx="191" formatCode="_-* #,##0.0_-;\-* #,##0.0_-;_-* &quot;-&quot;??_-;_-@_-">
                  <c:v>78.002989690722018</c:v>
                </c:pt>
                <c:pt idx="192" formatCode="_-* #,##0.0_-;\-* #,##0.0_-;_-* &quot;-&quot;??_-;_-@_-">
                  <c:v>78.002989690722018</c:v>
                </c:pt>
                <c:pt idx="193" formatCode="_-* #,##0.0_-;\-* #,##0.0_-;_-* &quot;-&quot;??_-;_-@_-">
                  <c:v>78.002989690722018</c:v>
                </c:pt>
                <c:pt idx="194" formatCode="_-* #,##0.0_-;\-* #,##0.0_-;_-* &quot;-&quot;??_-;_-@_-">
                  <c:v>78.002989690722018</c:v>
                </c:pt>
                <c:pt idx="195" formatCode="_-* #,##0.0_-;\-* #,##0.0_-;_-* &quot;-&quot;??_-;_-@_-">
                  <c:v>78.002989690722018</c:v>
                </c:pt>
                <c:pt idx="196" formatCode="_-* #,##0.0_-;\-* #,##0.0_-;_-* &quot;-&quot;??_-;_-@_-">
                  <c:v>78.002989690722018</c:v>
                </c:pt>
                <c:pt idx="197" formatCode="_-* #,##0.0_-;\-* #,##0.0_-;_-* &quot;-&quot;??_-;_-@_-">
                  <c:v>78.002989690722018</c:v>
                </c:pt>
                <c:pt idx="198" formatCode="_-* #,##0.0_-;\-* #,##0.0_-;_-* &quot;-&quot;??_-;_-@_-">
                  <c:v>78.002989690722018</c:v>
                </c:pt>
                <c:pt idx="199" formatCode="_-* #,##0.0_-;\-* #,##0.0_-;_-* &quot;-&quot;??_-;_-@_-">
                  <c:v>78.002989690722018</c:v>
                </c:pt>
                <c:pt idx="200" formatCode="_-* #,##0.0_-;\-* #,##0.0_-;_-* &quot;-&quot;??_-;_-@_-">
                  <c:v>78.002989690722018</c:v>
                </c:pt>
                <c:pt idx="201" formatCode="_-* #,##0.0_-;\-* #,##0.0_-;_-* &quot;-&quot;??_-;_-@_-">
                  <c:v>78.002989690722018</c:v>
                </c:pt>
                <c:pt idx="202" formatCode="_-* #,##0.0_-;\-* #,##0.0_-;_-* &quot;-&quot;??_-;_-@_-">
                  <c:v>78.002989690722018</c:v>
                </c:pt>
                <c:pt idx="203" formatCode="_-* #,##0.0_-;\-* #,##0.0_-;_-* &quot;-&quot;??_-;_-@_-">
                  <c:v>78.002989690722018</c:v>
                </c:pt>
                <c:pt idx="204" formatCode="_-* #,##0.0_-;\-* #,##0.0_-;_-* &quot;-&quot;??_-;_-@_-">
                  <c:v>78.002989690722018</c:v>
                </c:pt>
                <c:pt idx="205" formatCode="_-* #,##0.0_-;\-* #,##0.0_-;_-* &quot;-&quot;??_-;_-@_-">
                  <c:v>78.002989690722018</c:v>
                </c:pt>
                <c:pt idx="206" formatCode="_-* #,##0.0_-;\-* #,##0.0_-;_-* &quot;-&quot;??_-;_-@_-">
                  <c:v>78.002989690722018</c:v>
                </c:pt>
                <c:pt idx="207" formatCode="_-* #,##0.0_-;\-* #,##0.0_-;_-* &quot;-&quot;??_-;_-@_-">
                  <c:v>78.002989690722018</c:v>
                </c:pt>
                <c:pt idx="208" formatCode="_-* #,##0.0_-;\-* #,##0.0_-;_-* &quot;-&quot;??_-;_-@_-">
                  <c:v>78.002989690722018</c:v>
                </c:pt>
                <c:pt idx="209" formatCode="_-* #,##0.0_-;\-* #,##0.0_-;_-* &quot;-&quot;??_-;_-@_-">
                  <c:v>78.002989690722018</c:v>
                </c:pt>
                <c:pt idx="210" formatCode="_-* #,##0.0_-;\-* #,##0.0_-;_-* &quot;-&quot;??_-;_-@_-">
                  <c:v>78.002989690722018</c:v>
                </c:pt>
                <c:pt idx="211" formatCode="_-* #,##0.0_-;\-* #,##0.0_-;_-* &quot;-&quot;??_-;_-@_-">
                  <c:v>78.002989690722018</c:v>
                </c:pt>
                <c:pt idx="212" formatCode="_-* #,##0.0_-;\-* #,##0.0_-;_-* &quot;-&quot;??_-;_-@_-">
                  <c:v>78.002989690722018</c:v>
                </c:pt>
                <c:pt idx="213" formatCode="_-* #,##0.0_-;\-* #,##0.0_-;_-* &quot;-&quot;??_-;_-@_-">
                  <c:v>78.002989690722018</c:v>
                </c:pt>
                <c:pt idx="214" formatCode="_-* #,##0.0_-;\-* #,##0.0_-;_-* &quot;-&quot;??_-;_-@_-">
                  <c:v>78.002989690722018</c:v>
                </c:pt>
                <c:pt idx="215" formatCode="_-* #,##0.0_-;\-* #,##0.0_-;_-* &quot;-&quot;??_-;_-@_-">
                  <c:v>78.002989690722018</c:v>
                </c:pt>
                <c:pt idx="216" formatCode="_-* #,##0.0_-;\-* #,##0.0_-;_-* &quot;-&quot;??_-;_-@_-">
                  <c:v>78.002989690722018</c:v>
                </c:pt>
                <c:pt idx="217" formatCode="_-* #,##0.0_-;\-* #,##0.0_-;_-* &quot;-&quot;??_-;_-@_-">
                  <c:v>78.002989690722018</c:v>
                </c:pt>
                <c:pt idx="218" formatCode="_-* #,##0.0_-;\-* #,##0.0_-;_-* &quot;-&quot;??_-;_-@_-">
                  <c:v>78.002989690722018</c:v>
                </c:pt>
                <c:pt idx="219" formatCode="_-* #,##0.0_-;\-* #,##0.0_-;_-* &quot;-&quot;??_-;_-@_-">
                  <c:v>78.002989690722018</c:v>
                </c:pt>
                <c:pt idx="220" formatCode="_-* #,##0.0_-;\-* #,##0.0_-;_-* &quot;-&quot;??_-;_-@_-">
                  <c:v>78.002989690722018</c:v>
                </c:pt>
                <c:pt idx="221" formatCode="_-* #,##0.0_-;\-* #,##0.0_-;_-* &quot;-&quot;??_-;_-@_-">
                  <c:v>78.002989690722018</c:v>
                </c:pt>
                <c:pt idx="222" formatCode="_-* #,##0.0_-;\-* #,##0.0_-;_-* &quot;-&quot;??_-;_-@_-">
                  <c:v>78.002989690722018</c:v>
                </c:pt>
                <c:pt idx="223" formatCode="_-* #,##0.0_-;\-* #,##0.0_-;_-* &quot;-&quot;??_-;_-@_-">
                  <c:v>78.002989690722018</c:v>
                </c:pt>
                <c:pt idx="224" formatCode="_-* #,##0.0_-;\-* #,##0.0_-;_-* &quot;-&quot;??_-;_-@_-">
                  <c:v>78.002989690722018</c:v>
                </c:pt>
                <c:pt idx="225" formatCode="_-* #,##0.0_-;\-* #,##0.0_-;_-* &quot;-&quot;??_-;_-@_-">
                  <c:v>78.002989690722018</c:v>
                </c:pt>
                <c:pt idx="226" formatCode="_-* #,##0.0_-;\-* #,##0.0_-;_-* &quot;-&quot;??_-;_-@_-">
                  <c:v>78.002989690722018</c:v>
                </c:pt>
                <c:pt idx="227" formatCode="_-* #,##0.0_-;\-* #,##0.0_-;_-* &quot;-&quot;??_-;_-@_-">
                  <c:v>78.002989690722018</c:v>
                </c:pt>
                <c:pt idx="228" formatCode="_-* #,##0.0_-;\-* #,##0.0_-;_-* &quot;-&quot;??_-;_-@_-">
                  <c:v>78.002989690722018</c:v>
                </c:pt>
                <c:pt idx="229" formatCode="_-* #,##0.0_-;\-* #,##0.0_-;_-* &quot;-&quot;??_-;_-@_-">
                  <c:v>78.002989690722018</c:v>
                </c:pt>
                <c:pt idx="230" formatCode="_-* #,##0.0_-;\-* #,##0.0_-;_-* &quot;-&quot;??_-;_-@_-">
                  <c:v>78.002989690722018</c:v>
                </c:pt>
                <c:pt idx="231" formatCode="_-* #,##0.0_-;\-* #,##0.0_-;_-* &quot;-&quot;??_-;_-@_-">
                  <c:v>78.002989690722018</c:v>
                </c:pt>
                <c:pt idx="232" formatCode="_-* #,##0.0_-;\-* #,##0.0_-;_-* &quot;-&quot;??_-;_-@_-">
                  <c:v>78.002989690722018</c:v>
                </c:pt>
                <c:pt idx="233" formatCode="_-* #,##0.0_-;\-* #,##0.0_-;_-* &quot;-&quot;??_-;_-@_-">
                  <c:v>78.002989690722018</c:v>
                </c:pt>
                <c:pt idx="234" formatCode="_-* #,##0.0_-;\-* #,##0.0_-;_-* &quot;-&quot;??_-;_-@_-">
                  <c:v>78.002989690722018</c:v>
                </c:pt>
                <c:pt idx="235" formatCode="_-* #,##0.0_-;\-* #,##0.0_-;_-* &quot;-&quot;??_-;_-@_-">
                  <c:v>78.002989690722018</c:v>
                </c:pt>
                <c:pt idx="236" formatCode="_-* #,##0.0_-;\-* #,##0.0_-;_-* &quot;-&quot;??_-;_-@_-">
                  <c:v>78.002989690722018</c:v>
                </c:pt>
                <c:pt idx="237" formatCode="_-* #,##0.0_-;\-* #,##0.0_-;_-* &quot;-&quot;??_-;_-@_-">
                  <c:v>78.002989690722018</c:v>
                </c:pt>
                <c:pt idx="238" formatCode="_-* #,##0.0_-;\-* #,##0.0_-;_-* &quot;-&quot;??_-;_-@_-">
                  <c:v>78.002989690722018</c:v>
                </c:pt>
                <c:pt idx="239" formatCode="_-* #,##0.0_-;\-* #,##0.0_-;_-* &quot;-&quot;??_-;_-@_-">
                  <c:v>78.002989690722018</c:v>
                </c:pt>
                <c:pt idx="240" formatCode="_-* #,##0.0_-;\-* #,##0.0_-;_-* &quot;-&quot;??_-;_-@_-">
                  <c:v>78.002989690722018</c:v>
                </c:pt>
                <c:pt idx="241" formatCode="_-* #,##0.0_-;\-* #,##0.0_-;_-* &quot;-&quot;??_-;_-@_-">
                  <c:v>78.002989690722018</c:v>
                </c:pt>
                <c:pt idx="242" formatCode="_-* #,##0.0_-;\-* #,##0.0_-;_-* &quot;-&quot;??_-;_-@_-">
                  <c:v>78.002989690722018</c:v>
                </c:pt>
                <c:pt idx="243" formatCode="_-* #,##0.0_-;\-* #,##0.0_-;_-* &quot;-&quot;??_-;_-@_-">
                  <c:v>78.002989690722018</c:v>
                </c:pt>
                <c:pt idx="244" formatCode="_-* #,##0.0_-;\-* #,##0.0_-;_-* &quot;-&quot;??_-;_-@_-">
                  <c:v>78.002989690722018</c:v>
                </c:pt>
                <c:pt idx="245" formatCode="_-* #,##0.0_-;\-* #,##0.0_-;_-* &quot;-&quot;??_-;_-@_-">
                  <c:v>78.002989690722018</c:v>
                </c:pt>
                <c:pt idx="246" formatCode="_-* #,##0.0_-;\-* #,##0.0_-;_-* &quot;-&quot;??_-;_-@_-">
                  <c:v>78.002989690722018</c:v>
                </c:pt>
                <c:pt idx="247" formatCode="_-* #,##0.0_-;\-* #,##0.0_-;_-* &quot;-&quot;??_-;_-@_-">
                  <c:v>78.002989690722018</c:v>
                </c:pt>
                <c:pt idx="248" formatCode="_-* #,##0.0_-;\-* #,##0.0_-;_-* &quot;-&quot;??_-;_-@_-">
                  <c:v>78.002989690722018</c:v>
                </c:pt>
                <c:pt idx="249" formatCode="_-* #,##0.0_-;\-* #,##0.0_-;_-* &quot;-&quot;??_-;_-@_-">
                  <c:v>78.002989690722018</c:v>
                </c:pt>
                <c:pt idx="250" formatCode="_-* #,##0.0_-;\-* #,##0.0_-;_-* &quot;-&quot;??_-;_-@_-">
                  <c:v>78.002989690722018</c:v>
                </c:pt>
                <c:pt idx="251" formatCode="_-* #,##0.0_-;\-* #,##0.0_-;_-* &quot;-&quot;??_-;_-@_-">
                  <c:v>78.002989690722018</c:v>
                </c:pt>
                <c:pt idx="252" formatCode="_-* #,##0.0_-;\-* #,##0.0_-;_-* &quot;-&quot;??_-;_-@_-">
                  <c:v>78.002989690722018</c:v>
                </c:pt>
                <c:pt idx="253" formatCode="_-* #,##0.0_-;\-* #,##0.0_-;_-* &quot;-&quot;??_-;_-@_-">
                  <c:v>78.002989690722018</c:v>
                </c:pt>
                <c:pt idx="254" formatCode="_-* #,##0.0_-;\-* #,##0.0_-;_-* &quot;-&quot;??_-;_-@_-">
                  <c:v>78.002989690722018</c:v>
                </c:pt>
                <c:pt idx="255" formatCode="_-* #,##0.0_-;\-* #,##0.0_-;_-* &quot;-&quot;??_-;_-@_-">
                  <c:v>78.002989690722018</c:v>
                </c:pt>
                <c:pt idx="256" formatCode="_-* #,##0.0_-;\-* #,##0.0_-;_-* &quot;-&quot;??_-;_-@_-">
                  <c:v>78.002989690722018</c:v>
                </c:pt>
                <c:pt idx="257" formatCode="_-* #,##0.0_-;\-* #,##0.0_-;_-* &quot;-&quot;??_-;_-@_-">
                  <c:v>78.002989690722018</c:v>
                </c:pt>
                <c:pt idx="258" formatCode="_-* #,##0.0_-;\-* #,##0.0_-;_-* &quot;-&quot;??_-;_-@_-">
                  <c:v>78.002989690722018</c:v>
                </c:pt>
                <c:pt idx="259" formatCode="_-* #,##0.0_-;\-* #,##0.0_-;_-* &quot;-&quot;??_-;_-@_-">
                  <c:v>78.002989690722018</c:v>
                </c:pt>
                <c:pt idx="260" formatCode="_-* #,##0.0_-;\-* #,##0.0_-;_-* &quot;-&quot;??_-;_-@_-">
                  <c:v>78.002989690722018</c:v>
                </c:pt>
                <c:pt idx="261" formatCode="_-* #,##0.0_-;\-* #,##0.0_-;_-* &quot;-&quot;??_-;_-@_-">
                  <c:v>78.002989690722018</c:v>
                </c:pt>
                <c:pt idx="262" formatCode="_-* #,##0.0_-;\-* #,##0.0_-;_-* &quot;-&quot;??_-;_-@_-">
                  <c:v>78.002989690722018</c:v>
                </c:pt>
                <c:pt idx="263" formatCode="_-* #,##0.0_-;\-* #,##0.0_-;_-* &quot;-&quot;??_-;_-@_-">
                  <c:v>78.002989690722018</c:v>
                </c:pt>
                <c:pt idx="264" formatCode="_-* #,##0.0_-;\-* #,##0.0_-;_-* &quot;-&quot;??_-;_-@_-">
                  <c:v>78.002989690722018</c:v>
                </c:pt>
                <c:pt idx="265" formatCode="_-* #,##0.0_-;\-* #,##0.0_-;_-* &quot;-&quot;??_-;_-@_-">
                  <c:v>78.002989690722018</c:v>
                </c:pt>
                <c:pt idx="266" formatCode="_-* #,##0.0_-;\-* #,##0.0_-;_-* &quot;-&quot;??_-;_-@_-">
                  <c:v>78.002989690722018</c:v>
                </c:pt>
                <c:pt idx="267" formatCode="_-* #,##0.0_-;\-* #,##0.0_-;_-* &quot;-&quot;??_-;_-@_-">
                  <c:v>78.002989690722018</c:v>
                </c:pt>
                <c:pt idx="268" formatCode="_-* #,##0.0_-;\-* #,##0.0_-;_-* &quot;-&quot;??_-;_-@_-">
                  <c:v>78.002989690722018</c:v>
                </c:pt>
                <c:pt idx="269" formatCode="_-* #,##0.0_-;\-* #,##0.0_-;_-* &quot;-&quot;??_-;_-@_-">
                  <c:v>78.002989690722018</c:v>
                </c:pt>
                <c:pt idx="270" formatCode="_-* #,##0.0_-;\-* #,##0.0_-;_-* &quot;-&quot;??_-;_-@_-">
                  <c:v>78.002989690722018</c:v>
                </c:pt>
                <c:pt idx="271" formatCode="_-* #,##0.0_-;\-* #,##0.0_-;_-* &quot;-&quot;??_-;_-@_-">
                  <c:v>78.002989690722018</c:v>
                </c:pt>
                <c:pt idx="272" formatCode="_-* #,##0.0_-;\-* #,##0.0_-;_-* &quot;-&quot;??_-;_-@_-">
                  <c:v>78.002989690722018</c:v>
                </c:pt>
                <c:pt idx="273" formatCode="_-* #,##0.0_-;\-* #,##0.0_-;_-* &quot;-&quot;??_-;_-@_-">
                  <c:v>78.002989690722018</c:v>
                </c:pt>
                <c:pt idx="274" formatCode="_-* #,##0.0_-;\-* #,##0.0_-;_-* &quot;-&quot;??_-;_-@_-">
                  <c:v>78.002989690722018</c:v>
                </c:pt>
                <c:pt idx="275" formatCode="_-* #,##0.0_-;\-* #,##0.0_-;_-* &quot;-&quot;??_-;_-@_-">
                  <c:v>78.002989690722018</c:v>
                </c:pt>
                <c:pt idx="276" formatCode="_-* #,##0.0_-;\-* #,##0.0_-;_-* &quot;-&quot;??_-;_-@_-">
                  <c:v>78.002989690722018</c:v>
                </c:pt>
                <c:pt idx="277" formatCode="_-* #,##0.0_-;\-* #,##0.0_-;_-* &quot;-&quot;??_-;_-@_-">
                  <c:v>78.002989690722018</c:v>
                </c:pt>
                <c:pt idx="278" formatCode="_-* #,##0.0_-;\-* #,##0.0_-;_-* &quot;-&quot;??_-;_-@_-">
                  <c:v>78.002989690722018</c:v>
                </c:pt>
                <c:pt idx="279" formatCode="_-* #,##0.0_-;\-* #,##0.0_-;_-* &quot;-&quot;??_-;_-@_-">
                  <c:v>78.002989690722018</c:v>
                </c:pt>
                <c:pt idx="280" formatCode="_-* #,##0.0_-;\-* #,##0.0_-;_-* &quot;-&quot;??_-;_-@_-">
                  <c:v>78.002989690722018</c:v>
                </c:pt>
                <c:pt idx="281" formatCode="_-* #,##0.0_-;\-* #,##0.0_-;_-* &quot;-&quot;??_-;_-@_-">
                  <c:v>78.002989690722018</c:v>
                </c:pt>
                <c:pt idx="282" formatCode="_-* #,##0.0_-;\-* #,##0.0_-;_-* &quot;-&quot;??_-;_-@_-">
                  <c:v>78.002989690722018</c:v>
                </c:pt>
                <c:pt idx="283" formatCode="_-* #,##0.0_-;\-* #,##0.0_-;_-* &quot;-&quot;??_-;_-@_-">
                  <c:v>78.002989690722018</c:v>
                </c:pt>
                <c:pt idx="284" formatCode="_-* #,##0.0_-;\-* #,##0.0_-;_-* &quot;-&quot;??_-;_-@_-">
                  <c:v>78.002989690722018</c:v>
                </c:pt>
                <c:pt idx="285" formatCode="_-* #,##0.0_-;\-* #,##0.0_-;_-* &quot;-&quot;??_-;_-@_-">
                  <c:v>78.002989690722018</c:v>
                </c:pt>
                <c:pt idx="286" formatCode="_-* #,##0.0_-;\-* #,##0.0_-;_-* &quot;-&quot;??_-;_-@_-">
                  <c:v>78.002989690722018</c:v>
                </c:pt>
                <c:pt idx="287" formatCode="_-* #,##0.0_-;\-* #,##0.0_-;_-* &quot;-&quot;??_-;_-@_-">
                  <c:v>78.002989690722018</c:v>
                </c:pt>
                <c:pt idx="288" formatCode="_-* #,##0.0_-;\-* #,##0.0_-;_-* &quot;-&quot;??_-;_-@_-">
                  <c:v>78.002989690722018</c:v>
                </c:pt>
                <c:pt idx="289" formatCode="_-* #,##0.0_-;\-* #,##0.0_-;_-* &quot;-&quot;??_-;_-@_-">
                  <c:v>78.002989690722018</c:v>
                </c:pt>
                <c:pt idx="290" formatCode="_-* #,##0.0_-;\-* #,##0.0_-;_-* &quot;-&quot;??_-;_-@_-">
                  <c:v>78.002989690722018</c:v>
                </c:pt>
                <c:pt idx="291" formatCode="_-* #,##0.0_-;\-* #,##0.0_-;_-* &quot;-&quot;??_-;_-@_-">
                  <c:v>78.002989690722018</c:v>
                </c:pt>
                <c:pt idx="292" formatCode="_-* #,##0.0_-;\-* #,##0.0_-;_-* &quot;-&quot;??_-;_-@_-">
                  <c:v>78.002989690722018</c:v>
                </c:pt>
                <c:pt idx="293" formatCode="_-* #,##0.0_-;\-* #,##0.0_-;_-* &quot;-&quot;??_-;_-@_-">
                  <c:v>78.002989690722018</c:v>
                </c:pt>
                <c:pt idx="294" formatCode="_-* #,##0.0_-;\-* #,##0.0_-;_-* &quot;-&quot;??_-;_-@_-">
                  <c:v>78.002989690722018</c:v>
                </c:pt>
                <c:pt idx="295" formatCode="_-* #,##0.0_-;\-* #,##0.0_-;_-* &quot;-&quot;??_-;_-@_-">
                  <c:v>78.002989690722018</c:v>
                </c:pt>
                <c:pt idx="296" formatCode="_-* #,##0.0_-;\-* #,##0.0_-;_-* &quot;-&quot;??_-;_-@_-">
                  <c:v>78.002989690722018</c:v>
                </c:pt>
                <c:pt idx="297" formatCode="_-* #,##0.0_-;\-* #,##0.0_-;_-* &quot;-&quot;??_-;_-@_-">
                  <c:v>78.002989690722018</c:v>
                </c:pt>
                <c:pt idx="298" formatCode="_-* #,##0.0_-;\-* #,##0.0_-;_-* &quot;-&quot;??_-;_-@_-">
                  <c:v>78.002989690722018</c:v>
                </c:pt>
                <c:pt idx="299" formatCode="_-* #,##0.0_-;\-* #,##0.0_-;_-* &quot;-&quot;??_-;_-@_-">
                  <c:v>78.002989690722018</c:v>
                </c:pt>
                <c:pt idx="300" formatCode="_-* #,##0.0_-;\-* #,##0.0_-;_-* &quot;-&quot;??_-;_-@_-">
                  <c:v>78.002989690722018</c:v>
                </c:pt>
                <c:pt idx="301" formatCode="_-* #,##0.0_-;\-* #,##0.0_-;_-* &quot;-&quot;??_-;_-@_-">
                  <c:v>78.002989690722018</c:v>
                </c:pt>
                <c:pt idx="302" formatCode="_-* #,##0.0_-;\-* #,##0.0_-;_-* &quot;-&quot;??_-;_-@_-">
                  <c:v>78.002989690722018</c:v>
                </c:pt>
                <c:pt idx="303" formatCode="_-* #,##0.0_-;\-* #,##0.0_-;_-* &quot;-&quot;??_-;_-@_-">
                  <c:v>78.002989690722018</c:v>
                </c:pt>
                <c:pt idx="304" formatCode="_-* #,##0.0_-;\-* #,##0.0_-;_-* &quot;-&quot;??_-;_-@_-">
                  <c:v>78.002989690722018</c:v>
                </c:pt>
                <c:pt idx="305" formatCode="_-* #,##0.0_-;\-* #,##0.0_-;_-* &quot;-&quot;??_-;_-@_-">
                  <c:v>78.002989690722018</c:v>
                </c:pt>
                <c:pt idx="306" formatCode="_-* #,##0.0_-;\-* #,##0.0_-;_-* &quot;-&quot;??_-;_-@_-">
                  <c:v>78.002989690722018</c:v>
                </c:pt>
                <c:pt idx="307" formatCode="_-* #,##0.0_-;\-* #,##0.0_-;_-* &quot;-&quot;??_-;_-@_-">
                  <c:v>78.002989690722018</c:v>
                </c:pt>
                <c:pt idx="308" formatCode="_-* #,##0.0_-;\-* #,##0.0_-;_-* &quot;-&quot;??_-;_-@_-">
                  <c:v>78.002989690722018</c:v>
                </c:pt>
                <c:pt idx="309" formatCode="_-* #,##0.0_-;\-* #,##0.0_-;_-* &quot;-&quot;??_-;_-@_-">
                  <c:v>78.002989690722018</c:v>
                </c:pt>
                <c:pt idx="310" formatCode="_-* #,##0.0_-;\-* #,##0.0_-;_-* &quot;-&quot;??_-;_-@_-">
                  <c:v>78.002989690722018</c:v>
                </c:pt>
                <c:pt idx="311" formatCode="_-* #,##0.0_-;\-* #,##0.0_-;_-* &quot;-&quot;??_-;_-@_-">
                  <c:v>78.002989690722018</c:v>
                </c:pt>
                <c:pt idx="312" formatCode="_-* #,##0.0_-;\-* #,##0.0_-;_-* &quot;-&quot;??_-;_-@_-">
                  <c:v>78.002989690722018</c:v>
                </c:pt>
                <c:pt idx="313" formatCode="_-* #,##0.0_-;\-* #,##0.0_-;_-* &quot;-&quot;??_-;_-@_-">
                  <c:v>78.002989690722018</c:v>
                </c:pt>
                <c:pt idx="314" formatCode="_-* #,##0.0_-;\-* #,##0.0_-;_-* &quot;-&quot;??_-;_-@_-">
                  <c:v>78.002989690722018</c:v>
                </c:pt>
                <c:pt idx="315" formatCode="_-* #,##0.0_-;\-* #,##0.0_-;_-* &quot;-&quot;??_-;_-@_-">
                  <c:v>78.002989690722018</c:v>
                </c:pt>
                <c:pt idx="316" formatCode="_-* #,##0.0_-;\-* #,##0.0_-;_-* &quot;-&quot;??_-;_-@_-">
                  <c:v>78.002989690722018</c:v>
                </c:pt>
                <c:pt idx="317" formatCode="_-* #,##0.0_-;\-* #,##0.0_-;_-* &quot;-&quot;??_-;_-@_-">
                  <c:v>78.002989690722018</c:v>
                </c:pt>
                <c:pt idx="318" formatCode="_-* #,##0.0_-;\-* #,##0.0_-;_-* &quot;-&quot;??_-;_-@_-">
                  <c:v>78.002989690722018</c:v>
                </c:pt>
                <c:pt idx="319" formatCode="_-* #,##0.0_-;\-* #,##0.0_-;_-* &quot;-&quot;??_-;_-@_-">
                  <c:v>78.002989690722018</c:v>
                </c:pt>
                <c:pt idx="320" formatCode="_-* #,##0.0_-;\-* #,##0.0_-;_-* &quot;-&quot;??_-;_-@_-">
                  <c:v>78.002989690722018</c:v>
                </c:pt>
                <c:pt idx="321" formatCode="_-* #,##0.0_-;\-* #,##0.0_-;_-* &quot;-&quot;??_-;_-@_-">
                  <c:v>78.002989690722018</c:v>
                </c:pt>
                <c:pt idx="322" formatCode="_-* #,##0.0_-;\-* #,##0.0_-;_-* &quot;-&quot;??_-;_-@_-">
                  <c:v>78.002989690722018</c:v>
                </c:pt>
                <c:pt idx="323" formatCode="_-* #,##0.0_-;\-* #,##0.0_-;_-* &quot;-&quot;??_-;_-@_-">
                  <c:v>78.002989690722018</c:v>
                </c:pt>
                <c:pt idx="324" formatCode="_-* #,##0.0_-;\-* #,##0.0_-;_-* &quot;-&quot;??_-;_-@_-">
                  <c:v>78.002989690722018</c:v>
                </c:pt>
                <c:pt idx="325" formatCode="_-* #,##0.0_-;\-* #,##0.0_-;_-* &quot;-&quot;??_-;_-@_-">
                  <c:v>78.002989690722018</c:v>
                </c:pt>
                <c:pt idx="326" formatCode="_-* #,##0.0_-;\-* #,##0.0_-;_-* &quot;-&quot;??_-;_-@_-">
                  <c:v>78.002989690722018</c:v>
                </c:pt>
                <c:pt idx="327" formatCode="_-* #,##0.0_-;\-* #,##0.0_-;_-* &quot;-&quot;??_-;_-@_-">
                  <c:v>78.002989690722018</c:v>
                </c:pt>
                <c:pt idx="328" formatCode="_-* #,##0.0_-;\-* #,##0.0_-;_-* &quot;-&quot;??_-;_-@_-">
                  <c:v>78.002989690722018</c:v>
                </c:pt>
                <c:pt idx="329" formatCode="_-* #,##0.0_-;\-* #,##0.0_-;_-* &quot;-&quot;??_-;_-@_-">
                  <c:v>78.002989690722018</c:v>
                </c:pt>
                <c:pt idx="330" formatCode="_-* #,##0.0_-;\-* #,##0.0_-;_-* &quot;-&quot;??_-;_-@_-">
                  <c:v>78.002989690722018</c:v>
                </c:pt>
                <c:pt idx="331" formatCode="_-* #,##0.0_-;\-* #,##0.0_-;_-* &quot;-&quot;??_-;_-@_-">
                  <c:v>78.002989690722018</c:v>
                </c:pt>
                <c:pt idx="332" formatCode="_-* #,##0.0_-;\-* #,##0.0_-;_-* &quot;-&quot;??_-;_-@_-">
                  <c:v>78.002989690722018</c:v>
                </c:pt>
                <c:pt idx="333" formatCode="_-* #,##0.0_-;\-* #,##0.0_-;_-* &quot;-&quot;??_-;_-@_-">
                  <c:v>78.002989690722018</c:v>
                </c:pt>
                <c:pt idx="334" formatCode="_-* #,##0.0_-;\-* #,##0.0_-;_-* &quot;-&quot;??_-;_-@_-">
                  <c:v>78.002989690722018</c:v>
                </c:pt>
                <c:pt idx="335" formatCode="_-* #,##0.0_-;\-* #,##0.0_-;_-* &quot;-&quot;??_-;_-@_-">
                  <c:v>78.002989690722018</c:v>
                </c:pt>
                <c:pt idx="336" formatCode="_-* #,##0.0_-;\-* #,##0.0_-;_-* &quot;-&quot;??_-;_-@_-">
                  <c:v>78.002989690722018</c:v>
                </c:pt>
                <c:pt idx="337" formatCode="_-* #,##0.0_-;\-* #,##0.0_-;_-* &quot;-&quot;??_-;_-@_-">
                  <c:v>78.002989690722018</c:v>
                </c:pt>
                <c:pt idx="338" formatCode="_-* #,##0.0_-;\-* #,##0.0_-;_-* &quot;-&quot;??_-;_-@_-">
                  <c:v>78.002989690722018</c:v>
                </c:pt>
                <c:pt idx="339" formatCode="_-* #,##0.0_-;\-* #,##0.0_-;_-* &quot;-&quot;??_-;_-@_-">
                  <c:v>78.002989690722018</c:v>
                </c:pt>
                <c:pt idx="340" formatCode="_-* #,##0.0_-;\-* #,##0.0_-;_-* &quot;-&quot;??_-;_-@_-">
                  <c:v>78.002989690722018</c:v>
                </c:pt>
                <c:pt idx="341" formatCode="_-* #,##0.0_-;\-* #,##0.0_-;_-* &quot;-&quot;??_-;_-@_-">
                  <c:v>78.002989690722018</c:v>
                </c:pt>
                <c:pt idx="342" formatCode="_-* #,##0.0_-;\-* #,##0.0_-;_-* &quot;-&quot;??_-;_-@_-">
                  <c:v>78.002989690722018</c:v>
                </c:pt>
                <c:pt idx="343" formatCode="_-* #,##0.0_-;\-* #,##0.0_-;_-* &quot;-&quot;??_-;_-@_-">
                  <c:v>78.002989690722018</c:v>
                </c:pt>
                <c:pt idx="344" formatCode="_-* #,##0.0_-;\-* #,##0.0_-;_-* &quot;-&quot;??_-;_-@_-">
                  <c:v>78.002989690722018</c:v>
                </c:pt>
                <c:pt idx="345" formatCode="_-* #,##0.0_-;\-* #,##0.0_-;_-* &quot;-&quot;??_-;_-@_-">
                  <c:v>78.002989690722018</c:v>
                </c:pt>
                <c:pt idx="346" formatCode="_-* #,##0.0_-;\-* #,##0.0_-;_-* &quot;-&quot;??_-;_-@_-">
                  <c:v>78.002989690722018</c:v>
                </c:pt>
                <c:pt idx="347" formatCode="_-* #,##0.0_-;\-* #,##0.0_-;_-* &quot;-&quot;??_-;_-@_-">
                  <c:v>78.002989690722018</c:v>
                </c:pt>
                <c:pt idx="348" formatCode="_-* #,##0.0_-;\-* #,##0.0_-;_-* &quot;-&quot;??_-;_-@_-">
                  <c:v>78.002989690722018</c:v>
                </c:pt>
                <c:pt idx="349" formatCode="_-* #,##0.0_-;\-* #,##0.0_-;_-* &quot;-&quot;??_-;_-@_-">
                  <c:v>78.002989690722018</c:v>
                </c:pt>
                <c:pt idx="350" formatCode="_-* #,##0.0_-;\-* #,##0.0_-;_-* &quot;-&quot;??_-;_-@_-">
                  <c:v>78.002989690722018</c:v>
                </c:pt>
                <c:pt idx="351" formatCode="_-* #,##0.0_-;\-* #,##0.0_-;_-* &quot;-&quot;??_-;_-@_-">
                  <c:v>78.002989690722018</c:v>
                </c:pt>
                <c:pt idx="352" formatCode="_-* #,##0.0_-;\-* #,##0.0_-;_-* &quot;-&quot;??_-;_-@_-">
                  <c:v>78.002989690722018</c:v>
                </c:pt>
                <c:pt idx="353" formatCode="_-* #,##0.0_-;\-* #,##0.0_-;_-* &quot;-&quot;??_-;_-@_-">
                  <c:v>78.002989690722018</c:v>
                </c:pt>
                <c:pt idx="354" formatCode="_-* #,##0.0_-;\-* #,##0.0_-;_-* &quot;-&quot;??_-;_-@_-">
                  <c:v>78.002989690722018</c:v>
                </c:pt>
                <c:pt idx="355" formatCode="_-* #,##0.0_-;\-* #,##0.0_-;_-* &quot;-&quot;??_-;_-@_-">
                  <c:v>78.002989690722018</c:v>
                </c:pt>
                <c:pt idx="356" formatCode="_-* #,##0.0_-;\-* #,##0.0_-;_-* &quot;-&quot;??_-;_-@_-">
                  <c:v>78.002989690722018</c:v>
                </c:pt>
                <c:pt idx="357" formatCode="_-* #,##0.0_-;\-* #,##0.0_-;_-* &quot;-&quot;??_-;_-@_-">
                  <c:v>78.002989690722018</c:v>
                </c:pt>
                <c:pt idx="358" formatCode="_-* #,##0.0_-;\-* #,##0.0_-;_-* &quot;-&quot;??_-;_-@_-">
                  <c:v>78.002989690722018</c:v>
                </c:pt>
                <c:pt idx="359" formatCode="_-* #,##0.0_-;\-* #,##0.0_-;_-* &quot;-&quot;??_-;_-@_-">
                  <c:v>78.002989690722018</c:v>
                </c:pt>
                <c:pt idx="360" formatCode="_-* #,##0.0_-;\-* #,##0.0_-;_-* &quot;-&quot;??_-;_-@_-">
                  <c:v>78.002989690722018</c:v>
                </c:pt>
                <c:pt idx="361" formatCode="_-* #,##0.0_-;\-* #,##0.0_-;_-* &quot;-&quot;??_-;_-@_-">
                  <c:v>78.002989690722018</c:v>
                </c:pt>
                <c:pt idx="362" formatCode="_-* #,##0.0_-;\-* #,##0.0_-;_-* &quot;-&quot;??_-;_-@_-">
                  <c:v>78.002989690722018</c:v>
                </c:pt>
                <c:pt idx="363" formatCode="_-* #,##0.0_-;\-* #,##0.0_-;_-* &quot;-&quot;??_-;_-@_-">
                  <c:v>78.002989690722018</c:v>
                </c:pt>
                <c:pt idx="364" formatCode="_-* #,##0.0_-;\-* #,##0.0_-;_-* &quot;-&quot;??_-;_-@_-">
                  <c:v>78.002989690722018</c:v>
                </c:pt>
                <c:pt idx="365" formatCode="_-* #,##0.0_-;\-* #,##0.0_-;_-* &quot;-&quot;??_-;_-@_-">
                  <c:v>78.002989690722018</c:v>
                </c:pt>
              </c:numCache>
            </c:numRef>
          </c:val>
          <c:smooth val="0"/>
          <c:extLst>
            <c:ext xmlns:c16="http://schemas.microsoft.com/office/drawing/2014/chart" uri="{C3380CC4-5D6E-409C-BE32-E72D297353CC}">
              <c16:uniqueId val="{00000002-8500-4A85-B847-A5C28AD7FE98}"/>
            </c:ext>
          </c:extLst>
        </c:ser>
        <c:ser>
          <c:idx val="3"/>
          <c:order val="2"/>
          <c:tx>
            <c:strRef>
              <c:f>GTM!$D$1</c:f>
              <c:strCache>
                <c:ptCount val="1"/>
                <c:pt idx="0">
                  <c:v> Promedio 2021 </c:v>
                </c:pt>
              </c:strCache>
            </c:strRef>
          </c:tx>
          <c:spPr>
            <a:ln w="19050" cap="rnd">
              <a:solidFill>
                <a:schemeClr val="accent6"/>
              </a:solidFill>
              <a:prstDash val="sysDash"/>
              <a:round/>
            </a:ln>
            <a:effectLst/>
          </c:spPr>
          <c:marker>
            <c:symbol val="none"/>
          </c:marker>
          <c:dLbls>
            <c:dLbl>
              <c:idx val="50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00-4A85-B847-A5C28AD7FE9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GTM!$A$2:$A$944</c:f>
              <c:numCache>
                <c:formatCode>mm/dd/yyyy</c:formatCode>
                <c:ptCount val="943"/>
                <c:pt idx="0">
                  <c:v>43831</c:v>
                </c:pt>
                <c:pt idx="1">
                  <c:v>43832</c:v>
                </c:pt>
                <c:pt idx="2">
                  <c:v>43833</c:v>
                </c:pt>
                <c:pt idx="3">
                  <c:v>43834</c:v>
                </c:pt>
                <c:pt idx="4">
                  <c:v>43835</c:v>
                </c:pt>
                <c:pt idx="5">
                  <c:v>43836</c:v>
                </c:pt>
                <c:pt idx="6">
                  <c:v>43837</c:v>
                </c:pt>
                <c:pt idx="7">
                  <c:v>43838</c:v>
                </c:pt>
                <c:pt idx="8">
                  <c:v>43839</c:v>
                </c:pt>
                <c:pt idx="9">
                  <c:v>43840</c:v>
                </c:pt>
                <c:pt idx="10">
                  <c:v>43841</c:v>
                </c:pt>
                <c:pt idx="11">
                  <c:v>43842</c:v>
                </c:pt>
                <c:pt idx="12">
                  <c:v>43843</c:v>
                </c:pt>
                <c:pt idx="13">
                  <c:v>43844</c:v>
                </c:pt>
                <c:pt idx="14">
                  <c:v>43845</c:v>
                </c:pt>
                <c:pt idx="15">
                  <c:v>43846</c:v>
                </c:pt>
                <c:pt idx="16">
                  <c:v>43847</c:v>
                </c:pt>
                <c:pt idx="17">
                  <c:v>43848</c:v>
                </c:pt>
                <c:pt idx="18">
                  <c:v>43849</c:v>
                </c:pt>
                <c:pt idx="19">
                  <c:v>43850</c:v>
                </c:pt>
                <c:pt idx="20">
                  <c:v>43851</c:v>
                </c:pt>
                <c:pt idx="21">
                  <c:v>43852</c:v>
                </c:pt>
                <c:pt idx="22">
                  <c:v>43853</c:v>
                </c:pt>
                <c:pt idx="23">
                  <c:v>43854</c:v>
                </c:pt>
                <c:pt idx="24">
                  <c:v>43855</c:v>
                </c:pt>
                <c:pt idx="25">
                  <c:v>43856</c:v>
                </c:pt>
                <c:pt idx="26">
                  <c:v>43857</c:v>
                </c:pt>
                <c:pt idx="27">
                  <c:v>43858</c:v>
                </c:pt>
                <c:pt idx="28">
                  <c:v>43859</c:v>
                </c:pt>
                <c:pt idx="29">
                  <c:v>43860</c:v>
                </c:pt>
                <c:pt idx="30">
                  <c:v>43861</c:v>
                </c:pt>
                <c:pt idx="31">
                  <c:v>43862</c:v>
                </c:pt>
                <c:pt idx="32">
                  <c:v>43863</c:v>
                </c:pt>
                <c:pt idx="33">
                  <c:v>43864</c:v>
                </c:pt>
                <c:pt idx="34">
                  <c:v>43865</c:v>
                </c:pt>
                <c:pt idx="35">
                  <c:v>43866</c:v>
                </c:pt>
                <c:pt idx="36">
                  <c:v>43867</c:v>
                </c:pt>
                <c:pt idx="37">
                  <c:v>43868</c:v>
                </c:pt>
                <c:pt idx="38">
                  <c:v>43869</c:v>
                </c:pt>
                <c:pt idx="39">
                  <c:v>43870</c:v>
                </c:pt>
                <c:pt idx="40">
                  <c:v>43871</c:v>
                </c:pt>
                <c:pt idx="41">
                  <c:v>43872</c:v>
                </c:pt>
                <c:pt idx="42">
                  <c:v>43873</c:v>
                </c:pt>
                <c:pt idx="43">
                  <c:v>43874</c:v>
                </c:pt>
                <c:pt idx="44">
                  <c:v>43875</c:v>
                </c:pt>
                <c:pt idx="45">
                  <c:v>43876</c:v>
                </c:pt>
                <c:pt idx="46">
                  <c:v>43877</c:v>
                </c:pt>
                <c:pt idx="47">
                  <c:v>43878</c:v>
                </c:pt>
                <c:pt idx="48">
                  <c:v>43879</c:v>
                </c:pt>
                <c:pt idx="49">
                  <c:v>43880</c:v>
                </c:pt>
                <c:pt idx="50">
                  <c:v>43881</c:v>
                </c:pt>
                <c:pt idx="51">
                  <c:v>43882</c:v>
                </c:pt>
                <c:pt idx="52">
                  <c:v>43883</c:v>
                </c:pt>
                <c:pt idx="53">
                  <c:v>43884</c:v>
                </c:pt>
                <c:pt idx="54">
                  <c:v>43885</c:v>
                </c:pt>
                <c:pt idx="55">
                  <c:v>43886</c:v>
                </c:pt>
                <c:pt idx="56">
                  <c:v>43887</c:v>
                </c:pt>
                <c:pt idx="57">
                  <c:v>43888</c:v>
                </c:pt>
                <c:pt idx="58">
                  <c:v>43889</c:v>
                </c:pt>
                <c:pt idx="59">
                  <c:v>43890</c:v>
                </c:pt>
                <c:pt idx="60">
                  <c:v>43891</c:v>
                </c:pt>
                <c:pt idx="61">
                  <c:v>43892</c:v>
                </c:pt>
                <c:pt idx="62">
                  <c:v>43893</c:v>
                </c:pt>
                <c:pt idx="63">
                  <c:v>43894</c:v>
                </c:pt>
                <c:pt idx="64">
                  <c:v>43895</c:v>
                </c:pt>
                <c:pt idx="65">
                  <c:v>43896</c:v>
                </c:pt>
                <c:pt idx="66">
                  <c:v>43897</c:v>
                </c:pt>
                <c:pt idx="67">
                  <c:v>43898</c:v>
                </c:pt>
                <c:pt idx="68">
                  <c:v>43899</c:v>
                </c:pt>
                <c:pt idx="69">
                  <c:v>43900</c:v>
                </c:pt>
                <c:pt idx="70">
                  <c:v>43901</c:v>
                </c:pt>
                <c:pt idx="71">
                  <c:v>43902</c:v>
                </c:pt>
                <c:pt idx="72">
                  <c:v>43903</c:v>
                </c:pt>
                <c:pt idx="73">
                  <c:v>43904</c:v>
                </c:pt>
                <c:pt idx="74">
                  <c:v>43905</c:v>
                </c:pt>
                <c:pt idx="75">
                  <c:v>43906</c:v>
                </c:pt>
                <c:pt idx="76">
                  <c:v>43907</c:v>
                </c:pt>
                <c:pt idx="77">
                  <c:v>43908</c:v>
                </c:pt>
                <c:pt idx="78">
                  <c:v>43909</c:v>
                </c:pt>
                <c:pt idx="79">
                  <c:v>43910</c:v>
                </c:pt>
                <c:pt idx="80">
                  <c:v>43911</c:v>
                </c:pt>
                <c:pt idx="81">
                  <c:v>43912</c:v>
                </c:pt>
                <c:pt idx="82">
                  <c:v>43913</c:v>
                </c:pt>
                <c:pt idx="83">
                  <c:v>43914</c:v>
                </c:pt>
                <c:pt idx="84">
                  <c:v>43915</c:v>
                </c:pt>
                <c:pt idx="85">
                  <c:v>43916</c:v>
                </c:pt>
                <c:pt idx="86">
                  <c:v>43917</c:v>
                </c:pt>
                <c:pt idx="87">
                  <c:v>43918</c:v>
                </c:pt>
                <c:pt idx="88">
                  <c:v>43919</c:v>
                </c:pt>
                <c:pt idx="89">
                  <c:v>43920</c:v>
                </c:pt>
                <c:pt idx="90">
                  <c:v>43921</c:v>
                </c:pt>
                <c:pt idx="91">
                  <c:v>43922</c:v>
                </c:pt>
                <c:pt idx="92">
                  <c:v>43923</c:v>
                </c:pt>
                <c:pt idx="93">
                  <c:v>43924</c:v>
                </c:pt>
                <c:pt idx="94">
                  <c:v>43925</c:v>
                </c:pt>
                <c:pt idx="95">
                  <c:v>43926</c:v>
                </c:pt>
                <c:pt idx="96">
                  <c:v>43927</c:v>
                </c:pt>
                <c:pt idx="97">
                  <c:v>43928</c:v>
                </c:pt>
                <c:pt idx="98">
                  <c:v>43929</c:v>
                </c:pt>
                <c:pt idx="99">
                  <c:v>43930</c:v>
                </c:pt>
                <c:pt idx="100">
                  <c:v>43931</c:v>
                </c:pt>
                <c:pt idx="101">
                  <c:v>43932</c:v>
                </c:pt>
                <c:pt idx="102">
                  <c:v>43933</c:v>
                </c:pt>
                <c:pt idx="103">
                  <c:v>43934</c:v>
                </c:pt>
                <c:pt idx="104">
                  <c:v>43935</c:v>
                </c:pt>
                <c:pt idx="105">
                  <c:v>43936</c:v>
                </c:pt>
                <c:pt idx="106">
                  <c:v>43937</c:v>
                </c:pt>
                <c:pt idx="107">
                  <c:v>43938</c:v>
                </c:pt>
                <c:pt idx="108">
                  <c:v>43939</c:v>
                </c:pt>
                <c:pt idx="109">
                  <c:v>43940</c:v>
                </c:pt>
                <c:pt idx="110">
                  <c:v>43941</c:v>
                </c:pt>
                <c:pt idx="111">
                  <c:v>43942</c:v>
                </c:pt>
                <c:pt idx="112">
                  <c:v>43943</c:v>
                </c:pt>
                <c:pt idx="113">
                  <c:v>43944</c:v>
                </c:pt>
                <c:pt idx="114">
                  <c:v>43945</c:v>
                </c:pt>
                <c:pt idx="115">
                  <c:v>43946</c:v>
                </c:pt>
                <c:pt idx="116">
                  <c:v>43947</c:v>
                </c:pt>
                <c:pt idx="117">
                  <c:v>43948</c:v>
                </c:pt>
                <c:pt idx="118">
                  <c:v>43949</c:v>
                </c:pt>
                <c:pt idx="119">
                  <c:v>43950</c:v>
                </c:pt>
                <c:pt idx="120">
                  <c:v>43951</c:v>
                </c:pt>
                <c:pt idx="121">
                  <c:v>43952</c:v>
                </c:pt>
                <c:pt idx="122">
                  <c:v>43953</c:v>
                </c:pt>
                <c:pt idx="123">
                  <c:v>43954</c:v>
                </c:pt>
                <c:pt idx="124">
                  <c:v>43955</c:v>
                </c:pt>
                <c:pt idx="125">
                  <c:v>43956</c:v>
                </c:pt>
                <c:pt idx="126">
                  <c:v>43957</c:v>
                </c:pt>
                <c:pt idx="127">
                  <c:v>43958</c:v>
                </c:pt>
                <c:pt idx="128">
                  <c:v>43959</c:v>
                </c:pt>
                <c:pt idx="129">
                  <c:v>43960</c:v>
                </c:pt>
                <c:pt idx="130">
                  <c:v>43961</c:v>
                </c:pt>
                <c:pt idx="131">
                  <c:v>43962</c:v>
                </c:pt>
                <c:pt idx="132">
                  <c:v>43963</c:v>
                </c:pt>
                <c:pt idx="133">
                  <c:v>43964</c:v>
                </c:pt>
                <c:pt idx="134">
                  <c:v>43965</c:v>
                </c:pt>
                <c:pt idx="135">
                  <c:v>43966</c:v>
                </c:pt>
                <c:pt idx="136">
                  <c:v>43967</c:v>
                </c:pt>
                <c:pt idx="137">
                  <c:v>43968</c:v>
                </c:pt>
                <c:pt idx="138">
                  <c:v>43969</c:v>
                </c:pt>
                <c:pt idx="139">
                  <c:v>43970</c:v>
                </c:pt>
                <c:pt idx="140">
                  <c:v>43971</c:v>
                </c:pt>
                <c:pt idx="141">
                  <c:v>43972</c:v>
                </c:pt>
                <c:pt idx="142">
                  <c:v>43973</c:v>
                </c:pt>
                <c:pt idx="143">
                  <c:v>43974</c:v>
                </c:pt>
                <c:pt idx="144">
                  <c:v>43975</c:v>
                </c:pt>
                <c:pt idx="145">
                  <c:v>43976</c:v>
                </c:pt>
                <c:pt idx="146">
                  <c:v>43977</c:v>
                </c:pt>
                <c:pt idx="147">
                  <c:v>43978</c:v>
                </c:pt>
                <c:pt idx="148">
                  <c:v>43979</c:v>
                </c:pt>
                <c:pt idx="149">
                  <c:v>43980</c:v>
                </c:pt>
                <c:pt idx="150">
                  <c:v>43981</c:v>
                </c:pt>
                <c:pt idx="151">
                  <c:v>43982</c:v>
                </c:pt>
                <c:pt idx="152">
                  <c:v>43983</c:v>
                </c:pt>
                <c:pt idx="153">
                  <c:v>43984</c:v>
                </c:pt>
                <c:pt idx="154">
                  <c:v>43985</c:v>
                </c:pt>
                <c:pt idx="155">
                  <c:v>43986</c:v>
                </c:pt>
                <c:pt idx="156">
                  <c:v>43987</c:v>
                </c:pt>
                <c:pt idx="157">
                  <c:v>43988</c:v>
                </c:pt>
                <c:pt idx="158">
                  <c:v>43989</c:v>
                </c:pt>
                <c:pt idx="159">
                  <c:v>43990</c:v>
                </c:pt>
                <c:pt idx="160">
                  <c:v>43991</c:v>
                </c:pt>
                <c:pt idx="161">
                  <c:v>43992</c:v>
                </c:pt>
                <c:pt idx="162">
                  <c:v>43993</c:v>
                </c:pt>
                <c:pt idx="163">
                  <c:v>43994</c:v>
                </c:pt>
                <c:pt idx="164">
                  <c:v>43995</c:v>
                </c:pt>
                <c:pt idx="165">
                  <c:v>43996</c:v>
                </c:pt>
                <c:pt idx="166">
                  <c:v>43997</c:v>
                </c:pt>
                <c:pt idx="167">
                  <c:v>43998</c:v>
                </c:pt>
                <c:pt idx="168">
                  <c:v>43999</c:v>
                </c:pt>
                <c:pt idx="169">
                  <c:v>44000</c:v>
                </c:pt>
                <c:pt idx="170">
                  <c:v>44001</c:v>
                </c:pt>
                <c:pt idx="171">
                  <c:v>44002</c:v>
                </c:pt>
                <c:pt idx="172">
                  <c:v>44003</c:v>
                </c:pt>
                <c:pt idx="173">
                  <c:v>44004</c:v>
                </c:pt>
                <c:pt idx="174">
                  <c:v>44005</c:v>
                </c:pt>
                <c:pt idx="175">
                  <c:v>44006</c:v>
                </c:pt>
                <c:pt idx="176">
                  <c:v>44007</c:v>
                </c:pt>
                <c:pt idx="177">
                  <c:v>44008</c:v>
                </c:pt>
                <c:pt idx="178">
                  <c:v>44009</c:v>
                </c:pt>
                <c:pt idx="179">
                  <c:v>44010</c:v>
                </c:pt>
                <c:pt idx="180">
                  <c:v>44011</c:v>
                </c:pt>
                <c:pt idx="181">
                  <c:v>44012</c:v>
                </c:pt>
                <c:pt idx="182">
                  <c:v>44013</c:v>
                </c:pt>
                <c:pt idx="183">
                  <c:v>44014</c:v>
                </c:pt>
                <c:pt idx="184">
                  <c:v>44015</c:v>
                </c:pt>
                <c:pt idx="185">
                  <c:v>44016</c:v>
                </c:pt>
                <c:pt idx="186">
                  <c:v>44017</c:v>
                </c:pt>
                <c:pt idx="187">
                  <c:v>44018</c:v>
                </c:pt>
                <c:pt idx="188">
                  <c:v>44019</c:v>
                </c:pt>
                <c:pt idx="189">
                  <c:v>44020</c:v>
                </c:pt>
                <c:pt idx="190">
                  <c:v>44021</c:v>
                </c:pt>
                <c:pt idx="191">
                  <c:v>44022</c:v>
                </c:pt>
                <c:pt idx="192">
                  <c:v>44023</c:v>
                </c:pt>
                <c:pt idx="193">
                  <c:v>44024</c:v>
                </c:pt>
                <c:pt idx="194">
                  <c:v>44025</c:v>
                </c:pt>
                <c:pt idx="195">
                  <c:v>44026</c:v>
                </c:pt>
                <c:pt idx="196">
                  <c:v>44027</c:v>
                </c:pt>
                <c:pt idx="197">
                  <c:v>44028</c:v>
                </c:pt>
                <c:pt idx="198">
                  <c:v>44029</c:v>
                </c:pt>
                <c:pt idx="199">
                  <c:v>44030</c:v>
                </c:pt>
                <c:pt idx="200">
                  <c:v>44031</c:v>
                </c:pt>
                <c:pt idx="201">
                  <c:v>44032</c:v>
                </c:pt>
                <c:pt idx="202">
                  <c:v>44033</c:v>
                </c:pt>
                <c:pt idx="203">
                  <c:v>44034</c:v>
                </c:pt>
                <c:pt idx="204">
                  <c:v>44035</c:v>
                </c:pt>
                <c:pt idx="205">
                  <c:v>44036</c:v>
                </c:pt>
                <c:pt idx="206">
                  <c:v>44037</c:v>
                </c:pt>
                <c:pt idx="207">
                  <c:v>44038</c:v>
                </c:pt>
                <c:pt idx="208">
                  <c:v>44039</c:v>
                </c:pt>
                <c:pt idx="209">
                  <c:v>44040</c:v>
                </c:pt>
                <c:pt idx="210">
                  <c:v>44041</c:v>
                </c:pt>
                <c:pt idx="211">
                  <c:v>44042</c:v>
                </c:pt>
                <c:pt idx="212">
                  <c:v>44043</c:v>
                </c:pt>
                <c:pt idx="213">
                  <c:v>44044</c:v>
                </c:pt>
                <c:pt idx="214">
                  <c:v>44045</c:v>
                </c:pt>
                <c:pt idx="215">
                  <c:v>44046</c:v>
                </c:pt>
                <c:pt idx="216">
                  <c:v>44047</c:v>
                </c:pt>
                <c:pt idx="217">
                  <c:v>44048</c:v>
                </c:pt>
                <c:pt idx="218">
                  <c:v>44049</c:v>
                </c:pt>
                <c:pt idx="219">
                  <c:v>44050</c:v>
                </c:pt>
                <c:pt idx="220">
                  <c:v>44051</c:v>
                </c:pt>
                <c:pt idx="221">
                  <c:v>44052</c:v>
                </c:pt>
                <c:pt idx="222">
                  <c:v>44053</c:v>
                </c:pt>
                <c:pt idx="223">
                  <c:v>44054</c:v>
                </c:pt>
                <c:pt idx="224">
                  <c:v>44055</c:v>
                </c:pt>
                <c:pt idx="225">
                  <c:v>44056</c:v>
                </c:pt>
                <c:pt idx="226">
                  <c:v>44057</c:v>
                </c:pt>
                <c:pt idx="227">
                  <c:v>44058</c:v>
                </c:pt>
                <c:pt idx="228">
                  <c:v>44059</c:v>
                </c:pt>
                <c:pt idx="229">
                  <c:v>44060</c:v>
                </c:pt>
                <c:pt idx="230">
                  <c:v>44061</c:v>
                </c:pt>
                <c:pt idx="231">
                  <c:v>44062</c:v>
                </c:pt>
                <c:pt idx="232">
                  <c:v>44063</c:v>
                </c:pt>
                <c:pt idx="233">
                  <c:v>44064</c:v>
                </c:pt>
                <c:pt idx="234">
                  <c:v>44065</c:v>
                </c:pt>
                <c:pt idx="235">
                  <c:v>44066</c:v>
                </c:pt>
                <c:pt idx="236">
                  <c:v>44067</c:v>
                </c:pt>
                <c:pt idx="237">
                  <c:v>44068</c:v>
                </c:pt>
                <c:pt idx="238">
                  <c:v>44069</c:v>
                </c:pt>
                <c:pt idx="239">
                  <c:v>44070</c:v>
                </c:pt>
                <c:pt idx="240">
                  <c:v>44071</c:v>
                </c:pt>
                <c:pt idx="241">
                  <c:v>44072</c:v>
                </c:pt>
                <c:pt idx="242">
                  <c:v>44073</c:v>
                </c:pt>
                <c:pt idx="243">
                  <c:v>44074</c:v>
                </c:pt>
                <c:pt idx="244">
                  <c:v>44075</c:v>
                </c:pt>
                <c:pt idx="245">
                  <c:v>44076</c:v>
                </c:pt>
                <c:pt idx="246">
                  <c:v>44077</c:v>
                </c:pt>
                <c:pt idx="247">
                  <c:v>44078</c:v>
                </c:pt>
                <c:pt idx="248">
                  <c:v>44079</c:v>
                </c:pt>
                <c:pt idx="249">
                  <c:v>44080</c:v>
                </c:pt>
                <c:pt idx="250">
                  <c:v>44081</c:v>
                </c:pt>
                <c:pt idx="251">
                  <c:v>44082</c:v>
                </c:pt>
                <c:pt idx="252">
                  <c:v>44083</c:v>
                </c:pt>
                <c:pt idx="253">
                  <c:v>44084</c:v>
                </c:pt>
                <c:pt idx="254">
                  <c:v>44085</c:v>
                </c:pt>
                <c:pt idx="255">
                  <c:v>44086</c:v>
                </c:pt>
                <c:pt idx="256">
                  <c:v>44087</c:v>
                </c:pt>
                <c:pt idx="257">
                  <c:v>44088</c:v>
                </c:pt>
                <c:pt idx="258">
                  <c:v>44089</c:v>
                </c:pt>
                <c:pt idx="259">
                  <c:v>44090</c:v>
                </c:pt>
                <c:pt idx="260">
                  <c:v>44091</c:v>
                </c:pt>
                <c:pt idx="261">
                  <c:v>44092</c:v>
                </c:pt>
                <c:pt idx="262">
                  <c:v>44093</c:v>
                </c:pt>
                <c:pt idx="263">
                  <c:v>44094</c:v>
                </c:pt>
                <c:pt idx="264">
                  <c:v>44095</c:v>
                </c:pt>
                <c:pt idx="265">
                  <c:v>44096</c:v>
                </c:pt>
                <c:pt idx="266">
                  <c:v>44097</c:v>
                </c:pt>
                <c:pt idx="267">
                  <c:v>44098</c:v>
                </c:pt>
                <c:pt idx="268">
                  <c:v>44099</c:v>
                </c:pt>
                <c:pt idx="269">
                  <c:v>44100</c:v>
                </c:pt>
                <c:pt idx="270">
                  <c:v>44101</c:v>
                </c:pt>
                <c:pt idx="271">
                  <c:v>44102</c:v>
                </c:pt>
                <c:pt idx="272">
                  <c:v>44103</c:v>
                </c:pt>
                <c:pt idx="273">
                  <c:v>44104</c:v>
                </c:pt>
                <c:pt idx="274">
                  <c:v>44105</c:v>
                </c:pt>
                <c:pt idx="275">
                  <c:v>44106</c:v>
                </c:pt>
                <c:pt idx="276">
                  <c:v>44107</c:v>
                </c:pt>
                <c:pt idx="277">
                  <c:v>44108</c:v>
                </c:pt>
                <c:pt idx="278">
                  <c:v>44109</c:v>
                </c:pt>
                <c:pt idx="279">
                  <c:v>44110</c:v>
                </c:pt>
                <c:pt idx="280">
                  <c:v>44111</c:v>
                </c:pt>
                <c:pt idx="281">
                  <c:v>44112</c:v>
                </c:pt>
                <c:pt idx="282">
                  <c:v>44113</c:v>
                </c:pt>
                <c:pt idx="283">
                  <c:v>44114</c:v>
                </c:pt>
                <c:pt idx="284">
                  <c:v>44115</c:v>
                </c:pt>
                <c:pt idx="285">
                  <c:v>44116</c:v>
                </c:pt>
                <c:pt idx="286">
                  <c:v>44117</c:v>
                </c:pt>
                <c:pt idx="287">
                  <c:v>44118</c:v>
                </c:pt>
                <c:pt idx="288">
                  <c:v>44119</c:v>
                </c:pt>
                <c:pt idx="289">
                  <c:v>44120</c:v>
                </c:pt>
                <c:pt idx="290">
                  <c:v>44121</c:v>
                </c:pt>
                <c:pt idx="291">
                  <c:v>44122</c:v>
                </c:pt>
                <c:pt idx="292">
                  <c:v>44123</c:v>
                </c:pt>
                <c:pt idx="293">
                  <c:v>44124</c:v>
                </c:pt>
                <c:pt idx="294">
                  <c:v>44125</c:v>
                </c:pt>
                <c:pt idx="295">
                  <c:v>44126</c:v>
                </c:pt>
                <c:pt idx="296">
                  <c:v>44127</c:v>
                </c:pt>
                <c:pt idx="297">
                  <c:v>44128</c:v>
                </c:pt>
                <c:pt idx="298">
                  <c:v>44129</c:v>
                </c:pt>
                <c:pt idx="299">
                  <c:v>44130</c:v>
                </c:pt>
                <c:pt idx="300">
                  <c:v>44131</c:v>
                </c:pt>
                <c:pt idx="301">
                  <c:v>44132</c:v>
                </c:pt>
                <c:pt idx="302">
                  <c:v>44133</c:v>
                </c:pt>
                <c:pt idx="303">
                  <c:v>44134</c:v>
                </c:pt>
                <c:pt idx="304">
                  <c:v>44135</c:v>
                </c:pt>
                <c:pt idx="305">
                  <c:v>44136</c:v>
                </c:pt>
                <c:pt idx="306">
                  <c:v>44137</c:v>
                </c:pt>
                <c:pt idx="307">
                  <c:v>44138</c:v>
                </c:pt>
                <c:pt idx="308">
                  <c:v>44139</c:v>
                </c:pt>
                <c:pt idx="309">
                  <c:v>44140</c:v>
                </c:pt>
                <c:pt idx="310">
                  <c:v>44141</c:v>
                </c:pt>
                <c:pt idx="311">
                  <c:v>44142</c:v>
                </c:pt>
                <c:pt idx="312">
                  <c:v>44143</c:v>
                </c:pt>
                <c:pt idx="313">
                  <c:v>44144</c:v>
                </c:pt>
                <c:pt idx="314">
                  <c:v>44145</c:v>
                </c:pt>
                <c:pt idx="315">
                  <c:v>44146</c:v>
                </c:pt>
                <c:pt idx="316">
                  <c:v>44147</c:v>
                </c:pt>
                <c:pt idx="317">
                  <c:v>44148</c:v>
                </c:pt>
                <c:pt idx="318">
                  <c:v>44149</c:v>
                </c:pt>
                <c:pt idx="319">
                  <c:v>44150</c:v>
                </c:pt>
                <c:pt idx="320">
                  <c:v>44151</c:v>
                </c:pt>
                <c:pt idx="321">
                  <c:v>44152</c:v>
                </c:pt>
                <c:pt idx="322">
                  <c:v>44153</c:v>
                </c:pt>
                <c:pt idx="323">
                  <c:v>44154</c:v>
                </c:pt>
                <c:pt idx="324">
                  <c:v>44155</c:v>
                </c:pt>
                <c:pt idx="325">
                  <c:v>44156</c:v>
                </c:pt>
                <c:pt idx="326">
                  <c:v>44157</c:v>
                </c:pt>
                <c:pt idx="327">
                  <c:v>44158</c:v>
                </c:pt>
                <c:pt idx="328">
                  <c:v>44159</c:v>
                </c:pt>
                <c:pt idx="329">
                  <c:v>44160</c:v>
                </c:pt>
                <c:pt idx="330">
                  <c:v>44161</c:v>
                </c:pt>
                <c:pt idx="331">
                  <c:v>44162</c:v>
                </c:pt>
                <c:pt idx="332">
                  <c:v>44163</c:v>
                </c:pt>
                <c:pt idx="333">
                  <c:v>44164</c:v>
                </c:pt>
                <c:pt idx="334">
                  <c:v>44165</c:v>
                </c:pt>
                <c:pt idx="335">
                  <c:v>44166</c:v>
                </c:pt>
                <c:pt idx="336">
                  <c:v>44167</c:v>
                </c:pt>
                <c:pt idx="337">
                  <c:v>44168</c:v>
                </c:pt>
                <c:pt idx="338">
                  <c:v>44169</c:v>
                </c:pt>
                <c:pt idx="339">
                  <c:v>44170</c:v>
                </c:pt>
                <c:pt idx="340">
                  <c:v>44171</c:v>
                </c:pt>
                <c:pt idx="341">
                  <c:v>44172</c:v>
                </c:pt>
                <c:pt idx="342">
                  <c:v>44173</c:v>
                </c:pt>
                <c:pt idx="343">
                  <c:v>44174</c:v>
                </c:pt>
                <c:pt idx="344">
                  <c:v>44175</c:v>
                </c:pt>
                <c:pt idx="345">
                  <c:v>44176</c:v>
                </c:pt>
                <c:pt idx="346">
                  <c:v>44177</c:v>
                </c:pt>
                <c:pt idx="347">
                  <c:v>44178</c:v>
                </c:pt>
                <c:pt idx="348">
                  <c:v>44179</c:v>
                </c:pt>
                <c:pt idx="349">
                  <c:v>44180</c:v>
                </c:pt>
                <c:pt idx="350">
                  <c:v>44181</c:v>
                </c:pt>
                <c:pt idx="351">
                  <c:v>44182</c:v>
                </c:pt>
                <c:pt idx="352">
                  <c:v>44183</c:v>
                </c:pt>
                <c:pt idx="353">
                  <c:v>44184</c:v>
                </c:pt>
                <c:pt idx="354">
                  <c:v>44185</c:v>
                </c:pt>
                <c:pt idx="355">
                  <c:v>44186</c:v>
                </c:pt>
                <c:pt idx="356">
                  <c:v>44187</c:v>
                </c:pt>
                <c:pt idx="357">
                  <c:v>44188</c:v>
                </c:pt>
                <c:pt idx="358">
                  <c:v>44189</c:v>
                </c:pt>
                <c:pt idx="359">
                  <c:v>44190</c:v>
                </c:pt>
                <c:pt idx="360">
                  <c:v>44191</c:v>
                </c:pt>
                <c:pt idx="361">
                  <c:v>44192</c:v>
                </c:pt>
                <c:pt idx="362">
                  <c:v>44193</c:v>
                </c:pt>
                <c:pt idx="363">
                  <c:v>44194</c:v>
                </c:pt>
                <c:pt idx="364">
                  <c:v>44195</c:v>
                </c:pt>
                <c:pt idx="365">
                  <c:v>44196</c:v>
                </c:pt>
                <c:pt idx="366">
                  <c:v>44197</c:v>
                </c:pt>
                <c:pt idx="367">
                  <c:v>44198</c:v>
                </c:pt>
                <c:pt idx="368">
                  <c:v>44199</c:v>
                </c:pt>
                <c:pt idx="369">
                  <c:v>44200</c:v>
                </c:pt>
                <c:pt idx="370">
                  <c:v>44201</c:v>
                </c:pt>
                <c:pt idx="371">
                  <c:v>44202</c:v>
                </c:pt>
                <c:pt idx="372">
                  <c:v>44203</c:v>
                </c:pt>
                <c:pt idx="373">
                  <c:v>44204</c:v>
                </c:pt>
                <c:pt idx="374">
                  <c:v>44205</c:v>
                </c:pt>
                <c:pt idx="375">
                  <c:v>44206</c:v>
                </c:pt>
                <c:pt idx="376">
                  <c:v>44207</c:v>
                </c:pt>
                <c:pt idx="377">
                  <c:v>44208</c:v>
                </c:pt>
                <c:pt idx="378">
                  <c:v>44209</c:v>
                </c:pt>
                <c:pt idx="379">
                  <c:v>44210</c:v>
                </c:pt>
                <c:pt idx="380">
                  <c:v>44211</c:v>
                </c:pt>
                <c:pt idx="381">
                  <c:v>44212</c:v>
                </c:pt>
                <c:pt idx="382">
                  <c:v>44213</c:v>
                </c:pt>
                <c:pt idx="383">
                  <c:v>44214</c:v>
                </c:pt>
                <c:pt idx="384">
                  <c:v>44215</c:v>
                </c:pt>
                <c:pt idx="385">
                  <c:v>44216</c:v>
                </c:pt>
                <c:pt idx="386">
                  <c:v>44217</c:v>
                </c:pt>
                <c:pt idx="387">
                  <c:v>44218</c:v>
                </c:pt>
                <c:pt idx="388">
                  <c:v>44219</c:v>
                </c:pt>
                <c:pt idx="389">
                  <c:v>44220</c:v>
                </c:pt>
                <c:pt idx="390">
                  <c:v>44221</c:v>
                </c:pt>
                <c:pt idx="391">
                  <c:v>44222</c:v>
                </c:pt>
                <c:pt idx="392">
                  <c:v>44223</c:v>
                </c:pt>
                <c:pt idx="393">
                  <c:v>44224</c:v>
                </c:pt>
                <c:pt idx="394">
                  <c:v>44225</c:v>
                </c:pt>
                <c:pt idx="395">
                  <c:v>44226</c:v>
                </c:pt>
                <c:pt idx="396">
                  <c:v>44227</c:v>
                </c:pt>
                <c:pt idx="397">
                  <c:v>44228</c:v>
                </c:pt>
                <c:pt idx="398">
                  <c:v>44229</c:v>
                </c:pt>
                <c:pt idx="399">
                  <c:v>44230</c:v>
                </c:pt>
                <c:pt idx="400">
                  <c:v>44231</c:v>
                </c:pt>
                <c:pt idx="401">
                  <c:v>44232</c:v>
                </c:pt>
                <c:pt idx="402">
                  <c:v>44233</c:v>
                </c:pt>
                <c:pt idx="403">
                  <c:v>44234</c:v>
                </c:pt>
                <c:pt idx="404">
                  <c:v>44235</c:v>
                </c:pt>
                <c:pt idx="405">
                  <c:v>44236</c:v>
                </c:pt>
                <c:pt idx="406">
                  <c:v>44237</c:v>
                </c:pt>
                <c:pt idx="407">
                  <c:v>44238</c:v>
                </c:pt>
                <c:pt idx="408">
                  <c:v>44239</c:v>
                </c:pt>
                <c:pt idx="409">
                  <c:v>44240</c:v>
                </c:pt>
                <c:pt idx="410">
                  <c:v>44241</c:v>
                </c:pt>
                <c:pt idx="411">
                  <c:v>44242</c:v>
                </c:pt>
                <c:pt idx="412">
                  <c:v>44243</c:v>
                </c:pt>
                <c:pt idx="413">
                  <c:v>44244</c:v>
                </c:pt>
                <c:pt idx="414">
                  <c:v>44245</c:v>
                </c:pt>
                <c:pt idx="415">
                  <c:v>44246</c:v>
                </c:pt>
                <c:pt idx="416">
                  <c:v>44247</c:v>
                </c:pt>
                <c:pt idx="417">
                  <c:v>44248</c:v>
                </c:pt>
                <c:pt idx="418">
                  <c:v>44249</c:v>
                </c:pt>
                <c:pt idx="419">
                  <c:v>44250</c:v>
                </c:pt>
                <c:pt idx="420">
                  <c:v>44251</c:v>
                </c:pt>
                <c:pt idx="421">
                  <c:v>44252</c:v>
                </c:pt>
                <c:pt idx="422">
                  <c:v>44253</c:v>
                </c:pt>
                <c:pt idx="423">
                  <c:v>44254</c:v>
                </c:pt>
                <c:pt idx="424">
                  <c:v>44255</c:v>
                </c:pt>
                <c:pt idx="425">
                  <c:v>44256</c:v>
                </c:pt>
                <c:pt idx="426">
                  <c:v>44257</c:v>
                </c:pt>
                <c:pt idx="427">
                  <c:v>44258</c:v>
                </c:pt>
                <c:pt idx="428">
                  <c:v>44259</c:v>
                </c:pt>
                <c:pt idx="429">
                  <c:v>44260</c:v>
                </c:pt>
                <c:pt idx="430">
                  <c:v>44261</c:v>
                </c:pt>
                <c:pt idx="431">
                  <c:v>44262</c:v>
                </c:pt>
                <c:pt idx="432">
                  <c:v>44263</c:v>
                </c:pt>
                <c:pt idx="433">
                  <c:v>44264</c:v>
                </c:pt>
                <c:pt idx="434">
                  <c:v>44265</c:v>
                </c:pt>
                <c:pt idx="435">
                  <c:v>44266</c:v>
                </c:pt>
                <c:pt idx="436">
                  <c:v>44267</c:v>
                </c:pt>
                <c:pt idx="437">
                  <c:v>44268</c:v>
                </c:pt>
                <c:pt idx="438">
                  <c:v>44269</c:v>
                </c:pt>
                <c:pt idx="439">
                  <c:v>44270</c:v>
                </c:pt>
                <c:pt idx="440">
                  <c:v>44271</c:v>
                </c:pt>
                <c:pt idx="441">
                  <c:v>44272</c:v>
                </c:pt>
                <c:pt idx="442">
                  <c:v>44273</c:v>
                </c:pt>
                <c:pt idx="443">
                  <c:v>44274</c:v>
                </c:pt>
                <c:pt idx="444">
                  <c:v>44275</c:v>
                </c:pt>
                <c:pt idx="445">
                  <c:v>44276</c:v>
                </c:pt>
                <c:pt idx="446">
                  <c:v>44277</c:v>
                </c:pt>
                <c:pt idx="447">
                  <c:v>44278</c:v>
                </c:pt>
                <c:pt idx="448">
                  <c:v>44279</c:v>
                </c:pt>
                <c:pt idx="449">
                  <c:v>44280</c:v>
                </c:pt>
                <c:pt idx="450">
                  <c:v>44281</c:v>
                </c:pt>
                <c:pt idx="451">
                  <c:v>44282</c:v>
                </c:pt>
                <c:pt idx="452">
                  <c:v>44283</c:v>
                </c:pt>
                <c:pt idx="453">
                  <c:v>44284</c:v>
                </c:pt>
                <c:pt idx="454">
                  <c:v>44285</c:v>
                </c:pt>
                <c:pt idx="455">
                  <c:v>44286</c:v>
                </c:pt>
                <c:pt idx="456">
                  <c:v>44287</c:v>
                </c:pt>
                <c:pt idx="457">
                  <c:v>44288</c:v>
                </c:pt>
                <c:pt idx="458">
                  <c:v>44289</c:v>
                </c:pt>
                <c:pt idx="459">
                  <c:v>44290</c:v>
                </c:pt>
                <c:pt idx="460">
                  <c:v>44291</c:v>
                </c:pt>
                <c:pt idx="461">
                  <c:v>44292</c:v>
                </c:pt>
                <c:pt idx="462">
                  <c:v>44293</c:v>
                </c:pt>
                <c:pt idx="463">
                  <c:v>44294</c:v>
                </c:pt>
                <c:pt idx="464">
                  <c:v>44295</c:v>
                </c:pt>
                <c:pt idx="465">
                  <c:v>44296</c:v>
                </c:pt>
                <c:pt idx="466">
                  <c:v>44297</c:v>
                </c:pt>
                <c:pt idx="467">
                  <c:v>44298</c:v>
                </c:pt>
                <c:pt idx="468">
                  <c:v>44299</c:v>
                </c:pt>
                <c:pt idx="469">
                  <c:v>44300</c:v>
                </c:pt>
                <c:pt idx="470">
                  <c:v>44301</c:v>
                </c:pt>
                <c:pt idx="471">
                  <c:v>44302</c:v>
                </c:pt>
                <c:pt idx="472">
                  <c:v>44303</c:v>
                </c:pt>
                <c:pt idx="473">
                  <c:v>44304</c:v>
                </c:pt>
                <c:pt idx="474">
                  <c:v>44305</c:v>
                </c:pt>
                <c:pt idx="475">
                  <c:v>44306</c:v>
                </c:pt>
                <c:pt idx="476">
                  <c:v>44307</c:v>
                </c:pt>
                <c:pt idx="477">
                  <c:v>44308</c:v>
                </c:pt>
                <c:pt idx="478">
                  <c:v>44309</c:v>
                </c:pt>
                <c:pt idx="479">
                  <c:v>44310</c:v>
                </c:pt>
                <c:pt idx="480">
                  <c:v>44311</c:v>
                </c:pt>
                <c:pt idx="481">
                  <c:v>44312</c:v>
                </c:pt>
                <c:pt idx="482">
                  <c:v>44313</c:v>
                </c:pt>
                <c:pt idx="483">
                  <c:v>44314</c:v>
                </c:pt>
                <c:pt idx="484">
                  <c:v>44315</c:v>
                </c:pt>
                <c:pt idx="485">
                  <c:v>44316</c:v>
                </c:pt>
                <c:pt idx="486">
                  <c:v>44317</c:v>
                </c:pt>
                <c:pt idx="487">
                  <c:v>44318</c:v>
                </c:pt>
                <c:pt idx="488">
                  <c:v>44319</c:v>
                </c:pt>
                <c:pt idx="489">
                  <c:v>44320</c:v>
                </c:pt>
                <c:pt idx="490">
                  <c:v>44321</c:v>
                </c:pt>
                <c:pt idx="491">
                  <c:v>44322</c:v>
                </c:pt>
                <c:pt idx="492">
                  <c:v>44323</c:v>
                </c:pt>
                <c:pt idx="493">
                  <c:v>44324</c:v>
                </c:pt>
                <c:pt idx="494">
                  <c:v>44325</c:v>
                </c:pt>
                <c:pt idx="495">
                  <c:v>44326</c:v>
                </c:pt>
                <c:pt idx="496">
                  <c:v>44327</c:v>
                </c:pt>
                <c:pt idx="497">
                  <c:v>44328</c:v>
                </c:pt>
                <c:pt idx="498">
                  <c:v>44329</c:v>
                </c:pt>
                <c:pt idx="499">
                  <c:v>44330</c:v>
                </c:pt>
                <c:pt idx="500">
                  <c:v>44331</c:v>
                </c:pt>
                <c:pt idx="501">
                  <c:v>44332</c:v>
                </c:pt>
                <c:pt idx="502">
                  <c:v>44333</c:v>
                </c:pt>
                <c:pt idx="503">
                  <c:v>44334</c:v>
                </c:pt>
                <c:pt idx="504">
                  <c:v>44335</c:v>
                </c:pt>
                <c:pt idx="505">
                  <c:v>44336</c:v>
                </c:pt>
                <c:pt idx="506">
                  <c:v>44337</c:v>
                </c:pt>
                <c:pt idx="507">
                  <c:v>44338</c:v>
                </c:pt>
                <c:pt idx="508">
                  <c:v>44339</c:v>
                </c:pt>
                <c:pt idx="509">
                  <c:v>44340</c:v>
                </c:pt>
                <c:pt idx="510">
                  <c:v>44341</c:v>
                </c:pt>
                <c:pt idx="511">
                  <c:v>44342</c:v>
                </c:pt>
                <c:pt idx="512">
                  <c:v>44343</c:v>
                </c:pt>
                <c:pt idx="513">
                  <c:v>44344</c:v>
                </c:pt>
                <c:pt idx="514">
                  <c:v>44345</c:v>
                </c:pt>
                <c:pt idx="515">
                  <c:v>44346</c:v>
                </c:pt>
                <c:pt idx="516">
                  <c:v>44347</c:v>
                </c:pt>
                <c:pt idx="517">
                  <c:v>44348</c:v>
                </c:pt>
                <c:pt idx="518">
                  <c:v>44349</c:v>
                </c:pt>
                <c:pt idx="519">
                  <c:v>44350</c:v>
                </c:pt>
                <c:pt idx="520">
                  <c:v>44351</c:v>
                </c:pt>
                <c:pt idx="521">
                  <c:v>44352</c:v>
                </c:pt>
                <c:pt idx="522">
                  <c:v>44353</c:v>
                </c:pt>
                <c:pt idx="523">
                  <c:v>44354</c:v>
                </c:pt>
                <c:pt idx="524">
                  <c:v>44355</c:v>
                </c:pt>
                <c:pt idx="525">
                  <c:v>44356</c:v>
                </c:pt>
                <c:pt idx="526">
                  <c:v>44357</c:v>
                </c:pt>
                <c:pt idx="527">
                  <c:v>44358</c:v>
                </c:pt>
                <c:pt idx="528">
                  <c:v>44359</c:v>
                </c:pt>
                <c:pt idx="529">
                  <c:v>44360</c:v>
                </c:pt>
                <c:pt idx="530">
                  <c:v>44361</c:v>
                </c:pt>
                <c:pt idx="531">
                  <c:v>44362</c:v>
                </c:pt>
                <c:pt idx="532">
                  <c:v>44363</c:v>
                </c:pt>
                <c:pt idx="533">
                  <c:v>44364</c:v>
                </c:pt>
                <c:pt idx="534">
                  <c:v>44365</c:v>
                </c:pt>
                <c:pt idx="535">
                  <c:v>44366</c:v>
                </c:pt>
                <c:pt idx="536">
                  <c:v>44367</c:v>
                </c:pt>
                <c:pt idx="537">
                  <c:v>44368</c:v>
                </c:pt>
                <c:pt idx="538">
                  <c:v>44369</c:v>
                </c:pt>
                <c:pt idx="539">
                  <c:v>44370</c:v>
                </c:pt>
                <c:pt idx="540">
                  <c:v>44371</c:v>
                </c:pt>
                <c:pt idx="541">
                  <c:v>44372</c:v>
                </c:pt>
                <c:pt idx="542">
                  <c:v>44373</c:v>
                </c:pt>
                <c:pt idx="543">
                  <c:v>44374</c:v>
                </c:pt>
                <c:pt idx="544">
                  <c:v>44375</c:v>
                </c:pt>
                <c:pt idx="545">
                  <c:v>44376</c:v>
                </c:pt>
                <c:pt idx="546">
                  <c:v>44377</c:v>
                </c:pt>
                <c:pt idx="547">
                  <c:v>44378</c:v>
                </c:pt>
                <c:pt idx="548">
                  <c:v>44379</c:v>
                </c:pt>
                <c:pt idx="549">
                  <c:v>44380</c:v>
                </c:pt>
                <c:pt idx="550">
                  <c:v>44381</c:v>
                </c:pt>
                <c:pt idx="551">
                  <c:v>44382</c:v>
                </c:pt>
                <c:pt idx="552">
                  <c:v>44383</c:v>
                </c:pt>
                <c:pt idx="553">
                  <c:v>44384</c:v>
                </c:pt>
                <c:pt idx="554">
                  <c:v>44385</c:v>
                </c:pt>
                <c:pt idx="555">
                  <c:v>44386</c:v>
                </c:pt>
                <c:pt idx="556">
                  <c:v>44387</c:v>
                </c:pt>
                <c:pt idx="557">
                  <c:v>44388</c:v>
                </c:pt>
                <c:pt idx="558">
                  <c:v>44389</c:v>
                </c:pt>
                <c:pt idx="559">
                  <c:v>44390</c:v>
                </c:pt>
                <c:pt idx="560">
                  <c:v>44391</c:v>
                </c:pt>
                <c:pt idx="561">
                  <c:v>44392</c:v>
                </c:pt>
                <c:pt idx="562">
                  <c:v>44393</c:v>
                </c:pt>
                <c:pt idx="563">
                  <c:v>44394</c:v>
                </c:pt>
                <c:pt idx="564">
                  <c:v>44395</c:v>
                </c:pt>
                <c:pt idx="565">
                  <c:v>44396</c:v>
                </c:pt>
                <c:pt idx="566">
                  <c:v>44397</c:v>
                </c:pt>
                <c:pt idx="567">
                  <c:v>44398</c:v>
                </c:pt>
                <c:pt idx="568">
                  <c:v>44399</c:v>
                </c:pt>
                <c:pt idx="569">
                  <c:v>44400</c:v>
                </c:pt>
                <c:pt idx="570">
                  <c:v>44401</c:v>
                </c:pt>
                <c:pt idx="571">
                  <c:v>44402</c:v>
                </c:pt>
                <c:pt idx="572">
                  <c:v>44403</c:v>
                </c:pt>
                <c:pt idx="573">
                  <c:v>44404</c:v>
                </c:pt>
                <c:pt idx="574">
                  <c:v>44405</c:v>
                </c:pt>
                <c:pt idx="575">
                  <c:v>44406</c:v>
                </c:pt>
                <c:pt idx="576">
                  <c:v>44407</c:v>
                </c:pt>
                <c:pt idx="577">
                  <c:v>44408</c:v>
                </c:pt>
                <c:pt idx="578">
                  <c:v>44409</c:v>
                </c:pt>
                <c:pt idx="579">
                  <c:v>44410</c:v>
                </c:pt>
                <c:pt idx="580">
                  <c:v>44411</c:v>
                </c:pt>
                <c:pt idx="581">
                  <c:v>44412</c:v>
                </c:pt>
                <c:pt idx="582">
                  <c:v>44413</c:v>
                </c:pt>
                <c:pt idx="583">
                  <c:v>44414</c:v>
                </c:pt>
                <c:pt idx="584">
                  <c:v>44415</c:v>
                </c:pt>
                <c:pt idx="585">
                  <c:v>44416</c:v>
                </c:pt>
                <c:pt idx="586">
                  <c:v>44417</c:v>
                </c:pt>
                <c:pt idx="587">
                  <c:v>44418</c:v>
                </c:pt>
                <c:pt idx="588">
                  <c:v>44419</c:v>
                </c:pt>
                <c:pt idx="589">
                  <c:v>44420</c:v>
                </c:pt>
                <c:pt idx="590">
                  <c:v>44421</c:v>
                </c:pt>
                <c:pt idx="591">
                  <c:v>44422</c:v>
                </c:pt>
                <c:pt idx="592">
                  <c:v>44423</c:v>
                </c:pt>
                <c:pt idx="593">
                  <c:v>44424</c:v>
                </c:pt>
                <c:pt idx="594">
                  <c:v>44425</c:v>
                </c:pt>
                <c:pt idx="595">
                  <c:v>44426</c:v>
                </c:pt>
                <c:pt idx="596">
                  <c:v>44427</c:v>
                </c:pt>
                <c:pt idx="597">
                  <c:v>44428</c:v>
                </c:pt>
                <c:pt idx="598">
                  <c:v>44429</c:v>
                </c:pt>
                <c:pt idx="599">
                  <c:v>44430</c:v>
                </c:pt>
                <c:pt idx="600">
                  <c:v>44431</c:v>
                </c:pt>
                <c:pt idx="601">
                  <c:v>44432</c:v>
                </c:pt>
                <c:pt idx="602">
                  <c:v>44433</c:v>
                </c:pt>
                <c:pt idx="603">
                  <c:v>44434</c:v>
                </c:pt>
                <c:pt idx="604">
                  <c:v>44435</c:v>
                </c:pt>
                <c:pt idx="605">
                  <c:v>44436</c:v>
                </c:pt>
                <c:pt idx="606">
                  <c:v>44437</c:v>
                </c:pt>
                <c:pt idx="607">
                  <c:v>44438</c:v>
                </c:pt>
                <c:pt idx="608">
                  <c:v>44439</c:v>
                </c:pt>
                <c:pt idx="609">
                  <c:v>44440</c:v>
                </c:pt>
                <c:pt idx="610">
                  <c:v>44441</c:v>
                </c:pt>
                <c:pt idx="611">
                  <c:v>44442</c:v>
                </c:pt>
                <c:pt idx="612">
                  <c:v>44443</c:v>
                </c:pt>
                <c:pt idx="613">
                  <c:v>44444</c:v>
                </c:pt>
                <c:pt idx="614">
                  <c:v>44445</c:v>
                </c:pt>
                <c:pt idx="615">
                  <c:v>44446</c:v>
                </c:pt>
                <c:pt idx="616">
                  <c:v>44447</c:v>
                </c:pt>
                <c:pt idx="617">
                  <c:v>44448</c:v>
                </c:pt>
                <c:pt idx="618">
                  <c:v>44449</c:v>
                </c:pt>
                <c:pt idx="619">
                  <c:v>44450</c:v>
                </c:pt>
                <c:pt idx="620">
                  <c:v>44451</c:v>
                </c:pt>
                <c:pt idx="621">
                  <c:v>44452</c:v>
                </c:pt>
                <c:pt idx="622">
                  <c:v>44453</c:v>
                </c:pt>
                <c:pt idx="623">
                  <c:v>44454</c:v>
                </c:pt>
                <c:pt idx="624">
                  <c:v>44455</c:v>
                </c:pt>
                <c:pt idx="625">
                  <c:v>44456</c:v>
                </c:pt>
                <c:pt idx="626">
                  <c:v>44457</c:v>
                </c:pt>
                <c:pt idx="627">
                  <c:v>44458</c:v>
                </c:pt>
                <c:pt idx="628">
                  <c:v>44459</c:v>
                </c:pt>
                <c:pt idx="629">
                  <c:v>44460</c:v>
                </c:pt>
                <c:pt idx="630">
                  <c:v>44461</c:v>
                </c:pt>
                <c:pt idx="631">
                  <c:v>44462</c:v>
                </c:pt>
                <c:pt idx="632">
                  <c:v>44463</c:v>
                </c:pt>
                <c:pt idx="633">
                  <c:v>44464</c:v>
                </c:pt>
                <c:pt idx="634">
                  <c:v>44465</c:v>
                </c:pt>
                <c:pt idx="635">
                  <c:v>44466</c:v>
                </c:pt>
                <c:pt idx="636">
                  <c:v>44467</c:v>
                </c:pt>
                <c:pt idx="637">
                  <c:v>44468</c:v>
                </c:pt>
                <c:pt idx="638">
                  <c:v>44469</c:v>
                </c:pt>
                <c:pt idx="639">
                  <c:v>44470</c:v>
                </c:pt>
                <c:pt idx="640">
                  <c:v>44471</c:v>
                </c:pt>
                <c:pt idx="641">
                  <c:v>44472</c:v>
                </c:pt>
                <c:pt idx="642">
                  <c:v>44473</c:v>
                </c:pt>
                <c:pt idx="643">
                  <c:v>44474</c:v>
                </c:pt>
                <c:pt idx="644">
                  <c:v>44475</c:v>
                </c:pt>
                <c:pt idx="645">
                  <c:v>44476</c:v>
                </c:pt>
                <c:pt idx="646">
                  <c:v>44477</c:v>
                </c:pt>
                <c:pt idx="647">
                  <c:v>44478</c:v>
                </c:pt>
                <c:pt idx="648">
                  <c:v>44479</c:v>
                </c:pt>
                <c:pt idx="649">
                  <c:v>44480</c:v>
                </c:pt>
                <c:pt idx="650">
                  <c:v>44481</c:v>
                </c:pt>
                <c:pt idx="651">
                  <c:v>44482</c:v>
                </c:pt>
                <c:pt idx="652">
                  <c:v>44483</c:v>
                </c:pt>
                <c:pt idx="653">
                  <c:v>44484</c:v>
                </c:pt>
                <c:pt idx="654">
                  <c:v>44485</c:v>
                </c:pt>
                <c:pt idx="655">
                  <c:v>44486</c:v>
                </c:pt>
                <c:pt idx="656">
                  <c:v>44487</c:v>
                </c:pt>
                <c:pt idx="657">
                  <c:v>44488</c:v>
                </c:pt>
                <c:pt idx="658">
                  <c:v>44489</c:v>
                </c:pt>
                <c:pt idx="659">
                  <c:v>44490</c:v>
                </c:pt>
                <c:pt idx="660">
                  <c:v>44491</c:v>
                </c:pt>
                <c:pt idx="661">
                  <c:v>44492</c:v>
                </c:pt>
                <c:pt idx="662">
                  <c:v>44493</c:v>
                </c:pt>
                <c:pt idx="663">
                  <c:v>44494</c:v>
                </c:pt>
                <c:pt idx="664">
                  <c:v>44495</c:v>
                </c:pt>
                <c:pt idx="665">
                  <c:v>44496</c:v>
                </c:pt>
                <c:pt idx="666">
                  <c:v>44497</c:v>
                </c:pt>
                <c:pt idx="667">
                  <c:v>44498</c:v>
                </c:pt>
                <c:pt idx="668">
                  <c:v>44499</c:v>
                </c:pt>
                <c:pt idx="669">
                  <c:v>44500</c:v>
                </c:pt>
                <c:pt idx="670">
                  <c:v>44501</c:v>
                </c:pt>
                <c:pt idx="671">
                  <c:v>44502</c:v>
                </c:pt>
                <c:pt idx="672">
                  <c:v>44503</c:v>
                </c:pt>
                <c:pt idx="673">
                  <c:v>44504</c:v>
                </c:pt>
                <c:pt idx="674">
                  <c:v>44505</c:v>
                </c:pt>
                <c:pt idx="675">
                  <c:v>44506</c:v>
                </c:pt>
                <c:pt idx="676">
                  <c:v>44507</c:v>
                </c:pt>
                <c:pt idx="677">
                  <c:v>44508</c:v>
                </c:pt>
                <c:pt idx="678">
                  <c:v>44509</c:v>
                </c:pt>
                <c:pt idx="679">
                  <c:v>44510</c:v>
                </c:pt>
                <c:pt idx="680">
                  <c:v>44511</c:v>
                </c:pt>
                <c:pt idx="681">
                  <c:v>44512</c:v>
                </c:pt>
                <c:pt idx="682">
                  <c:v>44513</c:v>
                </c:pt>
                <c:pt idx="683">
                  <c:v>44514</c:v>
                </c:pt>
                <c:pt idx="684">
                  <c:v>44515</c:v>
                </c:pt>
                <c:pt idx="685">
                  <c:v>44516</c:v>
                </c:pt>
                <c:pt idx="686">
                  <c:v>44517</c:v>
                </c:pt>
                <c:pt idx="687">
                  <c:v>44518</c:v>
                </c:pt>
                <c:pt idx="688">
                  <c:v>44519</c:v>
                </c:pt>
                <c:pt idx="689">
                  <c:v>44520</c:v>
                </c:pt>
                <c:pt idx="690">
                  <c:v>44521</c:v>
                </c:pt>
                <c:pt idx="691">
                  <c:v>44522</c:v>
                </c:pt>
                <c:pt idx="692">
                  <c:v>44523</c:v>
                </c:pt>
                <c:pt idx="693">
                  <c:v>44524</c:v>
                </c:pt>
                <c:pt idx="694">
                  <c:v>44525</c:v>
                </c:pt>
                <c:pt idx="695">
                  <c:v>44526</c:v>
                </c:pt>
                <c:pt idx="696">
                  <c:v>44527</c:v>
                </c:pt>
                <c:pt idx="697">
                  <c:v>44528</c:v>
                </c:pt>
                <c:pt idx="698">
                  <c:v>44529</c:v>
                </c:pt>
                <c:pt idx="699">
                  <c:v>44530</c:v>
                </c:pt>
                <c:pt idx="700">
                  <c:v>44531</c:v>
                </c:pt>
                <c:pt idx="701">
                  <c:v>44532</c:v>
                </c:pt>
                <c:pt idx="702">
                  <c:v>44533</c:v>
                </c:pt>
                <c:pt idx="703">
                  <c:v>44534</c:v>
                </c:pt>
                <c:pt idx="704">
                  <c:v>44535</c:v>
                </c:pt>
                <c:pt idx="705">
                  <c:v>44536</c:v>
                </c:pt>
                <c:pt idx="706">
                  <c:v>44537</c:v>
                </c:pt>
                <c:pt idx="707">
                  <c:v>44538</c:v>
                </c:pt>
                <c:pt idx="708">
                  <c:v>44539</c:v>
                </c:pt>
                <c:pt idx="709">
                  <c:v>44540</c:v>
                </c:pt>
                <c:pt idx="710">
                  <c:v>44541</c:v>
                </c:pt>
                <c:pt idx="711">
                  <c:v>44542</c:v>
                </c:pt>
                <c:pt idx="712">
                  <c:v>44543</c:v>
                </c:pt>
                <c:pt idx="713">
                  <c:v>44544</c:v>
                </c:pt>
                <c:pt idx="714">
                  <c:v>44545</c:v>
                </c:pt>
                <c:pt idx="715">
                  <c:v>44546</c:v>
                </c:pt>
                <c:pt idx="716">
                  <c:v>44547</c:v>
                </c:pt>
                <c:pt idx="717">
                  <c:v>44548</c:v>
                </c:pt>
                <c:pt idx="718">
                  <c:v>44549</c:v>
                </c:pt>
                <c:pt idx="719">
                  <c:v>44550</c:v>
                </c:pt>
                <c:pt idx="720">
                  <c:v>44551</c:v>
                </c:pt>
                <c:pt idx="721">
                  <c:v>44552</c:v>
                </c:pt>
                <c:pt idx="722">
                  <c:v>44553</c:v>
                </c:pt>
                <c:pt idx="723">
                  <c:v>44554</c:v>
                </c:pt>
                <c:pt idx="724">
                  <c:v>44555</c:v>
                </c:pt>
                <c:pt idx="725">
                  <c:v>44556</c:v>
                </c:pt>
                <c:pt idx="726">
                  <c:v>44557</c:v>
                </c:pt>
                <c:pt idx="727">
                  <c:v>44558</c:v>
                </c:pt>
                <c:pt idx="728">
                  <c:v>44559</c:v>
                </c:pt>
                <c:pt idx="729">
                  <c:v>44560</c:v>
                </c:pt>
                <c:pt idx="730">
                  <c:v>44561</c:v>
                </c:pt>
                <c:pt idx="731">
                  <c:v>44562</c:v>
                </c:pt>
                <c:pt idx="732">
                  <c:v>44563</c:v>
                </c:pt>
                <c:pt idx="733">
                  <c:v>44564</c:v>
                </c:pt>
                <c:pt idx="734">
                  <c:v>44565</c:v>
                </c:pt>
                <c:pt idx="735">
                  <c:v>44566</c:v>
                </c:pt>
                <c:pt idx="736">
                  <c:v>44567</c:v>
                </c:pt>
                <c:pt idx="737">
                  <c:v>44568</c:v>
                </c:pt>
                <c:pt idx="738">
                  <c:v>44569</c:v>
                </c:pt>
                <c:pt idx="739">
                  <c:v>44570</c:v>
                </c:pt>
                <c:pt idx="740">
                  <c:v>44571</c:v>
                </c:pt>
                <c:pt idx="741">
                  <c:v>44572</c:v>
                </c:pt>
                <c:pt idx="742">
                  <c:v>44573</c:v>
                </c:pt>
                <c:pt idx="743">
                  <c:v>44574</c:v>
                </c:pt>
                <c:pt idx="744">
                  <c:v>44575</c:v>
                </c:pt>
                <c:pt idx="745">
                  <c:v>44576</c:v>
                </c:pt>
                <c:pt idx="746">
                  <c:v>44577</c:v>
                </c:pt>
                <c:pt idx="747">
                  <c:v>44578</c:v>
                </c:pt>
                <c:pt idx="748">
                  <c:v>44579</c:v>
                </c:pt>
                <c:pt idx="749">
                  <c:v>44580</c:v>
                </c:pt>
                <c:pt idx="750">
                  <c:v>44581</c:v>
                </c:pt>
                <c:pt idx="751">
                  <c:v>44582</c:v>
                </c:pt>
                <c:pt idx="752">
                  <c:v>44583</c:v>
                </c:pt>
                <c:pt idx="753">
                  <c:v>44584</c:v>
                </c:pt>
                <c:pt idx="754">
                  <c:v>44585</c:v>
                </c:pt>
                <c:pt idx="755">
                  <c:v>44586</c:v>
                </c:pt>
                <c:pt idx="756">
                  <c:v>44587</c:v>
                </c:pt>
                <c:pt idx="757">
                  <c:v>44588</c:v>
                </c:pt>
                <c:pt idx="758">
                  <c:v>44589</c:v>
                </c:pt>
                <c:pt idx="759">
                  <c:v>44590</c:v>
                </c:pt>
                <c:pt idx="760">
                  <c:v>44591</c:v>
                </c:pt>
                <c:pt idx="761">
                  <c:v>44592</c:v>
                </c:pt>
                <c:pt idx="762">
                  <c:v>44593</c:v>
                </c:pt>
                <c:pt idx="763">
                  <c:v>44594</c:v>
                </c:pt>
                <c:pt idx="764">
                  <c:v>44595</c:v>
                </c:pt>
                <c:pt idx="765">
                  <c:v>44596</c:v>
                </c:pt>
                <c:pt idx="766">
                  <c:v>44597</c:v>
                </c:pt>
                <c:pt idx="767">
                  <c:v>44598</c:v>
                </c:pt>
                <c:pt idx="768">
                  <c:v>44599</c:v>
                </c:pt>
                <c:pt idx="769">
                  <c:v>44600</c:v>
                </c:pt>
                <c:pt idx="770">
                  <c:v>44601</c:v>
                </c:pt>
                <c:pt idx="771">
                  <c:v>44602</c:v>
                </c:pt>
                <c:pt idx="772">
                  <c:v>44603</c:v>
                </c:pt>
                <c:pt idx="773">
                  <c:v>44604</c:v>
                </c:pt>
                <c:pt idx="774">
                  <c:v>44605</c:v>
                </c:pt>
                <c:pt idx="775">
                  <c:v>44606</c:v>
                </c:pt>
                <c:pt idx="776">
                  <c:v>44607</c:v>
                </c:pt>
                <c:pt idx="777">
                  <c:v>44608</c:v>
                </c:pt>
                <c:pt idx="778">
                  <c:v>44609</c:v>
                </c:pt>
                <c:pt idx="779">
                  <c:v>44610</c:v>
                </c:pt>
                <c:pt idx="780">
                  <c:v>44611</c:v>
                </c:pt>
                <c:pt idx="781">
                  <c:v>44612</c:v>
                </c:pt>
                <c:pt idx="782">
                  <c:v>44613</c:v>
                </c:pt>
                <c:pt idx="783">
                  <c:v>44614</c:v>
                </c:pt>
                <c:pt idx="784">
                  <c:v>44615</c:v>
                </c:pt>
                <c:pt idx="785">
                  <c:v>44616</c:v>
                </c:pt>
                <c:pt idx="786">
                  <c:v>44617</c:v>
                </c:pt>
                <c:pt idx="787">
                  <c:v>44618</c:v>
                </c:pt>
                <c:pt idx="788">
                  <c:v>44619</c:v>
                </c:pt>
                <c:pt idx="789">
                  <c:v>44620</c:v>
                </c:pt>
                <c:pt idx="790">
                  <c:v>44621</c:v>
                </c:pt>
                <c:pt idx="791">
                  <c:v>44622</c:v>
                </c:pt>
                <c:pt idx="792">
                  <c:v>44623</c:v>
                </c:pt>
                <c:pt idx="793">
                  <c:v>44624</c:v>
                </c:pt>
                <c:pt idx="794">
                  <c:v>44625</c:v>
                </c:pt>
                <c:pt idx="795">
                  <c:v>44626</c:v>
                </c:pt>
                <c:pt idx="796">
                  <c:v>44627</c:v>
                </c:pt>
                <c:pt idx="797">
                  <c:v>44628</c:v>
                </c:pt>
                <c:pt idx="798">
                  <c:v>44629</c:v>
                </c:pt>
                <c:pt idx="799">
                  <c:v>44630</c:v>
                </c:pt>
                <c:pt idx="800">
                  <c:v>44631</c:v>
                </c:pt>
                <c:pt idx="801">
                  <c:v>44632</c:v>
                </c:pt>
                <c:pt idx="802">
                  <c:v>44633</c:v>
                </c:pt>
                <c:pt idx="803">
                  <c:v>44634</c:v>
                </c:pt>
                <c:pt idx="804">
                  <c:v>44635</c:v>
                </c:pt>
                <c:pt idx="805">
                  <c:v>44636</c:v>
                </c:pt>
                <c:pt idx="806">
                  <c:v>44637</c:v>
                </c:pt>
                <c:pt idx="807">
                  <c:v>44638</c:v>
                </c:pt>
                <c:pt idx="808">
                  <c:v>44639</c:v>
                </c:pt>
                <c:pt idx="809">
                  <c:v>44640</c:v>
                </c:pt>
                <c:pt idx="810">
                  <c:v>44641</c:v>
                </c:pt>
                <c:pt idx="811">
                  <c:v>44642</c:v>
                </c:pt>
                <c:pt idx="812">
                  <c:v>44643</c:v>
                </c:pt>
                <c:pt idx="813">
                  <c:v>44644</c:v>
                </c:pt>
                <c:pt idx="814">
                  <c:v>44645</c:v>
                </c:pt>
                <c:pt idx="815">
                  <c:v>44646</c:v>
                </c:pt>
                <c:pt idx="816">
                  <c:v>44647</c:v>
                </c:pt>
                <c:pt idx="817">
                  <c:v>44648</c:v>
                </c:pt>
                <c:pt idx="818">
                  <c:v>44649</c:v>
                </c:pt>
                <c:pt idx="819">
                  <c:v>44650</c:v>
                </c:pt>
                <c:pt idx="820">
                  <c:v>44651</c:v>
                </c:pt>
                <c:pt idx="821">
                  <c:v>44652</c:v>
                </c:pt>
                <c:pt idx="822">
                  <c:v>44653</c:v>
                </c:pt>
                <c:pt idx="823">
                  <c:v>44654</c:v>
                </c:pt>
                <c:pt idx="824">
                  <c:v>44655</c:v>
                </c:pt>
                <c:pt idx="825">
                  <c:v>44656</c:v>
                </c:pt>
                <c:pt idx="826">
                  <c:v>44657</c:v>
                </c:pt>
                <c:pt idx="827">
                  <c:v>44658</c:v>
                </c:pt>
                <c:pt idx="828">
                  <c:v>44659</c:v>
                </c:pt>
                <c:pt idx="829">
                  <c:v>44660</c:v>
                </c:pt>
                <c:pt idx="830">
                  <c:v>44661</c:v>
                </c:pt>
                <c:pt idx="831">
                  <c:v>44662</c:v>
                </c:pt>
                <c:pt idx="832">
                  <c:v>44663</c:v>
                </c:pt>
                <c:pt idx="833">
                  <c:v>44664</c:v>
                </c:pt>
                <c:pt idx="834">
                  <c:v>44665</c:v>
                </c:pt>
                <c:pt idx="835">
                  <c:v>44666</c:v>
                </c:pt>
                <c:pt idx="836">
                  <c:v>44667</c:v>
                </c:pt>
                <c:pt idx="837">
                  <c:v>44668</c:v>
                </c:pt>
                <c:pt idx="838">
                  <c:v>44669</c:v>
                </c:pt>
                <c:pt idx="839">
                  <c:v>44670</c:v>
                </c:pt>
                <c:pt idx="840">
                  <c:v>44671</c:v>
                </c:pt>
                <c:pt idx="841">
                  <c:v>44672</c:v>
                </c:pt>
                <c:pt idx="842">
                  <c:v>44673</c:v>
                </c:pt>
                <c:pt idx="843">
                  <c:v>44674</c:v>
                </c:pt>
                <c:pt idx="844">
                  <c:v>44675</c:v>
                </c:pt>
                <c:pt idx="845">
                  <c:v>44676</c:v>
                </c:pt>
                <c:pt idx="846">
                  <c:v>44677</c:v>
                </c:pt>
                <c:pt idx="847">
                  <c:v>44678</c:v>
                </c:pt>
                <c:pt idx="848">
                  <c:v>44679</c:v>
                </c:pt>
                <c:pt idx="849">
                  <c:v>44680</c:v>
                </c:pt>
                <c:pt idx="850">
                  <c:v>44681</c:v>
                </c:pt>
                <c:pt idx="851">
                  <c:v>44682</c:v>
                </c:pt>
                <c:pt idx="852">
                  <c:v>44683</c:v>
                </c:pt>
                <c:pt idx="853">
                  <c:v>44684</c:v>
                </c:pt>
                <c:pt idx="854">
                  <c:v>44685</c:v>
                </c:pt>
                <c:pt idx="855">
                  <c:v>44686</c:v>
                </c:pt>
                <c:pt idx="856">
                  <c:v>44687</c:v>
                </c:pt>
                <c:pt idx="857">
                  <c:v>44688</c:v>
                </c:pt>
                <c:pt idx="858">
                  <c:v>44689</c:v>
                </c:pt>
                <c:pt idx="859">
                  <c:v>44690</c:v>
                </c:pt>
                <c:pt idx="860">
                  <c:v>44691</c:v>
                </c:pt>
                <c:pt idx="861">
                  <c:v>44692</c:v>
                </c:pt>
                <c:pt idx="862">
                  <c:v>44693</c:v>
                </c:pt>
                <c:pt idx="863">
                  <c:v>44694</c:v>
                </c:pt>
                <c:pt idx="864">
                  <c:v>44695</c:v>
                </c:pt>
                <c:pt idx="865">
                  <c:v>44696</c:v>
                </c:pt>
                <c:pt idx="866">
                  <c:v>44697</c:v>
                </c:pt>
                <c:pt idx="867">
                  <c:v>44698</c:v>
                </c:pt>
                <c:pt idx="868">
                  <c:v>44699</c:v>
                </c:pt>
                <c:pt idx="869">
                  <c:v>44700</c:v>
                </c:pt>
                <c:pt idx="870">
                  <c:v>44701</c:v>
                </c:pt>
                <c:pt idx="871">
                  <c:v>44702</c:v>
                </c:pt>
                <c:pt idx="872">
                  <c:v>44703</c:v>
                </c:pt>
                <c:pt idx="873">
                  <c:v>44704</c:v>
                </c:pt>
                <c:pt idx="874">
                  <c:v>44705</c:v>
                </c:pt>
                <c:pt idx="875">
                  <c:v>44706</c:v>
                </c:pt>
                <c:pt idx="876">
                  <c:v>44707</c:v>
                </c:pt>
                <c:pt idx="877">
                  <c:v>44708</c:v>
                </c:pt>
                <c:pt idx="878">
                  <c:v>44709</c:v>
                </c:pt>
                <c:pt idx="879">
                  <c:v>44710</c:v>
                </c:pt>
                <c:pt idx="880">
                  <c:v>44711</c:v>
                </c:pt>
                <c:pt idx="881">
                  <c:v>44712</c:v>
                </c:pt>
                <c:pt idx="882">
                  <c:v>44713</c:v>
                </c:pt>
                <c:pt idx="883">
                  <c:v>44714</c:v>
                </c:pt>
                <c:pt idx="884">
                  <c:v>44715</c:v>
                </c:pt>
                <c:pt idx="885">
                  <c:v>44716</c:v>
                </c:pt>
                <c:pt idx="886">
                  <c:v>44717</c:v>
                </c:pt>
                <c:pt idx="887">
                  <c:v>44718</c:v>
                </c:pt>
                <c:pt idx="888">
                  <c:v>44719</c:v>
                </c:pt>
                <c:pt idx="889">
                  <c:v>44720</c:v>
                </c:pt>
                <c:pt idx="890">
                  <c:v>44721</c:v>
                </c:pt>
                <c:pt idx="891">
                  <c:v>44722</c:v>
                </c:pt>
                <c:pt idx="892">
                  <c:v>44723</c:v>
                </c:pt>
                <c:pt idx="893">
                  <c:v>44724</c:v>
                </c:pt>
                <c:pt idx="894">
                  <c:v>44725</c:v>
                </c:pt>
                <c:pt idx="895">
                  <c:v>44726</c:v>
                </c:pt>
                <c:pt idx="896">
                  <c:v>44727</c:v>
                </c:pt>
                <c:pt idx="897">
                  <c:v>44728</c:v>
                </c:pt>
                <c:pt idx="898">
                  <c:v>44729</c:v>
                </c:pt>
                <c:pt idx="899">
                  <c:v>44730</c:v>
                </c:pt>
                <c:pt idx="900">
                  <c:v>44731</c:v>
                </c:pt>
                <c:pt idx="901">
                  <c:v>44732</c:v>
                </c:pt>
                <c:pt idx="902">
                  <c:v>44733</c:v>
                </c:pt>
                <c:pt idx="903">
                  <c:v>44734</c:v>
                </c:pt>
                <c:pt idx="904">
                  <c:v>44735</c:v>
                </c:pt>
                <c:pt idx="905">
                  <c:v>44736</c:v>
                </c:pt>
                <c:pt idx="906">
                  <c:v>44737</c:v>
                </c:pt>
                <c:pt idx="907">
                  <c:v>44738</c:v>
                </c:pt>
                <c:pt idx="908">
                  <c:v>44739</c:v>
                </c:pt>
                <c:pt idx="909">
                  <c:v>44740</c:v>
                </c:pt>
                <c:pt idx="910">
                  <c:v>44741</c:v>
                </c:pt>
                <c:pt idx="911">
                  <c:v>44742</c:v>
                </c:pt>
                <c:pt idx="912">
                  <c:v>44743</c:v>
                </c:pt>
                <c:pt idx="913">
                  <c:v>44744</c:v>
                </c:pt>
                <c:pt idx="914">
                  <c:v>44745</c:v>
                </c:pt>
                <c:pt idx="915">
                  <c:v>44746</c:v>
                </c:pt>
                <c:pt idx="916">
                  <c:v>44747</c:v>
                </c:pt>
                <c:pt idx="917">
                  <c:v>44748</c:v>
                </c:pt>
                <c:pt idx="918">
                  <c:v>44749</c:v>
                </c:pt>
                <c:pt idx="919">
                  <c:v>44750</c:v>
                </c:pt>
                <c:pt idx="920">
                  <c:v>44751</c:v>
                </c:pt>
                <c:pt idx="921">
                  <c:v>44752</c:v>
                </c:pt>
                <c:pt idx="922">
                  <c:v>44753</c:v>
                </c:pt>
                <c:pt idx="923">
                  <c:v>44754</c:v>
                </c:pt>
                <c:pt idx="924">
                  <c:v>44755</c:v>
                </c:pt>
                <c:pt idx="925">
                  <c:v>44756</c:v>
                </c:pt>
                <c:pt idx="926">
                  <c:v>44757</c:v>
                </c:pt>
                <c:pt idx="927">
                  <c:v>44758</c:v>
                </c:pt>
                <c:pt idx="928">
                  <c:v>44759</c:v>
                </c:pt>
                <c:pt idx="929">
                  <c:v>44760</c:v>
                </c:pt>
                <c:pt idx="930">
                  <c:v>44761</c:v>
                </c:pt>
                <c:pt idx="931">
                  <c:v>44762</c:v>
                </c:pt>
                <c:pt idx="932">
                  <c:v>44763</c:v>
                </c:pt>
                <c:pt idx="933">
                  <c:v>44764</c:v>
                </c:pt>
                <c:pt idx="934">
                  <c:v>44765</c:v>
                </c:pt>
                <c:pt idx="935">
                  <c:v>44766</c:v>
                </c:pt>
                <c:pt idx="936">
                  <c:v>44767</c:v>
                </c:pt>
                <c:pt idx="937">
                  <c:v>44768</c:v>
                </c:pt>
                <c:pt idx="938">
                  <c:v>44769</c:v>
                </c:pt>
                <c:pt idx="939">
                  <c:v>44770</c:v>
                </c:pt>
                <c:pt idx="940">
                  <c:v>44771</c:v>
                </c:pt>
                <c:pt idx="941">
                  <c:v>44772</c:v>
                </c:pt>
                <c:pt idx="942">
                  <c:v>44773</c:v>
                </c:pt>
              </c:numCache>
            </c:numRef>
          </c:cat>
          <c:val>
            <c:numRef>
              <c:f>GTM!$D$2:$D$944</c:f>
              <c:numCache>
                <c:formatCode>General</c:formatCode>
                <c:ptCount val="943"/>
                <c:pt idx="366" formatCode="_-* #,##0.0_-;\-* #,##0.0_-;_-* &quot;-&quot;??_-;_-@_-">
                  <c:v>53.322739726027692</c:v>
                </c:pt>
                <c:pt idx="367" formatCode="_-* #,##0.0_-;\-* #,##0.0_-;_-* &quot;-&quot;??_-;_-@_-">
                  <c:v>53.322739726027692</c:v>
                </c:pt>
                <c:pt idx="368" formatCode="_-* #,##0.0_-;\-* #,##0.0_-;_-* &quot;-&quot;??_-;_-@_-">
                  <c:v>53.322739726027692</c:v>
                </c:pt>
                <c:pt idx="369" formatCode="_-* #,##0.0_-;\-* #,##0.0_-;_-* &quot;-&quot;??_-;_-@_-">
                  <c:v>53.322739726027692</c:v>
                </c:pt>
                <c:pt idx="370" formatCode="_-* #,##0.0_-;\-* #,##0.0_-;_-* &quot;-&quot;??_-;_-@_-">
                  <c:v>53.322739726027692</c:v>
                </c:pt>
                <c:pt idx="371" formatCode="_-* #,##0.0_-;\-* #,##0.0_-;_-* &quot;-&quot;??_-;_-@_-">
                  <c:v>53.322739726027692</c:v>
                </c:pt>
                <c:pt idx="372" formatCode="_-* #,##0.0_-;\-* #,##0.0_-;_-* &quot;-&quot;??_-;_-@_-">
                  <c:v>53.322739726027692</c:v>
                </c:pt>
                <c:pt idx="373" formatCode="_-* #,##0.0_-;\-* #,##0.0_-;_-* &quot;-&quot;??_-;_-@_-">
                  <c:v>53.322739726027692</c:v>
                </c:pt>
                <c:pt idx="374" formatCode="_-* #,##0.0_-;\-* #,##0.0_-;_-* &quot;-&quot;??_-;_-@_-">
                  <c:v>53.322739726027692</c:v>
                </c:pt>
                <c:pt idx="375" formatCode="_-* #,##0.0_-;\-* #,##0.0_-;_-* &quot;-&quot;??_-;_-@_-">
                  <c:v>53.322739726027692</c:v>
                </c:pt>
                <c:pt idx="376" formatCode="_-* #,##0.0_-;\-* #,##0.0_-;_-* &quot;-&quot;??_-;_-@_-">
                  <c:v>53.322739726027692</c:v>
                </c:pt>
                <c:pt idx="377" formatCode="_-* #,##0.0_-;\-* #,##0.0_-;_-* &quot;-&quot;??_-;_-@_-">
                  <c:v>53.322739726027692</c:v>
                </c:pt>
                <c:pt idx="378" formatCode="_-* #,##0.0_-;\-* #,##0.0_-;_-* &quot;-&quot;??_-;_-@_-">
                  <c:v>53.322739726027692</c:v>
                </c:pt>
                <c:pt idx="379" formatCode="_-* #,##0.0_-;\-* #,##0.0_-;_-* &quot;-&quot;??_-;_-@_-">
                  <c:v>53.322739726027692</c:v>
                </c:pt>
                <c:pt idx="380" formatCode="_-* #,##0.0_-;\-* #,##0.0_-;_-* &quot;-&quot;??_-;_-@_-">
                  <c:v>53.322739726027692</c:v>
                </c:pt>
                <c:pt idx="381" formatCode="_-* #,##0.0_-;\-* #,##0.0_-;_-* &quot;-&quot;??_-;_-@_-">
                  <c:v>53.322739726027692</c:v>
                </c:pt>
                <c:pt idx="382" formatCode="_-* #,##0.0_-;\-* #,##0.0_-;_-* &quot;-&quot;??_-;_-@_-">
                  <c:v>53.322739726027692</c:v>
                </c:pt>
                <c:pt idx="383" formatCode="_-* #,##0.0_-;\-* #,##0.0_-;_-* &quot;-&quot;??_-;_-@_-">
                  <c:v>53.322739726027692</c:v>
                </c:pt>
                <c:pt idx="384" formatCode="_-* #,##0.0_-;\-* #,##0.0_-;_-* &quot;-&quot;??_-;_-@_-">
                  <c:v>53.322739726027692</c:v>
                </c:pt>
                <c:pt idx="385" formatCode="_-* #,##0.0_-;\-* #,##0.0_-;_-* &quot;-&quot;??_-;_-@_-">
                  <c:v>53.322739726027692</c:v>
                </c:pt>
                <c:pt idx="386" formatCode="_-* #,##0.0_-;\-* #,##0.0_-;_-* &quot;-&quot;??_-;_-@_-">
                  <c:v>53.322739726027692</c:v>
                </c:pt>
                <c:pt idx="387" formatCode="_-* #,##0.0_-;\-* #,##0.0_-;_-* &quot;-&quot;??_-;_-@_-">
                  <c:v>53.322739726027692</c:v>
                </c:pt>
                <c:pt idx="388" formatCode="_-* #,##0.0_-;\-* #,##0.0_-;_-* &quot;-&quot;??_-;_-@_-">
                  <c:v>53.322739726027692</c:v>
                </c:pt>
                <c:pt idx="389" formatCode="_-* #,##0.0_-;\-* #,##0.0_-;_-* &quot;-&quot;??_-;_-@_-">
                  <c:v>53.322739726027692</c:v>
                </c:pt>
                <c:pt idx="390" formatCode="_-* #,##0.0_-;\-* #,##0.0_-;_-* &quot;-&quot;??_-;_-@_-">
                  <c:v>53.322739726027692</c:v>
                </c:pt>
                <c:pt idx="391" formatCode="_-* #,##0.0_-;\-* #,##0.0_-;_-* &quot;-&quot;??_-;_-@_-">
                  <c:v>53.322739726027692</c:v>
                </c:pt>
                <c:pt idx="392" formatCode="_-* #,##0.0_-;\-* #,##0.0_-;_-* &quot;-&quot;??_-;_-@_-">
                  <c:v>53.322739726027692</c:v>
                </c:pt>
                <c:pt idx="393" formatCode="_-* #,##0.0_-;\-* #,##0.0_-;_-* &quot;-&quot;??_-;_-@_-">
                  <c:v>53.322739726027692</c:v>
                </c:pt>
                <c:pt idx="394" formatCode="_-* #,##0.0_-;\-* #,##0.0_-;_-* &quot;-&quot;??_-;_-@_-">
                  <c:v>53.322739726027692</c:v>
                </c:pt>
                <c:pt idx="395" formatCode="_-* #,##0.0_-;\-* #,##0.0_-;_-* &quot;-&quot;??_-;_-@_-">
                  <c:v>53.322739726027692</c:v>
                </c:pt>
                <c:pt idx="396" formatCode="_-* #,##0.0_-;\-* #,##0.0_-;_-* &quot;-&quot;??_-;_-@_-">
                  <c:v>53.322739726027692</c:v>
                </c:pt>
                <c:pt idx="397" formatCode="_-* #,##0.0_-;\-* #,##0.0_-;_-* &quot;-&quot;??_-;_-@_-">
                  <c:v>53.322739726027692</c:v>
                </c:pt>
                <c:pt idx="398" formatCode="_-* #,##0.0_-;\-* #,##0.0_-;_-* &quot;-&quot;??_-;_-@_-">
                  <c:v>53.322739726027692</c:v>
                </c:pt>
                <c:pt idx="399" formatCode="_-* #,##0.0_-;\-* #,##0.0_-;_-* &quot;-&quot;??_-;_-@_-">
                  <c:v>53.322739726027692</c:v>
                </c:pt>
                <c:pt idx="400" formatCode="_-* #,##0.0_-;\-* #,##0.0_-;_-* &quot;-&quot;??_-;_-@_-">
                  <c:v>53.322739726027692</c:v>
                </c:pt>
                <c:pt idx="401" formatCode="_-* #,##0.0_-;\-* #,##0.0_-;_-* &quot;-&quot;??_-;_-@_-">
                  <c:v>53.322739726027692</c:v>
                </c:pt>
                <c:pt idx="402" formatCode="_-* #,##0.0_-;\-* #,##0.0_-;_-* &quot;-&quot;??_-;_-@_-">
                  <c:v>53.322739726027692</c:v>
                </c:pt>
                <c:pt idx="403" formatCode="_-* #,##0.0_-;\-* #,##0.0_-;_-* &quot;-&quot;??_-;_-@_-">
                  <c:v>53.322739726027692</c:v>
                </c:pt>
                <c:pt idx="404" formatCode="_-* #,##0.0_-;\-* #,##0.0_-;_-* &quot;-&quot;??_-;_-@_-">
                  <c:v>53.322739726027692</c:v>
                </c:pt>
                <c:pt idx="405" formatCode="_-* #,##0.0_-;\-* #,##0.0_-;_-* &quot;-&quot;??_-;_-@_-">
                  <c:v>53.322739726027692</c:v>
                </c:pt>
                <c:pt idx="406" formatCode="_-* #,##0.0_-;\-* #,##0.0_-;_-* &quot;-&quot;??_-;_-@_-">
                  <c:v>53.322739726027692</c:v>
                </c:pt>
                <c:pt idx="407" formatCode="_-* #,##0.0_-;\-* #,##0.0_-;_-* &quot;-&quot;??_-;_-@_-">
                  <c:v>53.322739726027692</c:v>
                </c:pt>
                <c:pt idx="408" formatCode="_-* #,##0.0_-;\-* #,##0.0_-;_-* &quot;-&quot;??_-;_-@_-">
                  <c:v>53.322739726027692</c:v>
                </c:pt>
                <c:pt idx="409" formatCode="_-* #,##0.0_-;\-* #,##0.0_-;_-* &quot;-&quot;??_-;_-@_-">
                  <c:v>53.322739726027692</c:v>
                </c:pt>
                <c:pt idx="410" formatCode="_-* #,##0.0_-;\-* #,##0.0_-;_-* &quot;-&quot;??_-;_-@_-">
                  <c:v>53.322739726027692</c:v>
                </c:pt>
                <c:pt idx="411" formatCode="_-* #,##0.0_-;\-* #,##0.0_-;_-* &quot;-&quot;??_-;_-@_-">
                  <c:v>53.322739726027692</c:v>
                </c:pt>
                <c:pt idx="412" formatCode="_-* #,##0.0_-;\-* #,##0.0_-;_-* &quot;-&quot;??_-;_-@_-">
                  <c:v>53.322739726027692</c:v>
                </c:pt>
                <c:pt idx="413" formatCode="_-* #,##0.0_-;\-* #,##0.0_-;_-* &quot;-&quot;??_-;_-@_-">
                  <c:v>53.322739726027692</c:v>
                </c:pt>
                <c:pt idx="414" formatCode="_-* #,##0.0_-;\-* #,##0.0_-;_-* &quot;-&quot;??_-;_-@_-">
                  <c:v>53.322739726027692</c:v>
                </c:pt>
                <c:pt idx="415" formatCode="_-* #,##0.0_-;\-* #,##0.0_-;_-* &quot;-&quot;??_-;_-@_-">
                  <c:v>53.322739726027692</c:v>
                </c:pt>
                <c:pt idx="416" formatCode="_-* #,##0.0_-;\-* #,##0.0_-;_-* &quot;-&quot;??_-;_-@_-">
                  <c:v>53.322739726027692</c:v>
                </c:pt>
                <c:pt idx="417" formatCode="_-* #,##0.0_-;\-* #,##0.0_-;_-* &quot;-&quot;??_-;_-@_-">
                  <c:v>53.322739726027692</c:v>
                </c:pt>
                <c:pt idx="418" formatCode="_-* #,##0.0_-;\-* #,##0.0_-;_-* &quot;-&quot;??_-;_-@_-">
                  <c:v>53.322739726027692</c:v>
                </c:pt>
                <c:pt idx="419" formatCode="_-* #,##0.0_-;\-* #,##0.0_-;_-* &quot;-&quot;??_-;_-@_-">
                  <c:v>53.322739726027692</c:v>
                </c:pt>
                <c:pt idx="420" formatCode="_-* #,##0.0_-;\-* #,##0.0_-;_-* &quot;-&quot;??_-;_-@_-">
                  <c:v>53.322739726027692</c:v>
                </c:pt>
                <c:pt idx="421" formatCode="_-* #,##0.0_-;\-* #,##0.0_-;_-* &quot;-&quot;??_-;_-@_-">
                  <c:v>53.322739726027692</c:v>
                </c:pt>
                <c:pt idx="422" formatCode="_-* #,##0.0_-;\-* #,##0.0_-;_-* &quot;-&quot;??_-;_-@_-">
                  <c:v>53.322739726027692</c:v>
                </c:pt>
                <c:pt idx="423" formatCode="_-* #,##0.0_-;\-* #,##0.0_-;_-* &quot;-&quot;??_-;_-@_-">
                  <c:v>53.322739726027692</c:v>
                </c:pt>
                <c:pt idx="424" formatCode="_-* #,##0.0_-;\-* #,##0.0_-;_-* &quot;-&quot;??_-;_-@_-">
                  <c:v>53.322739726027692</c:v>
                </c:pt>
                <c:pt idx="425" formatCode="_-* #,##0.0_-;\-* #,##0.0_-;_-* &quot;-&quot;??_-;_-@_-">
                  <c:v>53.322739726027692</c:v>
                </c:pt>
                <c:pt idx="426" formatCode="_-* #,##0.0_-;\-* #,##0.0_-;_-* &quot;-&quot;??_-;_-@_-">
                  <c:v>53.322739726027692</c:v>
                </c:pt>
                <c:pt idx="427" formatCode="_-* #,##0.0_-;\-* #,##0.0_-;_-* &quot;-&quot;??_-;_-@_-">
                  <c:v>53.322739726027692</c:v>
                </c:pt>
                <c:pt idx="428" formatCode="_-* #,##0.0_-;\-* #,##0.0_-;_-* &quot;-&quot;??_-;_-@_-">
                  <c:v>53.322739726027692</c:v>
                </c:pt>
                <c:pt idx="429" formatCode="_-* #,##0.0_-;\-* #,##0.0_-;_-* &quot;-&quot;??_-;_-@_-">
                  <c:v>53.322739726027692</c:v>
                </c:pt>
                <c:pt idx="430" formatCode="_-* #,##0.0_-;\-* #,##0.0_-;_-* &quot;-&quot;??_-;_-@_-">
                  <c:v>53.322739726027692</c:v>
                </c:pt>
                <c:pt idx="431" formatCode="_-* #,##0.0_-;\-* #,##0.0_-;_-* &quot;-&quot;??_-;_-@_-">
                  <c:v>53.322739726027692</c:v>
                </c:pt>
                <c:pt idx="432" formatCode="_-* #,##0.0_-;\-* #,##0.0_-;_-* &quot;-&quot;??_-;_-@_-">
                  <c:v>53.322739726027692</c:v>
                </c:pt>
                <c:pt idx="433" formatCode="_-* #,##0.0_-;\-* #,##0.0_-;_-* &quot;-&quot;??_-;_-@_-">
                  <c:v>53.322739726027692</c:v>
                </c:pt>
                <c:pt idx="434" formatCode="_-* #,##0.0_-;\-* #,##0.0_-;_-* &quot;-&quot;??_-;_-@_-">
                  <c:v>53.322739726027692</c:v>
                </c:pt>
                <c:pt idx="435" formatCode="_-* #,##0.0_-;\-* #,##0.0_-;_-* &quot;-&quot;??_-;_-@_-">
                  <c:v>53.322739726027692</c:v>
                </c:pt>
                <c:pt idx="436" formatCode="_-* #,##0.0_-;\-* #,##0.0_-;_-* &quot;-&quot;??_-;_-@_-">
                  <c:v>53.322739726027692</c:v>
                </c:pt>
                <c:pt idx="437" formatCode="_-* #,##0.0_-;\-* #,##0.0_-;_-* &quot;-&quot;??_-;_-@_-">
                  <c:v>53.322739726027692</c:v>
                </c:pt>
                <c:pt idx="438" formatCode="_-* #,##0.0_-;\-* #,##0.0_-;_-* &quot;-&quot;??_-;_-@_-">
                  <c:v>53.322739726027692</c:v>
                </c:pt>
                <c:pt idx="439" formatCode="_-* #,##0.0_-;\-* #,##0.0_-;_-* &quot;-&quot;??_-;_-@_-">
                  <c:v>53.322739726027692</c:v>
                </c:pt>
                <c:pt idx="440" formatCode="_-* #,##0.0_-;\-* #,##0.0_-;_-* &quot;-&quot;??_-;_-@_-">
                  <c:v>53.322739726027692</c:v>
                </c:pt>
                <c:pt idx="441" formatCode="_-* #,##0.0_-;\-* #,##0.0_-;_-* &quot;-&quot;??_-;_-@_-">
                  <c:v>53.322739726027692</c:v>
                </c:pt>
                <c:pt idx="442" formatCode="_-* #,##0.0_-;\-* #,##0.0_-;_-* &quot;-&quot;??_-;_-@_-">
                  <c:v>53.322739726027692</c:v>
                </c:pt>
                <c:pt idx="443" formatCode="_-* #,##0.0_-;\-* #,##0.0_-;_-* &quot;-&quot;??_-;_-@_-">
                  <c:v>53.322739726027692</c:v>
                </c:pt>
                <c:pt idx="444" formatCode="_-* #,##0.0_-;\-* #,##0.0_-;_-* &quot;-&quot;??_-;_-@_-">
                  <c:v>53.322739726027692</c:v>
                </c:pt>
                <c:pt idx="445" formatCode="_-* #,##0.0_-;\-* #,##0.0_-;_-* &quot;-&quot;??_-;_-@_-">
                  <c:v>53.322739726027692</c:v>
                </c:pt>
                <c:pt idx="446" formatCode="_-* #,##0.0_-;\-* #,##0.0_-;_-* &quot;-&quot;??_-;_-@_-">
                  <c:v>53.322739726027692</c:v>
                </c:pt>
                <c:pt idx="447" formatCode="_-* #,##0.0_-;\-* #,##0.0_-;_-* &quot;-&quot;??_-;_-@_-">
                  <c:v>53.322739726027692</c:v>
                </c:pt>
                <c:pt idx="448" formatCode="_-* #,##0.0_-;\-* #,##0.0_-;_-* &quot;-&quot;??_-;_-@_-">
                  <c:v>53.322739726027692</c:v>
                </c:pt>
                <c:pt idx="449" formatCode="_-* #,##0.0_-;\-* #,##0.0_-;_-* &quot;-&quot;??_-;_-@_-">
                  <c:v>53.322739726027692</c:v>
                </c:pt>
                <c:pt idx="450" formatCode="_-* #,##0.0_-;\-* #,##0.0_-;_-* &quot;-&quot;??_-;_-@_-">
                  <c:v>53.322739726027692</c:v>
                </c:pt>
                <c:pt idx="451" formatCode="_-* #,##0.0_-;\-* #,##0.0_-;_-* &quot;-&quot;??_-;_-@_-">
                  <c:v>53.322739726027692</c:v>
                </c:pt>
                <c:pt idx="452" formatCode="_-* #,##0.0_-;\-* #,##0.0_-;_-* &quot;-&quot;??_-;_-@_-">
                  <c:v>53.322739726027692</c:v>
                </c:pt>
                <c:pt idx="453" formatCode="_-* #,##0.0_-;\-* #,##0.0_-;_-* &quot;-&quot;??_-;_-@_-">
                  <c:v>53.322739726027692</c:v>
                </c:pt>
                <c:pt idx="454" formatCode="_-* #,##0.0_-;\-* #,##0.0_-;_-* &quot;-&quot;??_-;_-@_-">
                  <c:v>53.322739726027692</c:v>
                </c:pt>
                <c:pt idx="455" formatCode="_-* #,##0.0_-;\-* #,##0.0_-;_-* &quot;-&quot;??_-;_-@_-">
                  <c:v>53.322739726027692</c:v>
                </c:pt>
                <c:pt idx="456" formatCode="_-* #,##0.0_-;\-* #,##0.0_-;_-* &quot;-&quot;??_-;_-@_-">
                  <c:v>53.322739726027692</c:v>
                </c:pt>
                <c:pt idx="457" formatCode="_-* #,##0.0_-;\-* #,##0.0_-;_-* &quot;-&quot;??_-;_-@_-">
                  <c:v>53.322739726027692</c:v>
                </c:pt>
                <c:pt idx="458" formatCode="_-* #,##0.0_-;\-* #,##0.0_-;_-* &quot;-&quot;??_-;_-@_-">
                  <c:v>53.322739726027692</c:v>
                </c:pt>
                <c:pt idx="459" formatCode="_-* #,##0.0_-;\-* #,##0.0_-;_-* &quot;-&quot;??_-;_-@_-">
                  <c:v>53.322739726027692</c:v>
                </c:pt>
                <c:pt idx="460" formatCode="_-* #,##0.0_-;\-* #,##0.0_-;_-* &quot;-&quot;??_-;_-@_-">
                  <c:v>53.322739726027692</c:v>
                </c:pt>
                <c:pt idx="461" formatCode="_-* #,##0.0_-;\-* #,##0.0_-;_-* &quot;-&quot;??_-;_-@_-">
                  <c:v>53.322739726027692</c:v>
                </c:pt>
                <c:pt idx="462" formatCode="_-* #,##0.0_-;\-* #,##0.0_-;_-* &quot;-&quot;??_-;_-@_-">
                  <c:v>53.322739726027692</c:v>
                </c:pt>
                <c:pt idx="463" formatCode="_-* #,##0.0_-;\-* #,##0.0_-;_-* &quot;-&quot;??_-;_-@_-">
                  <c:v>53.322739726027692</c:v>
                </c:pt>
                <c:pt idx="464" formatCode="_-* #,##0.0_-;\-* #,##0.0_-;_-* &quot;-&quot;??_-;_-@_-">
                  <c:v>53.322739726027692</c:v>
                </c:pt>
                <c:pt idx="465" formatCode="_-* #,##0.0_-;\-* #,##0.0_-;_-* &quot;-&quot;??_-;_-@_-">
                  <c:v>53.322739726027692</c:v>
                </c:pt>
                <c:pt idx="466" formatCode="_-* #,##0.0_-;\-* #,##0.0_-;_-* &quot;-&quot;??_-;_-@_-">
                  <c:v>53.322739726027692</c:v>
                </c:pt>
                <c:pt idx="467" formatCode="_-* #,##0.0_-;\-* #,##0.0_-;_-* &quot;-&quot;??_-;_-@_-">
                  <c:v>53.322739726027692</c:v>
                </c:pt>
                <c:pt idx="468" formatCode="_-* #,##0.0_-;\-* #,##0.0_-;_-* &quot;-&quot;??_-;_-@_-">
                  <c:v>53.322739726027692</c:v>
                </c:pt>
                <c:pt idx="469" formatCode="_-* #,##0.0_-;\-* #,##0.0_-;_-* &quot;-&quot;??_-;_-@_-">
                  <c:v>53.322739726027692</c:v>
                </c:pt>
                <c:pt idx="470" formatCode="_-* #,##0.0_-;\-* #,##0.0_-;_-* &quot;-&quot;??_-;_-@_-">
                  <c:v>53.322739726027692</c:v>
                </c:pt>
                <c:pt idx="471" formatCode="_-* #,##0.0_-;\-* #,##0.0_-;_-* &quot;-&quot;??_-;_-@_-">
                  <c:v>53.322739726027692</c:v>
                </c:pt>
                <c:pt idx="472" formatCode="_-* #,##0.0_-;\-* #,##0.0_-;_-* &quot;-&quot;??_-;_-@_-">
                  <c:v>53.322739726027692</c:v>
                </c:pt>
                <c:pt idx="473" formatCode="_-* #,##0.0_-;\-* #,##0.0_-;_-* &quot;-&quot;??_-;_-@_-">
                  <c:v>53.322739726027692</c:v>
                </c:pt>
                <c:pt idx="474" formatCode="_-* #,##0.0_-;\-* #,##0.0_-;_-* &quot;-&quot;??_-;_-@_-">
                  <c:v>53.322739726027692</c:v>
                </c:pt>
                <c:pt idx="475" formatCode="_-* #,##0.0_-;\-* #,##0.0_-;_-* &quot;-&quot;??_-;_-@_-">
                  <c:v>53.322739726027692</c:v>
                </c:pt>
                <c:pt idx="476" formatCode="_-* #,##0.0_-;\-* #,##0.0_-;_-* &quot;-&quot;??_-;_-@_-">
                  <c:v>53.322739726027692</c:v>
                </c:pt>
                <c:pt idx="477" formatCode="_-* #,##0.0_-;\-* #,##0.0_-;_-* &quot;-&quot;??_-;_-@_-">
                  <c:v>53.322739726027692</c:v>
                </c:pt>
                <c:pt idx="478" formatCode="_-* #,##0.0_-;\-* #,##0.0_-;_-* &quot;-&quot;??_-;_-@_-">
                  <c:v>53.322739726027692</c:v>
                </c:pt>
                <c:pt idx="479" formatCode="_-* #,##0.0_-;\-* #,##0.0_-;_-* &quot;-&quot;??_-;_-@_-">
                  <c:v>53.322739726027692</c:v>
                </c:pt>
                <c:pt idx="480" formatCode="_-* #,##0.0_-;\-* #,##0.0_-;_-* &quot;-&quot;??_-;_-@_-">
                  <c:v>53.322739726027692</c:v>
                </c:pt>
                <c:pt idx="481" formatCode="_-* #,##0.0_-;\-* #,##0.0_-;_-* &quot;-&quot;??_-;_-@_-">
                  <c:v>53.322739726027692</c:v>
                </c:pt>
                <c:pt idx="482" formatCode="_-* #,##0.0_-;\-* #,##0.0_-;_-* &quot;-&quot;??_-;_-@_-">
                  <c:v>53.322739726027692</c:v>
                </c:pt>
                <c:pt idx="483" formatCode="_-* #,##0.0_-;\-* #,##0.0_-;_-* &quot;-&quot;??_-;_-@_-">
                  <c:v>53.322739726027692</c:v>
                </c:pt>
                <c:pt idx="484" formatCode="_-* #,##0.0_-;\-* #,##0.0_-;_-* &quot;-&quot;??_-;_-@_-">
                  <c:v>53.322739726027692</c:v>
                </c:pt>
                <c:pt idx="485" formatCode="_-* #,##0.0_-;\-* #,##0.0_-;_-* &quot;-&quot;??_-;_-@_-">
                  <c:v>53.322739726027692</c:v>
                </c:pt>
                <c:pt idx="486" formatCode="_-* #,##0.0_-;\-* #,##0.0_-;_-* &quot;-&quot;??_-;_-@_-">
                  <c:v>53.322739726027692</c:v>
                </c:pt>
                <c:pt idx="487" formatCode="_-* #,##0.0_-;\-* #,##0.0_-;_-* &quot;-&quot;??_-;_-@_-">
                  <c:v>53.322739726027692</c:v>
                </c:pt>
                <c:pt idx="488" formatCode="_-* #,##0.0_-;\-* #,##0.0_-;_-* &quot;-&quot;??_-;_-@_-">
                  <c:v>53.322739726027692</c:v>
                </c:pt>
                <c:pt idx="489" formatCode="_-* #,##0.0_-;\-* #,##0.0_-;_-* &quot;-&quot;??_-;_-@_-">
                  <c:v>53.322739726027692</c:v>
                </c:pt>
                <c:pt idx="490" formatCode="_-* #,##0.0_-;\-* #,##0.0_-;_-* &quot;-&quot;??_-;_-@_-">
                  <c:v>53.322739726027692</c:v>
                </c:pt>
                <c:pt idx="491" formatCode="_-* #,##0.0_-;\-* #,##0.0_-;_-* &quot;-&quot;??_-;_-@_-">
                  <c:v>53.322739726027692</c:v>
                </c:pt>
                <c:pt idx="492" formatCode="_-* #,##0.0_-;\-* #,##0.0_-;_-* &quot;-&quot;??_-;_-@_-">
                  <c:v>53.322739726027692</c:v>
                </c:pt>
                <c:pt idx="493" formatCode="_-* #,##0.0_-;\-* #,##0.0_-;_-* &quot;-&quot;??_-;_-@_-">
                  <c:v>53.322739726027692</c:v>
                </c:pt>
                <c:pt idx="494" formatCode="_-* #,##0.0_-;\-* #,##0.0_-;_-* &quot;-&quot;??_-;_-@_-">
                  <c:v>53.322739726027692</c:v>
                </c:pt>
                <c:pt idx="495" formatCode="_-* #,##0.0_-;\-* #,##0.0_-;_-* &quot;-&quot;??_-;_-@_-">
                  <c:v>53.322739726027692</c:v>
                </c:pt>
                <c:pt idx="496" formatCode="_-* #,##0.0_-;\-* #,##0.0_-;_-* &quot;-&quot;??_-;_-@_-">
                  <c:v>53.322739726027692</c:v>
                </c:pt>
                <c:pt idx="497" formatCode="_-* #,##0.0_-;\-* #,##0.0_-;_-* &quot;-&quot;??_-;_-@_-">
                  <c:v>53.322739726027692</c:v>
                </c:pt>
                <c:pt idx="498" formatCode="_-* #,##0.0_-;\-* #,##0.0_-;_-* &quot;-&quot;??_-;_-@_-">
                  <c:v>53.322739726027692</c:v>
                </c:pt>
                <c:pt idx="499" formatCode="_-* #,##0.0_-;\-* #,##0.0_-;_-* &quot;-&quot;??_-;_-@_-">
                  <c:v>53.322739726027692</c:v>
                </c:pt>
                <c:pt idx="500" formatCode="_-* #,##0.0_-;\-* #,##0.0_-;_-* &quot;-&quot;??_-;_-@_-">
                  <c:v>53.322739726027692</c:v>
                </c:pt>
                <c:pt idx="501" formatCode="_-* #,##0.0_-;\-* #,##0.0_-;_-* &quot;-&quot;??_-;_-@_-">
                  <c:v>53.322739726027692</c:v>
                </c:pt>
                <c:pt idx="502" formatCode="_-* #,##0.0_-;\-* #,##0.0_-;_-* &quot;-&quot;??_-;_-@_-">
                  <c:v>53.322739726027692</c:v>
                </c:pt>
                <c:pt idx="503" formatCode="_-* #,##0.0_-;\-* #,##0.0_-;_-* &quot;-&quot;??_-;_-@_-">
                  <c:v>53.322739726027692</c:v>
                </c:pt>
                <c:pt idx="504" formatCode="_-* #,##0.0_-;\-* #,##0.0_-;_-* &quot;-&quot;??_-;_-@_-">
                  <c:v>53.322739726027692</c:v>
                </c:pt>
                <c:pt idx="505" formatCode="_-* #,##0.0_-;\-* #,##0.0_-;_-* &quot;-&quot;??_-;_-@_-">
                  <c:v>53.322739726027692</c:v>
                </c:pt>
                <c:pt idx="506" formatCode="_-* #,##0.0_-;\-* #,##0.0_-;_-* &quot;-&quot;??_-;_-@_-">
                  <c:v>53.322739726027692</c:v>
                </c:pt>
                <c:pt idx="507" formatCode="_-* #,##0.0_-;\-* #,##0.0_-;_-* &quot;-&quot;??_-;_-@_-">
                  <c:v>53.322739726027692</c:v>
                </c:pt>
                <c:pt idx="508" formatCode="_-* #,##0.0_-;\-* #,##0.0_-;_-* &quot;-&quot;??_-;_-@_-">
                  <c:v>53.322739726027692</c:v>
                </c:pt>
                <c:pt idx="509" formatCode="_-* #,##0.0_-;\-* #,##0.0_-;_-* &quot;-&quot;??_-;_-@_-">
                  <c:v>53.322739726027692</c:v>
                </c:pt>
                <c:pt idx="510" formatCode="_-* #,##0.0_-;\-* #,##0.0_-;_-* &quot;-&quot;??_-;_-@_-">
                  <c:v>53.322739726027692</c:v>
                </c:pt>
                <c:pt idx="511" formatCode="_-* #,##0.0_-;\-* #,##0.0_-;_-* &quot;-&quot;??_-;_-@_-">
                  <c:v>53.322739726027692</c:v>
                </c:pt>
                <c:pt idx="512" formatCode="_-* #,##0.0_-;\-* #,##0.0_-;_-* &quot;-&quot;??_-;_-@_-">
                  <c:v>53.322739726027692</c:v>
                </c:pt>
                <c:pt idx="513" formatCode="_-* #,##0.0_-;\-* #,##0.0_-;_-* &quot;-&quot;??_-;_-@_-">
                  <c:v>53.322739726027692</c:v>
                </c:pt>
                <c:pt idx="514" formatCode="_-* #,##0.0_-;\-* #,##0.0_-;_-* &quot;-&quot;??_-;_-@_-">
                  <c:v>53.322739726027692</c:v>
                </c:pt>
                <c:pt idx="515" formatCode="_-* #,##0.0_-;\-* #,##0.0_-;_-* &quot;-&quot;??_-;_-@_-">
                  <c:v>53.322739726027692</c:v>
                </c:pt>
                <c:pt idx="516" formatCode="_-* #,##0.0_-;\-* #,##0.0_-;_-* &quot;-&quot;??_-;_-@_-">
                  <c:v>53.322739726027692</c:v>
                </c:pt>
                <c:pt idx="517" formatCode="_-* #,##0.0_-;\-* #,##0.0_-;_-* &quot;-&quot;??_-;_-@_-">
                  <c:v>53.322739726027692</c:v>
                </c:pt>
                <c:pt idx="518" formatCode="_-* #,##0.0_-;\-* #,##0.0_-;_-* &quot;-&quot;??_-;_-@_-">
                  <c:v>53.322739726027692</c:v>
                </c:pt>
                <c:pt idx="519" formatCode="_-* #,##0.0_-;\-* #,##0.0_-;_-* &quot;-&quot;??_-;_-@_-">
                  <c:v>53.322739726027692</c:v>
                </c:pt>
                <c:pt idx="520" formatCode="_-* #,##0.0_-;\-* #,##0.0_-;_-* &quot;-&quot;??_-;_-@_-">
                  <c:v>53.322739726027692</c:v>
                </c:pt>
                <c:pt idx="521" formatCode="_-* #,##0.0_-;\-* #,##0.0_-;_-* &quot;-&quot;??_-;_-@_-">
                  <c:v>53.322739726027692</c:v>
                </c:pt>
                <c:pt idx="522" formatCode="_-* #,##0.0_-;\-* #,##0.0_-;_-* &quot;-&quot;??_-;_-@_-">
                  <c:v>53.322739726027692</c:v>
                </c:pt>
                <c:pt idx="523" formatCode="_-* #,##0.0_-;\-* #,##0.0_-;_-* &quot;-&quot;??_-;_-@_-">
                  <c:v>53.322739726027692</c:v>
                </c:pt>
                <c:pt idx="524" formatCode="_-* #,##0.0_-;\-* #,##0.0_-;_-* &quot;-&quot;??_-;_-@_-">
                  <c:v>53.322739726027692</c:v>
                </c:pt>
                <c:pt idx="525" formatCode="_-* #,##0.0_-;\-* #,##0.0_-;_-* &quot;-&quot;??_-;_-@_-">
                  <c:v>53.322739726027692</c:v>
                </c:pt>
                <c:pt idx="526" formatCode="_-* #,##0.0_-;\-* #,##0.0_-;_-* &quot;-&quot;??_-;_-@_-">
                  <c:v>53.322739726027692</c:v>
                </c:pt>
                <c:pt idx="527" formatCode="_-* #,##0.0_-;\-* #,##0.0_-;_-* &quot;-&quot;??_-;_-@_-">
                  <c:v>53.322739726027692</c:v>
                </c:pt>
                <c:pt idx="528" formatCode="_-* #,##0.0_-;\-* #,##0.0_-;_-* &quot;-&quot;??_-;_-@_-">
                  <c:v>53.322739726027692</c:v>
                </c:pt>
                <c:pt idx="529" formatCode="_-* #,##0.0_-;\-* #,##0.0_-;_-* &quot;-&quot;??_-;_-@_-">
                  <c:v>53.322739726027692</c:v>
                </c:pt>
                <c:pt idx="530" formatCode="_-* #,##0.0_-;\-* #,##0.0_-;_-* &quot;-&quot;??_-;_-@_-">
                  <c:v>53.322739726027692</c:v>
                </c:pt>
                <c:pt idx="531" formatCode="_-* #,##0.0_-;\-* #,##0.0_-;_-* &quot;-&quot;??_-;_-@_-">
                  <c:v>53.322739726027692</c:v>
                </c:pt>
                <c:pt idx="532" formatCode="_-* #,##0.0_-;\-* #,##0.0_-;_-* &quot;-&quot;??_-;_-@_-">
                  <c:v>53.322739726027692</c:v>
                </c:pt>
                <c:pt idx="533" formatCode="_-* #,##0.0_-;\-* #,##0.0_-;_-* &quot;-&quot;??_-;_-@_-">
                  <c:v>53.322739726027692</c:v>
                </c:pt>
                <c:pt idx="534" formatCode="_-* #,##0.0_-;\-* #,##0.0_-;_-* &quot;-&quot;??_-;_-@_-">
                  <c:v>53.322739726027692</c:v>
                </c:pt>
                <c:pt idx="535" formatCode="_-* #,##0.0_-;\-* #,##0.0_-;_-* &quot;-&quot;??_-;_-@_-">
                  <c:v>53.322739726027692</c:v>
                </c:pt>
                <c:pt idx="536" formatCode="_-* #,##0.0_-;\-* #,##0.0_-;_-* &quot;-&quot;??_-;_-@_-">
                  <c:v>53.322739726027692</c:v>
                </c:pt>
                <c:pt idx="537" formatCode="_-* #,##0.0_-;\-* #,##0.0_-;_-* &quot;-&quot;??_-;_-@_-">
                  <c:v>53.322739726027692</c:v>
                </c:pt>
                <c:pt idx="538" formatCode="_-* #,##0.0_-;\-* #,##0.0_-;_-* &quot;-&quot;??_-;_-@_-">
                  <c:v>53.322739726027692</c:v>
                </c:pt>
                <c:pt idx="539" formatCode="_-* #,##0.0_-;\-* #,##0.0_-;_-* &quot;-&quot;??_-;_-@_-">
                  <c:v>53.322739726027692</c:v>
                </c:pt>
                <c:pt idx="540" formatCode="_-* #,##0.0_-;\-* #,##0.0_-;_-* &quot;-&quot;??_-;_-@_-">
                  <c:v>53.322739726027692</c:v>
                </c:pt>
                <c:pt idx="541" formatCode="_-* #,##0.0_-;\-* #,##0.0_-;_-* &quot;-&quot;??_-;_-@_-">
                  <c:v>53.322739726027692</c:v>
                </c:pt>
                <c:pt idx="542" formatCode="_-* #,##0.0_-;\-* #,##0.0_-;_-* &quot;-&quot;??_-;_-@_-">
                  <c:v>53.322739726027692</c:v>
                </c:pt>
                <c:pt idx="543" formatCode="_-* #,##0.0_-;\-* #,##0.0_-;_-* &quot;-&quot;??_-;_-@_-">
                  <c:v>53.322739726027692</c:v>
                </c:pt>
                <c:pt idx="544" formatCode="_-* #,##0.0_-;\-* #,##0.0_-;_-* &quot;-&quot;??_-;_-@_-">
                  <c:v>53.322739726027692</c:v>
                </c:pt>
                <c:pt idx="545" formatCode="_-* #,##0.0_-;\-* #,##0.0_-;_-* &quot;-&quot;??_-;_-@_-">
                  <c:v>53.322739726027692</c:v>
                </c:pt>
                <c:pt idx="546" formatCode="_-* #,##0.0_-;\-* #,##0.0_-;_-* &quot;-&quot;??_-;_-@_-">
                  <c:v>53.322739726027692</c:v>
                </c:pt>
                <c:pt idx="547" formatCode="_-* #,##0.0_-;\-* #,##0.0_-;_-* &quot;-&quot;??_-;_-@_-">
                  <c:v>53.322739726027692</c:v>
                </c:pt>
                <c:pt idx="548" formatCode="_-* #,##0.0_-;\-* #,##0.0_-;_-* &quot;-&quot;??_-;_-@_-">
                  <c:v>53.322739726027692</c:v>
                </c:pt>
                <c:pt idx="549" formatCode="_-* #,##0.0_-;\-* #,##0.0_-;_-* &quot;-&quot;??_-;_-@_-">
                  <c:v>53.322739726027692</c:v>
                </c:pt>
                <c:pt idx="550" formatCode="_-* #,##0.0_-;\-* #,##0.0_-;_-* &quot;-&quot;??_-;_-@_-">
                  <c:v>53.322739726027692</c:v>
                </c:pt>
                <c:pt idx="551" formatCode="_-* #,##0.0_-;\-* #,##0.0_-;_-* &quot;-&quot;??_-;_-@_-">
                  <c:v>53.322739726027692</c:v>
                </c:pt>
                <c:pt idx="552" formatCode="_-* #,##0.0_-;\-* #,##0.0_-;_-* &quot;-&quot;??_-;_-@_-">
                  <c:v>53.322739726027692</c:v>
                </c:pt>
                <c:pt idx="553" formatCode="_-* #,##0.0_-;\-* #,##0.0_-;_-* &quot;-&quot;??_-;_-@_-">
                  <c:v>53.322739726027692</c:v>
                </c:pt>
                <c:pt idx="554" formatCode="_-* #,##0.0_-;\-* #,##0.0_-;_-* &quot;-&quot;??_-;_-@_-">
                  <c:v>53.322739726027692</c:v>
                </c:pt>
                <c:pt idx="555" formatCode="_-* #,##0.0_-;\-* #,##0.0_-;_-* &quot;-&quot;??_-;_-@_-">
                  <c:v>53.322739726027692</c:v>
                </c:pt>
                <c:pt idx="556" formatCode="_-* #,##0.0_-;\-* #,##0.0_-;_-* &quot;-&quot;??_-;_-@_-">
                  <c:v>53.322739726027692</c:v>
                </c:pt>
                <c:pt idx="557" formatCode="_-* #,##0.0_-;\-* #,##0.0_-;_-* &quot;-&quot;??_-;_-@_-">
                  <c:v>53.322739726027692</c:v>
                </c:pt>
                <c:pt idx="558" formatCode="_-* #,##0.0_-;\-* #,##0.0_-;_-* &quot;-&quot;??_-;_-@_-">
                  <c:v>53.322739726027692</c:v>
                </c:pt>
                <c:pt idx="559" formatCode="_-* #,##0.0_-;\-* #,##0.0_-;_-* &quot;-&quot;??_-;_-@_-">
                  <c:v>53.322739726027692</c:v>
                </c:pt>
                <c:pt idx="560" formatCode="_-* #,##0.0_-;\-* #,##0.0_-;_-* &quot;-&quot;??_-;_-@_-">
                  <c:v>53.322739726027692</c:v>
                </c:pt>
                <c:pt idx="561" formatCode="_-* #,##0.0_-;\-* #,##0.0_-;_-* &quot;-&quot;??_-;_-@_-">
                  <c:v>53.322739726027692</c:v>
                </c:pt>
                <c:pt idx="562" formatCode="_-* #,##0.0_-;\-* #,##0.0_-;_-* &quot;-&quot;??_-;_-@_-">
                  <c:v>53.322739726027692</c:v>
                </c:pt>
                <c:pt idx="563" formatCode="_-* #,##0.0_-;\-* #,##0.0_-;_-* &quot;-&quot;??_-;_-@_-">
                  <c:v>53.322739726027692</c:v>
                </c:pt>
                <c:pt idx="564" formatCode="_-* #,##0.0_-;\-* #,##0.0_-;_-* &quot;-&quot;??_-;_-@_-">
                  <c:v>53.322739726027692</c:v>
                </c:pt>
                <c:pt idx="565" formatCode="_-* #,##0.0_-;\-* #,##0.0_-;_-* &quot;-&quot;??_-;_-@_-">
                  <c:v>53.322739726027692</c:v>
                </c:pt>
                <c:pt idx="566" formatCode="_-* #,##0.0_-;\-* #,##0.0_-;_-* &quot;-&quot;??_-;_-@_-">
                  <c:v>53.322739726027692</c:v>
                </c:pt>
                <c:pt idx="567" formatCode="_-* #,##0.0_-;\-* #,##0.0_-;_-* &quot;-&quot;??_-;_-@_-">
                  <c:v>53.322739726027692</c:v>
                </c:pt>
                <c:pt idx="568" formatCode="_-* #,##0.0_-;\-* #,##0.0_-;_-* &quot;-&quot;??_-;_-@_-">
                  <c:v>53.322739726027692</c:v>
                </c:pt>
                <c:pt idx="569" formatCode="_-* #,##0.0_-;\-* #,##0.0_-;_-* &quot;-&quot;??_-;_-@_-">
                  <c:v>53.322739726027692</c:v>
                </c:pt>
                <c:pt idx="570" formatCode="_-* #,##0.0_-;\-* #,##0.0_-;_-* &quot;-&quot;??_-;_-@_-">
                  <c:v>53.322739726027692</c:v>
                </c:pt>
                <c:pt idx="571" formatCode="_-* #,##0.0_-;\-* #,##0.0_-;_-* &quot;-&quot;??_-;_-@_-">
                  <c:v>53.322739726027692</c:v>
                </c:pt>
                <c:pt idx="572" formatCode="_-* #,##0.0_-;\-* #,##0.0_-;_-* &quot;-&quot;??_-;_-@_-">
                  <c:v>53.322739726027692</c:v>
                </c:pt>
                <c:pt idx="573" formatCode="_-* #,##0.0_-;\-* #,##0.0_-;_-* &quot;-&quot;??_-;_-@_-">
                  <c:v>53.322739726027692</c:v>
                </c:pt>
                <c:pt idx="574" formatCode="_-* #,##0.0_-;\-* #,##0.0_-;_-* &quot;-&quot;??_-;_-@_-">
                  <c:v>53.322739726027692</c:v>
                </c:pt>
                <c:pt idx="575" formatCode="_-* #,##0.0_-;\-* #,##0.0_-;_-* &quot;-&quot;??_-;_-@_-">
                  <c:v>53.322739726027692</c:v>
                </c:pt>
                <c:pt idx="576" formatCode="_-* #,##0.0_-;\-* #,##0.0_-;_-* &quot;-&quot;??_-;_-@_-">
                  <c:v>53.322739726027692</c:v>
                </c:pt>
                <c:pt idx="577" formatCode="_-* #,##0.0_-;\-* #,##0.0_-;_-* &quot;-&quot;??_-;_-@_-">
                  <c:v>53.322739726027692</c:v>
                </c:pt>
                <c:pt idx="578" formatCode="_-* #,##0.0_-;\-* #,##0.0_-;_-* &quot;-&quot;??_-;_-@_-">
                  <c:v>53.322739726027692</c:v>
                </c:pt>
                <c:pt idx="579" formatCode="_-* #,##0.0_-;\-* #,##0.0_-;_-* &quot;-&quot;??_-;_-@_-">
                  <c:v>53.322739726027692</c:v>
                </c:pt>
                <c:pt idx="580" formatCode="_-* #,##0.0_-;\-* #,##0.0_-;_-* &quot;-&quot;??_-;_-@_-">
                  <c:v>53.322739726027692</c:v>
                </c:pt>
                <c:pt idx="581" formatCode="_-* #,##0.0_-;\-* #,##0.0_-;_-* &quot;-&quot;??_-;_-@_-">
                  <c:v>53.322739726027692</c:v>
                </c:pt>
                <c:pt idx="582" formatCode="_-* #,##0.0_-;\-* #,##0.0_-;_-* &quot;-&quot;??_-;_-@_-">
                  <c:v>53.322739726027692</c:v>
                </c:pt>
                <c:pt idx="583" formatCode="_-* #,##0.0_-;\-* #,##0.0_-;_-* &quot;-&quot;??_-;_-@_-">
                  <c:v>53.322739726027692</c:v>
                </c:pt>
                <c:pt idx="584" formatCode="_-* #,##0.0_-;\-* #,##0.0_-;_-* &quot;-&quot;??_-;_-@_-">
                  <c:v>53.322739726027692</c:v>
                </c:pt>
                <c:pt idx="585" formatCode="_-* #,##0.0_-;\-* #,##0.0_-;_-* &quot;-&quot;??_-;_-@_-">
                  <c:v>53.322739726027692</c:v>
                </c:pt>
                <c:pt idx="586" formatCode="_-* #,##0.0_-;\-* #,##0.0_-;_-* &quot;-&quot;??_-;_-@_-">
                  <c:v>53.322739726027692</c:v>
                </c:pt>
                <c:pt idx="587" formatCode="_-* #,##0.0_-;\-* #,##0.0_-;_-* &quot;-&quot;??_-;_-@_-">
                  <c:v>53.322739726027692</c:v>
                </c:pt>
                <c:pt idx="588" formatCode="_-* #,##0.0_-;\-* #,##0.0_-;_-* &quot;-&quot;??_-;_-@_-">
                  <c:v>53.322739726027692</c:v>
                </c:pt>
                <c:pt idx="589" formatCode="_-* #,##0.0_-;\-* #,##0.0_-;_-* &quot;-&quot;??_-;_-@_-">
                  <c:v>53.322739726027692</c:v>
                </c:pt>
                <c:pt idx="590" formatCode="_-* #,##0.0_-;\-* #,##0.0_-;_-* &quot;-&quot;??_-;_-@_-">
                  <c:v>53.322739726027692</c:v>
                </c:pt>
                <c:pt idx="591" formatCode="_-* #,##0.0_-;\-* #,##0.0_-;_-* &quot;-&quot;??_-;_-@_-">
                  <c:v>53.322739726027692</c:v>
                </c:pt>
                <c:pt idx="592" formatCode="_-* #,##0.0_-;\-* #,##0.0_-;_-* &quot;-&quot;??_-;_-@_-">
                  <c:v>53.322739726027692</c:v>
                </c:pt>
                <c:pt idx="593" formatCode="_-* #,##0.0_-;\-* #,##0.0_-;_-* &quot;-&quot;??_-;_-@_-">
                  <c:v>53.322739726027692</c:v>
                </c:pt>
                <c:pt idx="594" formatCode="_-* #,##0.0_-;\-* #,##0.0_-;_-* &quot;-&quot;??_-;_-@_-">
                  <c:v>53.322739726027692</c:v>
                </c:pt>
                <c:pt idx="595" formatCode="_-* #,##0.0_-;\-* #,##0.0_-;_-* &quot;-&quot;??_-;_-@_-">
                  <c:v>53.322739726027692</c:v>
                </c:pt>
                <c:pt idx="596" formatCode="_-* #,##0.0_-;\-* #,##0.0_-;_-* &quot;-&quot;??_-;_-@_-">
                  <c:v>53.322739726027692</c:v>
                </c:pt>
                <c:pt idx="597" formatCode="_-* #,##0.0_-;\-* #,##0.0_-;_-* &quot;-&quot;??_-;_-@_-">
                  <c:v>53.322739726027692</c:v>
                </c:pt>
                <c:pt idx="598" formatCode="_-* #,##0.0_-;\-* #,##0.0_-;_-* &quot;-&quot;??_-;_-@_-">
                  <c:v>53.322739726027692</c:v>
                </c:pt>
                <c:pt idx="599" formatCode="_-* #,##0.0_-;\-* #,##0.0_-;_-* &quot;-&quot;??_-;_-@_-">
                  <c:v>53.322739726027692</c:v>
                </c:pt>
                <c:pt idx="600" formatCode="_-* #,##0.0_-;\-* #,##0.0_-;_-* &quot;-&quot;??_-;_-@_-">
                  <c:v>53.322739726027692</c:v>
                </c:pt>
                <c:pt idx="601" formatCode="_-* #,##0.0_-;\-* #,##0.0_-;_-* &quot;-&quot;??_-;_-@_-">
                  <c:v>53.322739726027692</c:v>
                </c:pt>
                <c:pt idx="602" formatCode="_-* #,##0.0_-;\-* #,##0.0_-;_-* &quot;-&quot;??_-;_-@_-">
                  <c:v>53.322739726027692</c:v>
                </c:pt>
                <c:pt idx="603" formatCode="_-* #,##0.0_-;\-* #,##0.0_-;_-* &quot;-&quot;??_-;_-@_-">
                  <c:v>53.322739726027692</c:v>
                </c:pt>
                <c:pt idx="604" formatCode="_-* #,##0.0_-;\-* #,##0.0_-;_-* &quot;-&quot;??_-;_-@_-">
                  <c:v>53.322739726027692</c:v>
                </c:pt>
                <c:pt idx="605" formatCode="_-* #,##0.0_-;\-* #,##0.0_-;_-* &quot;-&quot;??_-;_-@_-">
                  <c:v>53.322739726027692</c:v>
                </c:pt>
                <c:pt idx="606" formatCode="_-* #,##0.0_-;\-* #,##0.0_-;_-* &quot;-&quot;??_-;_-@_-">
                  <c:v>53.322739726027692</c:v>
                </c:pt>
                <c:pt idx="607" formatCode="_-* #,##0.0_-;\-* #,##0.0_-;_-* &quot;-&quot;??_-;_-@_-">
                  <c:v>53.322739726027692</c:v>
                </c:pt>
                <c:pt idx="608" formatCode="_-* #,##0.0_-;\-* #,##0.0_-;_-* &quot;-&quot;??_-;_-@_-">
                  <c:v>53.322739726027692</c:v>
                </c:pt>
                <c:pt idx="609" formatCode="_-* #,##0.0_-;\-* #,##0.0_-;_-* &quot;-&quot;??_-;_-@_-">
                  <c:v>53.322739726027692</c:v>
                </c:pt>
                <c:pt idx="610" formatCode="_-* #,##0.0_-;\-* #,##0.0_-;_-* &quot;-&quot;??_-;_-@_-">
                  <c:v>53.322739726027692</c:v>
                </c:pt>
                <c:pt idx="611" formatCode="_-* #,##0.0_-;\-* #,##0.0_-;_-* &quot;-&quot;??_-;_-@_-">
                  <c:v>53.322739726027692</c:v>
                </c:pt>
                <c:pt idx="612" formatCode="_-* #,##0.0_-;\-* #,##0.0_-;_-* &quot;-&quot;??_-;_-@_-">
                  <c:v>53.322739726027692</c:v>
                </c:pt>
                <c:pt idx="613" formatCode="_-* #,##0.0_-;\-* #,##0.0_-;_-* &quot;-&quot;??_-;_-@_-">
                  <c:v>53.322739726027692</c:v>
                </c:pt>
                <c:pt idx="614" formatCode="_-* #,##0.0_-;\-* #,##0.0_-;_-* &quot;-&quot;??_-;_-@_-">
                  <c:v>53.322739726027692</c:v>
                </c:pt>
                <c:pt idx="615" formatCode="_-* #,##0.0_-;\-* #,##0.0_-;_-* &quot;-&quot;??_-;_-@_-">
                  <c:v>53.322739726027692</c:v>
                </c:pt>
                <c:pt idx="616" formatCode="_-* #,##0.0_-;\-* #,##0.0_-;_-* &quot;-&quot;??_-;_-@_-">
                  <c:v>53.322739726027692</c:v>
                </c:pt>
                <c:pt idx="617" formatCode="_-* #,##0.0_-;\-* #,##0.0_-;_-* &quot;-&quot;??_-;_-@_-">
                  <c:v>53.322739726027692</c:v>
                </c:pt>
                <c:pt idx="618" formatCode="_-* #,##0.0_-;\-* #,##0.0_-;_-* &quot;-&quot;??_-;_-@_-">
                  <c:v>53.322739726027692</c:v>
                </c:pt>
                <c:pt idx="619" formatCode="_-* #,##0.0_-;\-* #,##0.0_-;_-* &quot;-&quot;??_-;_-@_-">
                  <c:v>53.322739726027692</c:v>
                </c:pt>
                <c:pt idx="620" formatCode="_-* #,##0.0_-;\-* #,##0.0_-;_-* &quot;-&quot;??_-;_-@_-">
                  <c:v>53.322739726027692</c:v>
                </c:pt>
                <c:pt idx="621" formatCode="_-* #,##0.0_-;\-* #,##0.0_-;_-* &quot;-&quot;??_-;_-@_-">
                  <c:v>53.322739726027692</c:v>
                </c:pt>
                <c:pt idx="622" formatCode="_-* #,##0.0_-;\-* #,##0.0_-;_-* &quot;-&quot;??_-;_-@_-">
                  <c:v>53.322739726027692</c:v>
                </c:pt>
                <c:pt idx="623" formatCode="_-* #,##0.0_-;\-* #,##0.0_-;_-* &quot;-&quot;??_-;_-@_-">
                  <c:v>53.322739726027692</c:v>
                </c:pt>
                <c:pt idx="624" formatCode="_-* #,##0.0_-;\-* #,##0.0_-;_-* &quot;-&quot;??_-;_-@_-">
                  <c:v>53.322739726027692</c:v>
                </c:pt>
                <c:pt idx="625" formatCode="_-* #,##0.0_-;\-* #,##0.0_-;_-* &quot;-&quot;??_-;_-@_-">
                  <c:v>53.322739726027692</c:v>
                </c:pt>
                <c:pt idx="626" formatCode="_-* #,##0.0_-;\-* #,##0.0_-;_-* &quot;-&quot;??_-;_-@_-">
                  <c:v>53.322739726027692</c:v>
                </c:pt>
                <c:pt idx="627" formatCode="_-* #,##0.0_-;\-* #,##0.0_-;_-* &quot;-&quot;??_-;_-@_-">
                  <c:v>53.322739726027692</c:v>
                </c:pt>
                <c:pt idx="628" formatCode="_-* #,##0.0_-;\-* #,##0.0_-;_-* &quot;-&quot;??_-;_-@_-">
                  <c:v>53.322739726027692</c:v>
                </c:pt>
                <c:pt idx="629" formatCode="_-* #,##0.0_-;\-* #,##0.0_-;_-* &quot;-&quot;??_-;_-@_-">
                  <c:v>53.322739726027692</c:v>
                </c:pt>
                <c:pt idx="630" formatCode="_-* #,##0.0_-;\-* #,##0.0_-;_-* &quot;-&quot;??_-;_-@_-">
                  <c:v>53.322739726027692</c:v>
                </c:pt>
                <c:pt idx="631" formatCode="_-* #,##0.0_-;\-* #,##0.0_-;_-* &quot;-&quot;??_-;_-@_-">
                  <c:v>53.322739726027692</c:v>
                </c:pt>
                <c:pt idx="632" formatCode="_-* #,##0.0_-;\-* #,##0.0_-;_-* &quot;-&quot;??_-;_-@_-">
                  <c:v>53.322739726027692</c:v>
                </c:pt>
                <c:pt idx="633" formatCode="_-* #,##0.0_-;\-* #,##0.0_-;_-* &quot;-&quot;??_-;_-@_-">
                  <c:v>53.322739726027692</c:v>
                </c:pt>
                <c:pt idx="634" formatCode="_-* #,##0.0_-;\-* #,##0.0_-;_-* &quot;-&quot;??_-;_-@_-">
                  <c:v>53.322739726027692</c:v>
                </c:pt>
                <c:pt idx="635" formatCode="_-* #,##0.0_-;\-* #,##0.0_-;_-* &quot;-&quot;??_-;_-@_-">
                  <c:v>53.322739726027692</c:v>
                </c:pt>
                <c:pt idx="636" formatCode="_-* #,##0.0_-;\-* #,##0.0_-;_-* &quot;-&quot;??_-;_-@_-">
                  <c:v>53.322739726027692</c:v>
                </c:pt>
                <c:pt idx="637" formatCode="_-* #,##0.0_-;\-* #,##0.0_-;_-* &quot;-&quot;??_-;_-@_-">
                  <c:v>53.322739726027692</c:v>
                </c:pt>
                <c:pt idx="638" formatCode="_-* #,##0.0_-;\-* #,##0.0_-;_-* &quot;-&quot;??_-;_-@_-">
                  <c:v>53.322739726027692</c:v>
                </c:pt>
                <c:pt idx="639" formatCode="_-* #,##0.0_-;\-* #,##0.0_-;_-* &quot;-&quot;??_-;_-@_-">
                  <c:v>53.322739726027692</c:v>
                </c:pt>
                <c:pt idx="640" formatCode="_-* #,##0.0_-;\-* #,##0.0_-;_-* &quot;-&quot;??_-;_-@_-">
                  <c:v>53.322739726027692</c:v>
                </c:pt>
                <c:pt idx="641" formatCode="_-* #,##0.0_-;\-* #,##0.0_-;_-* &quot;-&quot;??_-;_-@_-">
                  <c:v>53.322739726027692</c:v>
                </c:pt>
                <c:pt idx="642" formatCode="_-* #,##0.0_-;\-* #,##0.0_-;_-* &quot;-&quot;??_-;_-@_-">
                  <c:v>53.322739726027692</c:v>
                </c:pt>
                <c:pt idx="643" formatCode="_-* #,##0.0_-;\-* #,##0.0_-;_-* &quot;-&quot;??_-;_-@_-">
                  <c:v>53.322739726027692</c:v>
                </c:pt>
                <c:pt idx="644" formatCode="_-* #,##0.0_-;\-* #,##0.0_-;_-* &quot;-&quot;??_-;_-@_-">
                  <c:v>53.322739726027692</c:v>
                </c:pt>
                <c:pt idx="645" formatCode="_-* #,##0.0_-;\-* #,##0.0_-;_-* &quot;-&quot;??_-;_-@_-">
                  <c:v>53.322739726027692</c:v>
                </c:pt>
                <c:pt idx="646" formatCode="_-* #,##0.0_-;\-* #,##0.0_-;_-* &quot;-&quot;??_-;_-@_-">
                  <c:v>53.322739726027692</c:v>
                </c:pt>
                <c:pt idx="647" formatCode="_-* #,##0.0_-;\-* #,##0.0_-;_-* &quot;-&quot;??_-;_-@_-">
                  <c:v>53.322739726027692</c:v>
                </c:pt>
                <c:pt idx="648" formatCode="_-* #,##0.0_-;\-* #,##0.0_-;_-* &quot;-&quot;??_-;_-@_-">
                  <c:v>53.322739726027692</c:v>
                </c:pt>
                <c:pt idx="649" formatCode="_-* #,##0.0_-;\-* #,##0.0_-;_-* &quot;-&quot;??_-;_-@_-">
                  <c:v>53.322739726027692</c:v>
                </c:pt>
                <c:pt idx="650" formatCode="_-* #,##0.0_-;\-* #,##0.0_-;_-* &quot;-&quot;??_-;_-@_-">
                  <c:v>53.322739726027692</c:v>
                </c:pt>
                <c:pt idx="651" formatCode="_-* #,##0.0_-;\-* #,##0.0_-;_-* &quot;-&quot;??_-;_-@_-">
                  <c:v>53.322739726027692</c:v>
                </c:pt>
                <c:pt idx="652" formatCode="_-* #,##0.0_-;\-* #,##0.0_-;_-* &quot;-&quot;??_-;_-@_-">
                  <c:v>53.322739726027692</c:v>
                </c:pt>
                <c:pt idx="653" formatCode="_-* #,##0.0_-;\-* #,##0.0_-;_-* &quot;-&quot;??_-;_-@_-">
                  <c:v>53.322739726027692</c:v>
                </c:pt>
                <c:pt idx="654" formatCode="_-* #,##0.0_-;\-* #,##0.0_-;_-* &quot;-&quot;??_-;_-@_-">
                  <c:v>53.322739726027692</c:v>
                </c:pt>
                <c:pt idx="655" formatCode="_-* #,##0.0_-;\-* #,##0.0_-;_-* &quot;-&quot;??_-;_-@_-">
                  <c:v>53.322739726027692</c:v>
                </c:pt>
                <c:pt idx="656" formatCode="_-* #,##0.0_-;\-* #,##0.0_-;_-* &quot;-&quot;??_-;_-@_-">
                  <c:v>53.322739726027692</c:v>
                </c:pt>
                <c:pt idx="657" formatCode="_-* #,##0.0_-;\-* #,##0.0_-;_-* &quot;-&quot;??_-;_-@_-">
                  <c:v>53.322739726027692</c:v>
                </c:pt>
                <c:pt idx="658" formatCode="_-* #,##0.0_-;\-* #,##0.0_-;_-* &quot;-&quot;??_-;_-@_-">
                  <c:v>53.322739726027692</c:v>
                </c:pt>
                <c:pt idx="659" formatCode="_-* #,##0.0_-;\-* #,##0.0_-;_-* &quot;-&quot;??_-;_-@_-">
                  <c:v>53.322739726027692</c:v>
                </c:pt>
                <c:pt idx="660" formatCode="_-* #,##0.0_-;\-* #,##0.0_-;_-* &quot;-&quot;??_-;_-@_-">
                  <c:v>53.322739726027692</c:v>
                </c:pt>
                <c:pt idx="661" formatCode="_-* #,##0.0_-;\-* #,##0.0_-;_-* &quot;-&quot;??_-;_-@_-">
                  <c:v>53.322739726027692</c:v>
                </c:pt>
                <c:pt idx="662" formatCode="_-* #,##0.0_-;\-* #,##0.0_-;_-* &quot;-&quot;??_-;_-@_-">
                  <c:v>53.322739726027692</c:v>
                </c:pt>
                <c:pt idx="663" formatCode="_-* #,##0.0_-;\-* #,##0.0_-;_-* &quot;-&quot;??_-;_-@_-">
                  <c:v>53.322739726027692</c:v>
                </c:pt>
                <c:pt idx="664" formatCode="_-* #,##0.0_-;\-* #,##0.0_-;_-* &quot;-&quot;??_-;_-@_-">
                  <c:v>53.322739726027692</c:v>
                </c:pt>
                <c:pt idx="665" formatCode="_-* #,##0.0_-;\-* #,##0.0_-;_-* &quot;-&quot;??_-;_-@_-">
                  <c:v>53.322739726027692</c:v>
                </c:pt>
                <c:pt idx="666" formatCode="_-* #,##0.0_-;\-* #,##0.0_-;_-* &quot;-&quot;??_-;_-@_-">
                  <c:v>53.322739726027692</c:v>
                </c:pt>
                <c:pt idx="667" formatCode="_-* #,##0.0_-;\-* #,##0.0_-;_-* &quot;-&quot;??_-;_-@_-">
                  <c:v>53.322739726027692</c:v>
                </c:pt>
                <c:pt idx="668" formatCode="_-* #,##0.0_-;\-* #,##0.0_-;_-* &quot;-&quot;??_-;_-@_-">
                  <c:v>53.322739726027692</c:v>
                </c:pt>
                <c:pt idx="669" formatCode="_-* #,##0.0_-;\-* #,##0.0_-;_-* &quot;-&quot;??_-;_-@_-">
                  <c:v>53.322739726027692</c:v>
                </c:pt>
                <c:pt idx="670" formatCode="_-* #,##0.0_-;\-* #,##0.0_-;_-* &quot;-&quot;??_-;_-@_-">
                  <c:v>53.322739726027692</c:v>
                </c:pt>
                <c:pt idx="671" formatCode="_-* #,##0.0_-;\-* #,##0.0_-;_-* &quot;-&quot;??_-;_-@_-">
                  <c:v>53.322739726027692</c:v>
                </c:pt>
                <c:pt idx="672" formatCode="_-* #,##0.0_-;\-* #,##0.0_-;_-* &quot;-&quot;??_-;_-@_-">
                  <c:v>53.322739726027692</c:v>
                </c:pt>
                <c:pt idx="673" formatCode="_-* #,##0.0_-;\-* #,##0.0_-;_-* &quot;-&quot;??_-;_-@_-">
                  <c:v>53.322739726027692</c:v>
                </c:pt>
                <c:pt idx="674" formatCode="_-* #,##0.0_-;\-* #,##0.0_-;_-* &quot;-&quot;??_-;_-@_-">
                  <c:v>53.322739726027692</c:v>
                </c:pt>
                <c:pt idx="675" formatCode="_-* #,##0.0_-;\-* #,##0.0_-;_-* &quot;-&quot;??_-;_-@_-">
                  <c:v>53.322739726027692</c:v>
                </c:pt>
                <c:pt idx="676" formatCode="_-* #,##0.0_-;\-* #,##0.0_-;_-* &quot;-&quot;??_-;_-@_-">
                  <c:v>53.322739726027692</c:v>
                </c:pt>
                <c:pt idx="677" formatCode="_-* #,##0.0_-;\-* #,##0.0_-;_-* &quot;-&quot;??_-;_-@_-">
                  <c:v>53.322739726027692</c:v>
                </c:pt>
                <c:pt idx="678" formatCode="_-* #,##0.0_-;\-* #,##0.0_-;_-* &quot;-&quot;??_-;_-@_-">
                  <c:v>53.322739726027692</c:v>
                </c:pt>
                <c:pt idx="679" formatCode="_-* #,##0.0_-;\-* #,##0.0_-;_-* &quot;-&quot;??_-;_-@_-">
                  <c:v>53.322739726027692</c:v>
                </c:pt>
                <c:pt idx="680" formatCode="_-* #,##0.0_-;\-* #,##0.0_-;_-* &quot;-&quot;??_-;_-@_-">
                  <c:v>53.322739726027692</c:v>
                </c:pt>
                <c:pt idx="681" formatCode="_-* #,##0.0_-;\-* #,##0.0_-;_-* &quot;-&quot;??_-;_-@_-">
                  <c:v>53.322739726027692</c:v>
                </c:pt>
                <c:pt idx="682" formatCode="_-* #,##0.0_-;\-* #,##0.0_-;_-* &quot;-&quot;??_-;_-@_-">
                  <c:v>53.322739726027692</c:v>
                </c:pt>
                <c:pt idx="683" formatCode="_-* #,##0.0_-;\-* #,##0.0_-;_-* &quot;-&quot;??_-;_-@_-">
                  <c:v>53.322739726027692</c:v>
                </c:pt>
                <c:pt idx="684" formatCode="_-* #,##0.0_-;\-* #,##0.0_-;_-* &quot;-&quot;??_-;_-@_-">
                  <c:v>53.322739726027692</c:v>
                </c:pt>
                <c:pt idx="685" formatCode="_-* #,##0.0_-;\-* #,##0.0_-;_-* &quot;-&quot;??_-;_-@_-">
                  <c:v>53.322739726027692</c:v>
                </c:pt>
                <c:pt idx="686" formatCode="_-* #,##0.0_-;\-* #,##0.0_-;_-* &quot;-&quot;??_-;_-@_-">
                  <c:v>53.322739726027692</c:v>
                </c:pt>
                <c:pt idx="687" formatCode="_-* #,##0.0_-;\-* #,##0.0_-;_-* &quot;-&quot;??_-;_-@_-">
                  <c:v>53.322739726027692</c:v>
                </c:pt>
                <c:pt idx="688" formatCode="_-* #,##0.0_-;\-* #,##0.0_-;_-* &quot;-&quot;??_-;_-@_-">
                  <c:v>53.322739726027692</c:v>
                </c:pt>
                <c:pt idx="689" formatCode="_-* #,##0.0_-;\-* #,##0.0_-;_-* &quot;-&quot;??_-;_-@_-">
                  <c:v>53.322739726027692</c:v>
                </c:pt>
                <c:pt idx="690" formatCode="_-* #,##0.0_-;\-* #,##0.0_-;_-* &quot;-&quot;??_-;_-@_-">
                  <c:v>53.322739726027692</c:v>
                </c:pt>
                <c:pt idx="691" formatCode="_-* #,##0.0_-;\-* #,##0.0_-;_-* &quot;-&quot;??_-;_-@_-">
                  <c:v>53.322739726027692</c:v>
                </c:pt>
                <c:pt idx="692" formatCode="_-* #,##0.0_-;\-* #,##0.0_-;_-* &quot;-&quot;??_-;_-@_-">
                  <c:v>53.322739726027692</c:v>
                </c:pt>
                <c:pt idx="693" formatCode="_-* #,##0.0_-;\-* #,##0.0_-;_-* &quot;-&quot;??_-;_-@_-">
                  <c:v>53.322739726027692</c:v>
                </c:pt>
                <c:pt idx="694" formatCode="_-* #,##0.0_-;\-* #,##0.0_-;_-* &quot;-&quot;??_-;_-@_-">
                  <c:v>53.322739726027692</c:v>
                </c:pt>
                <c:pt idx="695" formatCode="_-* #,##0.0_-;\-* #,##0.0_-;_-* &quot;-&quot;??_-;_-@_-">
                  <c:v>53.322739726027692</c:v>
                </c:pt>
                <c:pt idx="696" formatCode="_-* #,##0.0_-;\-* #,##0.0_-;_-* &quot;-&quot;??_-;_-@_-">
                  <c:v>53.322739726027692</c:v>
                </c:pt>
                <c:pt idx="697" formatCode="_-* #,##0.0_-;\-* #,##0.0_-;_-* &quot;-&quot;??_-;_-@_-">
                  <c:v>53.322739726027692</c:v>
                </c:pt>
                <c:pt idx="698" formatCode="_-* #,##0.0_-;\-* #,##0.0_-;_-* &quot;-&quot;??_-;_-@_-">
                  <c:v>53.322739726027692</c:v>
                </c:pt>
                <c:pt idx="699" formatCode="_-* #,##0.0_-;\-* #,##0.0_-;_-* &quot;-&quot;??_-;_-@_-">
                  <c:v>53.322739726027692</c:v>
                </c:pt>
                <c:pt idx="700" formatCode="_-* #,##0.0_-;\-* #,##0.0_-;_-* &quot;-&quot;??_-;_-@_-">
                  <c:v>53.322739726027692</c:v>
                </c:pt>
                <c:pt idx="701" formatCode="_-* #,##0.0_-;\-* #,##0.0_-;_-* &quot;-&quot;??_-;_-@_-">
                  <c:v>53.322739726027692</c:v>
                </c:pt>
                <c:pt idx="702" formatCode="_-* #,##0.0_-;\-* #,##0.0_-;_-* &quot;-&quot;??_-;_-@_-">
                  <c:v>53.322739726027692</c:v>
                </c:pt>
                <c:pt idx="703" formatCode="_-* #,##0.0_-;\-* #,##0.0_-;_-* &quot;-&quot;??_-;_-@_-">
                  <c:v>53.322739726027692</c:v>
                </c:pt>
                <c:pt idx="704" formatCode="_-* #,##0.0_-;\-* #,##0.0_-;_-* &quot;-&quot;??_-;_-@_-">
                  <c:v>53.322739726027692</c:v>
                </c:pt>
                <c:pt idx="705" formatCode="_-* #,##0.0_-;\-* #,##0.0_-;_-* &quot;-&quot;??_-;_-@_-">
                  <c:v>53.322739726027692</c:v>
                </c:pt>
                <c:pt idx="706" formatCode="_-* #,##0.0_-;\-* #,##0.0_-;_-* &quot;-&quot;??_-;_-@_-">
                  <c:v>53.322739726027692</c:v>
                </c:pt>
                <c:pt idx="707" formatCode="_-* #,##0.0_-;\-* #,##0.0_-;_-* &quot;-&quot;??_-;_-@_-">
                  <c:v>53.322739726027692</c:v>
                </c:pt>
                <c:pt idx="708" formatCode="_-* #,##0.0_-;\-* #,##0.0_-;_-* &quot;-&quot;??_-;_-@_-">
                  <c:v>53.322739726027692</c:v>
                </c:pt>
                <c:pt idx="709" formatCode="_-* #,##0.0_-;\-* #,##0.0_-;_-* &quot;-&quot;??_-;_-@_-">
                  <c:v>53.322739726027692</c:v>
                </c:pt>
                <c:pt idx="710" formatCode="_-* #,##0.0_-;\-* #,##0.0_-;_-* &quot;-&quot;??_-;_-@_-">
                  <c:v>53.322739726027692</c:v>
                </c:pt>
                <c:pt idx="711" formatCode="_-* #,##0.0_-;\-* #,##0.0_-;_-* &quot;-&quot;??_-;_-@_-">
                  <c:v>53.322739726027692</c:v>
                </c:pt>
                <c:pt idx="712" formatCode="_-* #,##0.0_-;\-* #,##0.0_-;_-* &quot;-&quot;??_-;_-@_-">
                  <c:v>53.322739726027692</c:v>
                </c:pt>
                <c:pt idx="713" formatCode="_-* #,##0.0_-;\-* #,##0.0_-;_-* &quot;-&quot;??_-;_-@_-">
                  <c:v>53.322739726027692</c:v>
                </c:pt>
                <c:pt idx="714" formatCode="_-* #,##0.0_-;\-* #,##0.0_-;_-* &quot;-&quot;??_-;_-@_-">
                  <c:v>53.322739726027692</c:v>
                </c:pt>
                <c:pt idx="715" formatCode="_-* #,##0.0_-;\-* #,##0.0_-;_-* &quot;-&quot;??_-;_-@_-">
                  <c:v>53.322739726027692</c:v>
                </c:pt>
                <c:pt idx="716" formatCode="_-* #,##0.0_-;\-* #,##0.0_-;_-* &quot;-&quot;??_-;_-@_-">
                  <c:v>53.322739726027692</c:v>
                </c:pt>
                <c:pt idx="717" formatCode="_-* #,##0.0_-;\-* #,##0.0_-;_-* &quot;-&quot;??_-;_-@_-">
                  <c:v>53.322739726027692</c:v>
                </c:pt>
                <c:pt idx="718" formatCode="_-* #,##0.0_-;\-* #,##0.0_-;_-* &quot;-&quot;??_-;_-@_-">
                  <c:v>53.322739726027692</c:v>
                </c:pt>
                <c:pt idx="719" formatCode="_-* #,##0.0_-;\-* #,##0.0_-;_-* &quot;-&quot;??_-;_-@_-">
                  <c:v>53.322739726027692</c:v>
                </c:pt>
                <c:pt idx="720" formatCode="_-* #,##0.0_-;\-* #,##0.0_-;_-* &quot;-&quot;??_-;_-@_-">
                  <c:v>53.322739726027692</c:v>
                </c:pt>
                <c:pt idx="721" formatCode="_-* #,##0.0_-;\-* #,##0.0_-;_-* &quot;-&quot;??_-;_-@_-">
                  <c:v>53.322739726027692</c:v>
                </c:pt>
                <c:pt idx="722" formatCode="_-* #,##0.0_-;\-* #,##0.0_-;_-* &quot;-&quot;??_-;_-@_-">
                  <c:v>53.322739726027692</c:v>
                </c:pt>
                <c:pt idx="723" formatCode="_-* #,##0.0_-;\-* #,##0.0_-;_-* &quot;-&quot;??_-;_-@_-">
                  <c:v>53.322739726027692</c:v>
                </c:pt>
                <c:pt idx="724" formatCode="_-* #,##0.0_-;\-* #,##0.0_-;_-* &quot;-&quot;??_-;_-@_-">
                  <c:v>53.322739726027692</c:v>
                </c:pt>
                <c:pt idx="725" formatCode="_-* #,##0.0_-;\-* #,##0.0_-;_-* &quot;-&quot;??_-;_-@_-">
                  <c:v>53.322739726027692</c:v>
                </c:pt>
                <c:pt idx="726" formatCode="_-* #,##0.0_-;\-* #,##0.0_-;_-* &quot;-&quot;??_-;_-@_-">
                  <c:v>53.322739726027692</c:v>
                </c:pt>
                <c:pt idx="727" formatCode="_-* #,##0.0_-;\-* #,##0.0_-;_-* &quot;-&quot;??_-;_-@_-">
                  <c:v>53.322739726027692</c:v>
                </c:pt>
                <c:pt idx="728" formatCode="_-* #,##0.0_-;\-* #,##0.0_-;_-* &quot;-&quot;??_-;_-@_-">
                  <c:v>53.322739726027692</c:v>
                </c:pt>
                <c:pt idx="729" formatCode="_-* #,##0.0_-;\-* #,##0.0_-;_-* &quot;-&quot;??_-;_-@_-">
                  <c:v>53.322739726027692</c:v>
                </c:pt>
                <c:pt idx="730" formatCode="_-* #,##0.0_-;\-* #,##0.0_-;_-* &quot;-&quot;??_-;_-@_-">
                  <c:v>53.322739726027692</c:v>
                </c:pt>
                <c:pt idx="846" formatCode="_-* #,##0.0_-;\-* #,##0.0_-;_-* &quot;-&quot;??_-;_-@_-">
                  <c:v>4</c:v>
                </c:pt>
              </c:numCache>
            </c:numRef>
          </c:val>
          <c:smooth val="0"/>
          <c:extLst>
            <c:ext xmlns:c16="http://schemas.microsoft.com/office/drawing/2014/chart" uri="{C3380CC4-5D6E-409C-BE32-E72D297353CC}">
              <c16:uniqueId val="{00000004-8500-4A85-B847-A5C28AD7FE98}"/>
            </c:ext>
          </c:extLst>
        </c:ser>
        <c:ser>
          <c:idx val="4"/>
          <c:order val="3"/>
          <c:tx>
            <c:strRef>
              <c:f>GTM!$E$1</c:f>
              <c:strCache>
                <c:ptCount val="1"/>
                <c:pt idx="0">
                  <c:v> Promedio 2022 </c:v>
                </c:pt>
              </c:strCache>
            </c:strRef>
          </c:tx>
          <c:spPr>
            <a:ln w="19050" cap="rnd">
              <a:solidFill>
                <a:schemeClr val="accent3"/>
              </a:solidFill>
              <a:prstDash val="sysDash"/>
              <a:round/>
            </a:ln>
            <a:effectLst/>
          </c:spPr>
          <c:marker>
            <c:symbol val="none"/>
          </c:marker>
          <c:dLbls>
            <c:dLbl>
              <c:idx val="80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00-4A85-B847-A5C28AD7FE9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GTM!$A$2:$A$944</c:f>
              <c:numCache>
                <c:formatCode>mm/dd/yyyy</c:formatCode>
                <c:ptCount val="943"/>
                <c:pt idx="0">
                  <c:v>43831</c:v>
                </c:pt>
                <c:pt idx="1">
                  <c:v>43832</c:v>
                </c:pt>
                <c:pt idx="2">
                  <c:v>43833</c:v>
                </c:pt>
                <c:pt idx="3">
                  <c:v>43834</c:v>
                </c:pt>
                <c:pt idx="4">
                  <c:v>43835</c:v>
                </c:pt>
                <c:pt idx="5">
                  <c:v>43836</c:v>
                </c:pt>
                <c:pt idx="6">
                  <c:v>43837</c:v>
                </c:pt>
                <c:pt idx="7">
                  <c:v>43838</c:v>
                </c:pt>
                <c:pt idx="8">
                  <c:v>43839</c:v>
                </c:pt>
                <c:pt idx="9">
                  <c:v>43840</c:v>
                </c:pt>
                <c:pt idx="10">
                  <c:v>43841</c:v>
                </c:pt>
                <c:pt idx="11">
                  <c:v>43842</c:v>
                </c:pt>
                <c:pt idx="12">
                  <c:v>43843</c:v>
                </c:pt>
                <c:pt idx="13">
                  <c:v>43844</c:v>
                </c:pt>
                <c:pt idx="14">
                  <c:v>43845</c:v>
                </c:pt>
                <c:pt idx="15">
                  <c:v>43846</c:v>
                </c:pt>
                <c:pt idx="16">
                  <c:v>43847</c:v>
                </c:pt>
                <c:pt idx="17">
                  <c:v>43848</c:v>
                </c:pt>
                <c:pt idx="18">
                  <c:v>43849</c:v>
                </c:pt>
                <c:pt idx="19">
                  <c:v>43850</c:v>
                </c:pt>
                <c:pt idx="20">
                  <c:v>43851</c:v>
                </c:pt>
                <c:pt idx="21">
                  <c:v>43852</c:v>
                </c:pt>
                <c:pt idx="22">
                  <c:v>43853</c:v>
                </c:pt>
                <c:pt idx="23">
                  <c:v>43854</c:v>
                </c:pt>
                <c:pt idx="24">
                  <c:v>43855</c:v>
                </c:pt>
                <c:pt idx="25">
                  <c:v>43856</c:v>
                </c:pt>
                <c:pt idx="26">
                  <c:v>43857</c:v>
                </c:pt>
                <c:pt idx="27">
                  <c:v>43858</c:v>
                </c:pt>
                <c:pt idx="28">
                  <c:v>43859</c:v>
                </c:pt>
                <c:pt idx="29">
                  <c:v>43860</c:v>
                </c:pt>
                <c:pt idx="30">
                  <c:v>43861</c:v>
                </c:pt>
                <c:pt idx="31">
                  <c:v>43862</c:v>
                </c:pt>
                <c:pt idx="32">
                  <c:v>43863</c:v>
                </c:pt>
                <c:pt idx="33">
                  <c:v>43864</c:v>
                </c:pt>
                <c:pt idx="34">
                  <c:v>43865</c:v>
                </c:pt>
                <c:pt idx="35">
                  <c:v>43866</c:v>
                </c:pt>
                <c:pt idx="36">
                  <c:v>43867</c:v>
                </c:pt>
                <c:pt idx="37">
                  <c:v>43868</c:v>
                </c:pt>
                <c:pt idx="38">
                  <c:v>43869</c:v>
                </c:pt>
                <c:pt idx="39">
                  <c:v>43870</c:v>
                </c:pt>
                <c:pt idx="40">
                  <c:v>43871</c:v>
                </c:pt>
                <c:pt idx="41">
                  <c:v>43872</c:v>
                </c:pt>
                <c:pt idx="42">
                  <c:v>43873</c:v>
                </c:pt>
                <c:pt idx="43">
                  <c:v>43874</c:v>
                </c:pt>
                <c:pt idx="44">
                  <c:v>43875</c:v>
                </c:pt>
                <c:pt idx="45">
                  <c:v>43876</c:v>
                </c:pt>
                <c:pt idx="46">
                  <c:v>43877</c:v>
                </c:pt>
                <c:pt idx="47">
                  <c:v>43878</c:v>
                </c:pt>
                <c:pt idx="48">
                  <c:v>43879</c:v>
                </c:pt>
                <c:pt idx="49">
                  <c:v>43880</c:v>
                </c:pt>
                <c:pt idx="50">
                  <c:v>43881</c:v>
                </c:pt>
                <c:pt idx="51">
                  <c:v>43882</c:v>
                </c:pt>
                <c:pt idx="52">
                  <c:v>43883</c:v>
                </c:pt>
                <c:pt idx="53">
                  <c:v>43884</c:v>
                </c:pt>
                <c:pt idx="54">
                  <c:v>43885</c:v>
                </c:pt>
                <c:pt idx="55">
                  <c:v>43886</c:v>
                </c:pt>
                <c:pt idx="56">
                  <c:v>43887</c:v>
                </c:pt>
                <c:pt idx="57">
                  <c:v>43888</c:v>
                </c:pt>
                <c:pt idx="58">
                  <c:v>43889</c:v>
                </c:pt>
                <c:pt idx="59">
                  <c:v>43890</c:v>
                </c:pt>
                <c:pt idx="60">
                  <c:v>43891</c:v>
                </c:pt>
                <c:pt idx="61">
                  <c:v>43892</c:v>
                </c:pt>
                <c:pt idx="62">
                  <c:v>43893</c:v>
                </c:pt>
                <c:pt idx="63">
                  <c:v>43894</c:v>
                </c:pt>
                <c:pt idx="64">
                  <c:v>43895</c:v>
                </c:pt>
                <c:pt idx="65">
                  <c:v>43896</c:v>
                </c:pt>
                <c:pt idx="66">
                  <c:v>43897</c:v>
                </c:pt>
                <c:pt idx="67">
                  <c:v>43898</c:v>
                </c:pt>
                <c:pt idx="68">
                  <c:v>43899</c:v>
                </c:pt>
                <c:pt idx="69">
                  <c:v>43900</c:v>
                </c:pt>
                <c:pt idx="70">
                  <c:v>43901</c:v>
                </c:pt>
                <c:pt idx="71">
                  <c:v>43902</c:v>
                </c:pt>
                <c:pt idx="72">
                  <c:v>43903</c:v>
                </c:pt>
                <c:pt idx="73">
                  <c:v>43904</c:v>
                </c:pt>
                <c:pt idx="74">
                  <c:v>43905</c:v>
                </c:pt>
                <c:pt idx="75">
                  <c:v>43906</c:v>
                </c:pt>
                <c:pt idx="76">
                  <c:v>43907</c:v>
                </c:pt>
                <c:pt idx="77">
                  <c:v>43908</c:v>
                </c:pt>
                <c:pt idx="78">
                  <c:v>43909</c:v>
                </c:pt>
                <c:pt idx="79">
                  <c:v>43910</c:v>
                </c:pt>
                <c:pt idx="80">
                  <c:v>43911</c:v>
                </c:pt>
                <c:pt idx="81">
                  <c:v>43912</c:v>
                </c:pt>
                <c:pt idx="82">
                  <c:v>43913</c:v>
                </c:pt>
                <c:pt idx="83">
                  <c:v>43914</c:v>
                </c:pt>
                <c:pt idx="84">
                  <c:v>43915</c:v>
                </c:pt>
                <c:pt idx="85">
                  <c:v>43916</c:v>
                </c:pt>
                <c:pt idx="86">
                  <c:v>43917</c:v>
                </c:pt>
                <c:pt idx="87">
                  <c:v>43918</c:v>
                </c:pt>
                <c:pt idx="88">
                  <c:v>43919</c:v>
                </c:pt>
                <c:pt idx="89">
                  <c:v>43920</c:v>
                </c:pt>
                <c:pt idx="90">
                  <c:v>43921</c:v>
                </c:pt>
                <c:pt idx="91">
                  <c:v>43922</c:v>
                </c:pt>
                <c:pt idx="92">
                  <c:v>43923</c:v>
                </c:pt>
                <c:pt idx="93">
                  <c:v>43924</c:v>
                </c:pt>
                <c:pt idx="94">
                  <c:v>43925</c:v>
                </c:pt>
                <c:pt idx="95">
                  <c:v>43926</c:v>
                </c:pt>
                <c:pt idx="96">
                  <c:v>43927</c:v>
                </c:pt>
                <c:pt idx="97">
                  <c:v>43928</c:v>
                </c:pt>
                <c:pt idx="98">
                  <c:v>43929</c:v>
                </c:pt>
                <c:pt idx="99">
                  <c:v>43930</c:v>
                </c:pt>
                <c:pt idx="100">
                  <c:v>43931</c:v>
                </c:pt>
                <c:pt idx="101">
                  <c:v>43932</c:v>
                </c:pt>
                <c:pt idx="102">
                  <c:v>43933</c:v>
                </c:pt>
                <c:pt idx="103">
                  <c:v>43934</c:v>
                </c:pt>
                <c:pt idx="104">
                  <c:v>43935</c:v>
                </c:pt>
                <c:pt idx="105">
                  <c:v>43936</c:v>
                </c:pt>
                <c:pt idx="106">
                  <c:v>43937</c:v>
                </c:pt>
                <c:pt idx="107">
                  <c:v>43938</c:v>
                </c:pt>
                <c:pt idx="108">
                  <c:v>43939</c:v>
                </c:pt>
                <c:pt idx="109">
                  <c:v>43940</c:v>
                </c:pt>
                <c:pt idx="110">
                  <c:v>43941</c:v>
                </c:pt>
                <c:pt idx="111">
                  <c:v>43942</c:v>
                </c:pt>
                <c:pt idx="112">
                  <c:v>43943</c:v>
                </c:pt>
                <c:pt idx="113">
                  <c:v>43944</c:v>
                </c:pt>
                <c:pt idx="114">
                  <c:v>43945</c:v>
                </c:pt>
                <c:pt idx="115">
                  <c:v>43946</c:v>
                </c:pt>
                <c:pt idx="116">
                  <c:v>43947</c:v>
                </c:pt>
                <c:pt idx="117">
                  <c:v>43948</c:v>
                </c:pt>
                <c:pt idx="118">
                  <c:v>43949</c:v>
                </c:pt>
                <c:pt idx="119">
                  <c:v>43950</c:v>
                </c:pt>
                <c:pt idx="120">
                  <c:v>43951</c:v>
                </c:pt>
                <c:pt idx="121">
                  <c:v>43952</c:v>
                </c:pt>
                <c:pt idx="122">
                  <c:v>43953</c:v>
                </c:pt>
                <c:pt idx="123">
                  <c:v>43954</c:v>
                </c:pt>
                <c:pt idx="124">
                  <c:v>43955</c:v>
                </c:pt>
                <c:pt idx="125">
                  <c:v>43956</c:v>
                </c:pt>
                <c:pt idx="126">
                  <c:v>43957</c:v>
                </c:pt>
                <c:pt idx="127">
                  <c:v>43958</c:v>
                </c:pt>
                <c:pt idx="128">
                  <c:v>43959</c:v>
                </c:pt>
                <c:pt idx="129">
                  <c:v>43960</c:v>
                </c:pt>
                <c:pt idx="130">
                  <c:v>43961</c:v>
                </c:pt>
                <c:pt idx="131">
                  <c:v>43962</c:v>
                </c:pt>
                <c:pt idx="132">
                  <c:v>43963</c:v>
                </c:pt>
                <c:pt idx="133">
                  <c:v>43964</c:v>
                </c:pt>
                <c:pt idx="134">
                  <c:v>43965</c:v>
                </c:pt>
                <c:pt idx="135">
                  <c:v>43966</c:v>
                </c:pt>
                <c:pt idx="136">
                  <c:v>43967</c:v>
                </c:pt>
                <c:pt idx="137">
                  <c:v>43968</c:v>
                </c:pt>
                <c:pt idx="138">
                  <c:v>43969</c:v>
                </c:pt>
                <c:pt idx="139">
                  <c:v>43970</c:v>
                </c:pt>
                <c:pt idx="140">
                  <c:v>43971</c:v>
                </c:pt>
                <c:pt idx="141">
                  <c:v>43972</c:v>
                </c:pt>
                <c:pt idx="142">
                  <c:v>43973</c:v>
                </c:pt>
                <c:pt idx="143">
                  <c:v>43974</c:v>
                </c:pt>
                <c:pt idx="144">
                  <c:v>43975</c:v>
                </c:pt>
                <c:pt idx="145">
                  <c:v>43976</c:v>
                </c:pt>
                <c:pt idx="146">
                  <c:v>43977</c:v>
                </c:pt>
                <c:pt idx="147">
                  <c:v>43978</c:v>
                </c:pt>
                <c:pt idx="148">
                  <c:v>43979</c:v>
                </c:pt>
                <c:pt idx="149">
                  <c:v>43980</c:v>
                </c:pt>
                <c:pt idx="150">
                  <c:v>43981</c:v>
                </c:pt>
                <c:pt idx="151">
                  <c:v>43982</c:v>
                </c:pt>
                <c:pt idx="152">
                  <c:v>43983</c:v>
                </c:pt>
                <c:pt idx="153">
                  <c:v>43984</c:v>
                </c:pt>
                <c:pt idx="154">
                  <c:v>43985</c:v>
                </c:pt>
                <c:pt idx="155">
                  <c:v>43986</c:v>
                </c:pt>
                <c:pt idx="156">
                  <c:v>43987</c:v>
                </c:pt>
                <c:pt idx="157">
                  <c:v>43988</c:v>
                </c:pt>
                <c:pt idx="158">
                  <c:v>43989</c:v>
                </c:pt>
                <c:pt idx="159">
                  <c:v>43990</c:v>
                </c:pt>
                <c:pt idx="160">
                  <c:v>43991</c:v>
                </c:pt>
                <c:pt idx="161">
                  <c:v>43992</c:v>
                </c:pt>
                <c:pt idx="162">
                  <c:v>43993</c:v>
                </c:pt>
                <c:pt idx="163">
                  <c:v>43994</c:v>
                </c:pt>
                <c:pt idx="164">
                  <c:v>43995</c:v>
                </c:pt>
                <c:pt idx="165">
                  <c:v>43996</c:v>
                </c:pt>
                <c:pt idx="166">
                  <c:v>43997</c:v>
                </c:pt>
                <c:pt idx="167">
                  <c:v>43998</c:v>
                </c:pt>
                <c:pt idx="168">
                  <c:v>43999</c:v>
                </c:pt>
                <c:pt idx="169">
                  <c:v>44000</c:v>
                </c:pt>
                <c:pt idx="170">
                  <c:v>44001</c:v>
                </c:pt>
                <c:pt idx="171">
                  <c:v>44002</c:v>
                </c:pt>
                <c:pt idx="172">
                  <c:v>44003</c:v>
                </c:pt>
                <c:pt idx="173">
                  <c:v>44004</c:v>
                </c:pt>
                <c:pt idx="174">
                  <c:v>44005</c:v>
                </c:pt>
                <c:pt idx="175">
                  <c:v>44006</c:v>
                </c:pt>
                <c:pt idx="176">
                  <c:v>44007</c:v>
                </c:pt>
                <c:pt idx="177">
                  <c:v>44008</c:v>
                </c:pt>
                <c:pt idx="178">
                  <c:v>44009</c:v>
                </c:pt>
                <c:pt idx="179">
                  <c:v>44010</c:v>
                </c:pt>
                <c:pt idx="180">
                  <c:v>44011</c:v>
                </c:pt>
                <c:pt idx="181">
                  <c:v>44012</c:v>
                </c:pt>
                <c:pt idx="182">
                  <c:v>44013</c:v>
                </c:pt>
                <c:pt idx="183">
                  <c:v>44014</c:v>
                </c:pt>
                <c:pt idx="184">
                  <c:v>44015</c:v>
                </c:pt>
                <c:pt idx="185">
                  <c:v>44016</c:v>
                </c:pt>
                <c:pt idx="186">
                  <c:v>44017</c:v>
                </c:pt>
                <c:pt idx="187">
                  <c:v>44018</c:v>
                </c:pt>
                <c:pt idx="188">
                  <c:v>44019</c:v>
                </c:pt>
                <c:pt idx="189">
                  <c:v>44020</c:v>
                </c:pt>
                <c:pt idx="190">
                  <c:v>44021</c:v>
                </c:pt>
                <c:pt idx="191">
                  <c:v>44022</c:v>
                </c:pt>
                <c:pt idx="192">
                  <c:v>44023</c:v>
                </c:pt>
                <c:pt idx="193">
                  <c:v>44024</c:v>
                </c:pt>
                <c:pt idx="194">
                  <c:v>44025</c:v>
                </c:pt>
                <c:pt idx="195">
                  <c:v>44026</c:v>
                </c:pt>
                <c:pt idx="196">
                  <c:v>44027</c:v>
                </c:pt>
                <c:pt idx="197">
                  <c:v>44028</c:v>
                </c:pt>
                <c:pt idx="198">
                  <c:v>44029</c:v>
                </c:pt>
                <c:pt idx="199">
                  <c:v>44030</c:v>
                </c:pt>
                <c:pt idx="200">
                  <c:v>44031</c:v>
                </c:pt>
                <c:pt idx="201">
                  <c:v>44032</c:v>
                </c:pt>
                <c:pt idx="202">
                  <c:v>44033</c:v>
                </c:pt>
                <c:pt idx="203">
                  <c:v>44034</c:v>
                </c:pt>
                <c:pt idx="204">
                  <c:v>44035</c:v>
                </c:pt>
                <c:pt idx="205">
                  <c:v>44036</c:v>
                </c:pt>
                <c:pt idx="206">
                  <c:v>44037</c:v>
                </c:pt>
                <c:pt idx="207">
                  <c:v>44038</c:v>
                </c:pt>
                <c:pt idx="208">
                  <c:v>44039</c:v>
                </c:pt>
                <c:pt idx="209">
                  <c:v>44040</c:v>
                </c:pt>
                <c:pt idx="210">
                  <c:v>44041</c:v>
                </c:pt>
                <c:pt idx="211">
                  <c:v>44042</c:v>
                </c:pt>
                <c:pt idx="212">
                  <c:v>44043</c:v>
                </c:pt>
                <c:pt idx="213">
                  <c:v>44044</c:v>
                </c:pt>
                <c:pt idx="214">
                  <c:v>44045</c:v>
                </c:pt>
                <c:pt idx="215">
                  <c:v>44046</c:v>
                </c:pt>
                <c:pt idx="216">
                  <c:v>44047</c:v>
                </c:pt>
                <c:pt idx="217">
                  <c:v>44048</c:v>
                </c:pt>
                <c:pt idx="218">
                  <c:v>44049</c:v>
                </c:pt>
                <c:pt idx="219">
                  <c:v>44050</c:v>
                </c:pt>
                <c:pt idx="220">
                  <c:v>44051</c:v>
                </c:pt>
                <c:pt idx="221">
                  <c:v>44052</c:v>
                </c:pt>
                <c:pt idx="222">
                  <c:v>44053</c:v>
                </c:pt>
                <c:pt idx="223">
                  <c:v>44054</c:v>
                </c:pt>
                <c:pt idx="224">
                  <c:v>44055</c:v>
                </c:pt>
                <c:pt idx="225">
                  <c:v>44056</c:v>
                </c:pt>
                <c:pt idx="226">
                  <c:v>44057</c:v>
                </c:pt>
                <c:pt idx="227">
                  <c:v>44058</c:v>
                </c:pt>
                <c:pt idx="228">
                  <c:v>44059</c:v>
                </c:pt>
                <c:pt idx="229">
                  <c:v>44060</c:v>
                </c:pt>
                <c:pt idx="230">
                  <c:v>44061</c:v>
                </c:pt>
                <c:pt idx="231">
                  <c:v>44062</c:v>
                </c:pt>
                <c:pt idx="232">
                  <c:v>44063</c:v>
                </c:pt>
                <c:pt idx="233">
                  <c:v>44064</c:v>
                </c:pt>
                <c:pt idx="234">
                  <c:v>44065</c:v>
                </c:pt>
                <c:pt idx="235">
                  <c:v>44066</c:v>
                </c:pt>
                <c:pt idx="236">
                  <c:v>44067</c:v>
                </c:pt>
                <c:pt idx="237">
                  <c:v>44068</c:v>
                </c:pt>
                <c:pt idx="238">
                  <c:v>44069</c:v>
                </c:pt>
                <c:pt idx="239">
                  <c:v>44070</c:v>
                </c:pt>
                <c:pt idx="240">
                  <c:v>44071</c:v>
                </c:pt>
                <c:pt idx="241">
                  <c:v>44072</c:v>
                </c:pt>
                <c:pt idx="242">
                  <c:v>44073</c:v>
                </c:pt>
                <c:pt idx="243">
                  <c:v>44074</c:v>
                </c:pt>
                <c:pt idx="244">
                  <c:v>44075</c:v>
                </c:pt>
                <c:pt idx="245">
                  <c:v>44076</c:v>
                </c:pt>
                <c:pt idx="246">
                  <c:v>44077</c:v>
                </c:pt>
                <c:pt idx="247">
                  <c:v>44078</c:v>
                </c:pt>
                <c:pt idx="248">
                  <c:v>44079</c:v>
                </c:pt>
                <c:pt idx="249">
                  <c:v>44080</c:v>
                </c:pt>
                <c:pt idx="250">
                  <c:v>44081</c:v>
                </c:pt>
                <c:pt idx="251">
                  <c:v>44082</c:v>
                </c:pt>
                <c:pt idx="252">
                  <c:v>44083</c:v>
                </c:pt>
                <c:pt idx="253">
                  <c:v>44084</c:v>
                </c:pt>
                <c:pt idx="254">
                  <c:v>44085</c:v>
                </c:pt>
                <c:pt idx="255">
                  <c:v>44086</c:v>
                </c:pt>
                <c:pt idx="256">
                  <c:v>44087</c:v>
                </c:pt>
                <c:pt idx="257">
                  <c:v>44088</c:v>
                </c:pt>
                <c:pt idx="258">
                  <c:v>44089</c:v>
                </c:pt>
                <c:pt idx="259">
                  <c:v>44090</c:v>
                </c:pt>
                <c:pt idx="260">
                  <c:v>44091</c:v>
                </c:pt>
                <c:pt idx="261">
                  <c:v>44092</c:v>
                </c:pt>
                <c:pt idx="262">
                  <c:v>44093</c:v>
                </c:pt>
                <c:pt idx="263">
                  <c:v>44094</c:v>
                </c:pt>
                <c:pt idx="264">
                  <c:v>44095</c:v>
                </c:pt>
                <c:pt idx="265">
                  <c:v>44096</c:v>
                </c:pt>
                <c:pt idx="266">
                  <c:v>44097</c:v>
                </c:pt>
                <c:pt idx="267">
                  <c:v>44098</c:v>
                </c:pt>
                <c:pt idx="268">
                  <c:v>44099</c:v>
                </c:pt>
                <c:pt idx="269">
                  <c:v>44100</c:v>
                </c:pt>
                <c:pt idx="270">
                  <c:v>44101</c:v>
                </c:pt>
                <c:pt idx="271">
                  <c:v>44102</c:v>
                </c:pt>
                <c:pt idx="272">
                  <c:v>44103</c:v>
                </c:pt>
                <c:pt idx="273">
                  <c:v>44104</c:v>
                </c:pt>
                <c:pt idx="274">
                  <c:v>44105</c:v>
                </c:pt>
                <c:pt idx="275">
                  <c:v>44106</c:v>
                </c:pt>
                <c:pt idx="276">
                  <c:v>44107</c:v>
                </c:pt>
                <c:pt idx="277">
                  <c:v>44108</c:v>
                </c:pt>
                <c:pt idx="278">
                  <c:v>44109</c:v>
                </c:pt>
                <c:pt idx="279">
                  <c:v>44110</c:v>
                </c:pt>
                <c:pt idx="280">
                  <c:v>44111</c:v>
                </c:pt>
                <c:pt idx="281">
                  <c:v>44112</c:v>
                </c:pt>
                <c:pt idx="282">
                  <c:v>44113</c:v>
                </c:pt>
                <c:pt idx="283">
                  <c:v>44114</c:v>
                </c:pt>
                <c:pt idx="284">
                  <c:v>44115</c:v>
                </c:pt>
                <c:pt idx="285">
                  <c:v>44116</c:v>
                </c:pt>
                <c:pt idx="286">
                  <c:v>44117</c:v>
                </c:pt>
                <c:pt idx="287">
                  <c:v>44118</c:v>
                </c:pt>
                <c:pt idx="288">
                  <c:v>44119</c:v>
                </c:pt>
                <c:pt idx="289">
                  <c:v>44120</c:v>
                </c:pt>
                <c:pt idx="290">
                  <c:v>44121</c:v>
                </c:pt>
                <c:pt idx="291">
                  <c:v>44122</c:v>
                </c:pt>
                <c:pt idx="292">
                  <c:v>44123</c:v>
                </c:pt>
                <c:pt idx="293">
                  <c:v>44124</c:v>
                </c:pt>
                <c:pt idx="294">
                  <c:v>44125</c:v>
                </c:pt>
                <c:pt idx="295">
                  <c:v>44126</c:v>
                </c:pt>
                <c:pt idx="296">
                  <c:v>44127</c:v>
                </c:pt>
                <c:pt idx="297">
                  <c:v>44128</c:v>
                </c:pt>
                <c:pt idx="298">
                  <c:v>44129</c:v>
                </c:pt>
                <c:pt idx="299">
                  <c:v>44130</c:v>
                </c:pt>
                <c:pt idx="300">
                  <c:v>44131</c:v>
                </c:pt>
                <c:pt idx="301">
                  <c:v>44132</c:v>
                </c:pt>
                <c:pt idx="302">
                  <c:v>44133</c:v>
                </c:pt>
                <c:pt idx="303">
                  <c:v>44134</c:v>
                </c:pt>
                <c:pt idx="304">
                  <c:v>44135</c:v>
                </c:pt>
                <c:pt idx="305">
                  <c:v>44136</c:v>
                </c:pt>
                <c:pt idx="306">
                  <c:v>44137</c:v>
                </c:pt>
                <c:pt idx="307">
                  <c:v>44138</c:v>
                </c:pt>
                <c:pt idx="308">
                  <c:v>44139</c:v>
                </c:pt>
                <c:pt idx="309">
                  <c:v>44140</c:v>
                </c:pt>
                <c:pt idx="310">
                  <c:v>44141</c:v>
                </c:pt>
                <c:pt idx="311">
                  <c:v>44142</c:v>
                </c:pt>
                <c:pt idx="312">
                  <c:v>44143</c:v>
                </c:pt>
                <c:pt idx="313">
                  <c:v>44144</c:v>
                </c:pt>
                <c:pt idx="314">
                  <c:v>44145</c:v>
                </c:pt>
                <c:pt idx="315">
                  <c:v>44146</c:v>
                </c:pt>
                <c:pt idx="316">
                  <c:v>44147</c:v>
                </c:pt>
                <c:pt idx="317">
                  <c:v>44148</c:v>
                </c:pt>
                <c:pt idx="318">
                  <c:v>44149</c:v>
                </c:pt>
                <c:pt idx="319">
                  <c:v>44150</c:v>
                </c:pt>
                <c:pt idx="320">
                  <c:v>44151</c:v>
                </c:pt>
                <c:pt idx="321">
                  <c:v>44152</c:v>
                </c:pt>
                <c:pt idx="322">
                  <c:v>44153</c:v>
                </c:pt>
                <c:pt idx="323">
                  <c:v>44154</c:v>
                </c:pt>
                <c:pt idx="324">
                  <c:v>44155</c:v>
                </c:pt>
                <c:pt idx="325">
                  <c:v>44156</c:v>
                </c:pt>
                <c:pt idx="326">
                  <c:v>44157</c:v>
                </c:pt>
                <c:pt idx="327">
                  <c:v>44158</c:v>
                </c:pt>
                <c:pt idx="328">
                  <c:v>44159</c:v>
                </c:pt>
                <c:pt idx="329">
                  <c:v>44160</c:v>
                </c:pt>
                <c:pt idx="330">
                  <c:v>44161</c:v>
                </c:pt>
                <c:pt idx="331">
                  <c:v>44162</c:v>
                </c:pt>
                <c:pt idx="332">
                  <c:v>44163</c:v>
                </c:pt>
                <c:pt idx="333">
                  <c:v>44164</c:v>
                </c:pt>
                <c:pt idx="334">
                  <c:v>44165</c:v>
                </c:pt>
                <c:pt idx="335">
                  <c:v>44166</c:v>
                </c:pt>
                <c:pt idx="336">
                  <c:v>44167</c:v>
                </c:pt>
                <c:pt idx="337">
                  <c:v>44168</c:v>
                </c:pt>
                <c:pt idx="338">
                  <c:v>44169</c:v>
                </c:pt>
                <c:pt idx="339">
                  <c:v>44170</c:v>
                </c:pt>
                <c:pt idx="340">
                  <c:v>44171</c:v>
                </c:pt>
                <c:pt idx="341">
                  <c:v>44172</c:v>
                </c:pt>
                <c:pt idx="342">
                  <c:v>44173</c:v>
                </c:pt>
                <c:pt idx="343">
                  <c:v>44174</c:v>
                </c:pt>
                <c:pt idx="344">
                  <c:v>44175</c:v>
                </c:pt>
                <c:pt idx="345">
                  <c:v>44176</c:v>
                </c:pt>
                <c:pt idx="346">
                  <c:v>44177</c:v>
                </c:pt>
                <c:pt idx="347">
                  <c:v>44178</c:v>
                </c:pt>
                <c:pt idx="348">
                  <c:v>44179</c:v>
                </c:pt>
                <c:pt idx="349">
                  <c:v>44180</c:v>
                </c:pt>
                <c:pt idx="350">
                  <c:v>44181</c:v>
                </c:pt>
                <c:pt idx="351">
                  <c:v>44182</c:v>
                </c:pt>
                <c:pt idx="352">
                  <c:v>44183</c:v>
                </c:pt>
                <c:pt idx="353">
                  <c:v>44184</c:v>
                </c:pt>
                <c:pt idx="354">
                  <c:v>44185</c:v>
                </c:pt>
                <c:pt idx="355">
                  <c:v>44186</c:v>
                </c:pt>
                <c:pt idx="356">
                  <c:v>44187</c:v>
                </c:pt>
                <c:pt idx="357">
                  <c:v>44188</c:v>
                </c:pt>
                <c:pt idx="358">
                  <c:v>44189</c:v>
                </c:pt>
                <c:pt idx="359">
                  <c:v>44190</c:v>
                </c:pt>
                <c:pt idx="360">
                  <c:v>44191</c:v>
                </c:pt>
                <c:pt idx="361">
                  <c:v>44192</c:v>
                </c:pt>
                <c:pt idx="362">
                  <c:v>44193</c:v>
                </c:pt>
                <c:pt idx="363">
                  <c:v>44194</c:v>
                </c:pt>
                <c:pt idx="364">
                  <c:v>44195</c:v>
                </c:pt>
                <c:pt idx="365">
                  <c:v>44196</c:v>
                </c:pt>
                <c:pt idx="366">
                  <c:v>44197</c:v>
                </c:pt>
                <c:pt idx="367">
                  <c:v>44198</c:v>
                </c:pt>
                <c:pt idx="368">
                  <c:v>44199</c:v>
                </c:pt>
                <c:pt idx="369">
                  <c:v>44200</c:v>
                </c:pt>
                <c:pt idx="370">
                  <c:v>44201</c:v>
                </c:pt>
                <c:pt idx="371">
                  <c:v>44202</c:v>
                </c:pt>
                <c:pt idx="372">
                  <c:v>44203</c:v>
                </c:pt>
                <c:pt idx="373">
                  <c:v>44204</c:v>
                </c:pt>
                <c:pt idx="374">
                  <c:v>44205</c:v>
                </c:pt>
                <c:pt idx="375">
                  <c:v>44206</c:v>
                </c:pt>
                <c:pt idx="376">
                  <c:v>44207</c:v>
                </c:pt>
                <c:pt idx="377">
                  <c:v>44208</c:v>
                </c:pt>
                <c:pt idx="378">
                  <c:v>44209</c:v>
                </c:pt>
                <c:pt idx="379">
                  <c:v>44210</c:v>
                </c:pt>
                <c:pt idx="380">
                  <c:v>44211</c:v>
                </c:pt>
                <c:pt idx="381">
                  <c:v>44212</c:v>
                </c:pt>
                <c:pt idx="382">
                  <c:v>44213</c:v>
                </c:pt>
                <c:pt idx="383">
                  <c:v>44214</c:v>
                </c:pt>
                <c:pt idx="384">
                  <c:v>44215</c:v>
                </c:pt>
                <c:pt idx="385">
                  <c:v>44216</c:v>
                </c:pt>
                <c:pt idx="386">
                  <c:v>44217</c:v>
                </c:pt>
                <c:pt idx="387">
                  <c:v>44218</c:v>
                </c:pt>
                <c:pt idx="388">
                  <c:v>44219</c:v>
                </c:pt>
                <c:pt idx="389">
                  <c:v>44220</c:v>
                </c:pt>
                <c:pt idx="390">
                  <c:v>44221</c:v>
                </c:pt>
                <c:pt idx="391">
                  <c:v>44222</c:v>
                </c:pt>
                <c:pt idx="392">
                  <c:v>44223</c:v>
                </c:pt>
                <c:pt idx="393">
                  <c:v>44224</c:v>
                </c:pt>
                <c:pt idx="394">
                  <c:v>44225</c:v>
                </c:pt>
                <c:pt idx="395">
                  <c:v>44226</c:v>
                </c:pt>
                <c:pt idx="396">
                  <c:v>44227</c:v>
                </c:pt>
                <c:pt idx="397">
                  <c:v>44228</c:v>
                </c:pt>
                <c:pt idx="398">
                  <c:v>44229</c:v>
                </c:pt>
                <c:pt idx="399">
                  <c:v>44230</c:v>
                </c:pt>
                <c:pt idx="400">
                  <c:v>44231</c:v>
                </c:pt>
                <c:pt idx="401">
                  <c:v>44232</c:v>
                </c:pt>
                <c:pt idx="402">
                  <c:v>44233</c:v>
                </c:pt>
                <c:pt idx="403">
                  <c:v>44234</c:v>
                </c:pt>
                <c:pt idx="404">
                  <c:v>44235</c:v>
                </c:pt>
                <c:pt idx="405">
                  <c:v>44236</c:v>
                </c:pt>
                <c:pt idx="406">
                  <c:v>44237</c:v>
                </c:pt>
                <c:pt idx="407">
                  <c:v>44238</c:v>
                </c:pt>
                <c:pt idx="408">
                  <c:v>44239</c:v>
                </c:pt>
                <c:pt idx="409">
                  <c:v>44240</c:v>
                </c:pt>
                <c:pt idx="410">
                  <c:v>44241</c:v>
                </c:pt>
                <c:pt idx="411">
                  <c:v>44242</c:v>
                </c:pt>
                <c:pt idx="412">
                  <c:v>44243</c:v>
                </c:pt>
                <c:pt idx="413">
                  <c:v>44244</c:v>
                </c:pt>
                <c:pt idx="414">
                  <c:v>44245</c:v>
                </c:pt>
                <c:pt idx="415">
                  <c:v>44246</c:v>
                </c:pt>
                <c:pt idx="416">
                  <c:v>44247</c:v>
                </c:pt>
                <c:pt idx="417">
                  <c:v>44248</c:v>
                </c:pt>
                <c:pt idx="418">
                  <c:v>44249</c:v>
                </c:pt>
                <c:pt idx="419">
                  <c:v>44250</c:v>
                </c:pt>
                <c:pt idx="420">
                  <c:v>44251</c:v>
                </c:pt>
                <c:pt idx="421">
                  <c:v>44252</c:v>
                </c:pt>
                <c:pt idx="422">
                  <c:v>44253</c:v>
                </c:pt>
                <c:pt idx="423">
                  <c:v>44254</c:v>
                </c:pt>
                <c:pt idx="424">
                  <c:v>44255</c:v>
                </c:pt>
                <c:pt idx="425">
                  <c:v>44256</c:v>
                </c:pt>
                <c:pt idx="426">
                  <c:v>44257</c:v>
                </c:pt>
                <c:pt idx="427">
                  <c:v>44258</c:v>
                </c:pt>
                <c:pt idx="428">
                  <c:v>44259</c:v>
                </c:pt>
                <c:pt idx="429">
                  <c:v>44260</c:v>
                </c:pt>
                <c:pt idx="430">
                  <c:v>44261</c:v>
                </c:pt>
                <c:pt idx="431">
                  <c:v>44262</c:v>
                </c:pt>
                <c:pt idx="432">
                  <c:v>44263</c:v>
                </c:pt>
                <c:pt idx="433">
                  <c:v>44264</c:v>
                </c:pt>
                <c:pt idx="434">
                  <c:v>44265</c:v>
                </c:pt>
                <c:pt idx="435">
                  <c:v>44266</c:v>
                </c:pt>
                <c:pt idx="436">
                  <c:v>44267</c:v>
                </c:pt>
                <c:pt idx="437">
                  <c:v>44268</c:v>
                </c:pt>
                <c:pt idx="438">
                  <c:v>44269</c:v>
                </c:pt>
                <c:pt idx="439">
                  <c:v>44270</c:v>
                </c:pt>
                <c:pt idx="440">
                  <c:v>44271</c:v>
                </c:pt>
                <c:pt idx="441">
                  <c:v>44272</c:v>
                </c:pt>
                <c:pt idx="442">
                  <c:v>44273</c:v>
                </c:pt>
                <c:pt idx="443">
                  <c:v>44274</c:v>
                </c:pt>
                <c:pt idx="444">
                  <c:v>44275</c:v>
                </c:pt>
                <c:pt idx="445">
                  <c:v>44276</c:v>
                </c:pt>
                <c:pt idx="446">
                  <c:v>44277</c:v>
                </c:pt>
                <c:pt idx="447">
                  <c:v>44278</c:v>
                </c:pt>
                <c:pt idx="448">
                  <c:v>44279</c:v>
                </c:pt>
                <c:pt idx="449">
                  <c:v>44280</c:v>
                </c:pt>
                <c:pt idx="450">
                  <c:v>44281</c:v>
                </c:pt>
                <c:pt idx="451">
                  <c:v>44282</c:v>
                </c:pt>
                <c:pt idx="452">
                  <c:v>44283</c:v>
                </c:pt>
                <c:pt idx="453">
                  <c:v>44284</c:v>
                </c:pt>
                <c:pt idx="454">
                  <c:v>44285</c:v>
                </c:pt>
                <c:pt idx="455">
                  <c:v>44286</c:v>
                </c:pt>
                <c:pt idx="456">
                  <c:v>44287</c:v>
                </c:pt>
                <c:pt idx="457">
                  <c:v>44288</c:v>
                </c:pt>
                <c:pt idx="458">
                  <c:v>44289</c:v>
                </c:pt>
                <c:pt idx="459">
                  <c:v>44290</c:v>
                </c:pt>
                <c:pt idx="460">
                  <c:v>44291</c:v>
                </c:pt>
                <c:pt idx="461">
                  <c:v>44292</c:v>
                </c:pt>
                <c:pt idx="462">
                  <c:v>44293</c:v>
                </c:pt>
                <c:pt idx="463">
                  <c:v>44294</c:v>
                </c:pt>
                <c:pt idx="464">
                  <c:v>44295</c:v>
                </c:pt>
                <c:pt idx="465">
                  <c:v>44296</c:v>
                </c:pt>
                <c:pt idx="466">
                  <c:v>44297</c:v>
                </c:pt>
                <c:pt idx="467">
                  <c:v>44298</c:v>
                </c:pt>
                <c:pt idx="468">
                  <c:v>44299</c:v>
                </c:pt>
                <c:pt idx="469">
                  <c:v>44300</c:v>
                </c:pt>
                <c:pt idx="470">
                  <c:v>44301</c:v>
                </c:pt>
                <c:pt idx="471">
                  <c:v>44302</c:v>
                </c:pt>
                <c:pt idx="472">
                  <c:v>44303</c:v>
                </c:pt>
                <c:pt idx="473">
                  <c:v>44304</c:v>
                </c:pt>
                <c:pt idx="474">
                  <c:v>44305</c:v>
                </c:pt>
                <c:pt idx="475">
                  <c:v>44306</c:v>
                </c:pt>
                <c:pt idx="476">
                  <c:v>44307</c:v>
                </c:pt>
                <c:pt idx="477">
                  <c:v>44308</c:v>
                </c:pt>
                <c:pt idx="478">
                  <c:v>44309</c:v>
                </c:pt>
                <c:pt idx="479">
                  <c:v>44310</c:v>
                </c:pt>
                <c:pt idx="480">
                  <c:v>44311</c:v>
                </c:pt>
                <c:pt idx="481">
                  <c:v>44312</c:v>
                </c:pt>
                <c:pt idx="482">
                  <c:v>44313</c:v>
                </c:pt>
                <c:pt idx="483">
                  <c:v>44314</c:v>
                </c:pt>
                <c:pt idx="484">
                  <c:v>44315</c:v>
                </c:pt>
                <c:pt idx="485">
                  <c:v>44316</c:v>
                </c:pt>
                <c:pt idx="486">
                  <c:v>44317</c:v>
                </c:pt>
                <c:pt idx="487">
                  <c:v>44318</c:v>
                </c:pt>
                <c:pt idx="488">
                  <c:v>44319</c:v>
                </c:pt>
                <c:pt idx="489">
                  <c:v>44320</c:v>
                </c:pt>
                <c:pt idx="490">
                  <c:v>44321</c:v>
                </c:pt>
                <c:pt idx="491">
                  <c:v>44322</c:v>
                </c:pt>
                <c:pt idx="492">
                  <c:v>44323</c:v>
                </c:pt>
                <c:pt idx="493">
                  <c:v>44324</c:v>
                </c:pt>
                <c:pt idx="494">
                  <c:v>44325</c:v>
                </c:pt>
                <c:pt idx="495">
                  <c:v>44326</c:v>
                </c:pt>
                <c:pt idx="496">
                  <c:v>44327</c:v>
                </c:pt>
                <c:pt idx="497">
                  <c:v>44328</c:v>
                </c:pt>
                <c:pt idx="498">
                  <c:v>44329</c:v>
                </c:pt>
                <c:pt idx="499">
                  <c:v>44330</c:v>
                </c:pt>
                <c:pt idx="500">
                  <c:v>44331</c:v>
                </c:pt>
                <c:pt idx="501">
                  <c:v>44332</c:v>
                </c:pt>
                <c:pt idx="502">
                  <c:v>44333</c:v>
                </c:pt>
                <c:pt idx="503">
                  <c:v>44334</c:v>
                </c:pt>
                <c:pt idx="504">
                  <c:v>44335</c:v>
                </c:pt>
                <c:pt idx="505">
                  <c:v>44336</c:v>
                </c:pt>
                <c:pt idx="506">
                  <c:v>44337</c:v>
                </c:pt>
                <c:pt idx="507">
                  <c:v>44338</c:v>
                </c:pt>
                <c:pt idx="508">
                  <c:v>44339</c:v>
                </c:pt>
                <c:pt idx="509">
                  <c:v>44340</c:v>
                </c:pt>
                <c:pt idx="510">
                  <c:v>44341</c:v>
                </c:pt>
                <c:pt idx="511">
                  <c:v>44342</c:v>
                </c:pt>
                <c:pt idx="512">
                  <c:v>44343</c:v>
                </c:pt>
                <c:pt idx="513">
                  <c:v>44344</c:v>
                </c:pt>
                <c:pt idx="514">
                  <c:v>44345</c:v>
                </c:pt>
                <c:pt idx="515">
                  <c:v>44346</c:v>
                </c:pt>
                <c:pt idx="516">
                  <c:v>44347</c:v>
                </c:pt>
                <c:pt idx="517">
                  <c:v>44348</c:v>
                </c:pt>
                <c:pt idx="518">
                  <c:v>44349</c:v>
                </c:pt>
                <c:pt idx="519">
                  <c:v>44350</c:v>
                </c:pt>
                <c:pt idx="520">
                  <c:v>44351</c:v>
                </c:pt>
                <c:pt idx="521">
                  <c:v>44352</c:v>
                </c:pt>
                <c:pt idx="522">
                  <c:v>44353</c:v>
                </c:pt>
                <c:pt idx="523">
                  <c:v>44354</c:v>
                </c:pt>
                <c:pt idx="524">
                  <c:v>44355</c:v>
                </c:pt>
                <c:pt idx="525">
                  <c:v>44356</c:v>
                </c:pt>
                <c:pt idx="526">
                  <c:v>44357</c:v>
                </c:pt>
                <c:pt idx="527">
                  <c:v>44358</c:v>
                </c:pt>
                <c:pt idx="528">
                  <c:v>44359</c:v>
                </c:pt>
                <c:pt idx="529">
                  <c:v>44360</c:v>
                </c:pt>
                <c:pt idx="530">
                  <c:v>44361</c:v>
                </c:pt>
                <c:pt idx="531">
                  <c:v>44362</c:v>
                </c:pt>
                <c:pt idx="532">
                  <c:v>44363</c:v>
                </c:pt>
                <c:pt idx="533">
                  <c:v>44364</c:v>
                </c:pt>
                <c:pt idx="534">
                  <c:v>44365</c:v>
                </c:pt>
                <c:pt idx="535">
                  <c:v>44366</c:v>
                </c:pt>
                <c:pt idx="536">
                  <c:v>44367</c:v>
                </c:pt>
                <c:pt idx="537">
                  <c:v>44368</c:v>
                </c:pt>
                <c:pt idx="538">
                  <c:v>44369</c:v>
                </c:pt>
                <c:pt idx="539">
                  <c:v>44370</c:v>
                </c:pt>
                <c:pt idx="540">
                  <c:v>44371</c:v>
                </c:pt>
                <c:pt idx="541">
                  <c:v>44372</c:v>
                </c:pt>
                <c:pt idx="542">
                  <c:v>44373</c:v>
                </c:pt>
                <c:pt idx="543">
                  <c:v>44374</c:v>
                </c:pt>
                <c:pt idx="544">
                  <c:v>44375</c:v>
                </c:pt>
                <c:pt idx="545">
                  <c:v>44376</c:v>
                </c:pt>
                <c:pt idx="546">
                  <c:v>44377</c:v>
                </c:pt>
                <c:pt idx="547">
                  <c:v>44378</c:v>
                </c:pt>
                <c:pt idx="548">
                  <c:v>44379</c:v>
                </c:pt>
                <c:pt idx="549">
                  <c:v>44380</c:v>
                </c:pt>
                <c:pt idx="550">
                  <c:v>44381</c:v>
                </c:pt>
                <c:pt idx="551">
                  <c:v>44382</c:v>
                </c:pt>
                <c:pt idx="552">
                  <c:v>44383</c:v>
                </c:pt>
                <c:pt idx="553">
                  <c:v>44384</c:v>
                </c:pt>
                <c:pt idx="554">
                  <c:v>44385</c:v>
                </c:pt>
                <c:pt idx="555">
                  <c:v>44386</c:v>
                </c:pt>
                <c:pt idx="556">
                  <c:v>44387</c:v>
                </c:pt>
                <c:pt idx="557">
                  <c:v>44388</c:v>
                </c:pt>
                <c:pt idx="558">
                  <c:v>44389</c:v>
                </c:pt>
                <c:pt idx="559">
                  <c:v>44390</c:v>
                </c:pt>
                <c:pt idx="560">
                  <c:v>44391</c:v>
                </c:pt>
                <c:pt idx="561">
                  <c:v>44392</c:v>
                </c:pt>
                <c:pt idx="562">
                  <c:v>44393</c:v>
                </c:pt>
                <c:pt idx="563">
                  <c:v>44394</c:v>
                </c:pt>
                <c:pt idx="564">
                  <c:v>44395</c:v>
                </c:pt>
                <c:pt idx="565">
                  <c:v>44396</c:v>
                </c:pt>
                <c:pt idx="566">
                  <c:v>44397</c:v>
                </c:pt>
                <c:pt idx="567">
                  <c:v>44398</c:v>
                </c:pt>
                <c:pt idx="568">
                  <c:v>44399</c:v>
                </c:pt>
                <c:pt idx="569">
                  <c:v>44400</c:v>
                </c:pt>
                <c:pt idx="570">
                  <c:v>44401</c:v>
                </c:pt>
                <c:pt idx="571">
                  <c:v>44402</c:v>
                </c:pt>
                <c:pt idx="572">
                  <c:v>44403</c:v>
                </c:pt>
                <c:pt idx="573">
                  <c:v>44404</c:v>
                </c:pt>
                <c:pt idx="574">
                  <c:v>44405</c:v>
                </c:pt>
                <c:pt idx="575">
                  <c:v>44406</c:v>
                </c:pt>
                <c:pt idx="576">
                  <c:v>44407</c:v>
                </c:pt>
                <c:pt idx="577">
                  <c:v>44408</c:v>
                </c:pt>
                <c:pt idx="578">
                  <c:v>44409</c:v>
                </c:pt>
                <c:pt idx="579">
                  <c:v>44410</c:v>
                </c:pt>
                <c:pt idx="580">
                  <c:v>44411</c:v>
                </c:pt>
                <c:pt idx="581">
                  <c:v>44412</c:v>
                </c:pt>
                <c:pt idx="582">
                  <c:v>44413</c:v>
                </c:pt>
                <c:pt idx="583">
                  <c:v>44414</c:v>
                </c:pt>
                <c:pt idx="584">
                  <c:v>44415</c:v>
                </c:pt>
                <c:pt idx="585">
                  <c:v>44416</c:v>
                </c:pt>
                <c:pt idx="586">
                  <c:v>44417</c:v>
                </c:pt>
                <c:pt idx="587">
                  <c:v>44418</c:v>
                </c:pt>
                <c:pt idx="588">
                  <c:v>44419</c:v>
                </c:pt>
                <c:pt idx="589">
                  <c:v>44420</c:v>
                </c:pt>
                <c:pt idx="590">
                  <c:v>44421</c:v>
                </c:pt>
                <c:pt idx="591">
                  <c:v>44422</c:v>
                </c:pt>
                <c:pt idx="592">
                  <c:v>44423</c:v>
                </c:pt>
                <c:pt idx="593">
                  <c:v>44424</c:v>
                </c:pt>
                <c:pt idx="594">
                  <c:v>44425</c:v>
                </c:pt>
                <c:pt idx="595">
                  <c:v>44426</c:v>
                </c:pt>
                <c:pt idx="596">
                  <c:v>44427</c:v>
                </c:pt>
                <c:pt idx="597">
                  <c:v>44428</c:v>
                </c:pt>
                <c:pt idx="598">
                  <c:v>44429</c:v>
                </c:pt>
                <c:pt idx="599">
                  <c:v>44430</c:v>
                </c:pt>
                <c:pt idx="600">
                  <c:v>44431</c:v>
                </c:pt>
                <c:pt idx="601">
                  <c:v>44432</c:v>
                </c:pt>
                <c:pt idx="602">
                  <c:v>44433</c:v>
                </c:pt>
                <c:pt idx="603">
                  <c:v>44434</c:v>
                </c:pt>
                <c:pt idx="604">
                  <c:v>44435</c:v>
                </c:pt>
                <c:pt idx="605">
                  <c:v>44436</c:v>
                </c:pt>
                <c:pt idx="606">
                  <c:v>44437</c:v>
                </c:pt>
                <c:pt idx="607">
                  <c:v>44438</c:v>
                </c:pt>
                <c:pt idx="608">
                  <c:v>44439</c:v>
                </c:pt>
                <c:pt idx="609">
                  <c:v>44440</c:v>
                </c:pt>
                <c:pt idx="610">
                  <c:v>44441</c:v>
                </c:pt>
                <c:pt idx="611">
                  <c:v>44442</c:v>
                </c:pt>
                <c:pt idx="612">
                  <c:v>44443</c:v>
                </c:pt>
                <c:pt idx="613">
                  <c:v>44444</c:v>
                </c:pt>
                <c:pt idx="614">
                  <c:v>44445</c:v>
                </c:pt>
                <c:pt idx="615">
                  <c:v>44446</c:v>
                </c:pt>
                <c:pt idx="616">
                  <c:v>44447</c:v>
                </c:pt>
                <c:pt idx="617">
                  <c:v>44448</c:v>
                </c:pt>
                <c:pt idx="618">
                  <c:v>44449</c:v>
                </c:pt>
                <c:pt idx="619">
                  <c:v>44450</c:v>
                </c:pt>
                <c:pt idx="620">
                  <c:v>44451</c:v>
                </c:pt>
                <c:pt idx="621">
                  <c:v>44452</c:v>
                </c:pt>
                <c:pt idx="622">
                  <c:v>44453</c:v>
                </c:pt>
                <c:pt idx="623">
                  <c:v>44454</c:v>
                </c:pt>
                <c:pt idx="624">
                  <c:v>44455</c:v>
                </c:pt>
                <c:pt idx="625">
                  <c:v>44456</c:v>
                </c:pt>
                <c:pt idx="626">
                  <c:v>44457</c:v>
                </c:pt>
                <c:pt idx="627">
                  <c:v>44458</c:v>
                </c:pt>
                <c:pt idx="628">
                  <c:v>44459</c:v>
                </c:pt>
                <c:pt idx="629">
                  <c:v>44460</c:v>
                </c:pt>
                <c:pt idx="630">
                  <c:v>44461</c:v>
                </c:pt>
                <c:pt idx="631">
                  <c:v>44462</c:v>
                </c:pt>
                <c:pt idx="632">
                  <c:v>44463</c:v>
                </c:pt>
                <c:pt idx="633">
                  <c:v>44464</c:v>
                </c:pt>
                <c:pt idx="634">
                  <c:v>44465</c:v>
                </c:pt>
                <c:pt idx="635">
                  <c:v>44466</c:v>
                </c:pt>
                <c:pt idx="636">
                  <c:v>44467</c:v>
                </c:pt>
                <c:pt idx="637">
                  <c:v>44468</c:v>
                </c:pt>
                <c:pt idx="638">
                  <c:v>44469</c:v>
                </c:pt>
                <c:pt idx="639">
                  <c:v>44470</c:v>
                </c:pt>
                <c:pt idx="640">
                  <c:v>44471</c:v>
                </c:pt>
                <c:pt idx="641">
                  <c:v>44472</c:v>
                </c:pt>
                <c:pt idx="642">
                  <c:v>44473</c:v>
                </c:pt>
                <c:pt idx="643">
                  <c:v>44474</c:v>
                </c:pt>
                <c:pt idx="644">
                  <c:v>44475</c:v>
                </c:pt>
                <c:pt idx="645">
                  <c:v>44476</c:v>
                </c:pt>
                <c:pt idx="646">
                  <c:v>44477</c:v>
                </c:pt>
                <c:pt idx="647">
                  <c:v>44478</c:v>
                </c:pt>
                <c:pt idx="648">
                  <c:v>44479</c:v>
                </c:pt>
                <c:pt idx="649">
                  <c:v>44480</c:v>
                </c:pt>
                <c:pt idx="650">
                  <c:v>44481</c:v>
                </c:pt>
                <c:pt idx="651">
                  <c:v>44482</c:v>
                </c:pt>
                <c:pt idx="652">
                  <c:v>44483</c:v>
                </c:pt>
                <c:pt idx="653">
                  <c:v>44484</c:v>
                </c:pt>
                <c:pt idx="654">
                  <c:v>44485</c:v>
                </c:pt>
                <c:pt idx="655">
                  <c:v>44486</c:v>
                </c:pt>
                <c:pt idx="656">
                  <c:v>44487</c:v>
                </c:pt>
                <c:pt idx="657">
                  <c:v>44488</c:v>
                </c:pt>
                <c:pt idx="658">
                  <c:v>44489</c:v>
                </c:pt>
                <c:pt idx="659">
                  <c:v>44490</c:v>
                </c:pt>
                <c:pt idx="660">
                  <c:v>44491</c:v>
                </c:pt>
                <c:pt idx="661">
                  <c:v>44492</c:v>
                </c:pt>
                <c:pt idx="662">
                  <c:v>44493</c:v>
                </c:pt>
                <c:pt idx="663">
                  <c:v>44494</c:v>
                </c:pt>
                <c:pt idx="664">
                  <c:v>44495</c:v>
                </c:pt>
                <c:pt idx="665">
                  <c:v>44496</c:v>
                </c:pt>
                <c:pt idx="666">
                  <c:v>44497</c:v>
                </c:pt>
                <c:pt idx="667">
                  <c:v>44498</c:v>
                </c:pt>
                <c:pt idx="668">
                  <c:v>44499</c:v>
                </c:pt>
                <c:pt idx="669">
                  <c:v>44500</c:v>
                </c:pt>
                <c:pt idx="670">
                  <c:v>44501</c:v>
                </c:pt>
                <c:pt idx="671">
                  <c:v>44502</c:v>
                </c:pt>
                <c:pt idx="672">
                  <c:v>44503</c:v>
                </c:pt>
                <c:pt idx="673">
                  <c:v>44504</c:v>
                </c:pt>
                <c:pt idx="674">
                  <c:v>44505</c:v>
                </c:pt>
                <c:pt idx="675">
                  <c:v>44506</c:v>
                </c:pt>
                <c:pt idx="676">
                  <c:v>44507</c:v>
                </c:pt>
                <c:pt idx="677">
                  <c:v>44508</c:v>
                </c:pt>
                <c:pt idx="678">
                  <c:v>44509</c:v>
                </c:pt>
                <c:pt idx="679">
                  <c:v>44510</c:v>
                </c:pt>
                <c:pt idx="680">
                  <c:v>44511</c:v>
                </c:pt>
                <c:pt idx="681">
                  <c:v>44512</c:v>
                </c:pt>
                <c:pt idx="682">
                  <c:v>44513</c:v>
                </c:pt>
                <c:pt idx="683">
                  <c:v>44514</c:v>
                </c:pt>
                <c:pt idx="684">
                  <c:v>44515</c:v>
                </c:pt>
                <c:pt idx="685">
                  <c:v>44516</c:v>
                </c:pt>
                <c:pt idx="686">
                  <c:v>44517</c:v>
                </c:pt>
                <c:pt idx="687">
                  <c:v>44518</c:v>
                </c:pt>
                <c:pt idx="688">
                  <c:v>44519</c:v>
                </c:pt>
                <c:pt idx="689">
                  <c:v>44520</c:v>
                </c:pt>
                <c:pt idx="690">
                  <c:v>44521</c:v>
                </c:pt>
                <c:pt idx="691">
                  <c:v>44522</c:v>
                </c:pt>
                <c:pt idx="692">
                  <c:v>44523</c:v>
                </c:pt>
                <c:pt idx="693">
                  <c:v>44524</c:v>
                </c:pt>
                <c:pt idx="694">
                  <c:v>44525</c:v>
                </c:pt>
                <c:pt idx="695">
                  <c:v>44526</c:v>
                </c:pt>
                <c:pt idx="696">
                  <c:v>44527</c:v>
                </c:pt>
                <c:pt idx="697">
                  <c:v>44528</c:v>
                </c:pt>
                <c:pt idx="698">
                  <c:v>44529</c:v>
                </c:pt>
                <c:pt idx="699">
                  <c:v>44530</c:v>
                </c:pt>
                <c:pt idx="700">
                  <c:v>44531</c:v>
                </c:pt>
                <c:pt idx="701">
                  <c:v>44532</c:v>
                </c:pt>
                <c:pt idx="702">
                  <c:v>44533</c:v>
                </c:pt>
                <c:pt idx="703">
                  <c:v>44534</c:v>
                </c:pt>
                <c:pt idx="704">
                  <c:v>44535</c:v>
                </c:pt>
                <c:pt idx="705">
                  <c:v>44536</c:v>
                </c:pt>
                <c:pt idx="706">
                  <c:v>44537</c:v>
                </c:pt>
                <c:pt idx="707">
                  <c:v>44538</c:v>
                </c:pt>
                <c:pt idx="708">
                  <c:v>44539</c:v>
                </c:pt>
                <c:pt idx="709">
                  <c:v>44540</c:v>
                </c:pt>
                <c:pt idx="710">
                  <c:v>44541</c:v>
                </c:pt>
                <c:pt idx="711">
                  <c:v>44542</c:v>
                </c:pt>
                <c:pt idx="712">
                  <c:v>44543</c:v>
                </c:pt>
                <c:pt idx="713">
                  <c:v>44544</c:v>
                </c:pt>
                <c:pt idx="714">
                  <c:v>44545</c:v>
                </c:pt>
                <c:pt idx="715">
                  <c:v>44546</c:v>
                </c:pt>
                <c:pt idx="716">
                  <c:v>44547</c:v>
                </c:pt>
                <c:pt idx="717">
                  <c:v>44548</c:v>
                </c:pt>
                <c:pt idx="718">
                  <c:v>44549</c:v>
                </c:pt>
                <c:pt idx="719">
                  <c:v>44550</c:v>
                </c:pt>
                <c:pt idx="720">
                  <c:v>44551</c:v>
                </c:pt>
                <c:pt idx="721">
                  <c:v>44552</c:v>
                </c:pt>
                <c:pt idx="722">
                  <c:v>44553</c:v>
                </c:pt>
                <c:pt idx="723">
                  <c:v>44554</c:v>
                </c:pt>
                <c:pt idx="724">
                  <c:v>44555</c:v>
                </c:pt>
                <c:pt idx="725">
                  <c:v>44556</c:v>
                </c:pt>
                <c:pt idx="726">
                  <c:v>44557</c:v>
                </c:pt>
                <c:pt idx="727">
                  <c:v>44558</c:v>
                </c:pt>
                <c:pt idx="728">
                  <c:v>44559</c:v>
                </c:pt>
                <c:pt idx="729">
                  <c:v>44560</c:v>
                </c:pt>
                <c:pt idx="730">
                  <c:v>44561</c:v>
                </c:pt>
                <c:pt idx="731">
                  <c:v>44562</c:v>
                </c:pt>
                <c:pt idx="732">
                  <c:v>44563</c:v>
                </c:pt>
                <c:pt idx="733">
                  <c:v>44564</c:v>
                </c:pt>
                <c:pt idx="734">
                  <c:v>44565</c:v>
                </c:pt>
                <c:pt idx="735">
                  <c:v>44566</c:v>
                </c:pt>
                <c:pt idx="736">
                  <c:v>44567</c:v>
                </c:pt>
                <c:pt idx="737">
                  <c:v>44568</c:v>
                </c:pt>
                <c:pt idx="738">
                  <c:v>44569</c:v>
                </c:pt>
                <c:pt idx="739">
                  <c:v>44570</c:v>
                </c:pt>
                <c:pt idx="740">
                  <c:v>44571</c:v>
                </c:pt>
                <c:pt idx="741">
                  <c:v>44572</c:v>
                </c:pt>
                <c:pt idx="742">
                  <c:v>44573</c:v>
                </c:pt>
                <c:pt idx="743">
                  <c:v>44574</c:v>
                </c:pt>
                <c:pt idx="744">
                  <c:v>44575</c:v>
                </c:pt>
                <c:pt idx="745">
                  <c:v>44576</c:v>
                </c:pt>
                <c:pt idx="746">
                  <c:v>44577</c:v>
                </c:pt>
                <c:pt idx="747">
                  <c:v>44578</c:v>
                </c:pt>
                <c:pt idx="748">
                  <c:v>44579</c:v>
                </c:pt>
                <c:pt idx="749">
                  <c:v>44580</c:v>
                </c:pt>
                <c:pt idx="750">
                  <c:v>44581</c:v>
                </c:pt>
                <c:pt idx="751">
                  <c:v>44582</c:v>
                </c:pt>
                <c:pt idx="752">
                  <c:v>44583</c:v>
                </c:pt>
                <c:pt idx="753">
                  <c:v>44584</c:v>
                </c:pt>
                <c:pt idx="754">
                  <c:v>44585</c:v>
                </c:pt>
                <c:pt idx="755">
                  <c:v>44586</c:v>
                </c:pt>
                <c:pt idx="756">
                  <c:v>44587</c:v>
                </c:pt>
                <c:pt idx="757">
                  <c:v>44588</c:v>
                </c:pt>
                <c:pt idx="758">
                  <c:v>44589</c:v>
                </c:pt>
                <c:pt idx="759">
                  <c:v>44590</c:v>
                </c:pt>
                <c:pt idx="760">
                  <c:v>44591</c:v>
                </c:pt>
                <c:pt idx="761">
                  <c:v>44592</c:v>
                </c:pt>
                <c:pt idx="762">
                  <c:v>44593</c:v>
                </c:pt>
                <c:pt idx="763">
                  <c:v>44594</c:v>
                </c:pt>
                <c:pt idx="764">
                  <c:v>44595</c:v>
                </c:pt>
                <c:pt idx="765">
                  <c:v>44596</c:v>
                </c:pt>
                <c:pt idx="766">
                  <c:v>44597</c:v>
                </c:pt>
                <c:pt idx="767">
                  <c:v>44598</c:v>
                </c:pt>
                <c:pt idx="768">
                  <c:v>44599</c:v>
                </c:pt>
                <c:pt idx="769">
                  <c:v>44600</c:v>
                </c:pt>
                <c:pt idx="770">
                  <c:v>44601</c:v>
                </c:pt>
                <c:pt idx="771">
                  <c:v>44602</c:v>
                </c:pt>
                <c:pt idx="772">
                  <c:v>44603</c:v>
                </c:pt>
                <c:pt idx="773">
                  <c:v>44604</c:v>
                </c:pt>
                <c:pt idx="774">
                  <c:v>44605</c:v>
                </c:pt>
                <c:pt idx="775">
                  <c:v>44606</c:v>
                </c:pt>
                <c:pt idx="776">
                  <c:v>44607</c:v>
                </c:pt>
                <c:pt idx="777">
                  <c:v>44608</c:v>
                </c:pt>
                <c:pt idx="778">
                  <c:v>44609</c:v>
                </c:pt>
                <c:pt idx="779">
                  <c:v>44610</c:v>
                </c:pt>
                <c:pt idx="780">
                  <c:v>44611</c:v>
                </c:pt>
                <c:pt idx="781">
                  <c:v>44612</c:v>
                </c:pt>
                <c:pt idx="782">
                  <c:v>44613</c:v>
                </c:pt>
                <c:pt idx="783">
                  <c:v>44614</c:v>
                </c:pt>
                <c:pt idx="784">
                  <c:v>44615</c:v>
                </c:pt>
                <c:pt idx="785">
                  <c:v>44616</c:v>
                </c:pt>
                <c:pt idx="786">
                  <c:v>44617</c:v>
                </c:pt>
                <c:pt idx="787">
                  <c:v>44618</c:v>
                </c:pt>
                <c:pt idx="788">
                  <c:v>44619</c:v>
                </c:pt>
                <c:pt idx="789">
                  <c:v>44620</c:v>
                </c:pt>
                <c:pt idx="790">
                  <c:v>44621</c:v>
                </c:pt>
                <c:pt idx="791">
                  <c:v>44622</c:v>
                </c:pt>
                <c:pt idx="792">
                  <c:v>44623</c:v>
                </c:pt>
                <c:pt idx="793">
                  <c:v>44624</c:v>
                </c:pt>
                <c:pt idx="794">
                  <c:v>44625</c:v>
                </c:pt>
                <c:pt idx="795">
                  <c:v>44626</c:v>
                </c:pt>
                <c:pt idx="796">
                  <c:v>44627</c:v>
                </c:pt>
                <c:pt idx="797">
                  <c:v>44628</c:v>
                </c:pt>
                <c:pt idx="798">
                  <c:v>44629</c:v>
                </c:pt>
                <c:pt idx="799">
                  <c:v>44630</c:v>
                </c:pt>
                <c:pt idx="800">
                  <c:v>44631</c:v>
                </c:pt>
                <c:pt idx="801">
                  <c:v>44632</c:v>
                </c:pt>
                <c:pt idx="802">
                  <c:v>44633</c:v>
                </c:pt>
                <c:pt idx="803">
                  <c:v>44634</c:v>
                </c:pt>
                <c:pt idx="804">
                  <c:v>44635</c:v>
                </c:pt>
                <c:pt idx="805">
                  <c:v>44636</c:v>
                </c:pt>
                <c:pt idx="806">
                  <c:v>44637</c:v>
                </c:pt>
                <c:pt idx="807">
                  <c:v>44638</c:v>
                </c:pt>
                <c:pt idx="808">
                  <c:v>44639</c:v>
                </c:pt>
                <c:pt idx="809">
                  <c:v>44640</c:v>
                </c:pt>
                <c:pt idx="810">
                  <c:v>44641</c:v>
                </c:pt>
                <c:pt idx="811">
                  <c:v>44642</c:v>
                </c:pt>
                <c:pt idx="812">
                  <c:v>44643</c:v>
                </c:pt>
                <c:pt idx="813">
                  <c:v>44644</c:v>
                </c:pt>
                <c:pt idx="814">
                  <c:v>44645</c:v>
                </c:pt>
                <c:pt idx="815">
                  <c:v>44646</c:v>
                </c:pt>
                <c:pt idx="816">
                  <c:v>44647</c:v>
                </c:pt>
                <c:pt idx="817">
                  <c:v>44648</c:v>
                </c:pt>
                <c:pt idx="818">
                  <c:v>44649</c:v>
                </c:pt>
                <c:pt idx="819">
                  <c:v>44650</c:v>
                </c:pt>
                <c:pt idx="820">
                  <c:v>44651</c:v>
                </c:pt>
                <c:pt idx="821">
                  <c:v>44652</c:v>
                </c:pt>
                <c:pt idx="822">
                  <c:v>44653</c:v>
                </c:pt>
                <c:pt idx="823">
                  <c:v>44654</c:v>
                </c:pt>
                <c:pt idx="824">
                  <c:v>44655</c:v>
                </c:pt>
                <c:pt idx="825">
                  <c:v>44656</c:v>
                </c:pt>
                <c:pt idx="826">
                  <c:v>44657</c:v>
                </c:pt>
                <c:pt idx="827">
                  <c:v>44658</c:v>
                </c:pt>
                <c:pt idx="828">
                  <c:v>44659</c:v>
                </c:pt>
                <c:pt idx="829">
                  <c:v>44660</c:v>
                </c:pt>
                <c:pt idx="830">
                  <c:v>44661</c:v>
                </c:pt>
                <c:pt idx="831">
                  <c:v>44662</c:v>
                </c:pt>
                <c:pt idx="832">
                  <c:v>44663</c:v>
                </c:pt>
                <c:pt idx="833">
                  <c:v>44664</c:v>
                </c:pt>
                <c:pt idx="834">
                  <c:v>44665</c:v>
                </c:pt>
                <c:pt idx="835">
                  <c:v>44666</c:v>
                </c:pt>
                <c:pt idx="836">
                  <c:v>44667</c:v>
                </c:pt>
                <c:pt idx="837">
                  <c:v>44668</c:v>
                </c:pt>
                <c:pt idx="838">
                  <c:v>44669</c:v>
                </c:pt>
                <c:pt idx="839">
                  <c:v>44670</c:v>
                </c:pt>
                <c:pt idx="840">
                  <c:v>44671</c:v>
                </c:pt>
                <c:pt idx="841">
                  <c:v>44672</c:v>
                </c:pt>
                <c:pt idx="842">
                  <c:v>44673</c:v>
                </c:pt>
                <c:pt idx="843">
                  <c:v>44674</c:v>
                </c:pt>
                <c:pt idx="844">
                  <c:v>44675</c:v>
                </c:pt>
                <c:pt idx="845">
                  <c:v>44676</c:v>
                </c:pt>
                <c:pt idx="846">
                  <c:v>44677</c:v>
                </c:pt>
                <c:pt idx="847">
                  <c:v>44678</c:v>
                </c:pt>
                <c:pt idx="848">
                  <c:v>44679</c:v>
                </c:pt>
                <c:pt idx="849">
                  <c:v>44680</c:v>
                </c:pt>
                <c:pt idx="850">
                  <c:v>44681</c:v>
                </c:pt>
                <c:pt idx="851">
                  <c:v>44682</c:v>
                </c:pt>
                <c:pt idx="852">
                  <c:v>44683</c:v>
                </c:pt>
                <c:pt idx="853">
                  <c:v>44684</c:v>
                </c:pt>
                <c:pt idx="854">
                  <c:v>44685</c:v>
                </c:pt>
                <c:pt idx="855">
                  <c:v>44686</c:v>
                </c:pt>
                <c:pt idx="856">
                  <c:v>44687</c:v>
                </c:pt>
                <c:pt idx="857">
                  <c:v>44688</c:v>
                </c:pt>
                <c:pt idx="858">
                  <c:v>44689</c:v>
                </c:pt>
                <c:pt idx="859">
                  <c:v>44690</c:v>
                </c:pt>
                <c:pt idx="860">
                  <c:v>44691</c:v>
                </c:pt>
                <c:pt idx="861">
                  <c:v>44692</c:v>
                </c:pt>
                <c:pt idx="862">
                  <c:v>44693</c:v>
                </c:pt>
                <c:pt idx="863">
                  <c:v>44694</c:v>
                </c:pt>
                <c:pt idx="864">
                  <c:v>44695</c:v>
                </c:pt>
                <c:pt idx="865">
                  <c:v>44696</c:v>
                </c:pt>
                <c:pt idx="866">
                  <c:v>44697</c:v>
                </c:pt>
                <c:pt idx="867">
                  <c:v>44698</c:v>
                </c:pt>
                <c:pt idx="868">
                  <c:v>44699</c:v>
                </c:pt>
                <c:pt idx="869">
                  <c:v>44700</c:v>
                </c:pt>
                <c:pt idx="870">
                  <c:v>44701</c:v>
                </c:pt>
                <c:pt idx="871">
                  <c:v>44702</c:v>
                </c:pt>
                <c:pt idx="872">
                  <c:v>44703</c:v>
                </c:pt>
                <c:pt idx="873">
                  <c:v>44704</c:v>
                </c:pt>
                <c:pt idx="874">
                  <c:v>44705</c:v>
                </c:pt>
                <c:pt idx="875">
                  <c:v>44706</c:v>
                </c:pt>
                <c:pt idx="876">
                  <c:v>44707</c:v>
                </c:pt>
                <c:pt idx="877">
                  <c:v>44708</c:v>
                </c:pt>
                <c:pt idx="878">
                  <c:v>44709</c:v>
                </c:pt>
                <c:pt idx="879">
                  <c:v>44710</c:v>
                </c:pt>
                <c:pt idx="880">
                  <c:v>44711</c:v>
                </c:pt>
                <c:pt idx="881">
                  <c:v>44712</c:v>
                </c:pt>
                <c:pt idx="882">
                  <c:v>44713</c:v>
                </c:pt>
                <c:pt idx="883">
                  <c:v>44714</c:v>
                </c:pt>
                <c:pt idx="884">
                  <c:v>44715</c:v>
                </c:pt>
                <c:pt idx="885">
                  <c:v>44716</c:v>
                </c:pt>
                <c:pt idx="886">
                  <c:v>44717</c:v>
                </c:pt>
                <c:pt idx="887">
                  <c:v>44718</c:v>
                </c:pt>
                <c:pt idx="888">
                  <c:v>44719</c:v>
                </c:pt>
                <c:pt idx="889">
                  <c:v>44720</c:v>
                </c:pt>
                <c:pt idx="890">
                  <c:v>44721</c:v>
                </c:pt>
                <c:pt idx="891">
                  <c:v>44722</c:v>
                </c:pt>
                <c:pt idx="892">
                  <c:v>44723</c:v>
                </c:pt>
                <c:pt idx="893">
                  <c:v>44724</c:v>
                </c:pt>
                <c:pt idx="894">
                  <c:v>44725</c:v>
                </c:pt>
                <c:pt idx="895">
                  <c:v>44726</c:v>
                </c:pt>
                <c:pt idx="896">
                  <c:v>44727</c:v>
                </c:pt>
                <c:pt idx="897">
                  <c:v>44728</c:v>
                </c:pt>
                <c:pt idx="898">
                  <c:v>44729</c:v>
                </c:pt>
                <c:pt idx="899">
                  <c:v>44730</c:v>
                </c:pt>
                <c:pt idx="900">
                  <c:v>44731</c:v>
                </c:pt>
                <c:pt idx="901">
                  <c:v>44732</c:v>
                </c:pt>
                <c:pt idx="902">
                  <c:v>44733</c:v>
                </c:pt>
                <c:pt idx="903">
                  <c:v>44734</c:v>
                </c:pt>
                <c:pt idx="904">
                  <c:v>44735</c:v>
                </c:pt>
                <c:pt idx="905">
                  <c:v>44736</c:v>
                </c:pt>
                <c:pt idx="906">
                  <c:v>44737</c:v>
                </c:pt>
                <c:pt idx="907">
                  <c:v>44738</c:v>
                </c:pt>
                <c:pt idx="908">
                  <c:v>44739</c:v>
                </c:pt>
                <c:pt idx="909">
                  <c:v>44740</c:v>
                </c:pt>
                <c:pt idx="910">
                  <c:v>44741</c:v>
                </c:pt>
                <c:pt idx="911">
                  <c:v>44742</c:v>
                </c:pt>
                <c:pt idx="912">
                  <c:v>44743</c:v>
                </c:pt>
                <c:pt idx="913">
                  <c:v>44744</c:v>
                </c:pt>
                <c:pt idx="914">
                  <c:v>44745</c:v>
                </c:pt>
                <c:pt idx="915">
                  <c:v>44746</c:v>
                </c:pt>
                <c:pt idx="916">
                  <c:v>44747</c:v>
                </c:pt>
                <c:pt idx="917">
                  <c:v>44748</c:v>
                </c:pt>
                <c:pt idx="918">
                  <c:v>44749</c:v>
                </c:pt>
                <c:pt idx="919">
                  <c:v>44750</c:v>
                </c:pt>
                <c:pt idx="920">
                  <c:v>44751</c:v>
                </c:pt>
                <c:pt idx="921">
                  <c:v>44752</c:v>
                </c:pt>
                <c:pt idx="922">
                  <c:v>44753</c:v>
                </c:pt>
                <c:pt idx="923">
                  <c:v>44754</c:v>
                </c:pt>
                <c:pt idx="924">
                  <c:v>44755</c:v>
                </c:pt>
                <c:pt idx="925">
                  <c:v>44756</c:v>
                </c:pt>
                <c:pt idx="926">
                  <c:v>44757</c:v>
                </c:pt>
                <c:pt idx="927">
                  <c:v>44758</c:v>
                </c:pt>
                <c:pt idx="928">
                  <c:v>44759</c:v>
                </c:pt>
                <c:pt idx="929">
                  <c:v>44760</c:v>
                </c:pt>
                <c:pt idx="930">
                  <c:v>44761</c:v>
                </c:pt>
                <c:pt idx="931">
                  <c:v>44762</c:v>
                </c:pt>
                <c:pt idx="932">
                  <c:v>44763</c:v>
                </c:pt>
                <c:pt idx="933">
                  <c:v>44764</c:v>
                </c:pt>
                <c:pt idx="934">
                  <c:v>44765</c:v>
                </c:pt>
                <c:pt idx="935">
                  <c:v>44766</c:v>
                </c:pt>
                <c:pt idx="936">
                  <c:v>44767</c:v>
                </c:pt>
                <c:pt idx="937">
                  <c:v>44768</c:v>
                </c:pt>
                <c:pt idx="938">
                  <c:v>44769</c:v>
                </c:pt>
                <c:pt idx="939">
                  <c:v>44770</c:v>
                </c:pt>
                <c:pt idx="940">
                  <c:v>44771</c:v>
                </c:pt>
                <c:pt idx="941">
                  <c:v>44772</c:v>
                </c:pt>
                <c:pt idx="942">
                  <c:v>44773</c:v>
                </c:pt>
              </c:numCache>
            </c:numRef>
          </c:cat>
          <c:val>
            <c:numRef>
              <c:f>GTM!$E$2:$E$944</c:f>
              <c:numCache>
                <c:formatCode>General</c:formatCode>
                <c:ptCount val="943"/>
                <c:pt idx="731" formatCode="_-* #,##0.0_-;\-* #,##0.0_-;_-* &quot;-&quot;??_-;_-@_-">
                  <c:v>48.864778325123325</c:v>
                </c:pt>
                <c:pt idx="732" formatCode="_-* #,##0.0_-;\-* #,##0.0_-;_-* &quot;-&quot;??_-;_-@_-">
                  <c:v>48.864778325123325</c:v>
                </c:pt>
                <c:pt idx="733" formatCode="_-* #,##0.0_-;\-* #,##0.0_-;_-* &quot;-&quot;??_-;_-@_-">
                  <c:v>48.864778325123325</c:v>
                </c:pt>
                <c:pt idx="734" formatCode="_-* #,##0.0_-;\-* #,##0.0_-;_-* &quot;-&quot;??_-;_-@_-">
                  <c:v>48.864778325123325</c:v>
                </c:pt>
                <c:pt idx="735" formatCode="_-* #,##0.0_-;\-* #,##0.0_-;_-* &quot;-&quot;??_-;_-@_-">
                  <c:v>48.864778325123325</c:v>
                </c:pt>
                <c:pt idx="736" formatCode="_-* #,##0.0_-;\-* #,##0.0_-;_-* &quot;-&quot;??_-;_-@_-">
                  <c:v>48.864778325123325</c:v>
                </c:pt>
                <c:pt idx="737" formatCode="_-* #,##0.0_-;\-* #,##0.0_-;_-* &quot;-&quot;??_-;_-@_-">
                  <c:v>48.864778325123325</c:v>
                </c:pt>
                <c:pt idx="738" formatCode="_-* #,##0.0_-;\-* #,##0.0_-;_-* &quot;-&quot;??_-;_-@_-">
                  <c:v>48.864778325123325</c:v>
                </c:pt>
                <c:pt idx="739" formatCode="_-* #,##0.0_-;\-* #,##0.0_-;_-* &quot;-&quot;??_-;_-@_-">
                  <c:v>48.864778325123325</c:v>
                </c:pt>
                <c:pt idx="740" formatCode="_-* #,##0.0_-;\-* #,##0.0_-;_-* &quot;-&quot;??_-;_-@_-">
                  <c:v>48.864778325123325</c:v>
                </c:pt>
                <c:pt idx="741" formatCode="_-* #,##0.0_-;\-* #,##0.0_-;_-* &quot;-&quot;??_-;_-@_-">
                  <c:v>48.864778325123325</c:v>
                </c:pt>
                <c:pt idx="742" formatCode="_-* #,##0.0_-;\-* #,##0.0_-;_-* &quot;-&quot;??_-;_-@_-">
                  <c:v>48.864778325123325</c:v>
                </c:pt>
                <c:pt idx="743" formatCode="_-* #,##0.0_-;\-* #,##0.0_-;_-* &quot;-&quot;??_-;_-@_-">
                  <c:v>48.864778325123325</c:v>
                </c:pt>
                <c:pt idx="744" formatCode="_-* #,##0.0_-;\-* #,##0.0_-;_-* &quot;-&quot;??_-;_-@_-">
                  <c:v>48.864778325123325</c:v>
                </c:pt>
                <c:pt idx="745" formatCode="_-* #,##0.0_-;\-* #,##0.0_-;_-* &quot;-&quot;??_-;_-@_-">
                  <c:v>48.864778325123325</c:v>
                </c:pt>
                <c:pt idx="746" formatCode="_-* #,##0.0_-;\-* #,##0.0_-;_-* &quot;-&quot;??_-;_-@_-">
                  <c:v>48.864778325123325</c:v>
                </c:pt>
                <c:pt idx="747" formatCode="_-* #,##0.0_-;\-* #,##0.0_-;_-* &quot;-&quot;??_-;_-@_-">
                  <c:v>48.864778325123325</c:v>
                </c:pt>
                <c:pt idx="748" formatCode="_-* #,##0.0_-;\-* #,##0.0_-;_-* &quot;-&quot;??_-;_-@_-">
                  <c:v>48.864778325123325</c:v>
                </c:pt>
                <c:pt idx="749" formatCode="_-* #,##0.0_-;\-* #,##0.0_-;_-* &quot;-&quot;??_-;_-@_-">
                  <c:v>48.864778325123325</c:v>
                </c:pt>
                <c:pt idx="750" formatCode="_-* #,##0.0_-;\-* #,##0.0_-;_-* &quot;-&quot;??_-;_-@_-">
                  <c:v>48.864778325123325</c:v>
                </c:pt>
                <c:pt idx="751" formatCode="_-* #,##0.0_-;\-* #,##0.0_-;_-* &quot;-&quot;??_-;_-@_-">
                  <c:v>48.864778325123325</c:v>
                </c:pt>
                <c:pt idx="752" formatCode="_-* #,##0.0_-;\-* #,##0.0_-;_-* &quot;-&quot;??_-;_-@_-">
                  <c:v>48.864778325123325</c:v>
                </c:pt>
                <c:pt idx="753" formatCode="_-* #,##0.0_-;\-* #,##0.0_-;_-* &quot;-&quot;??_-;_-@_-">
                  <c:v>48.864778325123325</c:v>
                </c:pt>
                <c:pt idx="754" formatCode="_-* #,##0.0_-;\-* #,##0.0_-;_-* &quot;-&quot;??_-;_-@_-">
                  <c:v>48.864778325123325</c:v>
                </c:pt>
                <c:pt idx="755" formatCode="_-* #,##0.0_-;\-* #,##0.0_-;_-* &quot;-&quot;??_-;_-@_-">
                  <c:v>48.864778325123325</c:v>
                </c:pt>
                <c:pt idx="756" formatCode="_-* #,##0.0_-;\-* #,##0.0_-;_-* &quot;-&quot;??_-;_-@_-">
                  <c:v>48.864778325123325</c:v>
                </c:pt>
                <c:pt idx="757" formatCode="_-* #,##0.0_-;\-* #,##0.0_-;_-* &quot;-&quot;??_-;_-@_-">
                  <c:v>48.864778325123325</c:v>
                </c:pt>
                <c:pt idx="758" formatCode="_-* #,##0.0_-;\-* #,##0.0_-;_-* &quot;-&quot;??_-;_-@_-">
                  <c:v>48.864778325123325</c:v>
                </c:pt>
                <c:pt idx="759" formatCode="_-* #,##0.0_-;\-* #,##0.0_-;_-* &quot;-&quot;??_-;_-@_-">
                  <c:v>48.864778325123325</c:v>
                </c:pt>
                <c:pt idx="760" formatCode="_-* #,##0.0_-;\-* #,##0.0_-;_-* &quot;-&quot;??_-;_-@_-">
                  <c:v>48.864778325123325</c:v>
                </c:pt>
                <c:pt idx="761" formatCode="_-* #,##0.0_-;\-* #,##0.0_-;_-* &quot;-&quot;??_-;_-@_-">
                  <c:v>48.864778325123325</c:v>
                </c:pt>
                <c:pt idx="762" formatCode="_-* #,##0.0_-;\-* #,##0.0_-;_-* &quot;-&quot;??_-;_-@_-">
                  <c:v>48.864778325123325</c:v>
                </c:pt>
                <c:pt idx="763" formatCode="_-* #,##0.0_-;\-* #,##0.0_-;_-* &quot;-&quot;??_-;_-@_-">
                  <c:v>48.864778325123325</c:v>
                </c:pt>
                <c:pt idx="764" formatCode="_-* #,##0.0_-;\-* #,##0.0_-;_-* &quot;-&quot;??_-;_-@_-">
                  <c:v>48.864778325123325</c:v>
                </c:pt>
                <c:pt idx="765" formatCode="_-* #,##0.0_-;\-* #,##0.0_-;_-* &quot;-&quot;??_-;_-@_-">
                  <c:v>48.864778325123325</c:v>
                </c:pt>
                <c:pt idx="766" formatCode="_-* #,##0.0_-;\-* #,##0.0_-;_-* &quot;-&quot;??_-;_-@_-">
                  <c:v>48.864778325123325</c:v>
                </c:pt>
                <c:pt idx="767" formatCode="_-* #,##0.0_-;\-* #,##0.0_-;_-* &quot;-&quot;??_-;_-@_-">
                  <c:v>48.864778325123325</c:v>
                </c:pt>
                <c:pt idx="768" formatCode="_-* #,##0.0_-;\-* #,##0.0_-;_-* &quot;-&quot;??_-;_-@_-">
                  <c:v>48.864778325123325</c:v>
                </c:pt>
                <c:pt idx="769" formatCode="_-* #,##0.0_-;\-* #,##0.0_-;_-* &quot;-&quot;??_-;_-@_-">
                  <c:v>48.864778325123325</c:v>
                </c:pt>
                <c:pt idx="770" formatCode="_-* #,##0.0_-;\-* #,##0.0_-;_-* &quot;-&quot;??_-;_-@_-">
                  <c:v>48.864778325123325</c:v>
                </c:pt>
                <c:pt idx="771" formatCode="_-* #,##0.0_-;\-* #,##0.0_-;_-* &quot;-&quot;??_-;_-@_-">
                  <c:v>48.864778325123325</c:v>
                </c:pt>
                <c:pt idx="772" formatCode="_-* #,##0.0_-;\-* #,##0.0_-;_-* &quot;-&quot;??_-;_-@_-">
                  <c:v>48.864778325123325</c:v>
                </c:pt>
                <c:pt idx="773" formatCode="_-* #,##0.0_-;\-* #,##0.0_-;_-* &quot;-&quot;??_-;_-@_-">
                  <c:v>48.864778325123325</c:v>
                </c:pt>
                <c:pt idx="774" formatCode="_-* #,##0.0_-;\-* #,##0.0_-;_-* &quot;-&quot;??_-;_-@_-">
                  <c:v>48.864778325123325</c:v>
                </c:pt>
                <c:pt idx="775" formatCode="_-* #,##0.0_-;\-* #,##0.0_-;_-* &quot;-&quot;??_-;_-@_-">
                  <c:v>48.864778325123325</c:v>
                </c:pt>
                <c:pt idx="776" formatCode="_-* #,##0.0_-;\-* #,##0.0_-;_-* &quot;-&quot;??_-;_-@_-">
                  <c:v>48.864778325123325</c:v>
                </c:pt>
                <c:pt idx="777" formatCode="_-* #,##0.0_-;\-* #,##0.0_-;_-* &quot;-&quot;??_-;_-@_-">
                  <c:v>48.864778325123325</c:v>
                </c:pt>
                <c:pt idx="778" formatCode="_-* #,##0.0_-;\-* #,##0.0_-;_-* &quot;-&quot;??_-;_-@_-">
                  <c:v>48.864778325123325</c:v>
                </c:pt>
                <c:pt idx="779" formatCode="_-* #,##0.0_-;\-* #,##0.0_-;_-* &quot;-&quot;??_-;_-@_-">
                  <c:v>48.864778325123325</c:v>
                </c:pt>
                <c:pt idx="780" formatCode="_-* #,##0.0_-;\-* #,##0.0_-;_-* &quot;-&quot;??_-;_-@_-">
                  <c:v>48.864778325123325</c:v>
                </c:pt>
                <c:pt idx="781" formatCode="_-* #,##0.0_-;\-* #,##0.0_-;_-* &quot;-&quot;??_-;_-@_-">
                  <c:v>48.864778325123325</c:v>
                </c:pt>
                <c:pt idx="782" formatCode="_-* #,##0.0_-;\-* #,##0.0_-;_-* &quot;-&quot;??_-;_-@_-">
                  <c:v>48.864778325123325</c:v>
                </c:pt>
                <c:pt idx="783" formatCode="_-* #,##0.0_-;\-* #,##0.0_-;_-* &quot;-&quot;??_-;_-@_-">
                  <c:v>48.864778325123325</c:v>
                </c:pt>
                <c:pt idx="784" formatCode="_-* #,##0.0_-;\-* #,##0.0_-;_-* &quot;-&quot;??_-;_-@_-">
                  <c:v>48.864778325123325</c:v>
                </c:pt>
                <c:pt idx="785" formatCode="_-* #,##0.0_-;\-* #,##0.0_-;_-* &quot;-&quot;??_-;_-@_-">
                  <c:v>48.864778325123325</c:v>
                </c:pt>
                <c:pt idx="786" formatCode="_-* #,##0.0_-;\-* #,##0.0_-;_-* &quot;-&quot;??_-;_-@_-">
                  <c:v>48.864778325123325</c:v>
                </c:pt>
                <c:pt idx="787" formatCode="_-* #,##0.0_-;\-* #,##0.0_-;_-* &quot;-&quot;??_-;_-@_-">
                  <c:v>48.864778325123325</c:v>
                </c:pt>
                <c:pt idx="788" formatCode="_-* #,##0.0_-;\-* #,##0.0_-;_-* &quot;-&quot;??_-;_-@_-">
                  <c:v>48.864778325123325</c:v>
                </c:pt>
                <c:pt idx="789" formatCode="_-* #,##0.0_-;\-* #,##0.0_-;_-* &quot;-&quot;??_-;_-@_-">
                  <c:v>48.864778325123325</c:v>
                </c:pt>
                <c:pt idx="790" formatCode="_-* #,##0.0_-;\-* #,##0.0_-;_-* &quot;-&quot;??_-;_-@_-">
                  <c:v>48.864778325123325</c:v>
                </c:pt>
                <c:pt idx="791" formatCode="_-* #,##0.0_-;\-* #,##0.0_-;_-* &quot;-&quot;??_-;_-@_-">
                  <c:v>48.864778325123325</c:v>
                </c:pt>
                <c:pt idx="792" formatCode="_-* #,##0.0_-;\-* #,##0.0_-;_-* &quot;-&quot;??_-;_-@_-">
                  <c:v>48.864778325123325</c:v>
                </c:pt>
                <c:pt idx="793" formatCode="_-* #,##0.0_-;\-* #,##0.0_-;_-* &quot;-&quot;??_-;_-@_-">
                  <c:v>48.864778325123325</c:v>
                </c:pt>
                <c:pt idx="794" formatCode="_-* #,##0.0_-;\-* #,##0.0_-;_-* &quot;-&quot;??_-;_-@_-">
                  <c:v>48.864778325123325</c:v>
                </c:pt>
                <c:pt idx="795" formatCode="_-* #,##0.0_-;\-* #,##0.0_-;_-* &quot;-&quot;??_-;_-@_-">
                  <c:v>48.864778325123325</c:v>
                </c:pt>
                <c:pt idx="796" formatCode="_-* #,##0.0_-;\-* #,##0.0_-;_-* &quot;-&quot;??_-;_-@_-">
                  <c:v>48.864778325123325</c:v>
                </c:pt>
                <c:pt idx="797" formatCode="_-* #,##0.0_-;\-* #,##0.0_-;_-* &quot;-&quot;??_-;_-@_-">
                  <c:v>48.864778325123325</c:v>
                </c:pt>
                <c:pt idx="798" formatCode="_-* #,##0.0_-;\-* #,##0.0_-;_-* &quot;-&quot;??_-;_-@_-">
                  <c:v>48.864778325123325</c:v>
                </c:pt>
                <c:pt idx="799" formatCode="_-* #,##0.0_-;\-* #,##0.0_-;_-* &quot;-&quot;??_-;_-@_-">
                  <c:v>48.864778325123325</c:v>
                </c:pt>
                <c:pt idx="800" formatCode="_-* #,##0.0_-;\-* #,##0.0_-;_-* &quot;-&quot;??_-;_-@_-">
                  <c:v>48.864778325123325</c:v>
                </c:pt>
                <c:pt idx="801" formatCode="_-* #,##0.0_-;\-* #,##0.0_-;_-* &quot;-&quot;??_-;_-@_-">
                  <c:v>48.864778325123325</c:v>
                </c:pt>
                <c:pt idx="802" formatCode="_-* #,##0.0_-;\-* #,##0.0_-;_-* &quot;-&quot;??_-;_-@_-">
                  <c:v>48.864778325123325</c:v>
                </c:pt>
                <c:pt idx="803" formatCode="_-* #,##0.0_-;\-* #,##0.0_-;_-* &quot;-&quot;??_-;_-@_-">
                  <c:v>48.864778325123325</c:v>
                </c:pt>
                <c:pt idx="804" formatCode="_-* #,##0.0_-;\-* #,##0.0_-;_-* &quot;-&quot;??_-;_-@_-">
                  <c:v>48.864778325123325</c:v>
                </c:pt>
                <c:pt idx="805" formatCode="_-* #,##0.0_-;\-* #,##0.0_-;_-* &quot;-&quot;??_-;_-@_-">
                  <c:v>48.864778325123325</c:v>
                </c:pt>
                <c:pt idx="806" formatCode="_-* #,##0.0_-;\-* #,##0.0_-;_-* &quot;-&quot;??_-;_-@_-">
                  <c:v>48.864778325123325</c:v>
                </c:pt>
                <c:pt idx="807" formatCode="_-* #,##0.0_-;\-* #,##0.0_-;_-* &quot;-&quot;??_-;_-@_-">
                  <c:v>48.864778325123325</c:v>
                </c:pt>
                <c:pt idx="808" formatCode="_-* #,##0.0_-;\-* #,##0.0_-;_-* &quot;-&quot;??_-;_-@_-">
                  <c:v>48.864778325123325</c:v>
                </c:pt>
                <c:pt idx="809" formatCode="_-* #,##0.0_-;\-* #,##0.0_-;_-* &quot;-&quot;??_-;_-@_-">
                  <c:v>48.864778325123325</c:v>
                </c:pt>
                <c:pt idx="810" formatCode="_-* #,##0.0_-;\-* #,##0.0_-;_-* &quot;-&quot;??_-;_-@_-">
                  <c:v>48.864778325123325</c:v>
                </c:pt>
                <c:pt idx="811" formatCode="_-* #,##0.0_-;\-* #,##0.0_-;_-* &quot;-&quot;??_-;_-@_-">
                  <c:v>48.864778325123325</c:v>
                </c:pt>
                <c:pt idx="812" formatCode="_-* #,##0.0_-;\-* #,##0.0_-;_-* &quot;-&quot;??_-;_-@_-">
                  <c:v>48.864778325123325</c:v>
                </c:pt>
                <c:pt idx="813" formatCode="_-* #,##0.0_-;\-* #,##0.0_-;_-* &quot;-&quot;??_-;_-@_-">
                  <c:v>48.864778325123325</c:v>
                </c:pt>
                <c:pt idx="814" formatCode="_-* #,##0.0_-;\-* #,##0.0_-;_-* &quot;-&quot;??_-;_-@_-">
                  <c:v>48.864778325123325</c:v>
                </c:pt>
                <c:pt idx="815" formatCode="_-* #,##0.0_-;\-* #,##0.0_-;_-* &quot;-&quot;??_-;_-@_-">
                  <c:v>48.864778325123325</c:v>
                </c:pt>
                <c:pt idx="816" formatCode="_-* #,##0.0_-;\-* #,##0.0_-;_-* &quot;-&quot;??_-;_-@_-">
                  <c:v>48.864778325123325</c:v>
                </c:pt>
                <c:pt idx="817" formatCode="_-* #,##0.0_-;\-* #,##0.0_-;_-* &quot;-&quot;??_-;_-@_-">
                  <c:v>48.864778325123325</c:v>
                </c:pt>
                <c:pt idx="818" formatCode="_-* #,##0.0_-;\-* #,##0.0_-;_-* &quot;-&quot;??_-;_-@_-">
                  <c:v>48.864778325123325</c:v>
                </c:pt>
                <c:pt idx="819" formatCode="_-* #,##0.0_-;\-* #,##0.0_-;_-* &quot;-&quot;??_-;_-@_-">
                  <c:v>48.864778325123325</c:v>
                </c:pt>
                <c:pt idx="820" formatCode="_-* #,##0.0_-;\-* #,##0.0_-;_-* &quot;-&quot;??_-;_-@_-">
                  <c:v>48.864778325123325</c:v>
                </c:pt>
                <c:pt idx="821" formatCode="_-* #,##0.0_-;\-* #,##0.0_-;_-* &quot;-&quot;??_-;_-@_-">
                  <c:v>48.864778325123325</c:v>
                </c:pt>
                <c:pt idx="822" formatCode="_-* #,##0.0_-;\-* #,##0.0_-;_-* &quot;-&quot;??_-;_-@_-">
                  <c:v>48.864778325123325</c:v>
                </c:pt>
                <c:pt idx="823" formatCode="_-* #,##0.0_-;\-* #,##0.0_-;_-* &quot;-&quot;??_-;_-@_-">
                  <c:v>48.864778325123325</c:v>
                </c:pt>
                <c:pt idx="824" formatCode="_-* #,##0.0_-;\-* #,##0.0_-;_-* &quot;-&quot;??_-;_-@_-">
                  <c:v>48.864778325123325</c:v>
                </c:pt>
                <c:pt idx="825" formatCode="_-* #,##0.0_-;\-* #,##0.0_-;_-* &quot;-&quot;??_-;_-@_-">
                  <c:v>48.864778325123325</c:v>
                </c:pt>
                <c:pt idx="826" formatCode="_-* #,##0.0_-;\-* #,##0.0_-;_-* &quot;-&quot;??_-;_-@_-">
                  <c:v>48.864778325123325</c:v>
                </c:pt>
                <c:pt idx="827" formatCode="_-* #,##0.0_-;\-* #,##0.0_-;_-* &quot;-&quot;??_-;_-@_-">
                  <c:v>48.864778325123325</c:v>
                </c:pt>
                <c:pt idx="828" formatCode="_-* #,##0.0_-;\-* #,##0.0_-;_-* &quot;-&quot;??_-;_-@_-">
                  <c:v>48.864778325123325</c:v>
                </c:pt>
                <c:pt idx="829" formatCode="_-* #,##0.0_-;\-* #,##0.0_-;_-* &quot;-&quot;??_-;_-@_-">
                  <c:v>48.864778325123325</c:v>
                </c:pt>
                <c:pt idx="830" formatCode="_-* #,##0.0_-;\-* #,##0.0_-;_-* &quot;-&quot;??_-;_-@_-">
                  <c:v>48.864778325123325</c:v>
                </c:pt>
                <c:pt idx="831" formatCode="_-* #,##0.0_-;\-* #,##0.0_-;_-* &quot;-&quot;??_-;_-@_-">
                  <c:v>48.864778325123325</c:v>
                </c:pt>
                <c:pt idx="832" formatCode="_-* #,##0.0_-;\-* #,##0.0_-;_-* &quot;-&quot;??_-;_-@_-">
                  <c:v>48.864778325123325</c:v>
                </c:pt>
                <c:pt idx="833" formatCode="_-* #,##0.0_-;\-* #,##0.0_-;_-* &quot;-&quot;??_-;_-@_-">
                  <c:v>48.864778325123325</c:v>
                </c:pt>
                <c:pt idx="834" formatCode="_-* #,##0.0_-;\-* #,##0.0_-;_-* &quot;-&quot;??_-;_-@_-">
                  <c:v>48.864778325123325</c:v>
                </c:pt>
                <c:pt idx="835" formatCode="_-* #,##0.0_-;\-* #,##0.0_-;_-* &quot;-&quot;??_-;_-@_-">
                  <c:v>48.864778325123325</c:v>
                </c:pt>
                <c:pt idx="836" formatCode="_-* #,##0.0_-;\-* #,##0.0_-;_-* &quot;-&quot;??_-;_-@_-">
                  <c:v>48.864778325123325</c:v>
                </c:pt>
                <c:pt idx="837" formatCode="_-* #,##0.0_-;\-* #,##0.0_-;_-* &quot;-&quot;??_-;_-@_-">
                  <c:v>48.864778325123325</c:v>
                </c:pt>
                <c:pt idx="838" formatCode="_-* #,##0.0_-;\-* #,##0.0_-;_-* &quot;-&quot;??_-;_-@_-">
                  <c:v>48.864778325123325</c:v>
                </c:pt>
                <c:pt idx="839" formatCode="_-* #,##0.0_-;\-* #,##0.0_-;_-* &quot;-&quot;??_-;_-@_-">
                  <c:v>48.864778325123325</c:v>
                </c:pt>
                <c:pt idx="840" formatCode="_-* #,##0.0_-;\-* #,##0.0_-;_-* &quot;-&quot;??_-;_-@_-">
                  <c:v>48.864778325123325</c:v>
                </c:pt>
                <c:pt idx="841" formatCode="_-* #,##0.0_-;\-* #,##0.0_-;_-* &quot;-&quot;??_-;_-@_-">
                  <c:v>48.864778325123325</c:v>
                </c:pt>
                <c:pt idx="842" formatCode="_-* #,##0.0_-;\-* #,##0.0_-;_-* &quot;-&quot;??_-;_-@_-">
                  <c:v>48.864778325123325</c:v>
                </c:pt>
                <c:pt idx="843" formatCode="_-* #,##0.0_-;\-* #,##0.0_-;_-* &quot;-&quot;??_-;_-@_-">
                  <c:v>48.864778325123325</c:v>
                </c:pt>
                <c:pt idx="844" formatCode="_-* #,##0.0_-;\-* #,##0.0_-;_-* &quot;-&quot;??_-;_-@_-">
                  <c:v>48.864778325123325</c:v>
                </c:pt>
                <c:pt idx="845" formatCode="_-* #,##0.0_-;\-* #,##0.0_-;_-* &quot;-&quot;??_-;_-@_-">
                  <c:v>48.864778325123325</c:v>
                </c:pt>
                <c:pt idx="846" formatCode="_-* #,##0.0_-;\-* #,##0.0_-;_-* &quot;-&quot;??_-;_-@_-">
                  <c:v>48.864778325123325</c:v>
                </c:pt>
                <c:pt idx="847" formatCode="_-* #,##0.0_-;\-* #,##0.0_-;_-* &quot;-&quot;??_-;_-@_-">
                  <c:v>48.864778325123325</c:v>
                </c:pt>
                <c:pt idx="848" formatCode="_-* #,##0.0_-;\-* #,##0.0_-;_-* &quot;-&quot;??_-;_-@_-">
                  <c:v>48.864778325123325</c:v>
                </c:pt>
                <c:pt idx="849" formatCode="_-* #,##0.0_-;\-* #,##0.0_-;_-* &quot;-&quot;??_-;_-@_-">
                  <c:v>48.864778325123325</c:v>
                </c:pt>
                <c:pt idx="850" formatCode="_-* #,##0.0_-;\-* #,##0.0_-;_-* &quot;-&quot;??_-;_-@_-">
                  <c:v>48.864778325123325</c:v>
                </c:pt>
                <c:pt idx="851" formatCode="_-* #,##0.0_-;\-* #,##0.0_-;_-* &quot;-&quot;??_-;_-@_-">
                  <c:v>48.864778325123325</c:v>
                </c:pt>
                <c:pt idx="852" formatCode="_-* #,##0.0_-;\-* #,##0.0_-;_-* &quot;-&quot;??_-;_-@_-">
                  <c:v>48.864778325123325</c:v>
                </c:pt>
                <c:pt idx="853" formatCode="_-* #,##0.0_-;\-* #,##0.0_-;_-* &quot;-&quot;??_-;_-@_-">
                  <c:v>48.864778325123325</c:v>
                </c:pt>
                <c:pt idx="854" formatCode="_-* #,##0.0_-;\-* #,##0.0_-;_-* &quot;-&quot;??_-;_-@_-">
                  <c:v>48.864778325123325</c:v>
                </c:pt>
                <c:pt idx="855" formatCode="_-* #,##0.0_-;\-* #,##0.0_-;_-* &quot;-&quot;??_-;_-@_-">
                  <c:v>48.864778325123325</c:v>
                </c:pt>
                <c:pt idx="856" formatCode="_-* #,##0.0_-;\-* #,##0.0_-;_-* &quot;-&quot;??_-;_-@_-">
                  <c:v>48.864778325123325</c:v>
                </c:pt>
                <c:pt idx="857" formatCode="_-* #,##0.0_-;\-* #,##0.0_-;_-* &quot;-&quot;??_-;_-@_-">
                  <c:v>48.864778325123325</c:v>
                </c:pt>
                <c:pt idx="858" formatCode="_-* #,##0.0_-;\-* #,##0.0_-;_-* &quot;-&quot;??_-;_-@_-">
                  <c:v>48.864778325123325</c:v>
                </c:pt>
                <c:pt idx="859" formatCode="_-* #,##0.0_-;\-* #,##0.0_-;_-* &quot;-&quot;??_-;_-@_-">
                  <c:v>48.864778325123325</c:v>
                </c:pt>
                <c:pt idx="860" formatCode="_-* #,##0.0_-;\-* #,##0.0_-;_-* &quot;-&quot;??_-;_-@_-">
                  <c:v>48.864778325123325</c:v>
                </c:pt>
                <c:pt idx="861" formatCode="_-* #,##0.0_-;\-* #,##0.0_-;_-* &quot;-&quot;??_-;_-@_-">
                  <c:v>48.864778325123325</c:v>
                </c:pt>
                <c:pt idx="862" formatCode="_-* #,##0.0_-;\-* #,##0.0_-;_-* &quot;-&quot;??_-;_-@_-">
                  <c:v>48.864778325123325</c:v>
                </c:pt>
                <c:pt idx="863" formatCode="_-* #,##0.0_-;\-* #,##0.0_-;_-* &quot;-&quot;??_-;_-@_-">
                  <c:v>48.864778325123325</c:v>
                </c:pt>
                <c:pt idx="864" formatCode="_-* #,##0.0_-;\-* #,##0.0_-;_-* &quot;-&quot;??_-;_-@_-">
                  <c:v>48.864778325123325</c:v>
                </c:pt>
                <c:pt idx="865" formatCode="_-* #,##0.0_-;\-* #,##0.0_-;_-* &quot;-&quot;??_-;_-@_-">
                  <c:v>48.864778325123325</c:v>
                </c:pt>
                <c:pt idx="866" formatCode="_-* #,##0.0_-;\-* #,##0.0_-;_-* &quot;-&quot;??_-;_-@_-">
                  <c:v>48.864778325123325</c:v>
                </c:pt>
                <c:pt idx="867" formatCode="_-* #,##0.0_-;\-* #,##0.0_-;_-* &quot;-&quot;??_-;_-@_-">
                  <c:v>48.864778325123325</c:v>
                </c:pt>
                <c:pt idx="868" formatCode="_-* #,##0.0_-;\-* #,##0.0_-;_-* &quot;-&quot;??_-;_-@_-">
                  <c:v>48.864778325123325</c:v>
                </c:pt>
                <c:pt idx="869" formatCode="_-* #,##0.0_-;\-* #,##0.0_-;_-* &quot;-&quot;??_-;_-@_-">
                  <c:v>48.864778325123325</c:v>
                </c:pt>
                <c:pt idx="870" formatCode="_-* #,##0.0_-;\-* #,##0.0_-;_-* &quot;-&quot;??_-;_-@_-">
                  <c:v>48.864778325123325</c:v>
                </c:pt>
                <c:pt idx="871" formatCode="_-* #,##0.0_-;\-* #,##0.0_-;_-* &quot;-&quot;??_-;_-@_-">
                  <c:v>48.864778325123325</c:v>
                </c:pt>
                <c:pt idx="872" formatCode="_-* #,##0.0_-;\-* #,##0.0_-;_-* &quot;-&quot;??_-;_-@_-">
                  <c:v>48.864778325123325</c:v>
                </c:pt>
                <c:pt idx="873" formatCode="_-* #,##0.0_-;\-* #,##0.0_-;_-* &quot;-&quot;??_-;_-@_-">
                  <c:v>48.864778325123325</c:v>
                </c:pt>
                <c:pt idx="874" formatCode="_-* #,##0.0_-;\-* #,##0.0_-;_-* &quot;-&quot;??_-;_-@_-">
                  <c:v>48.864778325123325</c:v>
                </c:pt>
                <c:pt idx="875" formatCode="_-* #,##0.0_-;\-* #,##0.0_-;_-* &quot;-&quot;??_-;_-@_-">
                  <c:v>48.864778325123325</c:v>
                </c:pt>
                <c:pt idx="876" formatCode="_-* #,##0.0_-;\-* #,##0.0_-;_-* &quot;-&quot;??_-;_-@_-">
                  <c:v>48.864778325123325</c:v>
                </c:pt>
                <c:pt idx="877" formatCode="_-* #,##0.0_-;\-* #,##0.0_-;_-* &quot;-&quot;??_-;_-@_-">
                  <c:v>48.864778325123325</c:v>
                </c:pt>
                <c:pt idx="878" formatCode="_-* #,##0.0_-;\-* #,##0.0_-;_-* &quot;-&quot;??_-;_-@_-">
                  <c:v>48.864778325123325</c:v>
                </c:pt>
                <c:pt idx="879" formatCode="_-* #,##0.0_-;\-* #,##0.0_-;_-* &quot;-&quot;??_-;_-@_-">
                  <c:v>48.864778325123325</c:v>
                </c:pt>
                <c:pt idx="880" formatCode="_-* #,##0.0_-;\-* #,##0.0_-;_-* &quot;-&quot;??_-;_-@_-">
                  <c:v>48.864778325123325</c:v>
                </c:pt>
                <c:pt idx="881" formatCode="_-* #,##0.0_-;\-* #,##0.0_-;_-* &quot;-&quot;??_-;_-@_-">
                  <c:v>48.864778325123325</c:v>
                </c:pt>
                <c:pt idx="882" formatCode="_-* #,##0.0_-;\-* #,##0.0_-;_-* &quot;-&quot;??_-;_-@_-">
                  <c:v>48.864778325123325</c:v>
                </c:pt>
                <c:pt idx="883" formatCode="_-* #,##0.0_-;\-* #,##0.0_-;_-* &quot;-&quot;??_-;_-@_-">
                  <c:v>48.864778325123325</c:v>
                </c:pt>
                <c:pt idx="884" formatCode="_-* #,##0.0_-;\-* #,##0.0_-;_-* &quot;-&quot;??_-;_-@_-">
                  <c:v>48.864778325123325</c:v>
                </c:pt>
                <c:pt idx="885" formatCode="_-* #,##0.0_-;\-* #,##0.0_-;_-* &quot;-&quot;??_-;_-@_-">
                  <c:v>48.864778325123325</c:v>
                </c:pt>
                <c:pt idx="886" formatCode="_-* #,##0.0_-;\-* #,##0.0_-;_-* &quot;-&quot;??_-;_-@_-">
                  <c:v>48.864778325123325</c:v>
                </c:pt>
                <c:pt idx="887" formatCode="_-* #,##0.0_-;\-* #,##0.0_-;_-* &quot;-&quot;??_-;_-@_-">
                  <c:v>48.864778325123325</c:v>
                </c:pt>
                <c:pt idx="888" formatCode="_-* #,##0.0_-;\-* #,##0.0_-;_-* &quot;-&quot;??_-;_-@_-">
                  <c:v>48.864778325123325</c:v>
                </c:pt>
                <c:pt idx="889" formatCode="_-* #,##0.0_-;\-* #,##0.0_-;_-* &quot;-&quot;??_-;_-@_-">
                  <c:v>48.864778325123325</c:v>
                </c:pt>
                <c:pt idx="890" formatCode="_-* #,##0.0_-;\-* #,##0.0_-;_-* &quot;-&quot;??_-;_-@_-">
                  <c:v>48.864778325123325</c:v>
                </c:pt>
                <c:pt idx="891" formatCode="_-* #,##0.0_-;\-* #,##0.0_-;_-* &quot;-&quot;??_-;_-@_-">
                  <c:v>48.864778325123325</c:v>
                </c:pt>
                <c:pt idx="892" formatCode="_-* #,##0.0_-;\-* #,##0.0_-;_-* &quot;-&quot;??_-;_-@_-">
                  <c:v>48.864778325123325</c:v>
                </c:pt>
                <c:pt idx="893" formatCode="_-* #,##0.0_-;\-* #,##0.0_-;_-* &quot;-&quot;??_-;_-@_-">
                  <c:v>48.864778325123325</c:v>
                </c:pt>
                <c:pt idx="894" formatCode="_-* #,##0.0_-;\-* #,##0.0_-;_-* &quot;-&quot;??_-;_-@_-">
                  <c:v>48.864778325123325</c:v>
                </c:pt>
                <c:pt idx="895" formatCode="_-* #,##0.0_-;\-* #,##0.0_-;_-* &quot;-&quot;??_-;_-@_-">
                  <c:v>48.864778325123325</c:v>
                </c:pt>
                <c:pt idx="896" formatCode="_-* #,##0.0_-;\-* #,##0.0_-;_-* &quot;-&quot;??_-;_-@_-">
                  <c:v>48.864778325123325</c:v>
                </c:pt>
                <c:pt idx="897" formatCode="_-* #,##0.0_-;\-* #,##0.0_-;_-* &quot;-&quot;??_-;_-@_-">
                  <c:v>48.864778325123325</c:v>
                </c:pt>
                <c:pt idx="898" formatCode="_-* #,##0.0_-;\-* #,##0.0_-;_-* &quot;-&quot;??_-;_-@_-">
                  <c:v>48.864778325123325</c:v>
                </c:pt>
                <c:pt idx="899" formatCode="_-* #,##0.0_-;\-* #,##0.0_-;_-* &quot;-&quot;??_-;_-@_-">
                  <c:v>48.864778325123325</c:v>
                </c:pt>
                <c:pt idx="900" formatCode="_-* #,##0.0_-;\-* #,##0.0_-;_-* &quot;-&quot;??_-;_-@_-">
                  <c:v>48.864778325123325</c:v>
                </c:pt>
                <c:pt idx="901" formatCode="_-* #,##0.0_-;\-* #,##0.0_-;_-* &quot;-&quot;??_-;_-@_-">
                  <c:v>48.864778325123325</c:v>
                </c:pt>
                <c:pt idx="902" formatCode="_-* #,##0.0_-;\-* #,##0.0_-;_-* &quot;-&quot;??_-;_-@_-">
                  <c:v>48.864778325123325</c:v>
                </c:pt>
                <c:pt idx="903" formatCode="_-* #,##0.0_-;\-* #,##0.0_-;_-* &quot;-&quot;??_-;_-@_-">
                  <c:v>48.864778325123325</c:v>
                </c:pt>
                <c:pt idx="904" formatCode="_-* #,##0.0_-;\-* #,##0.0_-;_-* &quot;-&quot;??_-;_-@_-">
                  <c:v>48.864778325123325</c:v>
                </c:pt>
                <c:pt idx="905" formatCode="_-* #,##0.0_-;\-* #,##0.0_-;_-* &quot;-&quot;??_-;_-@_-">
                  <c:v>48.864778325123325</c:v>
                </c:pt>
                <c:pt idx="906" formatCode="_-* #,##0.0_-;\-* #,##0.0_-;_-* &quot;-&quot;??_-;_-@_-">
                  <c:v>48.864778325123325</c:v>
                </c:pt>
                <c:pt idx="907" formatCode="_-* #,##0.0_-;\-* #,##0.0_-;_-* &quot;-&quot;??_-;_-@_-">
                  <c:v>48.864778325123325</c:v>
                </c:pt>
                <c:pt idx="908" formatCode="_-* #,##0.0_-;\-* #,##0.0_-;_-* &quot;-&quot;??_-;_-@_-">
                  <c:v>48.864778325123325</c:v>
                </c:pt>
                <c:pt idx="909" formatCode="_-* #,##0.0_-;\-* #,##0.0_-;_-* &quot;-&quot;??_-;_-@_-">
                  <c:v>48.864778325123325</c:v>
                </c:pt>
                <c:pt idx="910" formatCode="_-* #,##0.0_-;\-* #,##0.0_-;_-* &quot;-&quot;??_-;_-@_-">
                  <c:v>48.864778325123325</c:v>
                </c:pt>
                <c:pt idx="911" formatCode="_-* #,##0.0_-;\-* #,##0.0_-;_-* &quot;-&quot;??_-;_-@_-">
                  <c:v>48.864778325123325</c:v>
                </c:pt>
                <c:pt idx="912" formatCode="_-* #,##0.0_-;\-* #,##0.0_-;_-* &quot;-&quot;??_-;_-@_-">
                  <c:v>48.864778325123325</c:v>
                </c:pt>
                <c:pt idx="913" formatCode="_-* #,##0.0_-;\-* #,##0.0_-;_-* &quot;-&quot;??_-;_-@_-">
                  <c:v>48.864778325123325</c:v>
                </c:pt>
                <c:pt idx="914" formatCode="_-* #,##0.0_-;\-* #,##0.0_-;_-* &quot;-&quot;??_-;_-@_-">
                  <c:v>48.864778325123325</c:v>
                </c:pt>
                <c:pt idx="915" formatCode="_-* #,##0.0_-;\-* #,##0.0_-;_-* &quot;-&quot;??_-;_-@_-">
                  <c:v>48.864778325123325</c:v>
                </c:pt>
                <c:pt idx="916" formatCode="_-* #,##0.0_-;\-* #,##0.0_-;_-* &quot;-&quot;??_-;_-@_-">
                  <c:v>48.864778325123325</c:v>
                </c:pt>
                <c:pt idx="917" formatCode="_-* #,##0.0_-;\-* #,##0.0_-;_-* &quot;-&quot;??_-;_-@_-">
                  <c:v>48.864778325123325</c:v>
                </c:pt>
                <c:pt idx="918" formatCode="_-* #,##0.0_-;\-* #,##0.0_-;_-* &quot;-&quot;??_-;_-@_-">
                  <c:v>48.864778325123325</c:v>
                </c:pt>
                <c:pt idx="919" formatCode="_-* #,##0.0_-;\-* #,##0.0_-;_-* &quot;-&quot;??_-;_-@_-">
                  <c:v>48.864778325123325</c:v>
                </c:pt>
                <c:pt idx="920" formatCode="_-* #,##0.0_-;\-* #,##0.0_-;_-* &quot;-&quot;??_-;_-@_-">
                  <c:v>48.864778325123325</c:v>
                </c:pt>
                <c:pt idx="921" formatCode="_-* #,##0.0_-;\-* #,##0.0_-;_-* &quot;-&quot;??_-;_-@_-">
                  <c:v>48.864778325123325</c:v>
                </c:pt>
                <c:pt idx="922" formatCode="_-* #,##0.0_-;\-* #,##0.0_-;_-* &quot;-&quot;??_-;_-@_-">
                  <c:v>48.864778325123325</c:v>
                </c:pt>
                <c:pt idx="923" formatCode="_-* #,##0.0_-;\-* #,##0.0_-;_-* &quot;-&quot;??_-;_-@_-">
                  <c:v>48.864778325123325</c:v>
                </c:pt>
                <c:pt idx="924" formatCode="_-* #,##0.0_-;\-* #,##0.0_-;_-* &quot;-&quot;??_-;_-@_-">
                  <c:v>48.864778325123325</c:v>
                </c:pt>
                <c:pt idx="925" formatCode="_-* #,##0.0_-;\-* #,##0.0_-;_-* &quot;-&quot;??_-;_-@_-">
                  <c:v>48.864778325123325</c:v>
                </c:pt>
                <c:pt idx="926" formatCode="_-* #,##0.0_-;\-* #,##0.0_-;_-* &quot;-&quot;??_-;_-@_-">
                  <c:v>48.864778325123325</c:v>
                </c:pt>
                <c:pt idx="927" formatCode="_-* #,##0.0_-;\-* #,##0.0_-;_-* &quot;-&quot;??_-;_-@_-">
                  <c:v>48.864778325123325</c:v>
                </c:pt>
                <c:pt idx="928" formatCode="_-* #,##0.0_-;\-* #,##0.0_-;_-* &quot;-&quot;??_-;_-@_-">
                  <c:v>48.864778325123325</c:v>
                </c:pt>
                <c:pt idx="929" formatCode="_-* #,##0.0_-;\-* #,##0.0_-;_-* &quot;-&quot;??_-;_-@_-">
                  <c:v>48.864778325123325</c:v>
                </c:pt>
                <c:pt idx="930" formatCode="_-* #,##0.0_-;\-* #,##0.0_-;_-* &quot;-&quot;??_-;_-@_-">
                  <c:v>48.864778325123325</c:v>
                </c:pt>
                <c:pt idx="931" formatCode="_-* #,##0.0_-;\-* #,##0.0_-;_-* &quot;-&quot;??_-;_-@_-">
                  <c:v>48.864778325123325</c:v>
                </c:pt>
                <c:pt idx="932" formatCode="_-* #,##0.0_-;\-* #,##0.0_-;_-* &quot;-&quot;??_-;_-@_-">
                  <c:v>48.864778325123325</c:v>
                </c:pt>
                <c:pt idx="933" formatCode="_-* #,##0.0_-;\-* #,##0.0_-;_-* &quot;-&quot;??_-;_-@_-">
                  <c:v>48.864778325123325</c:v>
                </c:pt>
                <c:pt idx="934" formatCode="_-* #,##0.0_-;\-* #,##0.0_-;_-* &quot;-&quot;??_-;_-@_-">
                  <c:v>48.864778325123325</c:v>
                </c:pt>
                <c:pt idx="935" formatCode="_-* #,##0.0_-;\-* #,##0.0_-;_-* &quot;-&quot;??_-;_-@_-">
                  <c:v>48.864778325123325</c:v>
                </c:pt>
                <c:pt idx="936" formatCode="_-* #,##0.0_-;\-* #,##0.0_-;_-* &quot;-&quot;??_-;_-@_-">
                  <c:v>48.864778325123325</c:v>
                </c:pt>
                <c:pt idx="937" formatCode="_-* #,##0.0_-;\-* #,##0.0_-;_-* &quot;-&quot;??_-;_-@_-">
                  <c:v>48.864778325123325</c:v>
                </c:pt>
              </c:numCache>
            </c:numRef>
          </c:val>
          <c:smooth val="0"/>
          <c:extLst>
            <c:ext xmlns:c16="http://schemas.microsoft.com/office/drawing/2014/chart" uri="{C3380CC4-5D6E-409C-BE32-E72D297353CC}">
              <c16:uniqueId val="{00000006-8500-4A85-B847-A5C28AD7FE98}"/>
            </c:ext>
          </c:extLst>
        </c:ser>
        <c:dLbls>
          <c:showLegendKey val="0"/>
          <c:showVal val="0"/>
          <c:showCatName val="0"/>
          <c:showSerName val="0"/>
          <c:showPercent val="0"/>
          <c:showBubbleSize val="0"/>
        </c:dLbls>
        <c:smooth val="0"/>
        <c:axId val="12559792"/>
        <c:axId val="12561456"/>
      </c:lineChart>
      <c:dateAx>
        <c:axId val="12559792"/>
        <c:scaling>
          <c:orientation val="minMax"/>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561456"/>
        <c:crosses val="autoZero"/>
        <c:auto val="1"/>
        <c:lblOffset val="100"/>
        <c:baseTimeUnit val="days"/>
      </c:dateAx>
      <c:valAx>
        <c:axId val="12561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559792"/>
        <c:crosses val="autoZero"/>
        <c:crossBetween val="between"/>
      </c:valAx>
      <c:spPr>
        <a:noFill/>
        <a:ln>
          <a:noFill/>
        </a:ln>
        <a:effectLst/>
      </c:spPr>
    </c:plotArea>
    <c:legend>
      <c:legendPos val="b"/>
      <c:legendEntry>
        <c:idx val="0"/>
        <c:delete val="1"/>
      </c:legendEntry>
      <c:layout>
        <c:manualLayout>
          <c:xMode val="edge"/>
          <c:yMode val="edge"/>
          <c:x val="0"/>
          <c:y val="0.89780138888888894"/>
          <c:w val="1"/>
          <c:h val="0.1021986111111111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91478548416334E-2"/>
          <c:y val="5.7426094219901247E-2"/>
          <c:w val="0.8708170429031673"/>
          <c:h val="0.66215440684331861"/>
        </c:manualLayout>
      </c:layout>
      <c:barChart>
        <c:barDir val="col"/>
        <c:grouping val="clustered"/>
        <c:varyColors val="0"/>
        <c:ser>
          <c:idx val="0"/>
          <c:order val="0"/>
          <c:tx>
            <c:strRef>
              <c:f>'Diseño de escenario'!$H$76</c:f>
              <c:strCache>
                <c:ptCount val="1"/>
                <c:pt idx="0">
                  <c:v>Escenario base</c:v>
                </c:pt>
              </c:strCache>
            </c:strRef>
          </c:tx>
          <c:spPr>
            <a:solidFill>
              <a:schemeClr val="bg1">
                <a:lumMod val="65000"/>
              </a:schemeClr>
            </a:solidFill>
            <a:ln>
              <a:noFill/>
            </a:ln>
            <a:effectLst/>
          </c:spPr>
          <c:invertIfNegative val="0"/>
          <c:dLbls>
            <c:dLbl>
              <c:idx val="2"/>
              <c:layout>
                <c:manualLayout>
                  <c:x val="-8.81944444444452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08-45DD-BE3D-703BB72086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'Diseño de escenario'!$I$75:$K$75</c:f>
              <c:strCache>
                <c:ptCount val="3"/>
                <c:pt idx="0">
                  <c:v>PIB real</c:v>
                </c:pt>
                <c:pt idx="1">
                  <c:v>Importaciones FOB</c:v>
                </c:pt>
                <c:pt idx="2">
                  <c:v>Deflactor del PIB</c:v>
                </c:pt>
              </c:strCache>
            </c:strRef>
          </c:cat>
          <c:val>
            <c:numRef>
              <c:f>'Diseño de escenario'!$I$76:$K$76</c:f>
              <c:numCache>
                <c:formatCode>0.0%</c:formatCode>
                <c:ptCount val="3"/>
                <c:pt idx="0">
                  <c:v>2.4999999999999859E-2</c:v>
                </c:pt>
                <c:pt idx="1">
                  <c:v>6.5000000000000002E-2</c:v>
                </c:pt>
                <c:pt idx="2">
                  <c:v>2.818631970706292E-2</c:v>
                </c:pt>
              </c:numCache>
            </c:numRef>
          </c:val>
          <c:extLst>
            <c:ext xmlns:c16="http://schemas.microsoft.com/office/drawing/2014/chart" uri="{C3380CC4-5D6E-409C-BE32-E72D297353CC}">
              <c16:uniqueId val="{00000001-7A08-45DD-BE3D-703BB720865E}"/>
            </c:ext>
          </c:extLst>
        </c:ser>
        <c:ser>
          <c:idx val="1"/>
          <c:order val="1"/>
          <c:tx>
            <c:strRef>
              <c:f>'Diseño de escenario'!$H$77</c:f>
              <c:strCache>
                <c:ptCount val="1"/>
                <c:pt idx="0">
                  <c:v>Propagación nuevas cepas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'Diseño de escenario'!$I$75:$K$75</c:f>
              <c:strCache>
                <c:ptCount val="3"/>
                <c:pt idx="0">
                  <c:v>PIB real</c:v>
                </c:pt>
                <c:pt idx="1">
                  <c:v>Importaciones FOB</c:v>
                </c:pt>
                <c:pt idx="2">
                  <c:v>Deflactor del PIB</c:v>
                </c:pt>
              </c:strCache>
            </c:strRef>
          </c:cat>
          <c:val>
            <c:numRef>
              <c:f>'Diseño de escenario'!$I$77:$K$77</c:f>
              <c:numCache>
                <c:formatCode>0.0%</c:formatCode>
                <c:ptCount val="3"/>
                <c:pt idx="0">
                  <c:v>1.2E-2</c:v>
                </c:pt>
                <c:pt idx="1">
                  <c:v>3.3000000000000002E-2</c:v>
                </c:pt>
                <c:pt idx="2">
                  <c:v>1.4999999999999999E-2</c:v>
                </c:pt>
              </c:numCache>
            </c:numRef>
          </c:val>
          <c:extLst>
            <c:ext xmlns:c16="http://schemas.microsoft.com/office/drawing/2014/chart" uri="{C3380CC4-5D6E-409C-BE32-E72D297353CC}">
              <c16:uniqueId val="{00000002-7A08-45DD-BE3D-703BB720865E}"/>
            </c:ext>
          </c:extLst>
        </c:ser>
        <c:dLbls>
          <c:showLegendKey val="0"/>
          <c:showVal val="0"/>
          <c:showCatName val="0"/>
          <c:showSerName val="0"/>
          <c:showPercent val="0"/>
          <c:showBubbleSize val="0"/>
        </c:dLbls>
        <c:gapWidth val="100"/>
        <c:overlap val="-20"/>
        <c:axId val="703436175"/>
        <c:axId val="703442831"/>
      </c:barChart>
      <c:catAx>
        <c:axId val="70343617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03442831"/>
        <c:crosses val="autoZero"/>
        <c:auto val="1"/>
        <c:lblAlgn val="ctr"/>
        <c:lblOffset val="100"/>
        <c:noMultiLvlLbl val="0"/>
      </c:catAx>
      <c:valAx>
        <c:axId val="703442831"/>
        <c:scaling>
          <c:orientation val="minMax"/>
        </c:scaling>
        <c:delete val="1"/>
        <c:axPos val="l"/>
        <c:numFmt formatCode="0.0%" sourceLinked="1"/>
        <c:majorTickMark val="none"/>
        <c:minorTickMark val="none"/>
        <c:tickLblPos val="nextTo"/>
        <c:crossAx val="703436175"/>
        <c:crosses val="autoZero"/>
        <c:crossBetween val="between"/>
      </c:valAx>
      <c:spPr>
        <a:noFill/>
        <a:ln>
          <a:noFill/>
        </a:ln>
        <a:effectLst/>
      </c:spPr>
    </c:plotArea>
    <c:legend>
      <c:legendPos val="b"/>
      <c:layout>
        <c:manualLayout>
          <c:xMode val="edge"/>
          <c:yMode val="edge"/>
          <c:x val="4.3445486111111112E-2"/>
          <c:y val="0.85825714285714283"/>
          <c:w val="0.90869895833333336"/>
          <c:h val="0.111504761904761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92364291383197E-2"/>
          <c:y val="5.7324061908345512E-2"/>
          <c:w val="0.90261527141723363"/>
          <c:h val="0.67680718516287497"/>
        </c:manualLayout>
      </c:layout>
      <c:barChart>
        <c:barDir val="col"/>
        <c:grouping val="clustered"/>
        <c:varyColors val="0"/>
        <c:ser>
          <c:idx val="3"/>
          <c:order val="0"/>
          <c:tx>
            <c:strRef>
              <c:f>'Diseño de escenario'!$H$76</c:f>
              <c:strCache>
                <c:ptCount val="1"/>
                <c:pt idx="0">
                  <c:v>Escenario base</c:v>
                </c:pt>
              </c:strCache>
            </c:strRef>
          </c:tx>
          <c:spPr>
            <a:solidFill>
              <a:schemeClr val="bg1">
                <a:lumMod val="65000"/>
              </a:schemeClr>
            </a:solidFill>
          </c:spPr>
          <c:invertIfNegative val="0"/>
          <c:dLbls>
            <c:dLbl>
              <c:idx val="2"/>
              <c:layout>
                <c:manualLayout>
                  <c:x val="-2.2076306143783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20-4618-974E-424933D443B2}"/>
                </c:ext>
              </c:extLst>
            </c:dLbl>
            <c:spPr>
              <a:noFill/>
              <a:ln>
                <a:noFill/>
              </a:ln>
              <a:effectLst/>
            </c:spPr>
            <c:txPr>
              <a:bodyPr wrap="square" lIns="38100" tIns="19050" rIns="38100" bIns="19050" anchor="ctr">
                <a:spAutoFit/>
              </a:bodyPr>
              <a:lstStyle/>
              <a:p>
                <a:pPr>
                  <a:defRPr b="1">
                    <a:solidFill>
                      <a:schemeClr val="bg1">
                        <a:lumMod val="65000"/>
                      </a:schemeClr>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'Diseño de escenario'!$N$75:$P$75</c:f>
              <c:strCache>
                <c:ptCount val="3"/>
                <c:pt idx="0">
                  <c:v>PIB real</c:v>
                </c:pt>
                <c:pt idx="1">
                  <c:v>Importaciones FOB</c:v>
                </c:pt>
                <c:pt idx="2">
                  <c:v>Deflactor del PIB</c:v>
                </c:pt>
              </c:strCache>
            </c:strRef>
          </c:cat>
          <c:val>
            <c:numRef>
              <c:f>'Diseño de escenario'!$N$76:$P$76</c:f>
              <c:numCache>
                <c:formatCode>0.0%</c:formatCode>
                <c:ptCount val="3"/>
                <c:pt idx="0">
                  <c:v>2.4999999999999859E-2</c:v>
                </c:pt>
                <c:pt idx="1">
                  <c:v>6.5000000000000002E-2</c:v>
                </c:pt>
                <c:pt idx="2">
                  <c:v>2.818631970706292E-2</c:v>
                </c:pt>
              </c:numCache>
            </c:numRef>
          </c:val>
          <c:extLst>
            <c:ext xmlns:c16="http://schemas.microsoft.com/office/drawing/2014/chart" uri="{C3380CC4-5D6E-409C-BE32-E72D297353CC}">
              <c16:uniqueId val="{00000001-F520-4618-974E-424933D443B2}"/>
            </c:ext>
          </c:extLst>
        </c:ser>
        <c:ser>
          <c:idx val="4"/>
          <c:order val="1"/>
          <c:tx>
            <c:strRef>
              <c:f>'Diseño de escenario'!$H$77</c:f>
              <c:strCache>
                <c:ptCount val="1"/>
                <c:pt idx="0">
                  <c:v>Propagación nuevas cepas</c:v>
                </c:pt>
              </c:strCache>
            </c:strRef>
          </c:tx>
          <c:spPr>
            <a:solidFill>
              <a:srgbClr val="002060"/>
            </a:solidFill>
          </c:spPr>
          <c:invertIfNegative val="0"/>
          <c:dLbls>
            <c:spPr>
              <a:noFill/>
              <a:ln>
                <a:noFill/>
              </a:ln>
              <a:effectLst/>
            </c:spPr>
            <c:txPr>
              <a:bodyPr wrap="square" lIns="38100" tIns="19050" rIns="38100" bIns="19050" anchor="ctr">
                <a:spAutoFit/>
              </a:bodyPr>
              <a:lstStyle/>
              <a:p>
                <a:pPr>
                  <a:defRPr b="1">
                    <a:solidFill>
                      <a:srgbClr val="002060"/>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'Diseño de escenario'!$N$75:$P$75</c:f>
              <c:strCache>
                <c:ptCount val="3"/>
                <c:pt idx="0">
                  <c:v>PIB real</c:v>
                </c:pt>
                <c:pt idx="1">
                  <c:v>Importaciones FOB</c:v>
                </c:pt>
                <c:pt idx="2">
                  <c:v>Deflactor del PIB</c:v>
                </c:pt>
              </c:strCache>
            </c:strRef>
          </c:cat>
          <c:val>
            <c:numRef>
              <c:f>'Diseño de escenario'!$N$77:$P$77</c:f>
              <c:numCache>
                <c:formatCode>0.0%</c:formatCode>
                <c:ptCount val="3"/>
                <c:pt idx="0">
                  <c:v>1E-3</c:v>
                </c:pt>
                <c:pt idx="1">
                  <c:v>1.7000000000000001E-2</c:v>
                </c:pt>
                <c:pt idx="2">
                  <c:v>0.01</c:v>
                </c:pt>
              </c:numCache>
            </c:numRef>
          </c:val>
          <c:extLst>
            <c:ext xmlns:c16="http://schemas.microsoft.com/office/drawing/2014/chart" uri="{C3380CC4-5D6E-409C-BE32-E72D297353CC}">
              <c16:uniqueId val="{00000002-F520-4618-974E-424933D443B2}"/>
            </c:ext>
          </c:extLst>
        </c:ser>
        <c:dLbls>
          <c:showLegendKey val="0"/>
          <c:showVal val="0"/>
          <c:showCatName val="0"/>
          <c:showSerName val="0"/>
          <c:showPercent val="0"/>
          <c:showBubbleSize val="0"/>
        </c:dLbls>
        <c:gapWidth val="100"/>
        <c:overlap val="-20"/>
        <c:axId val="703436175"/>
        <c:axId val="703442831"/>
      </c:barChart>
      <c:catAx>
        <c:axId val="70343617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03442831"/>
        <c:crosses val="autoZero"/>
        <c:auto val="1"/>
        <c:lblAlgn val="ctr"/>
        <c:lblOffset val="100"/>
        <c:noMultiLvlLbl val="0"/>
      </c:catAx>
      <c:valAx>
        <c:axId val="703442831"/>
        <c:scaling>
          <c:orientation val="minMax"/>
        </c:scaling>
        <c:delete val="1"/>
        <c:axPos val="l"/>
        <c:numFmt formatCode="0.0%" sourceLinked="1"/>
        <c:majorTickMark val="none"/>
        <c:minorTickMark val="none"/>
        <c:tickLblPos val="nextTo"/>
        <c:crossAx val="703436175"/>
        <c:crosses val="autoZero"/>
        <c:crossBetween val="between"/>
      </c:valAx>
    </c:plotArea>
    <c:legend>
      <c:legendPos val="b"/>
      <c:layout>
        <c:manualLayout>
          <c:xMode val="edge"/>
          <c:yMode val="edge"/>
          <c:x val="4.3445486111111112E-2"/>
          <c:y val="0.88804893176407884"/>
          <c:w val="0.92687960849758355"/>
          <c:h val="8.171308090518321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5A77-4997-A917-EF52E528370A}"/>
              </c:ext>
            </c:extLst>
          </c:dPt>
          <c:dPt>
            <c:idx val="1"/>
            <c:invertIfNegative val="0"/>
            <c:bubble3D val="0"/>
            <c:spPr>
              <a:solidFill>
                <a:srgbClr val="002060"/>
              </a:solidFill>
              <a:ln>
                <a:noFill/>
              </a:ln>
              <a:effectLst/>
            </c:spPr>
            <c:extLst>
              <c:ext xmlns:c16="http://schemas.microsoft.com/office/drawing/2014/chart" uri="{C3380CC4-5D6E-409C-BE32-E72D297353CC}">
                <c16:uniqueId val="{00000003-5A77-4997-A917-EF52E528370A}"/>
              </c:ext>
            </c:extLst>
          </c:dPt>
          <c:dPt>
            <c:idx val="2"/>
            <c:invertIfNegative val="0"/>
            <c:bubble3D val="0"/>
            <c:spPr>
              <a:solidFill>
                <a:srgbClr val="C00000"/>
              </a:solidFill>
              <a:ln>
                <a:noFill/>
              </a:ln>
              <a:effectLst/>
            </c:spPr>
            <c:extLst>
              <c:ext xmlns:c16="http://schemas.microsoft.com/office/drawing/2014/chart" uri="{C3380CC4-5D6E-409C-BE32-E72D297353CC}">
                <c16:uniqueId val="{00000005-5A77-4997-A917-EF52E528370A}"/>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3-5A77-4997-A917-EF52E528370A}"/>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5-5A77-4997-A917-EF52E52837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Breni!$J$12:$L$12</c:f>
              <c:strCache>
                <c:ptCount val="3"/>
                <c:pt idx="0">
                  <c:v>Escenario base</c:v>
                </c:pt>
                <c:pt idx="1">
                  <c:v>índice de rigor = 60</c:v>
                </c:pt>
                <c:pt idx="2">
                  <c:v>índice de rigor = 80</c:v>
                </c:pt>
              </c:strCache>
            </c:strRef>
          </c:cat>
          <c:val>
            <c:numRef>
              <c:f>Breni!$J$13:$L$13</c:f>
              <c:numCache>
                <c:formatCode>0.0%</c:formatCode>
                <c:ptCount val="3"/>
                <c:pt idx="0">
                  <c:v>0.11204899494339064</c:v>
                </c:pt>
                <c:pt idx="1">
                  <c:v>0.10956191764150341</c:v>
                </c:pt>
                <c:pt idx="2">
                  <c:v>0.10700169560337412</c:v>
                </c:pt>
              </c:numCache>
            </c:numRef>
          </c:val>
          <c:extLst>
            <c:ext xmlns:c16="http://schemas.microsoft.com/office/drawing/2014/chart" uri="{C3380CC4-5D6E-409C-BE32-E72D297353CC}">
              <c16:uniqueId val="{00000006-5A77-4997-A917-EF52E528370A}"/>
            </c:ext>
          </c:extLst>
        </c:ser>
        <c:dLbls>
          <c:showLegendKey val="0"/>
          <c:showVal val="0"/>
          <c:showCatName val="0"/>
          <c:showSerName val="0"/>
          <c:showPercent val="0"/>
          <c:showBubbleSize val="0"/>
        </c:dLbls>
        <c:gapWidth val="80"/>
        <c:overlap val="-27"/>
        <c:axId val="745417887"/>
        <c:axId val="745408319"/>
      </c:barChart>
      <c:catAx>
        <c:axId val="7454178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45408319"/>
        <c:crosses val="autoZero"/>
        <c:auto val="1"/>
        <c:lblAlgn val="ctr"/>
        <c:lblOffset val="100"/>
        <c:noMultiLvlLbl val="0"/>
      </c:catAx>
      <c:valAx>
        <c:axId val="745408319"/>
        <c:scaling>
          <c:orientation val="minMax"/>
          <c:min val="9.0000000000000024E-2"/>
        </c:scaling>
        <c:delete val="1"/>
        <c:axPos val="l"/>
        <c:numFmt formatCode="0.0%" sourceLinked="1"/>
        <c:majorTickMark val="out"/>
        <c:minorTickMark val="none"/>
        <c:tickLblPos val="nextTo"/>
        <c:crossAx val="7454178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659083159192454E-2"/>
          <c:y val="0.18659994934996063"/>
          <c:w val="0.89727225433020608"/>
          <c:h val="0.59836901009225862"/>
        </c:manualLayout>
      </c:layout>
      <c:scatterChart>
        <c:scatterStyle val="lineMarker"/>
        <c:varyColors val="0"/>
        <c:ser>
          <c:idx val="0"/>
          <c:order val="0"/>
          <c:spPr>
            <a:ln w="19050" cap="rnd">
              <a:noFill/>
              <a:round/>
            </a:ln>
            <a:effectLst/>
          </c:spPr>
          <c:marker>
            <c:symbol val="plus"/>
            <c:size val="10"/>
            <c:spPr>
              <a:noFill/>
              <a:ln w="9525">
                <a:solidFill>
                  <a:schemeClr val="accent1"/>
                </a:solidFill>
              </a:ln>
              <a:effectLst/>
            </c:spPr>
          </c:marker>
          <c:dPt>
            <c:idx val="2"/>
            <c:marker>
              <c:symbol val="plus"/>
              <c:size val="10"/>
              <c:spPr>
                <a:noFill/>
                <a:ln w="9525">
                  <a:solidFill>
                    <a:srgbClr val="C00000"/>
                  </a:solidFill>
                </a:ln>
                <a:effectLst/>
              </c:spPr>
            </c:marker>
            <c:bubble3D val="0"/>
            <c:extLst>
              <c:ext xmlns:c16="http://schemas.microsoft.com/office/drawing/2014/chart" uri="{C3380CC4-5D6E-409C-BE32-E72D297353CC}">
                <c16:uniqueId val="{00000000-E24F-41C6-98CC-FCA8D54C696F}"/>
              </c:ext>
            </c:extLst>
          </c:dPt>
          <c:dLbls>
            <c:dLbl>
              <c:idx val="0"/>
              <c:tx>
                <c:rich>
                  <a:bodyPr/>
                  <a:lstStyle/>
                  <a:p>
                    <a:fld id="{F8D0ABA5-3B5B-428E-8BC9-F2E1779E3136}"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24F-41C6-98CC-FCA8D54C696F}"/>
                </c:ext>
              </c:extLst>
            </c:dLbl>
            <c:dLbl>
              <c:idx val="1"/>
              <c:tx>
                <c:rich>
                  <a:bodyPr/>
                  <a:lstStyle/>
                  <a:p>
                    <a:fld id="{1654D190-4B2A-49D5-9976-3D271C87FF01}"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24F-41C6-98CC-FCA8D54C696F}"/>
                </c:ext>
              </c:extLst>
            </c:dLbl>
            <c:dLbl>
              <c:idx val="2"/>
              <c:tx>
                <c:rich>
                  <a:bodyPr/>
                  <a:lstStyle/>
                  <a:p>
                    <a:fld id="{D39669F6-08C3-4364-9010-882E8ED854E4}"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E24F-41C6-98CC-FCA8D54C696F}"/>
                </c:ext>
              </c:extLst>
            </c:dLbl>
            <c:dLbl>
              <c:idx val="3"/>
              <c:tx>
                <c:rich>
                  <a:bodyPr/>
                  <a:lstStyle/>
                  <a:p>
                    <a:fld id="{1912CE2A-5287-4B19-B3E3-EF8C86F045DB}"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24F-41C6-98CC-FCA8D54C696F}"/>
                </c:ext>
              </c:extLst>
            </c:dLbl>
            <c:dLbl>
              <c:idx val="4"/>
              <c:tx>
                <c:rich>
                  <a:bodyPr/>
                  <a:lstStyle/>
                  <a:p>
                    <a:fld id="{B5BF76C8-F0F4-4B99-BC83-E84FABB503B3}"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24F-41C6-98CC-FCA8D54C696F}"/>
                </c:ext>
              </c:extLst>
            </c:dLbl>
            <c:dLbl>
              <c:idx val="5"/>
              <c:tx>
                <c:rich>
                  <a:bodyPr/>
                  <a:lstStyle/>
                  <a:p>
                    <a:fld id="{68E32F26-6904-4D5D-8D83-5150A90CB34D}"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24F-41C6-98CC-FCA8D54C696F}"/>
                </c:ext>
              </c:extLst>
            </c:dLbl>
            <c:dLbl>
              <c:idx val="6"/>
              <c:tx>
                <c:rich>
                  <a:bodyPr/>
                  <a:lstStyle/>
                  <a:p>
                    <a:fld id="{89C8A9CC-127E-483A-A13A-99A37C2F5AA7}"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24F-41C6-98CC-FCA8D54C696F}"/>
                </c:ext>
              </c:extLst>
            </c:dLbl>
            <c:dLbl>
              <c:idx val="7"/>
              <c:tx>
                <c:rich>
                  <a:bodyPr/>
                  <a:lstStyle/>
                  <a:p>
                    <a:fld id="{0340F7FD-45F7-4061-A6F6-8808FB7F1E72}"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24F-41C6-98CC-FCA8D54C696F}"/>
                </c:ext>
              </c:extLst>
            </c:dLbl>
            <c:dLbl>
              <c:idx val="8"/>
              <c:tx>
                <c:rich>
                  <a:bodyPr/>
                  <a:lstStyle/>
                  <a:p>
                    <a:fld id="{90BADC02-5D35-4349-97BB-7F9DE463C433}"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24F-41C6-98CC-FCA8D54C696F}"/>
                </c:ext>
              </c:extLst>
            </c:dLbl>
            <c:dLbl>
              <c:idx val="9"/>
              <c:tx>
                <c:rich>
                  <a:bodyPr/>
                  <a:lstStyle/>
                  <a:p>
                    <a:fld id="{2A5E1202-56F3-4658-9761-ED933861F3FE}"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24F-41C6-98CC-FCA8D54C696F}"/>
                </c:ext>
              </c:extLst>
            </c:dLbl>
            <c:dLbl>
              <c:idx val="10"/>
              <c:tx>
                <c:rich>
                  <a:bodyPr/>
                  <a:lstStyle/>
                  <a:p>
                    <a:fld id="{980ACBF4-CBC2-4BE0-9A61-6AFCEA1C99D2}"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24F-41C6-98CC-FCA8D54C696F}"/>
                </c:ext>
              </c:extLst>
            </c:dLbl>
            <c:dLbl>
              <c:idx val="11"/>
              <c:tx>
                <c:rich>
                  <a:bodyPr/>
                  <a:lstStyle/>
                  <a:p>
                    <a:fld id="{B8BA3648-8D99-4006-9535-90A18BB9A01C}"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24F-41C6-98CC-FCA8D54C696F}"/>
                </c:ext>
              </c:extLst>
            </c:dLbl>
            <c:dLbl>
              <c:idx val="12"/>
              <c:tx>
                <c:rich>
                  <a:bodyPr/>
                  <a:lstStyle/>
                  <a:p>
                    <a:fld id="{923BDDEA-4338-45A7-93C7-F808FBF5F3A8}"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24F-41C6-98CC-FCA8D54C696F}"/>
                </c:ext>
              </c:extLst>
            </c:dLbl>
            <c:dLbl>
              <c:idx val="13"/>
              <c:tx>
                <c:rich>
                  <a:bodyPr/>
                  <a:lstStyle/>
                  <a:p>
                    <a:fld id="{52A7610F-B74A-4883-A577-6D647AAFEB47}"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24F-41C6-98CC-FCA8D54C696F}"/>
                </c:ext>
              </c:extLst>
            </c:dLbl>
            <c:dLbl>
              <c:idx val="14"/>
              <c:tx>
                <c:rich>
                  <a:bodyPr/>
                  <a:lstStyle/>
                  <a:p>
                    <a:fld id="{94039827-283C-460D-9E4C-EDD1E6DF7F50}"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24F-41C6-98CC-FCA8D54C69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'[ASD 2022 vigente presupuesto.xlsm]Resumen de escenarios'!$BA$4:$BA$18</c:f>
              <c:numCache>
                <c:formatCode>_-* #,##0_-;\-* #,##0_-;_-* "-"??_-;_-@_-</c:formatCode>
                <c:ptCount val="15"/>
                <c:pt idx="0">
                  <c:v>2010</c:v>
                </c:pt>
                <c:pt idx="1">
                  <c:v>3360</c:v>
                </c:pt>
                <c:pt idx="2">
                  <c:v>4940</c:v>
                </c:pt>
                <c:pt idx="3">
                  <c:v>6520</c:v>
                </c:pt>
                <c:pt idx="4">
                  <c:v>7720</c:v>
                </c:pt>
                <c:pt idx="5">
                  <c:v>10050</c:v>
                </c:pt>
                <c:pt idx="6">
                  <c:v>14010</c:v>
                </c:pt>
                <c:pt idx="7">
                  <c:v>15800</c:v>
                </c:pt>
                <c:pt idx="8">
                  <c:v>2540</c:v>
                </c:pt>
                <c:pt idx="9">
                  <c:v>4140</c:v>
                </c:pt>
                <c:pt idx="10">
                  <c:v>6160</c:v>
                </c:pt>
                <c:pt idx="11">
                  <c:v>8220</c:v>
                </c:pt>
                <c:pt idx="12">
                  <c:v>9380</c:v>
                </c:pt>
                <c:pt idx="13">
                  <c:v>12310</c:v>
                </c:pt>
                <c:pt idx="14">
                  <c:v>15000</c:v>
                </c:pt>
              </c:numCache>
            </c:numRef>
          </c:xVal>
          <c:yVal>
            <c:numRef>
              <c:f>'[ASD 2022 vigente presupuesto.xlsm]Resumen de escenarios'!$BB$4:$BB$18</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yVal>
          <c:smooth val="0"/>
          <c:extLst>
            <c:ext xmlns:c15="http://schemas.microsoft.com/office/drawing/2012/chart" uri="{02D57815-91ED-43cb-92C2-25804820EDAC}">
              <c15:datalabelsRange>
                <c15:f>'[ASD 2022 vigente presupuesto.xlsm]Resumen de escenarios'!$AZ$4:$AZ$18</c15:f>
                <c15:dlblRangeCache>
                  <c:ptCount val="15"/>
                  <c:pt idx="0">
                    <c:v>NIC</c:v>
                  </c:pt>
                  <c:pt idx="1">
                    <c:v>BOL</c:v>
                  </c:pt>
                  <c:pt idx="2">
                    <c:v>GTM</c:v>
                  </c:pt>
                  <c:pt idx="3">
                    <c:v>PER</c:v>
                  </c:pt>
                  <c:pt idx="4">
                    <c:v>BRA</c:v>
                  </c:pt>
                  <c:pt idx="5">
                    <c:v>ARG</c:v>
                  </c:pt>
                  <c:pt idx="6">
                    <c:v>PAN</c:v>
                  </c:pt>
                  <c:pt idx="7">
                    <c:v>URY</c:v>
                  </c:pt>
                  <c:pt idx="8">
                    <c:v>HND</c:v>
                  </c:pt>
                  <c:pt idx="9">
                    <c:v>SLV</c:v>
                  </c:pt>
                  <c:pt idx="10">
                    <c:v>COL</c:v>
                  </c:pt>
                  <c:pt idx="11">
                    <c:v>DOM</c:v>
                  </c:pt>
                  <c:pt idx="12">
                    <c:v>MEX</c:v>
                  </c:pt>
                  <c:pt idx="13">
                    <c:v>CRI</c:v>
                  </c:pt>
                  <c:pt idx="14">
                    <c:v>CHL</c:v>
                  </c:pt>
                </c15:dlblRangeCache>
              </c15:datalabelsRange>
            </c:ext>
            <c:ext xmlns:c16="http://schemas.microsoft.com/office/drawing/2014/chart" uri="{C3380CC4-5D6E-409C-BE32-E72D297353CC}">
              <c16:uniqueId val="{0000000F-E24F-41C6-98CC-FCA8D54C696F}"/>
            </c:ext>
          </c:extLst>
        </c:ser>
        <c:dLbls>
          <c:showLegendKey val="0"/>
          <c:showVal val="0"/>
          <c:showCatName val="0"/>
          <c:showSerName val="0"/>
          <c:showPercent val="0"/>
          <c:showBubbleSize val="0"/>
        </c:dLbls>
        <c:axId val="514832895"/>
        <c:axId val="514814591"/>
      </c:scatterChart>
      <c:valAx>
        <c:axId val="514832895"/>
        <c:scaling>
          <c:orientation val="minMax"/>
          <c:max val="18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0" i="0" baseline="0">
                    <a:effectLst/>
                    <a:latin typeface="Times New Roman" panose="02020603050405020304" pitchFamily="18" charset="0"/>
                    <a:cs typeface="Times New Roman" panose="02020603050405020304" pitchFamily="18" charset="0"/>
                  </a:rPr>
                  <a:t>INB per cápita en USD </a:t>
                </a:r>
              </a:p>
            </c:rich>
          </c:tx>
          <c:layout>
            <c:manualLayout>
              <c:xMode val="edge"/>
              <c:yMode val="edge"/>
              <c:x val="0.34965594425160224"/>
              <c:y val="0.886903628902308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_-;\-* #,##0_-;_-* &quot;-&quot;??_-;_-@_-"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514814591"/>
        <c:crosses val="autoZero"/>
        <c:crossBetween val="midCat"/>
        <c:majorUnit val="4000"/>
      </c:valAx>
      <c:valAx>
        <c:axId val="514814591"/>
        <c:scaling>
          <c:orientation val="minMax"/>
          <c:max val="0.2"/>
          <c:min val="-0.2"/>
        </c:scaling>
        <c:delete val="1"/>
        <c:axPos val="l"/>
        <c:numFmt formatCode="General" sourceLinked="1"/>
        <c:majorTickMark val="none"/>
        <c:minorTickMark val="none"/>
        <c:tickLblPos val="nextTo"/>
        <c:crossAx val="51483289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userShapes r:id="rId5"/>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lumMod val="60000"/>
                <a:lumOff val="40000"/>
              </a:schemeClr>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C55E-4075-B1EE-D7C2B74A50AD}"/>
              </c:ext>
            </c:extLst>
          </c:dPt>
          <c:dPt>
            <c:idx val="1"/>
            <c:invertIfNegative val="0"/>
            <c:bubble3D val="0"/>
            <c:spPr>
              <a:solidFill>
                <a:srgbClr val="002060"/>
              </a:solidFill>
              <a:ln>
                <a:noFill/>
              </a:ln>
              <a:effectLst/>
            </c:spPr>
            <c:extLst>
              <c:ext xmlns:c16="http://schemas.microsoft.com/office/drawing/2014/chart" uri="{C3380CC4-5D6E-409C-BE32-E72D297353CC}">
                <c16:uniqueId val="{00000003-C55E-4075-B1EE-D7C2B74A50A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presupuesto.xlsm]Indicadores de deuda'!$U$75:$AB$75</c:f>
              <c:numCache>
                <c:formatCode>General</c:formatCode>
                <c:ptCount val="8"/>
                <c:pt idx="0">
                  <c:v>2020</c:v>
                </c:pt>
                <c:pt idx="1">
                  <c:v>2021</c:v>
                </c:pt>
                <c:pt idx="2">
                  <c:v>2022</c:v>
                </c:pt>
                <c:pt idx="3">
                  <c:v>2023</c:v>
                </c:pt>
                <c:pt idx="4">
                  <c:v>2024</c:v>
                </c:pt>
                <c:pt idx="5">
                  <c:v>2025</c:v>
                </c:pt>
                <c:pt idx="6">
                  <c:v>2026</c:v>
                </c:pt>
                <c:pt idx="7">
                  <c:v>2027</c:v>
                </c:pt>
              </c:numCache>
            </c:numRef>
          </c:cat>
          <c:val>
            <c:numRef>
              <c:f>'[ASD 2022 vigente presupuesto.xlsm]Indicadores de deuda'!$U$76:$AB$76</c:f>
              <c:numCache>
                <c:formatCode>_-* #,##0.0_-;\-* #,##0.0_-;_-* "-"??_-;_-@_-</c:formatCode>
                <c:ptCount val="8"/>
                <c:pt idx="0">
                  <c:v>31.56278317825408</c:v>
                </c:pt>
                <c:pt idx="1">
                  <c:v>30.774611397111123</c:v>
                </c:pt>
                <c:pt idx="2">
                  <c:v>31.002109771771163</c:v>
                </c:pt>
                <c:pt idx="3">
                  <c:v>30.736790581903605</c:v>
                </c:pt>
                <c:pt idx="4">
                  <c:v>30.374466330705157</c:v>
                </c:pt>
                <c:pt idx="5">
                  <c:v>29.453099966756408</c:v>
                </c:pt>
                <c:pt idx="6">
                  <c:v>28.073406756256542</c:v>
                </c:pt>
                <c:pt idx="7">
                  <c:v>26.582488738154485</c:v>
                </c:pt>
              </c:numCache>
            </c:numRef>
          </c:val>
          <c:extLst>
            <c:ext xmlns:c16="http://schemas.microsoft.com/office/drawing/2014/chart" uri="{C3380CC4-5D6E-409C-BE32-E72D297353CC}">
              <c16:uniqueId val="{00000004-C55E-4075-B1EE-D7C2B74A50AD}"/>
            </c:ext>
          </c:extLst>
        </c:ser>
        <c:dLbls>
          <c:showLegendKey val="0"/>
          <c:showVal val="0"/>
          <c:showCatName val="0"/>
          <c:showSerName val="0"/>
          <c:showPercent val="0"/>
          <c:showBubbleSize val="0"/>
        </c:dLbls>
        <c:gapWidth val="40"/>
        <c:overlap val="-27"/>
        <c:axId val="1883116159"/>
        <c:axId val="1883125311"/>
      </c:barChart>
      <c:catAx>
        <c:axId val="188311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83125311"/>
        <c:crosses val="autoZero"/>
        <c:auto val="1"/>
        <c:lblAlgn val="ctr"/>
        <c:lblOffset val="100"/>
        <c:noMultiLvlLbl val="0"/>
      </c:catAx>
      <c:valAx>
        <c:axId val="1883125311"/>
        <c:scaling>
          <c:orientation val="minMax"/>
          <c:max val="34"/>
        </c:scaling>
        <c:delete val="1"/>
        <c:axPos val="l"/>
        <c:numFmt formatCode="_-* #,##0.0_-;\-* #,##0.0_-;_-* &quot;-&quot;??_-;_-@_-" sourceLinked="1"/>
        <c:majorTickMark val="out"/>
        <c:minorTickMark val="none"/>
        <c:tickLblPos val="nextTo"/>
        <c:crossAx val="18831161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36507936507937E-2"/>
          <c:y val="7.774310162141948E-2"/>
          <c:w val="0.91432539682539682"/>
          <c:h val="0.74455520038465306"/>
        </c:manualLayout>
      </c:layout>
      <c:barChart>
        <c:barDir val="col"/>
        <c:grouping val="clustered"/>
        <c:varyColors val="0"/>
        <c:ser>
          <c:idx val="0"/>
          <c:order val="0"/>
          <c:spPr>
            <a:solidFill>
              <a:schemeClr val="accent6">
                <a:lumMod val="60000"/>
                <a:lumOff val="40000"/>
              </a:schemeClr>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EDC9-4237-9838-145194B27346}"/>
              </c:ext>
            </c:extLst>
          </c:dPt>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3-EDC9-4237-9838-145194B27346}"/>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presupuesto.xlsm]Indicadores de deuda'!$U$75:$AB$75</c:f>
              <c:numCache>
                <c:formatCode>General</c:formatCode>
                <c:ptCount val="8"/>
                <c:pt idx="0">
                  <c:v>2020</c:v>
                </c:pt>
                <c:pt idx="1">
                  <c:v>2021</c:v>
                </c:pt>
                <c:pt idx="2">
                  <c:v>2022</c:v>
                </c:pt>
                <c:pt idx="3">
                  <c:v>2023</c:v>
                </c:pt>
                <c:pt idx="4">
                  <c:v>2024</c:v>
                </c:pt>
                <c:pt idx="5">
                  <c:v>2025</c:v>
                </c:pt>
                <c:pt idx="6">
                  <c:v>2026</c:v>
                </c:pt>
                <c:pt idx="7">
                  <c:v>2027</c:v>
                </c:pt>
              </c:numCache>
            </c:numRef>
          </c:cat>
          <c:val>
            <c:numRef>
              <c:f>'[ASD 2022 vigente presupuesto.xlsm]Indicadores de deuda'!$U$77:$AB$77</c:f>
              <c:numCache>
                <c:formatCode>_-* #,##0.0_-;\-* #,##0.0_-;_-* "-"??_-;_-@_-</c:formatCode>
                <c:ptCount val="8"/>
                <c:pt idx="0">
                  <c:v>295.30267796516154</c:v>
                </c:pt>
                <c:pt idx="1">
                  <c:v>248.69804107438699</c:v>
                </c:pt>
                <c:pt idx="2">
                  <c:v>269.75198963840114</c:v>
                </c:pt>
                <c:pt idx="3">
                  <c:v>259.45467865154734</c:v>
                </c:pt>
                <c:pt idx="4">
                  <c:v>248.19570483478941</c:v>
                </c:pt>
                <c:pt idx="5">
                  <c:v>241.19038981843897</c:v>
                </c:pt>
                <c:pt idx="6">
                  <c:v>230.24125035265493</c:v>
                </c:pt>
                <c:pt idx="7">
                  <c:v>218.37671398228133</c:v>
                </c:pt>
              </c:numCache>
            </c:numRef>
          </c:val>
          <c:extLst>
            <c:ext xmlns:c16="http://schemas.microsoft.com/office/drawing/2014/chart" uri="{C3380CC4-5D6E-409C-BE32-E72D297353CC}">
              <c16:uniqueId val="{00000004-EDC9-4237-9838-145194B27346}"/>
            </c:ext>
          </c:extLst>
        </c:ser>
        <c:dLbls>
          <c:showLegendKey val="0"/>
          <c:showVal val="0"/>
          <c:showCatName val="0"/>
          <c:showSerName val="0"/>
          <c:showPercent val="0"/>
          <c:showBubbleSize val="0"/>
        </c:dLbls>
        <c:gapWidth val="40"/>
        <c:overlap val="-27"/>
        <c:axId val="1883116159"/>
        <c:axId val="1883125311"/>
      </c:barChart>
      <c:catAx>
        <c:axId val="188311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1883125311"/>
        <c:crosses val="autoZero"/>
        <c:auto val="1"/>
        <c:lblAlgn val="ctr"/>
        <c:lblOffset val="100"/>
        <c:noMultiLvlLbl val="0"/>
      </c:catAx>
      <c:valAx>
        <c:axId val="1883125311"/>
        <c:scaling>
          <c:orientation val="minMax"/>
        </c:scaling>
        <c:delete val="1"/>
        <c:axPos val="l"/>
        <c:numFmt formatCode="_-* #,##0.0_-;\-* #,##0.0_-;_-* &quot;-&quot;??_-;_-@_-" sourceLinked="1"/>
        <c:majorTickMark val="none"/>
        <c:minorTickMark val="none"/>
        <c:tickLblPos val="nextTo"/>
        <c:crossAx val="1883116159"/>
        <c:crosses val="autoZero"/>
        <c:crossBetween val="between"/>
      </c:valAx>
    </c:plotArea>
    <c:plotVisOnly val="1"/>
    <c:dispBlanksAs val="gap"/>
    <c:showDLblsOverMax val="0"/>
    <c:extLst/>
  </c:chart>
  <c:spPr>
    <a:ln>
      <a:noFill/>
    </a:ln>
  </c:spPr>
  <c:txPr>
    <a:bodyPr/>
    <a:lstStyle/>
    <a:p>
      <a:pPr>
        <a:defRPr/>
      </a:pPr>
      <a:endParaRPr lang="es-GT"/>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765873015873E-2"/>
          <c:y val="5.5388197120130933E-2"/>
          <c:w val="0.93077777777777781"/>
          <c:h val="0.73753316824082338"/>
        </c:manualLayout>
      </c:layout>
      <c:barChart>
        <c:barDir val="col"/>
        <c:grouping val="clustered"/>
        <c:varyColors val="0"/>
        <c:ser>
          <c:idx val="0"/>
          <c:order val="0"/>
          <c:tx>
            <c:strRef>
              <c:f>'[ASD 2022 vigente presupuesto.xlsm]Indicadores de deuda'!$A$10</c:f>
              <c:strCache>
                <c:ptCount val="1"/>
                <c:pt idx="0">
                  <c:v>Servicio de deuda/ ingresos fiscales SITFIN</c:v>
                </c:pt>
              </c:strCache>
            </c:strRef>
          </c:tx>
          <c:spPr>
            <a:solidFill>
              <a:schemeClr val="accent5">
                <a:lumMod val="60000"/>
                <a:lumOff val="40000"/>
              </a:schemeClr>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D70-4ED7-AC42-93C49006E209}"/>
              </c:ext>
            </c:extLst>
          </c:dPt>
          <c:dPt>
            <c:idx val="1"/>
            <c:invertIfNegative val="0"/>
            <c:bubble3D val="0"/>
            <c:spPr>
              <a:solidFill>
                <a:srgbClr val="002060"/>
              </a:solidFill>
              <a:ln>
                <a:noFill/>
              </a:ln>
              <a:effectLst/>
            </c:spPr>
            <c:extLst>
              <c:ext xmlns:c16="http://schemas.microsoft.com/office/drawing/2014/chart" uri="{C3380CC4-5D6E-409C-BE32-E72D297353CC}">
                <c16:uniqueId val="{00000003-7D70-4ED7-AC42-93C49006E209}"/>
              </c:ext>
            </c:extLst>
          </c:dPt>
          <c:dPt>
            <c:idx val="2"/>
            <c:invertIfNegative val="0"/>
            <c:bubble3D val="0"/>
            <c:extLst>
              <c:ext xmlns:c16="http://schemas.microsoft.com/office/drawing/2014/chart" uri="{C3380CC4-5D6E-409C-BE32-E72D297353CC}">
                <c16:uniqueId val="{00000004-7D70-4ED7-AC42-93C49006E209}"/>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presupuesto.xlsm]Indicadores de deuda'!$I$3:$P$3</c:f>
              <c:numCache>
                <c:formatCode>General</c:formatCode>
                <c:ptCount val="8"/>
                <c:pt idx="0">
                  <c:v>2020</c:v>
                </c:pt>
                <c:pt idx="1">
                  <c:v>2021</c:v>
                </c:pt>
                <c:pt idx="2">
                  <c:v>2022</c:v>
                </c:pt>
                <c:pt idx="3">
                  <c:v>2023</c:v>
                </c:pt>
                <c:pt idx="4">
                  <c:v>2024</c:v>
                </c:pt>
                <c:pt idx="5">
                  <c:v>2025</c:v>
                </c:pt>
                <c:pt idx="6">
                  <c:v>2026</c:v>
                </c:pt>
                <c:pt idx="7">
                  <c:v>2027</c:v>
                </c:pt>
              </c:numCache>
            </c:numRef>
          </c:cat>
          <c:val>
            <c:numRef>
              <c:f>'[ASD 2022 vigente presupuesto.xlsm]Indicadores de deuda'!$I$10:$P$10</c:f>
              <c:numCache>
                <c:formatCode>_-* #,##0.0_-;\-* #,##0.0_-;_-* "-"??_-;_-@_-</c:formatCode>
                <c:ptCount val="8"/>
                <c:pt idx="0">
                  <c:v>29.789427743985129</c:v>
                </c:pt>
                <c:pt idx="1">
                  <c:v>24.20103120487725</c:v>
                </c:pt>
                <c:pt idx="2">
                  <c:v>25.967148176356496</c:v>
                </c:pt>
                <c:pt idx="3">
                  <c:v>22.300202772691694</c:v>
                </c:pt>
                <c:pt idx="4">
                  <c:v>24.503871714564188</c:v>
                </c:pt>
                <c:pt idx="5">
                  <c:v>23.773182915303785</c:v>
                </c:pt>
                <c:pt idx="6">
                  <c:v>29.897584155466927</c:v>
                </c:pt>
                <c:pt idx="7">
                  <c:v>26.636389030168189</c:v>
                </c:pt>
              </c:numCache>
            </c:numRef>
          </c:val>
          <c:extLst>
            <c:ext xmlns:c16="http://schemas.microsoft.com/office/drawing/2014/chart" uri="{C3380CC4-5D6E-409C-BE32-E72D297353CC}">
              <c16:uniqueId val="{00000005-7D70-4ED7-AC42-93C49006E209}"/>
            </c:ext>
          </c:extLst>
        </c:ser>
        <c:dLbls>
          <c:showLegendKey val="0"/>
          <c:showVal val="0"/>
          <c:showCatName val="0"/>
          <c:showSerName val="0"/>
          <c:showPercent val="0"/>
          <c:showBubbleSize val="0"/>
        </c:dLbls>
        <c:gapWidth val="75"/>
        <c:axId val="1614501087"/>
        <c:axId val="1614497759"/>
      </c:barChart>
      <c:lineChart>
        <c:grouping val="standard"/>
        <c:varyColors val="0"/>
        <c:ser>
          <c:idx val="1"/>
          <c:order val="1"/>
          <c:tx>
            <c:strRef>
              <c:f>'[ASD 2022 vigente presupuesto.xlsm]Indicadores de deuda'!$A$17</c:f>
              <c:strCache>
                <c:ptCount val="1"/>
                <c:pt idx="0">
                  <c:v>Promedio 2017-2020</c:v>
                </c:pt>
              </c:strCache>
            </c:strRef>
          </c:tx>
          <c:spPr>
            <a:ln w="28575" cap="rnd">
              <a:solidFill>
                <a:schemeClr val="accent5"/>
              </a:solidFill>
              <a:prstDash val="solid"/>
              <a:round/>
            </a:ln>
            <a:effectLst/>
          </c:spPr>
          <c:marker>
            <c:symbol val="none"/>
          </c:marker>
          <c:dLbls>
            <c:dLbl>
              <c:idx val="1"/>
              <c:layout>
                <c:manualLayout>
                  <c:x val="-0.15119047619047618"/>
                  <c:y val="7.0468253219622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70-4ED7-AC42-93C49006E209}"/>
                </c:ext>
              </c:extLst>
            </c:dLbl>
            <c:spPr>
              <a:solidFill>
                <a:schemeClr val="bg1"/>
              </a:solidFill>
              <a:ln>
                <a:solidFill>
                  <a:schemeClr val="accent5"/>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presupuesto.xlsm]Indicadores de deuda'!$I$3:$P$3</c:f>
              <c:numCache>
                <c:formatCode>General</c:formatCode>
                <c:ptCount val="8"/>
                <c:pt idx="0">
                  <c:v>2020</c:v>
                </c:pt>
                <c:pt idx="1">
                  <c:v>2021</c:v>
                </c:pt>
                <c:pt idx="2">
                  <c:v>2022</c:v>
                </c:pt>
                <c:pt idx="3">
                  <c:v>2023</c:v>
                </c:pt>
                <c:pt idx="4">
                  <c:v>2024</c:v>
                </c:pt>
                <c:pt idx="5">
                  <c:v>2025</c:v>
                </c:pt>
                <c:pt idx="6">
                  <c:v>2026</c:v>
                </c:pt>
                <c:pt idx="7">
                  <c:v>2027</c:v>
                </c:pt>
              </c:numCache>
            </c:numRef>
          </c:cat>
          <c:val>
            <c:numRef>
              <c:f>'[ASD 2022 vigente presupuesto.xlsm]Indicadores de deuda'!$I$17:$J$17</c:f>
              <c:numCache>
                <c:formatCode>_-* #,##0.0_-;\-* #,##0.0_-;_-* "-"??_-;_-@_-</c:formatCode>
                <c:ptCount val="2"/>
                <c:pt idx="0">
                  <c:v>24.83240642439609</c:v>
                </c:pt>
                <c:pt idx="1">
                  <c:v>24.83240642439609</c:v>
                </c:pt>
              </c:numCache>
            </c:numRef>
          </c:val>
          <c:smooth val="0"/>
          <c:extLst>
            <c:ext xmlns:c16="http://schemas.microsoft.com/office/drawing/2014/chart" uri="{C3380CC4-5D6E-409C-BE32-E72D297353CC}">
              <c16:uniqueId val="{00000007-7D70-4ED7-AC42-93C49006E209}"/>
            </c:ext>
          </c:extLst>
        </c:ser>
        <c:dLbls>
          <c:showLegendKey val="0"/>
          <c:showVal val="0"/>
          <c:showCatName val="0"/>
          <c:showSerName val="0"/>
          <c:showPercent val="0"/>
          <c:showBubbleSize val="0"/>
        </c:dLbls>
        <c:marker val="1"/>
        <c:smooth val="0"/>
        <c:axId val="1614501087"/>
        <c:axId val="1614497759"/>
      </c:lineChart>
      <c:catAx>
        <c:axId val="16145010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14497759"/>
        <c:crosses val="autoZero"/>
        <c:auto val="1"/>
        <c:lblAlgn val="ctr"/>
        <c:lblOffset val="100"/>
        <c:noMultiLvlLbl val="0"/>
      </c:catAx>
      <c:valAx>
        <c:axId val="1614497759"/>
        <c:scaling>
          <c:orientation val="minMax"/>
          <c:min val="10"/>
        </c:scaling>
        <c:delete val="1"/>
        <c:axPos val="l"/>
        <c:numFmt formatCode="_-* #,##0.0_-;\-* #,##0.0_-;_-* &quot;-&quot;??_-;_-@_-" sourceLinked="1"/>
        <c:majorTickMark val="out"/>
        <c:minorTickMark val="none"/>
        <c:tickLblPos val="nextTo"/>
        <c:crossAx val="1614501087"/>
        <c:crosses val="autoZero"/>
        <c:crossBetween val="between"/>
      </c:valAx>
      <c:spPr>
        <a:noFill/>
        <a:ln>
          <a:noFill/>
        </a:ln>
        <a:effectLst/>
      </c:spPr>
    </c:plotArea>
    <c:legend>
      <c:legendPos val="b"/>
      <c:legendEntry>
        <c:idx val="0"/>
        <c:delete val="1"/>
      </c:legendEntry>
      <c:layout>
        <c:manualLayout>
          <c:xMode val="edge"/>
          <c:yMode val="edge"/>
          <c:x val="7.0270106879893032E-2"/>
          <c:y val="0.94049758618512647"/>
          <c:w val="0.83932580751659547"/>
          <c:h val="4.90290386244000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VIX!$B$1</c:f>
              <c:strCache>
                <c:ptCount val="1"/>
                <c:pt idx="0">
                  <c:v>Adj Close</c:v>
                </c:pt>
              </c:strCache>
            </c:strRef>
          </c:tx>
          <c:marker>
            <c:symbol val="none"/>
          </c:marker>
          <c:dLbls>
            <c:dLbl>
              <c:idx val="961"/>
              <c:layout>
                <c:manualLayout>
                  <c:x val="-3.0588235294117649E-2"/>
                  <c:y val="-5.9880239520958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BA-430B-A9DB-9384702AE45F}"/>
                </c:ext>
              </c:extLst>
            </c:dLbl>
            <c:dLbl>
              <c:idx val="3825"/>
              <c:layout>
                <c:manualLayout>
                  <c:x val="-4.4705882352941179E-2"/>
                  <c:y val="-4.1916167664670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BA-430B-A9DB-9384702AE45F}"/>
                </c:ext>
              </c:extLst>
            </c:dLbl>
            <c:dLbl>
              <c:idx val="4368"/>
              <c:layout>
                <c:manualLayout>
                  <c:x val="-4.0047114252061249E-2"/>
                  <c:y val="-8.9799099574275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BA-430B-A9DB-9384702AE45F}"/>
                </c:ext>
              </c:extLst>
            </c:dLbl>
            <c:spPr>
              <a:noFill/>
              <a:ln>
                <a:noFill/>
              </a:ln>
              <a:effectLst/>
            </c:spPr>
            <c:txPr>
              <a:bodyPr wrap="square" lIns="38100" tIns="19050" rIns="38100" bIns="19050" anchor="ctr">
                <a:spAutoFit/>
              </a:bodyPr>
              <a:lstStyle/>
              <a:p>
                <a:pPr>
                  <a:defRPr sz="900" b="1">
                    <a:solidFill>
                      <a:schemeClr val="accent1">
                        <a:lumMod val="75000"/>
                      </a:schemeClr>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VIX!$A$2:$A$4397</c:f>
              <c:numCache>
                <c:formatCode>mm\-yyyy</c:formatCode>
                <c:ptCount val="4396"/>
                <c:pt idx="0">
                  <c:v>38355</c:v>
                </c:pt>
                <c:pt idx="1">
                  <c:v>38356</c:v>
                </c:pt>
                <c:pt idx="2">
                  <c:v>38357</c:v>
                </c:pt>
                <c:pt idx="3">
                  <c:v>38358</c:v>
                </c:pt>
                <c:pt idx="4">
                  <c:v>38359</c:v>
                </c:pt>
                <c:pt idx="5">
                  <c:v>38362</c:v>
                </c:pt>
                <c:pt idx="6">
                  <c:v>38363</c:v>
                </c:pt>
                <c:pt idx="7">
                  <c:v>38364</c:v>
                </c:pt>
                <c:pt idx="8">
                  <c:v>38365</c:v>
                </c:pt>
                <c:pt idx="9">
                  <c:v>38366</c:v>
                </c:pt>
                <c:pt idx="10">
                  <c:v>38370</c:v>
                </c:pt>
                <c:pt idx="11">
                  <c:v>38371</c:v>
                </c:pt>
                <c:pt idx="12">
                  <c:v>38372</c:v>
                </c:pt>
                <c:pt idx="13">
                  <c:v>38373</c:v>
                </c:pt>
                <c:pt idx="14">
                  <c:v>38376</c:v>
                </c:pt>
                <c:pt idx="15">
                  <c:v>38377</c:v>
                </c:pt>
                <c:pt idx="16">
                  <c:v>38378</c:v>
                </c:pt>
                <c:pt idx="17">
                  <c:v>38379</c:v>
                </c:pt>
                <c:pt idx="18">
                  <c:v>38380</c:v>
                </c:pt>
                <c:pt idx="19">
                  <c:v>38383</c:v>
                </c:pt>
                <c:pt idx="20">
                  <c:v>38384</c:v>
                </c:pt>
                <c:pt idx="21">
                  <c:v>38385</c:v>
                </c:pt>
                <c:pt idx="22">
                  <c:v>38386</c:v>
                </c:pt>
                <c:pt idx="23">
                  <c:v>38387</c:v>
                </c:pt>
                <c:pt idx="24">
                  <c:v>38390</c:v>
                </c:pt>
                <c:pt idx="25">
                  <c:v>38391</c:v>
                </c:pt>
                <c:pt idx="26">
                  <c:v>38392</c:v>
                </c:pt>
                <c:pt idx="27">
                  <c:v>38393</c:v>
                </c:pt>
                <c:pt idx="28">
                  <c:v>38394</c:v>
                </c:pt>
                <c:pt idx="29">
                  <c:v>38397</c:v>
                </c:pt>
                <c:pt idx="30">
                  <c:v>38398</c:v>
                </c:pt>
                <c:pt idx="31">
                  <c:v>38399</c:v>
                </c:pt>
                <c:pt idx="32">
                  <c:v>38400</c:v>
                </c:pt>
                <c:pt idx="33">
                  <c:v>38401</c:v>
                </c:pt>
                <c:pt idx="34">
                  <c:v>38405</c:v>
                </c:pt>
                <c:pt idx="35">
                  <c:v>38406</c:v>
                </c:pt>
                <c:pt idx="36">
                  <c:v>38407</c:v>
                </c:pt>
                <c:pt idx="37">
                  <c:v>38408</c:v>
                </c:pt>
                <c:pt idx="38">
                  <c:v>38411</c:v>
                </c:pt>
                <c:pt idx="39">
                  <c:v>38412</c:v>
                </c:pt>
                <c:pt idx="40">
                  <c:v>38413</c:v>
                </c:pt>
                <c:pt idx="41">
                  <c:v>38414</c:v>
                </c:pt>
                <c:pt idx="42">
                  <c:v>38415</c:v>
                </c:pt>
                <c:pt idx="43">
                  <c:v>38418</c:v>
                </c:pt>
                <c:pt idx="44">
                  <c:v>38419</c:v>
                </c:pt>
                <c:pt idx="45">
                  <c:v>38420</c:v>
                </c:pt>
                <c:pt idx="46">
                  <c:v>38421</c:v>
                </c:pt>
                <c:pt idx="47">
                  <c:v>38422</c:v>
                </c:pt>
                <c:pt idx="48">
                  <c:v>38425</c:v>
                </c:pt>
                <c:pt idx="49">
                  <c:v>38426</c:v>
                </c:pt>
                <c:pt idx="50">
                  <c:v>38427</c:v>
                </c:pt>
                <c:pt idx="51">
                  <c:v>38428</c:v>
                </c:pt>
                <c:pt idx="52">
                  <c:v>38429</c:v>
                </c:pt>
                <c:pt idx="53">
                  <c:v>38432</c:v>
                </c:pt>
                <c:pt idx="54">
                  <c:v>38433</c:v>
                </c:pt>
                <c:pt idx="55">
                  <c:v>38434</c:v>
                </c:pt>
                <c:pt idx="56">
                  <c:v>38435</c:v>
                </c:pt>
                <c:pt idx="57">
                  <c:v>38439</c:v>
                </c:pt>
                <c:pt idx="58">
                  <c:v>38440</c:v>
                </c:pt>
                <c:pt idx="59">
                  <c:v>38441</c:v>
                </c:pt>
                <c:pt idx="60">
                  <c:v>38442</c:v>
                </c:pt>
                <c:pt idx="61">
                  <c:v>38443</c:v>
                </c:pt>
                <c:pt idx="62">
                  <c:v>38446</c:v>
                </c:pt>
                <c:pt idx="63">
                  <c:v>38447</c:v>
                </c:pt>
                <c:pt idx="64">
                  <c:v>38448</c:v>
                </c:pt>
                <c:pt idx="65">
                  <c:v>38449</c:v>
                </c:pt>
                <c:pt idx="66">
                  <c:v>38450</c:v>
                </c:pt>
                <c:pt idx="67">
                  <c:v>38453</c:v>
                </c:pt>
                <c:pt idx="68">
                  <c:v>38454</c:v>
                </c:pt>
                <c:pt idx="69">
                  <c:v>38455</c:v>
                </c:pt>
                <c:pt idx="70">
                  <c:v>38456</c:v>
                </c:pt>
                <c:pt idx="71">
                  <c:v>38457</c:v>
                </c:pt>
                <c:pt idx="72">
                  <c:v>38460</c:v>
                </c:pt>
                <c:pt idx="73">
                  <c:v>38461</c:v>
                </c:pt>
                <c:pt idx="74">
                  <c:v>38462</c:v>
                </c:pt>
                <c:pt idx="75">
                  <c:v>38463</c:v>
                </c:pt>
                <c:pt idx="76">
                  <c:v>38464</c:v>
                </c:pt>
                <c:pt idx="77">
                  <c:v>38467</c:v>
                </c:pt>
                <c:pt idx="78">
                  <c:v>38468</c:v>
                </c:pt>
                <c:pt idx="79">
                  <c:v>38469</c:v>
                </c:pt>
                <c:pt idx="80">
                  <c:v>38470</c:v>
                </c:pt>
                <c:pt idx="81">
                  <c:v>38471</c:v>
                </c:pt>
                <c:pt idx="82">
                  <c:v>38474</c:v>
                </c:pt>
                <c:pt idx="83">
                  <c:v>38475</c:v>
                </c:pt>
                <c:pt idx="84">
                  <c:v>38476</c:v>
                </c:pt>
                <c:pt idx="85">
                  <c:v>38477</c:v>
                </c:pt>
                <c:pt idx="86">
                  <c:v>38478</c:v>
                </c:pt>
                <c:pt idx="87">
                  <c:v>38481</c:v>
                </c:pt>
                <c:pt idx="88">
                  <c:v>38482</c:v>
                </c:pt>
                <c:pt idx="89">
                  <c:v>38483</c:v>
                </c:pt>
                <c:pt idx="90">
                  <c:v>38484</c:v>
                </c:pt>
                <c:pt idx="91">
                  <c:v>38485</c:v>
                </c:pt>
                <c:pt idx="92">
                  <c:v>38488</c:v>
                </c:pt>
                <c:pt idx="93">
                  <c:v>38489</c:v>
                </c:pt>
                <c:pt idx="94">
                  <c:v>38490</c:v>
                </c:pt>
                <c:pt idx="95">
                  <c:v>38491</c:v>
                </c:pt>
                <c:pt idx="96">
                  <c:v>38492</c:v>
                </c:pt>
                <c:pt idx="97">
                  <c:v>38495</c:v>
                </c:pt>
                <c:pt idx="98">
                  <c:v>38496</c:v>
                </c:pt>
                <c:pt idx="99">
                  <c:v>38497</c:v>
                </c:pt>
                <c:pt idx="100">
                  <c:v>38498</c:v>
                </c:pt>
                <c:pt idx="101">
                  <c:v>38499</c:v>
                </c:pt>
                <c:pt idx="102">
                  <c:v>38503</c:v>
                </c:pt>
                <c:pt idx="103">
                  <c:v>38504</c:v>
                </c:pt>
                <c:pt idx="104">
                  <c:v>38505</c:v>
                </c:pt>
                <c:pt idx="105">
                  <c:v>38506</c:v>
                </c:pt>
                <c:pt idx="106">
                  <c:v>38509</c:v>
                </c:pt>
                <c:pt idx="107">
                  <c:v>38510</c:v>
                </c:pt>
                <c:pt idx="108">
                  <c:v>38511</c:v>
                </c:pt>
                <c:pt idx="109">
                  <c:v>38512</c:v>
                </c:pt>
                <c:pt idx="110">
                  <c:v>38513</c:v>
                </c:pt>
                <c:pt idx="111">
                  <c:v>38516</c:v>
                </c:pt>
                <c:pt idx="112">
                  <c:v>38517</c:v>
                </c:pt>
                <c:pt idx="113">
                  <c:v>38518</c:v>
                </c:pt>
                <c:pt idx="114">
                  <c:v>38519</c:v>
                </c:pt>
                <c:pt idx="115">
                  <c:v>38520</c:v>
                </c:pt>
                <c:pt idx="116">
                  <c:v>38523</c:v>
                </c:pt>
                <c:pt idx="117">
                  <c:v>38524</c:v>
                </c:pt>
                <c:pt idx="118">
                  <c:v>38525</c:v>
                </c:pt>
                <c:pt idx="119">
                  <c:v>38526</c:v>
                </c:pt>
                <c:pt idx="120">
                  <c:v>38527</c:v>
                </c:pt>
                <c:pt idx="121">
                  <c:v>38530</c:v>
                </c:pt>
                <c:pt idx="122">
                  <c:v>38531</c:v>
                </c:pt>
                <c:pt idx="123">
                  <c:v>38532</c:v>
                </c:pt>
                <c:pt idx="124">
                  <c:v>38533</c:v>
                </c:pt>
                <c:pt idx="125">
                  <c:v>38534</c:v>
                </c:pt>
                <c:pt idx="126">
                  <c:v>38538</c:v>
                </c:pt>
                <c:pt idx="127">
                  <c:v>38539</c:v>
                </c:pt>
                <c:pt idx="128">
                  <c:v>38540</c:v>
                </c:pt>
                <c:pt idx="129">
                  <c:v>38541</c:v>
                </c:pt>
                <c:pt idx="130">
                  <c:v>38544</c:v>
                </c:pt>
                <c:pt idx="131">
                  <c:v>38545</c:v>
                </c:pt>
                <c:pt idx="132">
                  <c:v>38546</c:v>
                </c:pt>
                <c:pt idx="133">
                  <c:v>38547</c:v>
                </c:pt>
                <c:pt idx="134">
                  <c:v>38548</c:v>
                </c:pt>
                <c:pt idx="135">
                  <c:v>38551</c:v>
                </c:pt>
                <c:pt idx="136">
                  <c:v>38552</c:v>
                </c:pt>
                <c:pt idx="137">
                  <c:v>38553</c:v>
                </c:pt>
                <c:pt idx="138">
                  <c:v>38554</c:v>
                </c:pt>
                <c:pt idx="139">
                  <c:v>38555</c:v>
                </c:pt>
                <c:pt idx="140">
                  <c:v>38558</c:v>
                </c:pt>
                <c:pt idx="141">
                  <c:v>38559</c:v>
                </c:pt>
                <c:pt idx="142">
                  <c:v>38560</c:v>
                </c:pt>
                <c:pt idx="143">
                  <c:v>38561</c:v>
                </c:pt>
                <c:pt idx="144">
                  <c:v>38562</c:v>
                </c:pt>
                <c:pt idx="145">
                  <c:v>38565</c:v>
                </c:pt>
                <c:pt idx="146">
                  <c:v>38566</c:v>
                </c:pt>
                <c:pt idx="147">
                  <c:v>38567</c:v>
                </c:pt>
                <c:pt idx="148">
                  <c:v>38568</c:v>
                </c:pt>
                <c:pt idx="149">
                  <c:v>38569</c:v>
                </c:pt>
                <c:pt idx="150">
                  <c:v>38572</c:v>
                </c:pt>
                <c:pt idx="151">
                  <c:v>38573</c:v>
                </c:pt>
                <c:pt idx="152">
                  <c:v>38574</c:v>
                </c:pt>
                <c:pt idx="153">
                  <c:v>38575</c:v>
                </c:pt>
                <c:pt idx="154">
                  <c:v>38576</c:v>
                </c:pt>
                <c:pt idx="155">
                  <c:v>38579</c:v>
                </c:pt>
                <c:pt idx="156">
                  <c:v>38580</c:v>
                </c:pt>
                <c:pt idx="157">
                  <c:v>38581</c:v>
                </c:pt>
                <c:pt idx="158">
                  <c:v>38582</c:v>
                </c:pt>
                <c:pt idx="159">
                  <c:v>38583</c:v>
                </c:pt>
                <c:pt idx="160">
                  <c:v>38586</c:v>
                </c:pt>
                <c:pt idx="161">
                  <c:v>38587</c:v>
                </c:pt>
                <c:pt idx="162">
                  <c:v>38588</c:v>
                </c:pt>
                <c:pt idx="163">
                  <c:v>38589</c:v>
                </c:pt>
                <c:pt idx="164">
                  <c:v>38590</c:v>
                </c:pt>
                <c:pt idx="165">
                  <c:v>38593</c:v>
                </c:pt>
                <c:pt idx="166">
                  <c:v>38594</c:v>
                </c:pt>
                <c:pt idx="167">
                  <c:v>38595</c:v>
                </c:pt>
                <c:pt idx="168">
                  <c:v>38596</c:v>
                </c:pt>
                <c:pt idx="169">
                  <c:v>38597</c:v>
                </c:pt>
                <c:pt idx="170">
                  <c:v>38601</c:v>
                </c:pt>
                <c:pt idx="171">
                  <c:v>38602</c:v>
                </c:pt>
                <c:pt idx="172">
                  <c:v>38603</c:v>
                </c:pt>
                <c:pt idx="173">
                  <c:v>38604</c:v>
                </c:pt>
                <c:pt idx="174">
                  <c:v>38607</c:v>
                </c:pt>
                <c:pt idx="175">
                  <c:v>38608</c:v>
                </c:pt>
                <c:pt idx="176">
                  <c:v>38609</c:v>
                </c:pt>
                <c:pt idx="177">
                  <c:v>38610</c:v>
                </c:pt>
                <c:pt idx="178">
                  <c:v>38611</c:v>
                </c:pt>
                <c:pt idx="179">
                  <c:v>38614</c:v>
                </c:pt>
                <c:pt idx="180">
                  <c:v>38615</c:v>
                </c:pt>
                <c:pt idx="181">
                  <c:v>38616</c:v>
                </c:pt>
                <c:pt idx="182">
                  <c:v>38617</c:v>
                </c:pt>
                <c:pt idx="183">
                  <c:v>38618</c:v>
                </c:pt>
                <c:pt idx="184">
                  <c:v>38621</c:v>
                </c:pt>
                <c:pt idx="185">
                  <c:v>38622</c:v>
                </c:pt>
                <c:pt idx="186">
                  <c:v>38623</c:v>
                </c:pt>
                <c:pt idx="187">
                  <c:v>38624</c:v>
                </c:pt>
                <c:pt idx="188">
                  <c:v>38625</c:v>
                </c:pt>
                <c:pt idx="189">
                  <c:v>38628</c:v>
                </c:pt>
                <c:pt idx="190">
                  <c:v>38629</c:v>
                </c:pt>
                <c:pt idx="191">
                  <c:v>38630</c:v>
                </c:pt>
                <c:pt idx="192">
                  <c:v>38631</c:v>
                </c:pt>
                <c:pt idx="193">
                  <c:v>38632</c:v>
                </c:pt>
                <c:pt idx="194">
                  <c:v>38635</c:v>
                </c:pt>
                <c:pt idx="195">
                  <c:v>38636</c:v>
                </c:pt>
                <c:pt idx="196">
                  <c:v>38637</c:v>
                </c:pt>
                <c:pt idx="197">
                  <c:v>38638</c:v>
                </c:pt>
                <c:pt idx="198">
                  <c:v>38639</c:v>
                </c:pt>
                <c:pt idx="199">
                  <c:v>38642</c:v>
                </c:pt>
                <c:pt idx="200">
                  <c:v>38643</c:v>
                </c:pt>
                <c:pt idx="201">
                  <c:v>38644</c:v>
                </c:pt>
                <c:pt idx="202">
                  <c:v>38645</c:v>
                </c:pt>
                <c:pt idx="203">
                  <c:v>38646</c:v>
                </c:pt>
                <c:pt idx="204">
                  <c:v>38649</c:v>
                </c:pt>
                <c:pt idx="205">
                  <c:v>38650</c:v>
                </c:pt>
                <c:pt idx="206">
                  <c:v>38651</c:v>
                </c:pt>
                <c:pt idx="207">
                  <c:v>38652</c:v>
                </c:pt>
                <c:pt idx="208">
                  <c:v>38653</c:v>
                </c:pt>
                <c:pt idx="209">
                  <c:v>38656</c:v>
                </c:pt>
                <c:pt idx="210">
                  <c:v>38657</c:v>
                </c:pt>
                <c:pt idx="211">
                  <c:v>38658</c:v>
                </c:pt>
                <c:pt idx="212">
                  <c:v>38659</c:v>
                </c:pt>
                <c:pt idx="213">
                  <c:v>38660</c:v>
                </c:pt>
                <c:pt idx="214">
                  <c:v>38663</c:v>
                </c:pt>
                <c:pt idx="215">
                  <c:v>38664</c:v>
                </c:pt>
                <c:pt idx="216">
                  <c:v>38665</c:v>
                </c:pt>
                <c:pt idx="217">
                  <c:v>38666</c:v>
                </c:pt>
                <c:pt idx="218">
                  <c:v>38667</c:v>
                </c:pt>
                <c:pt idx="219">
                  <c:v>38670</c:v>
                </c:pt>
                <c:pt idx="220">
                  <c:v>38671</c:v>
                </c:pt>
                <c:pt idx="221">
                  <c:v>38672</c:v>
                </c:pt>
                <c:pt idx="222">
                  <c:v>38673</c:v>
                </c:pt>
                <c:pt idx="223">
                  <c:v>38674</c:v>
                </c:pt>
                <c:pt idx="224">
                  <c:v>38677</c:v>
                </c:pt>
                <c:pt idx="225">
                  <c:v>38678</c:v>
                </c:pt>
                <c:pt idx="226">
                  <c:v>38679</c:v>
                </c:pt>
                <c:pt idx="227">
                  <c:v>38681</c:v>
                </c:pt>
                <c:pt idx="228">
                  <c:v>38684</c:v>
                </c:pt>
                <c:pt idx="229">
                  <c:v>38685</c:v>
                </c:pt>
                <c:pt idx="230">
                  <c:v>38686</c:v>
                </c:pt>
                <c:pt idx="231">
                  <c:v>38687</c:v>
                </c:pt>
                <c:pt idx="232">
                  <c:v>38688</c:v>
                </c:pt>
                <c:pt idx="233">
                  <c:v>38691</c:v>
                </c:pt>
                <c:pt idx="234">
                  <c:v>38692</c:v>
                </c:pt>
                <c:pt idx="235">
                  <c:v>38693</c:v>
                </c:pt>
                <c:pt idx="236">
                  <c:v>38694</c:v>
                </c:pt>
                <c:pt idx="237">
                  <c:v>38695</c:v>
                </c:pt>
                <c:pt idx="238">
                  <c:v>38698</c:v>
                </c:pt>
                <c:pt idx="239">
                  <c:v>38699</c:v>
                </c:pt>
                <c:pt idx="240">
                  <c:v>38700</c:v>
                </c:pt>
                <c:pt idx="241">
                  <c:v>38701</c:v>
                </c:pt>
                <c:pt idx="242">
                  <c:v>38702</c:v>
                </c:pt>
                <c:pt idx="243">
                  <c:v>38705</c:v>
                </c:pt>
                <c:pt idx="244">
                  <c:v>38706</c:v>
                </c:pt>
                <c:pt idx="245">
                  <c:v>38707</c:v>
                </c:pt>
                <c:pt idx="246">
                  <c:v>38708</c:v>
                </c:pt>
                <c:pt idx="247">
                  <c:v>38709</c:v>
                </c:pt>
                <c:pt idx="248">
                  <c:v>38713</c:v>
                </c:pt>
                <c:pt idx="249">
                  <c:v>38714</c:v>
                </c:pt>
                <c:pt idx="250">
                  <c:v>38715</c:v>
                </c:pt>
                <c:pt idx="251">
                  <c:v>38716</c:v>
                </c:pt>
                <c:pt idx="252">
                  <c:v>38720</c:v>
                </c:pt>
                <c:pt idx="253">
                  <c:v>38721</c:v>
                </c:pt>
                <c:pt idx="254">
                  <c:v>38722</c:v>
                </c:pt>
                <c:pt idx="255">
                  <c:v>38723</c:v>
                </c:pt>
                <c:pt idx="256">
                  <c:v>38726</c:v>
                </c:pt>
                <c:pt idx="257">
                  <c:v>38727</c:v>
                </c:pt>
                <c:pt idx="258">
                  <c:v>38728</c:v>
                </c:pt>
                <c:pt idx="259">
                  <c:v>38729</c:v>
                </c:pt>
                <c:pt idx="260">
                  <c:v>38730</c:v>
                </c:pt>
                <c:pt idx="261">
                  <c:v>38734</c:v>
                </c:pt>
                <c:pt idx="262">
                  <c:v>38735</c:v>
                </c:pt>
                <c:pt idx="263">
                  <c:v>38736</c:v>
                </c:pt>
                <c:pt idx="264">
                  <c:v>38737</c:v>
                </c:pt>
                <c:pt idx="265">
                  <c:v>38740</c:v>
                </c:pt>
                <c:pt idx="266">
                  <c:v>38741</c:v>
                </c:pt>
                <c:pt idx="267">
                  <c:v>38742</c:v>
                </c:pt>
                <c:pt idx="268">
                  <c:v>38743</c:v>
                </c:pt>
                <c:pt idx="269">
                  <c:v>38744</c:v>
                </c:pt>
                <c:pt idx="270">
                  <c:v>38747</c:v>
                </c:pt>
                <c:pt idx="271">
                  <c:v>38748</c:v>
                </c:pt>
                <c:pt idx="272">
                  <c:v>38749</c:v>
                </c:pt>
                <c:pt idx="273">
                  <c:v>38750</c:v>
                </c:pt>
                <c:pt idx="274">
                  <c:v>38751</c:v>
                </c:pt>
                <c:pt idx="275">
                  <c:v>38754</c:v>
                </c:pt>
                <c:pt idx="276">
                  <c:v>38755</c:v>
                </c:pt>
                <c:pt idx="277">
                  <c:v>38756</c:v>
                </c:pt>
                <c:pt idx="278">
                  <c:v>38757</c:v>
                </c:pt>
                <c:pt idx="279">
                  <c:v>38758</c:v>
                </c:pt>
                <c:pt idx="280">
                  <c:v>38761</c:v>
                </c:pt>
                <c:pt idx="281">
                  <c:v>38762</c:v>
                </c:pt>
                <c:pt idx="282">
                  <c:v>38763</c:v>
                </c:pt>
                <c:pt idx="283">
                  <c:v>38764</c:v>
                </c:pt>
                <c:pt idx="284">
                  <c:v>38765</c:v>
                </c:pt>
                <c:pt idx="285">
                  <c:v>38769</c:v>
                </c:pt>
                <c:pt idx="286">
                  <c:v>38770</c:v>
                </c:pt>
                <c:pt idx="287">
                  <c:v>38771</c:v>
                </c:pt>
                <c:pt idx="288">
                  <c:v>38772</c:v>
                </c:pt>
                <c:pt idx="289">
                  <c:v>38775</c:v>
                </c:pt>
                <c:pt idx="290">
                  <c:v>38776</c:v>
                </c:pt>
                <c:pt idx="291">
                  <c:v>38777</c:v>
                </c:pt>
                <c:pt idx="292">
                  <c:v>38778</c:v>
                </c:pt>
                <c:pt idx="293">
                  <c:v>38779</c:v>
                </c:pt>
                <c:pt idx="294">
                  <c:v>38782</c:v>
                </c:pt>
                <c:pt idx="295">
                  <c:v>38783</c:v>
                </c:pt>
                <c:pt idx="296">
                  <c:v>38784</c:v>
                </c:pt>
                <c:pt idx="297">
                  <c:v>38785</c:v>
                </c:pt>
                <c:pt idx="298">
                  <c:v>38786</c:v>
                </c:pt>
                <c:pt idx="299">
                  <c:v>38789</c:v>
                </c:pt>
                <c:pt idx="300">
                  <c:v>38790</c:v>
                </c:pt>
                <c:pt idx="301">
                  <c:v>38791</c:v>
                </c:pt>
                <c:pt idx="302">
                  <c:v>38792</c:v>
                </c:pt>
                <c:pt idx="303">
                  <c:v>38793</c:v>
                </c:pt>
                <c:pt idx="304">
                  <c:v>38796</c:v>
                </c:pt>
                <c:pt idx="305">
                  <c:v>38797</c:v>
                </c:pt>
                <c:pt idx="306">
                  <c:v>38798</c:v>
                </c:pt>
                <c:pt idx="307">
                  <c:v>38799</c:v>
                </c:pt>
                <c:pt idx="308">
                  <c:v>38800</c:v>
                </c:pt>
                <c:pt idx="309">
                  <c:v>38803</c:v>
                </c:pt>
                <c:pt idx="310">
                  <c:v>38804</c:v>
                </c:pt>
                <c:pt idx="311">
                  <c:v>38805</c:v>
                </c:pt>
                <c:pt idx="312">
                  <c:v>38806</c:v>
                </c:pt>
                <c:pt idx="313">
                  <c:v>38807</c:v>
                </c:pt>
                <c:pt idx="314">
                  <c:v>38810</c:v>
                </c:pt>
                <c:pt idx="315">
                  <c:v>38811</c:v>
                </c:pt>
                <c:pt idx="316">
                  <c:v>38812</c:v>
                </c:pt>
                <c:pt idx="317">
                  <c:v>38813</c:v>
                </c:pt>
                <c:pt idx="318">
                  <c:v>38814</c:v>
                </c:pt>
                <c:pt idx="319">
                  <c:v>38817</c:v>
                </c:pt>
                <c:pt idx="320">
                  <c:v>38818</c:v>
                </c:pt>
                <c:pt idx="321">
                  <c:v>38819</c:v>
                </c:pt>
                <c:pt idx="322">
                  <c:v>38820</c:v>
                </c:pt>
                <c:pt idx="323">
                  <c:v>38824</c:v>
                </c:pt>
                <c:pt idx="324">
                  <c:v>38825</c:v>
                </c:pt>
                <c:pt idx="325">
                  <c:v>38826</c:v>
                </c:pt>
                <c:pt idx="326">
                  <c:v>38827</c:v>
                </c:pt>
                <c:pt idx="327">
                  <c:v>38828</c:v>
                </c:pt>
                <c:pt idx="328">
                  <c:v>38831</c:v>
                </c:pt>
                <c:pt idx="329">
                  <c:v>38832</c:v>
                </c:pt>
                <c:pt idx="330">
                  <c:v>38833</c:v>
                </c:pt>
                <c:pt idx="331">
                  <c:v>38834</c:v>
                </c:pt>
                <c:pt idx="332">
                  <c:v>38835</c:v>
                </c:pt>
                <c:pt idx="333">
                  <c:v>38838</c:v>
                </c:pt>
                <c:pt idx="334">
                  <c:v>38839</c:v>
                </c:pt>
                <c:pt idx="335">
                  <c:v>38840</c:v>
                </c:pt>
                <c:pt idx="336">
                  <c:v>38841</c:v>
                </c:pt>
                <c:pt idx="337">
                  <c:v>38842</c:v>
                </c:pt>
                <c:pt idx="338">
                  <c:v>38845</c:v>
                </c:pt>
                <c:pt idx="339">
                  <c:v>38846</c:v>
                </c:pt>
                <c:pt idx="340">
                  <c:v>38847</c:v>
                </c:pt>
                <c:pt idx="341">
                  <c:v>38848</c:v>
                </c:pt>
                <c:pt idx="342">
                  <c:v>38849</c:v>
                </c:pt>
                <c:pt idx="343">
                  <c:v>38852</c:v>
                </c:pt>
                <c:pt idx="344">
                  <c:v>38853</c:v>
                </c:pt>
                <c:pt idx="345">
                  <c:v>38854</c:v>
                </c:pt>
                <c:pt idx="346">
                  <c:v>38855</c:v>
                </c:pt>
                <c:pt idx="347">
                  <c:v>38856</c:v>
                </c:pt>
                <c:pt idx="348">
                  <c:v>38859</c:v>
                </c:pt>
                <c:pt idx="349">
                  <c:v>38860</c:v>
                </c:pt>
                <c:pt idx="350">
                  <c:v>38861</c:v>
                </c:pt>
                <c:pt idx="351">
                  <c:v>38862</c:v>
                </c:pt>
                <c:pt idx="352">
                  <c:v>38863</c:v>
                </c:pt>
                <c:pt idx="353">
                  <c:v>38867</c:v>
                </c:pt>
                <c:pt idx="354">
                  <c:v>38868</c:v>
                </c:pt>
                <c:pt idx="355">
                  <c:v>38869</c:v>
                </c:pt>
                <c:pt idx="356">
                  <c:v>38870</c:v>
                </c:pt>
                <c:pt idx="357">
                  <c:v>38873</c:v>
                </c:pt>
                <c:pt idx="358">
                  <c:v>38874</c:v>
                </c:pt>
                <c:pt idx="359">
                  <c:v>38875</c:v>
                </c:pt>
                <c:pt idx="360">
                  <c:v>38876</c:v>
                </c:pt>
                <c:pt idx="361">
                  <c:v>38877</c:v>
                </c:pt>
                <c:pt idx="362">
                  <c:v>38880</c:v>
                </c:pt>
                <c:pt idx="363">
                  <c:v>38881</c:v>
                </c:pt>
                <c:pt idx="364">
                  <c:v>38882</c:v>
                </c:pt>
                <c:pt idx="365">
                  <c:v>38883</c:v>
                </c:pt>
                <c:pt idx="366">
                  <c:v>38884</c:v>
                </c:pt>
                <c:pt idx="367">
                  <c:v>38887</c:v>
                </c:pt>
                <c:pt idx="368">
                  <c:v>38888</c:v>
                </c:pt>
                <c:pt idx="369">
                  <c:v>38889</c:v>
                </c:pt>
                <c:pt idx="370">
                  <c:v>38890</c:v>
                </c:pt>
                <c:pt idx="371">
                  <c:v>38891</c:v>
                </c:pt>
                <c:pt idx="372">
                  <c:v>38894</c:v>
                </c:pt>
                <c:pt idx="373">
                  <c:v>38895</c:v>
                </c:pt>
                <c:pt idx="374">
                  <c:v>38896</c:v>
                </c:pt>
                <c:pt idx="375">
                  <c:v>38897</c:v>
                </c:pt>
                <c:pt idx="376">
                  <c:v>38898</c:v>
                </c:pt>
                <c:pt idx="377">
                  <c:v>38901</c:v>
                </c:pt>
                <c:pt idx="378">
                  <c:v>38903</c:v>
                </c:pt>
                <c:pt idx="379">
                  <c:v>38904</c:v>
                </c:pt>
                <c:pt idx="380">
                  <c:v>38905</c:v>
                </c:pt>
                <c:pt idx="381">
                  <c:v>38908</c:v>
                </c:pt>
                <c:pt idx="382">
                  <c:v>38909</c:v>
                </c:pt>
                <c:pt idx="383">
                  <c:v>38910</c:v>
                </c:pt>
                <c:pt idx="384">
                  <c:v>38911</c:v>
                </c:pt>
                <c:pt idx="385">
                  <c:v>38912</c:v>
                </c:pt>
                <c:pt idx="386">
                  <c:v>38915</c:v>
                </c:pt>
                <c:pt idx="387">
                  <c:v>38916</c:v>
                </c:pt>
                <c:pt idx="388">
                  <c:v>38917</c:v>
                </c:pt>
                <c:pt idx="389">
                  <c:v>38918</c:v>
                </c:pt>
                <c:pt idx="390">
                  <c:v>38919</c:v>
                </c:pt>
                <c:pt idx="391">
                  <c:v>38922</c:v>
                </c:pt>
                <c:pt idx="392">
                  <c:v>38923</c:v>
                </c:pt>
                <c:pt idx="393">
                  <c:v>38924</c:v>
                </c:pt>
                <c:pt idx="394">
                  <c:v>38925</c:v>
                </c:pt>
                <c:pt idx="395">
                  <c:v>38926</c:v>
                </c:pt>
                <c:pt idx="396">
                  <c:v>38929</c:v>
                </c:pt>
                <c:pt idx="397">
                  <c:v>38930</c:v>
                </c:pt>
                <c:pt idx="398">
                  <c:v>38931</c:v>
                </c:pt>
                <c:pt idx="399">
                  <c:v>38932</c:v>
                </c:pt>
                <c:pt idx="400">
                  <c:v>38933</c:v>
                </c:pt>
                <c:pt idx="401">
                  <c:v>38936</c:v>
                </c:pt>
                <c:pt idx="402">
                  <c:v>38937</c:v>
                </c:pt>
                <c:pt idx="403">
                  <c:v>38938</c:v>
                </c:pt>
                <c:pt idx="404">
                  <c:v>38939</c:v>
                </c:pt>
                <c:pt idx="405">
                  <c:v>38940</c:v>
                </c:pt>
                <c:pt idx="406">
                  <c:v>38943</c:v>
                </c:pt>
                <c:pt idx="407">
                  <c:v>38944</c:v>
                </c:pt>
                <c:pt idx="408">
                  <c:v>38945</c:v>
                </c:pt>
                <c:pt idx="409">
                  <c:v>38946</c:v>
                </c:pt>
                <c:pt idx="410">
                  <c:v>38947</c:v>
                </c:pt>
                <c:pt idx="411">
                  <c:v>38950</c:v>
                </c:pt>
                <c:pt idx="412">
                  <c:v>38951</c:v>
                </c:pt>
                <c:pt idx="413">
                  <c:v>38952</c:v>
                </c:pt>
                <c:pt idx="414">
                  <c:v>38953</c:v>
                </c:pt>
                <c:pt idx="415">
                  <c:v>38954</c:v>
                </c:pt>
                <c:pt idx="416">
                  <c:v>38957</c:v>
                </c:pt>
                <c:pt idx="417">
                  <c:v>38958</c:v>
                </c:pt>
                <c:pt idx="418">
                  <c:v>38959</c:v>
                </c:pt>
                <c:pt idx="419">
                  <c:v>38960</c:v>
                </c:pt>
                <c:pt idx="420">
                  <c:v>38961</c:v>
                </c:pt>
                <c:pt idx="421">
                  <c:v>38965</c:v>
                </c:pt>
                <c:pt idx="422">
                  <c:v>38966</c:v>
                </c:pt>
                <c:pt idx="423">
                  <c:v>38967</c:v>
                </c:pt>
                <c:pt idx="424">
                  <c:v>38968</c:v>
                </c:pt>
                <c:pt idx="425">
                  <c:v>38971</c:v>
                </c:pt>
                <c:pt idx="426">
                  <c:v>38972</c:v>
                </c:pt>
                <c:pt idx="427">
                  <c:v>38973</c:v>
                </c:pt>
                <c:pt idx="428">
                  <c:v>38974</c:v>
                </c:pt>
                <c:pt idx="429">
                  <c:v>38975</c:v>
                </c:pt>
                <c:pt idx="430">
                  <c:v>38978</c:v>
                </c:pt>
                <c:pt idx="431">
                  <c:v>38979</c:v>
                </c:pt>
                <c:pt idx="432">
                  <c:v>38980</c:v>
                </c:pt>
                <c:pt idx="433">
                  <c:v>38981</c:v>
                </c:pt>
                <c:pt idx="434">
                  <c:v>38982</c:v>
                </c:pt>
                <c:pt idx="435">
                  <c:v>38985</c:v>
                </c:pt>
                <c:pt idx="436">
                  <c:v>38986</c:v>
                </c:pt>
                <c:pt idx="437">
                  <c:v>38987</c:v>
                </c:pt>
                <c:pt idx="438">
                  <c:v>38988</c:v>
                </c:pt>
                <c:pt idx="439">
                  <c:v>38989</c:v>
                </c:pt>
                <c:pt idx="440">
                  <c:v>38992</c:v>
                </c:pt>
                <c:pt idx="441">
                  <c:v>38993</c:v>
                </c:pt>
                <c:pt idx="442">
                  <c:v>38994</c:v>
                </c:pt>
                <c:pt idx="443">
                  <c:v>38995</c:v>
                </c:pt>
                <c:pt idx="444">
                  <c:v>38996</c:v>
                </c:pt>
                <c:pt idx="445">
                  <c:v>38999</c:v>
                </c:pt>
                <c:pt idx="446">
                  <c:v>39000</c:v>
                </c:pt>
                <c:pt idx="447">
                  <c:v>39001</c:v>
                </c:pt>
                <c:pt idx="448">
                  <c:v>39002</c:v>
                </c:pt>
                <c:pt idx="449">
                  <c:v>39003</c:v>
                </c:pt>
                <c:pt idx="450">
                  <c:v>39006</c:v>
                </c:pt>
                <c:pt idx="451">
                  <c:v>39007</c:v>
                </c:pt>
                <c:pt idx="452">
                  <c:v>39008</c:v>
                </c:pt>
                <c:pt idx="453">
                  <c:v>39009</c:v>
                </c:pt>
                <c:pt idx="454">
                  <c:v>39010</c:v>
                </c:pt>
                <c:pt idx="455">
                  <c:v>39013</c:v>
                </c:pt>
                <c:pt idx="456">
                  <c:v>39014</c:v>
                </c:pt>
                <c:pt idx="457">
                  <c:v>39015</c:v>
                </c:pt>
                <c:pt idx="458">
                  <c:v>39016</c:v>
                </c:pt>
                <c:pt idx="459">
                  <c:v>39017</c:v>
                </c:pt>
                <c:pt idx="460">
                  <c:v>39020</c:v>
                </c:pt>
                <c:pt idx="461">
                  <c:v>39021</c:v>
                </c:pt>
                <c:pt idx="462">
                  <c:v>39022</c:v>
                </c:pt>
                <c:pt idx="463">
                  <c:v>39023</c:v>
                </c:pt>
                <c:pt idx="464">
                  <c:v>39024</c:v>
                </c:pt>
                <c:pt idx="465">
                  <c:v>39027</c:v>
                </c:pt>
                <c:pt idx="466">
                  <c:v>39028</c:v>
                </c:pt>
                <c:pt idx="467">
                  <c:v>39029</c:v>
                </c:pt>
                <c:pt idx="468">
                  <c:v>39030</c:v>
                </c:pt>
                <c:pt idx="469">
                  <c:v>39031</c:v>
                </c:pt>
                <c:pt idx="470">
                  <c:v>39034</c:v>
                </c:pt>
                <c:pt idx="471">
                  <c:v>39035</c:v>
                </c:pt>
                <c:pt idx="472">
                  <c:v>39036</c:v>
                </c:pt>
                <c:pt idx="473">
                  <c:v>39037</c:v>
                </c:pt>
                <c:pt idx="474">
                  <c:v>39038</c:v>
                </c:pt>
                <c:pt idx="475">
                  <c:v>39041</c:v>
                </c:pt>
                <c:pt idx="476">
                  <c:v>39042</c:v>
                </c:pt>
                <c:pt idx="477">
                  <c:v>39043</c:v>
                </c:pt>
                <c:pt idx="478">
                  <c:v>39045</c:v>
                </c:pt>
                <c:pt idx="479">
                  <c:v>39048</c:v>
                </c:pt>
                <c:pt idx="480">
                  <c:v>39049</c:v>
                </c:pt>
                <c:pt idx="481">
                  <c:v>39050</c:v>
                </c:pt>
                <c:pt idx="482">
                  <c:v>39051</c:v>
                </c:pt>
                <c:pt idx="483">
                  <c:v>39052</c:v>
                </c:pt>
                <c:pt idx="484">
                  <c:v>39055</c:v>
                </c:pt>
                <c:pt idx="485">
                  <c:v>39056</c:v>
                </c:pt>
                <c:pt idx="486">
                  <c:v>39057</c:v>
                </c:pt>
                <c:pt idx="487">
                  <c:v>39058</c:v>
                </c:pt>
                <c:pt idx="488">
                  <c:v>39059</c:v>
                </c:pt>
                <c:pt idx="489">
                  <c:v>39062</c:v>
                </c:pt>
                <c:pt idx="490">
                  <c:v>39063</c:v>
                </c:pt>
                <c:pt idx="491">
                  <c:v>39064</c:v>
                </c:pt>
                <c:pt idx="492">
                  <c:v>39065</c:v>
                </c:pt>
                <c:pt idx="493">
                  <c:v>39066</c:v>
                </c:pt>
                <c:pt idx="494">
                  <c:v>39069</c:v>
                </c:pt>
                <c:pt idx="495">
                  <c:v>39070</c:v>
                </c:pt>
                <c:pt idx="496">
                  <c:v>39071</c:v>
                </c:pt>
                <c:pt idx="497">
                  <c:v>39072</c:v>
                </c:pt>
                <c:pt idx="498">
                  <c:v>39073</c:v>
                </c:pt>
                <c:pt idx="499">
                  <c:v>39077</c:v>
                </c:pt>
                <c:pt idx="500">
                  <c:v>39078</c:v>
                </c:pt>
                <c:pt idx="501">
                  <c:v>39079</c:v>
                </c:pt>
                <c:pt idx="502">
                  <c:v>39080</c:v>
                </c:pt>
                <c:pt idx="503">
                  <c:v>39085</c:v>
                </c:pt>
                <c:pt idx="504">
                  <c:v>39086</c:v>
                </c:pt>
                <c:pt idx="505">
                  <c:v>39087</c:v>
                </c:pt>
                <c:pt idx="506">
                  <c:v>39090</c:v>
                </c:pt>
                <c:pt idx="507">
                  <c:v>39091</c:v>
                </c:pt>
                <c:pt idx="508">
                  <c:v>39092</c:v>
                </c:pt>
                <c:pt idx="509">
                  <c:v>39093</c:v>
                </c:pt>
                <c:pt idx="510">
                  <c:v>39094</c:v>
                </c:pt>
                <c:pt idx="511">
                  <c:v>39098</c:v>
                </c:pt>
                <c:pt idx="512">
                  <c:v>39099</c:v>
                </c:pt>
                <c:pt idx="513">
                  <c:v>39100</c:v>
                </c:pt>
                <c:pt idx="514">
                  <c:v>39101</c:v>
                </c:pt>
                <c:pt idx="515">
                  <c:v>39104</c:v>
                </c:pt>
                <c:pt idx="516">
                  <c:v>39105</c:v>
                </c:pt>
                <c:pt idx="517">
                  <c:v>39106</c:v>
                </c:pt>
                <c:pt idx="518">
                  <c:v>39107</c:v>
                </c:pt>
                <c:pt idx="519">
                  <c:v>39108</c:v>
                </c:pt>
                <c:pt idx="520">
                  <c:v>39111</c:v>
                </c:pt>
                <c:pt idx="521">
                  <c:v>39112</c:v>
                </c:pt>
                <c:pt idx="522">
                  <c:v>39113</c:v>
                </c:pt>
                <c:pt idx="523">
                  <c:v>39114</c:v>
                </c:pt>
                <c:pt idx="524">
                  <c:v>39115</c:v>
                </c:pt>
                <c:pt idx="525">
                  <c:v>39118</c:v>
                </c:pt>
                <c:pt idx="526">
                  <c:v>39119</c:v>
                </c:pt>
                <c:pt idx="527">
                  <c:v>39120</c:v>
                </c:pt>
                <c:pt idx="528">
                  <c:v>39121</c:v>
                </c:pt>
                <c:pt idx="529">
                  <c:v>39122</c:v>
                </c:pt>
                <c:pt idx="530">
                  <c:v>39125</c:v>
                </c:pt>
                <c:pt idx="531">
                  <c:v>39126</c:v>
                </c:pt>
                <c:pt idx="532">
                  <c:v>39127</c:v>
                </c:pt>
                <c:pt idx="533">
                  <c:v>39128</c:v>
                </c:pt>
                <c:pt idx="534">
                  <c:v>39129</c:v>
                </c:pt>
                <c:pt idx="535">
                  <c:v>39133</c:v>
                </c:pt>
                <c:pt idx="536">
                  <c:v>39134</c:v>
                </c:pt>
                <c:pt idx="537">
                  <c:v>39135</c:v>
                </c:pt>
                <c:pt idx="538">
                  <c:v>39136</c:v>
                </c:pt>
                <c:pt idx="539">
                  <c:v>39139</c:v>
                </c:pt>
                <c:pt idx="540">
                  <c:v>39140</c:v>
                </c:pt>
                <c:pt idx="541">
                  <c:v>39141</c:v>
                </c:pt>
                <c:pt idx="542">
                  <c:v>39142</c:v>
                </c:pt>
                <c:pt idx="543">
                  <c:v>39143</c:v>
                </c:pt>
                <c:pt idx="544">
                  <c:v>39146</c:v>
                </c:pt>
                <c:pt idx="545">
                  <c:v>39147</c:v>
                </c:pt>
                <c:pt idx="546">
                  <c:v>39148</c:v>
                </c:pt>
                <c:pt idx="547">
                  <c:v>39149</c:v>
                </c:pt>
                <c:pt idx="548">
                  <c:v>39150</c:v>
                </c:pt>
                <c:pt idx="549">
                  <c:v>39153</c:v>
                </c:pt>
                <c:pt idx="550">
                  <c:v>39154</c:v>
                </c:pt>
                <c:pt idx="551">
                  <c:v>39155</c:v>
                </c:pt>
                <c:pt idx="552">
                  <c:v>39156</c:v>
                </c:pt>
                <c:pt idx="553">
                  <c:v>39157</c:v>
                </c:pt>
                <c:pt idx="554">
                  <c:v>39160</c:v>
                </c:pt>
                <c:pt idx="555">
                  <c:v>39161</c:v>
                </c:pt>
                <c:pt idx="556">
                  <c:v>39162</c:v>
                </c:pt>
                <c:pt idx="557">
                  <c:v>39163</c:v>
                </c:pt>
                <c:pt idx="558">
                  <c:v>39164</c:v>
                </c:pt>
                <c:pt idx="559">
                  <c:v>39167</c:v>
                </c:pt>
                <c:pt idx="560">
                  <c:v>39168</c:v>
                </c:pt>
                <c:pt idx="561">
                  <c:v>39169</c:v>
                </c:pt>
                <c:pt idx="562">
                  <c:v>39170</c:v>
                </c:pt>
                <c:pt idx="563">
                  <c:v>39171</c:v>
                </c:pt>
                <c:pt idx="564">
                  <c:v>39174</c:v>
                </c:pt>
                <c:pt idx="565">
                  <c:v>39175</c:v>
                </c:pt>
                <c:pt idx="566">
                  <c:v>39176</c:v>
                </c:pt>
                <c:pt idx="567">
                  <c:v>39177</c:v>
                </c:pt>
                <c:pt idx="568">
                  <c:v>39181</c:v>
                </c:pt>
                <c:pt idx="569">
                  <c:v>39182</c:v>
                </c:pt>
                <c:pt idx="570">
                  <c:v>39183</c:v>
                </c:pt>
                <c:pt idx="571">
                  <c:v>39184</c:v>
                </c:pt>
                <c:pt idx="572">
                  <c:v>39185</c:v>
                </c:pt>
                <c:pt idx="573">
                  <c:v>39188</c:v>
                </c:pt>
                <c:pt idx="574">
                  <c:v>39189</c:v>
                </c:pt>
                <c:pt idx="575">
                  <c:v>39190</c:v>
                </c:pt>
                <c:pt idx="576">
                  <c:v>39191</c:v>
                </c:pt>
                <c:pt idx="577">
                  <c:v>39192</c:v>
                </c:pt>
                <c:pt idx="578">
                  <c:v>39195</c:v>
                </c:pt>
                <c:pt idx="579">
                  <c:v>39196</c:v>
                </c:pt>
                <c:pt idx="580">
                  <c:v>39197</c:v>
                </c:pt>
                <c:pt idx="581">
                  <c:v>39198</c:v>
                </c:pt>
                <c:pt idx="582">
                  <c:v>39199</c:v>
                </c:pt>
                <c:pt idx="583">
                  <c:v>39202</c:v>
                </c:pt>
                <c:pt idx="584">
                  <c:v>39203</c:v>
                </c:pt>
                <c:pt idx="585">
                  <c:v>39204</c:v>
                </c:pt>
                <c:pt idx="586">
                  <c:v>39205</c:v>
                </c:pt>
                <c:pt idx="587">
                  <c:v>39206</c:v>
                </c:pt>
                <c:pt idx="588">
                  <c:v>39209</c:v>
                </c:pt>
                <c:pt idx="589">
                  <c:v>39210</c:v>
                </c:pt>
                <c:pt idx="590">
                  <c:v>39211</c:v>
                </c:pt>
                <c:pt idx="591">
                  <c:v>39212</c:v>
                </c:pt>
                <c:pt idx="592">
                  <c:v>39213</c:v>
                </c:pt>
                <c:pt idx="593">
                  <c:v>39216</c:v>
                </c:pt>
                <c:pt idx="594">
                  <c:v>39217</c:v>
                </c:pt>
                <c:pt idx="595">
                  <c:v>39218</c:v>
                </c:pt>
                <c:pt idx="596">
                  <c:v>39219</c:v>
                </c:pt>
                <c:pt idx="597">
                  <c:v>39220</c:v>
                </c:pt>
                <c:pt idx="598">
                  <c:v>39223</c:v>
                </c:pt>
                <c:pt idx="599">
                  <c:v>39224</c:v>
                </c:pt>
                <c:pt idx="600">
                  <c:v>39225</c:v>
                </c:pt>
                <c:pt idx="601">
                  <c:v>39226</c:v>
                </c:pt>
                <c:pt idx="602">
                  <c:v>39227</c:v>
                </c:pt>
                <c:pt idx="603">
                  <c:v>39231</c:v>
                </c:pt>
                <c:pt idx="604">
                  <c:v>39232</c:v>
                </c:pt>
                <c:pt idx="605">
                  <c:v>39233</c:v>
                </c:pt>
                <c:pt idx="606">
                  <c:v>39234</c:v>
                </c:pt>
                <c:pt idx="607">
                  <c:v>39237</c:v>
                </c:pt>
                <c:pt idx="608">
                  <c:v>39238</c:v>
                </c:pt>
                <c:pt idx="609">
                  <c:v>39239</c:v>
                </c:pt>
                <c:pt idx="610">
                  <c:v>39240</c:v>
                </c:pt>
                <c:pt idx="611">
                  <c:v>39241</c:v>
                </c:pt>
                <c:pt idx="612">
                  <c:v>39244</c:v>
                </c:pt>
                <c:pt idx="613">
                  <c:v>39245</c:v>
                </c:pt>
                <c:pt idx="614">
                  <c:v>39246</c:v>
                </c:pt>
                <c:pt idx="615">
                  <c:v>39247</c:v>
                </c:pt>
                <c:pt idx="616">
                  <c:v>39248</c:v>
                </c:pt>
                <c:pt idx="617">
                  <c:v>39251</c:v>
                </c:pt>
                <c:pt idx="618">
                  <c:v>39252</c:v>
                </c:pt>
                <c:pt idx="619">
                  <c:v>39253</c:v>
                </c:pt>
                <c:pt idx="620">
                  <c:v>39254</c:v>
                </c:pt>
                <c:pt idx="621">
                  <c:v>39255</c:v>
                </c:pt>
                <c:pt idx="622">
                  <c:v>39258</c:v>
                </c:pt>
                <c:pt idx="623">
                  <c:v>39259</c:v>
                </c:pt>
                <c:pt idx="624">
                  <c:v>39260</c:v>
                </c:pt>
                <c:pt idx="625">
                  <c:v>39261</c:v>
                </c:pt>
                <c:pt idx="626">
                  <c:v>39262</c:v>
                </c:pt>
                <c:pt idx="627">
                  <c:v>39265</c:v>
                </c:pt>
                <c:pt idx="628">
                  <c:v>39266</c:v>
                </c:pt>
                <c:pt idx="629">
                  <c:v>39268</c:v>
                </c:pt>
                <c:pt idx="630">
                  <c:v>39269</c:v>
                </c:pt>
                <c:pt idx="631">
                  <c:v>39272</c:v>
                </c:pt>
                <c:pt idx="632">
                  <c:v>39273</c:v>
                </c:pt>
                <c:pt idx="633">
                  <c:v>39274</c:v>
                </c:pt>
                <c:pt idx="634">
                  <c:v>39275</c:v>
                </c:pt>
                <c:pt idx="635">
                  <c:v>39276</c:v>
                </c:pt>
                <c:pt idx="636">
                  <c:v>39279</c:v>
                </c:pt>
                <c:pt idx="637">
                  <c:v>39280</c:v>
                </c:pt>
                <c:pt idx="638">
                  <c:v>39281</c:v>
                </c:pt>
                <c:pt idx="639">
                  <c:v>39282</c:v>
                </c:pt>
                <c:pt idx="640">
                  <c:v>39283</c:v>
                </c:pt>
                <c:pt idx="641">
                  <c:v>39286</c:v>
                </c:pt>
                <c:pt idx="642">
                  <c:v>39287</c:v>
                </c:pt>
                <c:pt idx="643">
                  <c:v>39288</c:v>
                </c:pt>
                <c:pt idx="644">
                  <c:v>39289</c:v>
                </c:pt>
                <c:pt idx="645">
                  <c:v>39290</c:v>
                </c:pt>
                <c:pt idx="646">
                  <c:v>39293</c:v>
                </c:pt>
                <c:pt idx="647">
                  <c:v>39294</c:v>
                </c:pt>
                <c:pt idx="648">
                  <c:v>39295</c:v>
                </c:pt>
                <c:pt idx="649">
                  <c:v>39296</c:v>
                </c:pt>
                <c:pt idx="650">
                  <c:v>39297</c:v>
                </c:pt>
                <c:pt idx="651">
                  <c:v>39300</c:v>
                </c:pt>
                <c:pt idx="652">
                  <c:v>39301</c:v>
                </c:pt>
                <c:pt idx="653">
                  <c:v>39302</c:v>
                </c:pt>
                <c:pt idx="654">
                  <c:v>39303</c:v>
                </c:pt>
                <c:pt idx="655">
                  <c:v>39304</c:v>
                </c:pt>
                <c:pt idx="656">
                  <c:v>39307</c:v>
                </c:pt>
                <c:pt idx="657">
                  <c:v>39308</c:v>
                </c:pt>
                <c:pt idx="658">
                  <c:v>39309</c:v>
                </c:pt>
                <c:pt idx="659">
                  <c:v>39310</c:v>
                </c:pt>
                <c:pt idx="660">
                  <c:v>39311</c:v>
                </c:pt>
                <c:pt idx="661">
                  <c:v>39314</c:v>
                </c:pt>
                <c:pt idx="662">
                  <c:v>39315</c:v>
                </c:pt>
                <c:pt idx="663">
                  <c:v>39316</c:v>
                </c:pt>
                <c:pt idx="664">
                  <c:v>39317</c:v>
                </c:pt>
                <c:pt idx="665">
                  <c:v>39318</c:v>
                </c:pt>
                <c:pt idx="666">
                  <c:v>39321</c:v>
                </c:pt>
                <c:pt idx="667">
                  <c:v>39322</c:v>
                </c:pt>
                <c:pt idx="668">
                  <c:v>39323</c:v>
                </c:pt>
                <c:pt idx="669">
                  <c:v>39324</c:v>
                </c:pt>
                <c:pt idx="670">
                  <c:v>39325</c:v>
                </c:pt>
                <c:pt idx="671">
                  <c:v>39329</c:v>
                </c:pt>
                <c:pt idx="672">
                  <c:v>39330</c:v>
                </c:pt>
                <c:pt idx="673">
                  <c:v>39331</c:v>
                </c:pt>
                <c:pt idx="674">
                  <c:v>39332</c:v>
                </c:pt>
                <c:pt idx="675">
                  <c:v>39335</c:v>
                </c:pt>
                <c:pt idx="676">
                  <c:v>39336</c:v>
                </c:pt>
                <c:pt idx="677">
                  <c:v>39337</c:v>
                </c:pt>
                <c:pt idx="678">
                  <c:v>39338</c:v>
                </c:pt>
                <c:pt idx="679">
                  <c:v>39339</c:v>
                </c:pt>
                <c:pt idx="680">
                  <c:v>39342</c:v>
                </c:pt>
                <c:pt idx="681">
                  <c:v>39343</c:v>
                </c:pt>
                <c:pt idx="682">
                  <c:v>39344</c:v>
                </c:pt>
                <c:pt idx="683">
                  <c:v>39345</c:v>
                </c:pt>
                <c:pt idx="684">
                  <c:v>39346</c:v>
                </c:pt>
                <c:pt idx="685">
                  <c:v>39349</c:v>
                </c:pt>
                <c:pt idx="686">
                  <c:v>39350</c:v>
                </c:pt>
                <c:pt idx="687">
                  <c:v>39351</c:v>
                </c:pt>
                <c:pt idx="688">
                  <c:v>39352</c:v>
                </c:pt>
                <c:pt idx="689">
                  <c:v>39353</c:v>
                </c:pt>
                <c:pt idx="690">
                  <c:v>39356</c:v>
                </c:pt>
                <c:pt idx="691">
                  <c:v>39357</c:v>
                </c:pt>
                <c:pt idx="692">
                  <c:v>39358</c:v>
                </c:pt>
                <c:pt idx="693">
                  <c:v>39359</c:v>
                </c:pt>
                <c:pt idx="694">
                  <c:v>39360</c:v>
                </c:pt>
                <c:pt idx="695">
                  <c:v>39363</c:v>
                </c:pt>
                <c:pt idx="696">
                  <c:v>39364</c:v>
                </c:pt>
                <c:pt idx="697">
                  <c:v>39365</c:v>
                </c:pt>
                <c:pt idx="698">
                  <c:v>39366</c:v>
                </c:pt>
                <c:pt idx="699">
                  <c:v>39367</c:v>
                </c:pt>
                <c:pt idx="700">
                  <c:v>39370</c:v>
                </c:pt>
                <c:pt idx="701">
                  <c:v>39371</c:v>
                </c:pt>
                <c:pt idx="702">
                  <c:v>39372</c:v>
                </c:pt>
                <c:pt idx="703">
                  <c:v>39373</c:v>
                </c:pt>
                <c:pt idx="704">
                  <c:v>39374</c:v>
                </c:pt>
                <c:pt idx="705">
                  <c:v>39377</c:v>
                </c:pt>
                <c:pt idx="706">
                  <c:v>39378</c:v>
                </c:pt>
                <c:pt idx="707">
                  <c:v>39379</c:v>
                </c:pt>
                <c:pt idx="708">
                  <c:v>39380</c:v>
                </c:pt>
                <c:pt idx="709">
                  <c:v>39381</c:v>
                </c:pt>
                <c:pt idx="710">
                  <c:v>39384</c:v>
                </c:pt>
                <c:pt idx="711">
                  <c:v>39385</c:v>
                </c:pt>
                <c:pt idx="712">
                  <c:v>39386</c:v>
                </c:pt>
                <c:pt idx="713">
                  <c:v>39387</c:v>
                </c:pt>
                <c:pt idx="714">
                  <c:v>39388</c:v>
                </c:pt>
                <c:pt idx="715">
                  <c:v>39391</c:v>
                </c:pt>
                <c:pt idx="716">
                  <c:v>39392</c:v>
                </c:pt>
                <c:pt idx="717">
                  <c:v>39393</c:v>
                </c:pt>
                <c:pt idx="718">
                  <c:v>39394</c:v>
                </c:pt>
                <c:pt idx="719">
                  <c:v>39395</c:v>
                </c:pt>
                <c:pt idx="720">
                  <c:v>39398</c:v>
                </c:pt>
                <c:pt idx="721">
                  <c:v>39399</c:v>
                </c:pt>
                <c:pt idx="722">
                  <c:v>39400</c:v>
                </c:pt>
                <c:pt idx="723">
                  <c:v>39401</c:v>
                </c:pt>
                <c:pt idx="724">
                  <c:v>39402</c:v>
                </c:pt>
                <c:pt idx="725">
                  <c:v>39405</c:v>
                </c:pt>
                <c:pt idx="726">
                  <c:v>39406</c:v>
                </c:pt>
                <c:pt idx="727">
                  <c:v>39407</c:v>
                </c:pt>
                <c:pt idx="728">
                  <c:v>39409</c:v>
                </c:pt>
                <c:pt idx="729">
                  <c:v>39412</c:v>
                </c:pt>
                <c:pt idx="730">
                  <c:v>39413</c:v>
                </c:pt>
                <c:pt idx="731">
                  <c:v>39414</c:v>
                </c:pt>
                <c:pt idx="732">
                  <c:v>39415</c:v>
                </c:pt>
                <c:pt idx="733">
                  <c:v>39416</c:v>
                </c:pt>
                <c:pt idx="734">
                  <c:v>39419</c:v>
                </c:pt>
                <c:pt idx="735">
                  <c:v>39420</c:v>
                </c:pt>
                <c:pt idx="736">
                  <c:v>39421</c:v>
                </c:pt>
                <c:pt idx="737">
                  <c:v>39422</c:v>
                </c:pt>
                <c:pt idx="738">
                  <c:v>39423</c:v>
                </c:pt>
                <c:pt idx="739">
                  <c:v>39426</c:v>
                </c:pt>
                <c:pt idx="740">
                  <c:v>39427</c:v>
                </c:pt>
                <c:pt idx="741">
                  <c:v>39428</c:v>
                </c:pt>
                <c:pt idx="742">
                  <c:v>39429</c:v>
                </c:pt>
                <c:pt idx="743">
                  <c:v>39430</c:v>
                </c:pt>
                <c:pt idx="744">
                  <c:v>39433</c:v>
                </c:pt>
                <c:pt idx="745">
                  <c:v>39434</c:v>
                </c:pt>
                <c:pt idx="746">
                  <c:v>39435</c:v>
                </c:pt>
                <c:pt idx="747">
                  <c:v>39436</c:v>
                </c:pt>
                <c:pt idx="748">
                  <c:v>39437</c:v>
                </c:pt>
                <c:pt idx="749">
                  <c:v>39440</c:v>
                </c:pt>
                <c:pt idx="750">
                  <c:v>39442</c:v>
                </c:pt>
                <c:pt idx="751">
                  <c:v>39443</c:v>
                </c:pt>
                <c:pt idx="752">
                  <c:v>39444</c:v>
                </c:pt>
                <c:pt idx="753">
                  <c:v>39447</c:v>
                </c:pt>
                <c:pt idx="754">
                  <c:v>39449</c:v>
                </c:pt>
                <c:pt idx="755">
                  <c:v>39450</c:v>
                </c:pt>
                <c:pt idx="756">
                  <c:v>39451</c:v>
                </c:pt>
                <c:pt idx="757">
                  <c:v>39454</c:v>
                </c:pt>
                <c:pt idx="758">
                  <c:v>39455</c:v>
                </c:pt>
                <c:pt idx="759">
                  <c:v>39456</c:v>
                </c:pt>
                <c:pt idx="760">
                  <c:v>39457</c:v>
                </c:pt>
                <c:pt idx="761">
                  <c:v>39458</c:v>
                </c:pt>
                <c:pt idx="762">
                  <c:v>39461</c:v>
                </c:pt>
                <c:pt idx="763">
                  <c:v>39462</c:v>
                </c:pt>
                <c:pt idx="764">
                  <c:v>39463</c:v>
                </c:pt>
                <c:pt idx="765">
                  <c:v>39464</c:v>
                </c:pt>
                <c:pt idx="766">
                  <c:v>39465</c:v>
                </c:pt>
                <c:pt idx="767">
                  <c:v>39469</c:v>
                </c:pt>
                <c:pt idx="768">
                  <c:v>39470</c:v>
                </c:pt>
                <c:pt idx="769">
                  <c:v>39471</c:v>
                </c:pt>
                <c:pt idx="770">
                  <c:v>39472</c:v>
                </c:pt>
                <c:pt idx="771">
                  <c:v>39475</c:v>
                </c:pt>
                <c:pt idx="772">
                  <c:v>39476</c:v>
                </c:pt>
                <c:pt idx="773">
                  <c:v>39477</c:v>
                </c:pt>
                <c:pt idx="774">
                  <c:v>39478</c:v>
                </c:pt>
                <c:pt idx="775">
                  <c:v>39479</c:v>
                </c:pt>
                <c:pt idx="776">
                  <c:v>39482</c:v>
                </c:pt>
                <c:pt idx="777">
                  <c:v>39483</c:v>
                </c:pt>
                <c:pt idx="778">
                  <c:v>39484</c:v>
                </c:pt>
                <c:pt idx="779">
                  <c:v>39485</c:v>
                </c:pt>
                <c:pt idx="780">
                  <c:v>39486</c:v>
                </c:pt>
                <c:pt idx="781">
                  <c:v>39489</c:v>
                </c:pt>
                <c:pt idx="782">
                  <c:v>39490</c:v>
                </c:pt>
                <c:pt idx="783">
                  <c:v>39491</c:v>
                </c:pt>
                <c:pt idx="784">
                  <c:v>39492</c:v>
                </c:pt>
                <c:pt idx="785">
                  <c:v>39493</c:v>
                </c:pt>
                <c:pt idx="786">
                  <c:v>39497</c:v>
                </c:pt>
                <c:pt idx="787">
                  <c:v>39498</c:v>
                </c:pt>
                <c:pt idx="788">
                  <c:v>39499</c:v>
                </c:pt>
                <c:pt idx="789">
                  <c:v>39500</c:v>
                </c:pt>
                <c:pt idx="790">
                  <c:v>39503</c:v>
                </c:pt>
                <c:pt idx="791">
                  <c:v>39504</c:v>
                </c:pt>
                <c:pt idx="792">
                  <c:v>39505</c:v>
                </c:pt>
                <c:pt idx="793">
                  <c:v>39506</c:v>
                </c:pt>
                <c:pt idx="794">
                  <c:v>39507</c:v>
                </c:pt>
                <c:pt idx="795">
                  <c:v>39510</c:v>
                </c:pt>
                <c:pt idx="796">
                  <c:v>39511</c:v>
                </c:pt>
                <c:pt idx="797">
                  <c:v>39512</c:v>
                </c:pt>
                <c:pt idx="798">
                  <c:v>39513</c:v>
                </c:pt>
                <c:pt idx="799">
                  <c:v>39514</c:v>
                </c:pt>
                <c:pt idx="800">
                  <c:v>39517</c:v>
                </c:pt>
                <c:pt idx="801">
                  <c:v>39518</c:v>
                </c:pt>
                <c:pt idx="802">
                  <c:v>39519</c:v>
                </c:pt>
                <c:pt idx="803">
                  <c:v>39520</c:v>
                </c:pt>
                <c:pt idx="804">
                  <c:v>39521</c:v>
                </c:pt>
                <c:pt idx="805">
                  <c:v>39524</c:v>
                </c:pt>
                <c:pt idx="806">
                  <c:v>39525</c:v>
                </c:pt>
                <c:pt idx="807">
                  <c:v>39526</c:v>
                </c:pt>
                <c:pt idx="808">
                  <c:v>39527</c:v>
                </c:pt>
                <c:pt idx="809">
                  <c:v>39531</c:v>
                </c:pt>
                <c:pt idx="810">
                  <c:v>39532</c:v>
                </c:pt>
                <c:pt idx="811">
                  <c:v>39533</c:v>
                </c:pt>
                <c:pt idx="812">
                  <c:v>39534</c:v>
                </c:pt>
                <c:pt idx="813">
                  <c:v>39535</c:v>
                </c:pt>
                <c:pt idx="814">
                  <c:v>39538</c:v>
                </c:pt>
                <c:pt idx="815">
                  <c:v>39539</c:v>
                </c:pt>
                <c:pt idx="816">
                  <c:v>39540</c:v>
                </c:pt>
                <c:pt idx="817">
                  <c:v>39541</c:v>
                </c:pt>
                <c:pt idx="818">
                  <c:v>39542</c:v>
                </c:pt>
                <c:pt idx="819">
                  <c:v>39545</c:v>
                </c:pt>
                <c:pt idx="820">
                  <c:v>39546</c:v>
                </c:pt>
                <c:pt idx="821">
                  <c:v>39547</c:v>
                </c:pt>
                <c:pt idx="822">
                  <c:v>39548</c:v>
                </c:pt>
                <c:pt idx="823">
                  <c:v>39549</c:v>
                </c:pt>
                <c:pt idx="824">
                  <c:v>39552</c:v>
                </c:pt>
                <c:pt idx="825">
                  <c:v>39553</c:v>
                </c:pt>
                <c:pt idx="826">
                  <c:v>39554</c:v>
                </c:pt>
                <c:pt idx="827">
                  <c:v>39555</c:v>
                </c:pt>
                <c:pt idx="828">
                  <c:v>39556</c:v>
                </c:pt>
                <c:pt idx="829">
                  <c:v>39559</c:v>
                </c:pt>
                <c:pt idx="830">
                  <c:v>39560</c:v>
                </c:pt>
                <c:pt idx="831">
                  <c:v>39561</c:v>
                </c:pt>
                <c:pt idx="832">
                  <c:v>39562</c:v>
                </c:pt>
                <c:pt idx="833">
                  <c:v>39563</c:v>
                </c:pt>
                <c:pt idx="834">
                  <c:v>39566</c:v>
                </c:pt>
                <c:pt idx="835">
                  <c:v>39567</c:v>
                </c:pt>
                <c:pt idx="836">
                  <c:v>39568</c:v>
                </c:pt>
                <c:pt idx="837">
                  <c:v>39569</c:v>
                </c:pt>
                <c:pt idx="838">
                  <c:v>39570</c:v>
                </c:pt>
                <c:pt idx="839">
                  <c:v>39573</c:v>
                </c:pt>
                <c:pt idx="840">
                  <c:v>39574</c:v>
                </c:pt>
                <c:pt idx="841">
                  <c:v>39575</c:v>
                </c:pt>
                <c:pt idx="842">
                  <c:v>39576</c:v>
                </c:pt>
                <c:pt idx="843">
                  <c:v>39577</c:v>
                </c:pt>
                <c:pt idx="844">
                  <c:v>39580</c:v>
                </c:pt>
                <c:pt idx="845">
                  <c:v>39581</c:v>
                </c:pt>
                <c:pt idx="846">
                  <c:v>39582</c:v>
                </c:pt>
                <c:pt idx="847">
                  <c:v>39583</c:v>
                </c:pt>
                <c:pt idx="848">
                  <c:v>39584</c:v>
                </c:pt>
                <c:pt idx="849">
                  <c:v>39587</c:v>
                </c:pt>
                <c:pt idx="850">
                  <c:v>39588</c:v>
                </c:pt>
                <c:pt idx="851">
                  <c:v>39589</c:v>
                </c:pt>
                <c:pt idx="852">
                  <c:v>39590</c:v>
                </c:pt>
                <c:pt idx="853">
                  <c:v>39591</c:v>
                </c:pt>
                <c:pt idx="854">
                  <c:v>39595</c:v>
                </c:pt>
                <c:pt idx="855">
                  <c:v>39596</c:v>
                </c:pt>
                <c:pt idx="856">
                  <c:v>39597</c:v>
                </c:pt>
                <c:pt idx="857">
                  <c:v>39598</c:v>
                </c:pt>
                <c:pt idx="858">
                  <c:v>39601</c:v>
                </c:pt>
                <c:pt idx="859">
                  <c:v>39602</c:v>
                </c:pt>
                <c:pt idx="860">
                  <c:v>39603</c:v>
                </c:pt>
                <c:pt idx="861">
                  <c:v>39604</c:v>
                </c:pt>
                <c:pt idx="862">
                  <c:v>39605</c:v>
                </c:pt>
                <c:pt idx="863">
                  <c:v>39608</c:v>
                </c:pt>
                <c:pt idx="864">
                  <c:v>39609</c:v>
                </c:pt>
                <c:pt idx="865">
                  <c:v>39610</c:v>
                </c:pt>
                <c:pt idx="866">
                  <c:v>39611</c:v>
                </c:pt>
                <c:pt idx="867">
                  <c:v>39612</c:v>
                </c:pt>
                <c:pt idx="868">
                  <c:v>39615</c:v>
                </c:pt>
                <c:pt idx="869">
                  <c:v>39616</c:v>
                </c:pt>
                <c:pt idx="870">
                  <c:v>39617</c:v>
                </c:pt>
                <c:pt idx="871">
                  <c:v>39618</c:v>
                </c:pt>
                <c:pt idx="872">
                  <c:v>39619</c:v>
                </c:pt>
                <c:pt idx="873">
                  <c:v>39622</c:v>
                </c:pt>
                <c:pt idx="874">
                  <c:v>39623</c:v>
                </c:pt>
                <c:pt idx="875">
                  <c:v>39624</c:v>
                </c:pt>
                <c:pt idx="876">
                  <c:v>39625</c:v>
                </c:pt>
                <c:pt idx="877">
                  <c:v>39626</c:v>
                </c:pt>
                <c:pt idx="878">
                  <c:v>39629</c:v>
                </c:pt>
                <c:pt idx="879">
                  <c:v>39630</c:v>
                </c:pt>
                <c:pt idx="880">
                  <c:v>39631</c:v>
                </c:pt>
                <c:pt idx="881">
                  <c:v>39632</c:v>
                </c:pt>
                <c:pt idx="882">
                  <c:v>39636</c:v>
                </c:pt>
                <c:pt idx="883">
                  <c:v>39637</c:v>
                </c:pt>
                <c:pt idx="884">
                  <c:v>39638</c:v>
                </c:pt>
                <c:pt idx="885">
                  <c:v>39639</c:v>
                </c:pt>
                <c:pt idx="886">
                  <c:v>39640</c:v>
                </c:pt>
                <c:pt idx="887">
                  <c:v>39643</c:v>
                </c:pt>
                <c:pt idx="888">
                  <c:v>39644</c:v>
                </c:pt>
                <c:pt idx="889">
                  <c:v>39645</c:v>
                </c:pt>
                <c:pt idx="890">
                  <c:v>39646</c:v>
                </c:pt>
                <c:pt idx="891">
                  <c:v>39647</c:v>
                </c:pt>
                <c:pt idx="892">
                  <c:v>39650</c:v>
                </c:pt>
                <c:pt idx="893">
                  <c:v>39651</c:v>
                </c:pt>
                <c:pt idx="894">
                  <c:v>39652</c:v>
                </c:pt>
                <c:pt idx="895">
                  <c:v>39653</c:v>
                </c:pt>
                <c:pt idx="896">
                  <c:v>39654</c:v>
                </c:pt>
                <c:pt idx="897">
                  <c:v>39657</c:v>
                </c:pt>
                <c:pt idx="898">
                  <c:v>39658</c:v>
                </c:pt>
                <c:pt idx="899">
                  <c:v>39659</c:v>
                </c:pt>
                <c:pt idx="900">
                  <c:v>39660</c:v>
                </c:pt>
                <c:pt idx="901">
                  <c:v>39661</c:v>
                </c:pt>
                <c:pt idx="902">
                  <c:v>39664</c:v>
                </c:pt>
                <c:pt idx="903">
                  <c:v>39665</c:v>
                </c:pt>
                <c:pt idx="904">
                  <c:v>39666</c:v>
                </c:pt>
                <c:pt idx="905">
                  <c:v>39667</c:v>
                </c:pt>
                <c:pt idx="906">
                  <c:v>39668</c:v>
                </c:pt>
                <c:pt idx="907">
                  <c:v>39671</c:v>
                </c:pt>
                <c:pt idx="908">
                  <c:v>39672</c:v>
                </c:pt>
                <c:pt idx="909">
                  <c:v>39673</c:v>
                </c:pt>
                <c:pt idx="910">
                  <c:v>39674</c:v>
                </c:pt>
                <c:pt idx="911">
                  <c:v>39675</c:v>
                </c:pt>
                <c:pt idx="912">
                  <c:v>39678</c:v>
                </c:pt>
                <c:pt idx="913">
                  <c:v>39679</c:v>
                </c:pt>
                <c:pt idx="914">
                  <c:v>39680</c:v>
                </c:pt>
                <c:pt idx="915">
                  <c:v>39681</c:v>
                </c:pt>
                <c:pt idx="916">
                  <c:v>39682</c:v>
                </c:pt>
                <c:pt idx="917">
                  <c:v>39685</c:v>
                </c:pt>
                <c:pt idx="918">
                  <c:v>39686</c:v>
                </c:pt>
                <c:pt idx="919">
                  <c:v>39687</c:v>
                </c:pt>
                <c:pt idx="920">
                  <c:v>39688</c:v>
                </c:pt>
                <c:pt idx="921">
                  <c:v>39689</c:v>
                </c:pt>
                <c:pt idx="922">
                  <c:v>39693</c:v>
                </c:pt>
                <c:pt idx="923">
                  <c:v>39694</c:v>
                </c:pt>
                <c:pt idx="924">
                  <c:v>39695</c:v>
                </c:pt>
                <c:pt idx="925">
                  <c:v>39696</c:v>
                </c:pt>
                <c:pt idx="926">
                  <c:v>39699</c:v>
                </c:pt>
                <c:pt idx="927">
                  <c:v>39700</c:v>
                </c:pt>
                <c:pt idx="928">
                  <c:v>39701</c:v>
                </c:pt>
                <c:pt idx="929">
                  <c:v>39702</c:v>
                </c:pt>
                <c:pt idx="930">
                  <c:v>39703</c:v>
                </c:pt>
                <c:pt idx="931">
                  <c:v>39706</c:v>
                </c:pt>
                <c:pt idx="932">
                  <c:v>39707</c:v>
                </c:pt>
                <c:pt idx="933">
                  <c:v>39708</c:v>
                </c:pt>
                <c:pt idx="934">
                  <c:v>39709</c:v>
                </c:pt>
                <c:pt idx="935">
                  <c:v>39710</c:v>
                </c:pt>
                <c:pt idx="936">
                  <c:v>39713</c:v>
                </c:pt>
                <c:pt idx="937">
                  <c:v>39714</c:v>
                </c:pt>
                <c:pt idx="938">
                  <c:v>39715</c:v>
                </c:pt>
                <c:pt idx="939">
                  <c:v>39716</c:v>
                </c:pt>
                <c:pt idx="940">
                  <c:v>39717</c:v>
                </c:pt>
                <c:pt idx="941">
                  <c:v>39720</c:v>
                </c:pt>
                <c:pt idx="942">
                  <c:v>39721</c:v>
                </c:pt>
                <c:pt idx="943">
                  <c:v>39722</c:v>
                </c:pt>
                <c:pt idx="944">
                  <c:v>39723</c:v>
                </c:pt>
                <c:pt idx="945">
                  <c:v>39724</c:v>
                </c:pt>
                <c:pt idx="946">
                  <c:v>39727</c:v>
                </c:pt>
                <c:pt idx="947">
                  <c:v>39728</c:v>
                </c:pt>
                <c:pt idx="948">
                  <c:v>39729</c:v>
                </c:pt>
                <c:pt idx="949">
                  <c:v>39730</c:v>
                </c:pt>
                <c:pt idx="950">
                  <c:v>39731</c:v>
                </c:pt>
                <c:pt idx="951">
                  <c:v>39734</c:v>
                </c:pt>
                <c:pt idx="952">
                  <c:v>39735</c:v>
                </c:pt>
                <c:pt idx="953">
                  <c:v>39736</c:v>
                </c:pt>
                <c:pt idx="954">
                  <c:v>39737</c:v>
                </c:pt>
                <c:pt idx="955">
                  <c:v>39738</c:v>
                </c:pt>
                <c:pt idx="956">
                  <c:v>39741</c:v>
                </c:pt>
                <c:pt idx="957">
                  <c:v>39742</c:v>
                </c:pt>
                <c:pt idx="958">
                  <c:v>39743</c:v>
                </c:pt>
                <c:pt idx="959">
                  <c:v>39744</c:v>
                </c:pt>
                <c:pt idx="960">
                  <c:v>39745</c:v>
                </c:pt>
                <c:pt idx="961">
                  <c:v>39748</c:v>
                </c:pt>
                <c:pt idx="962">
                  <c:v>39749</c:v>
                </c:pt>
                <c:pt idx="963">
                  <c:v>39750</c:v>
                </c:pt>
                <c:pt idx="964">
                  <c:v>39751</c:v>
                </c:pt>
                <c:pt idx="965">
                  <c:v>39752</c:v>
                </c:pt>
                <c:pt idx="966">
                  <c:v>39755</c:v>
                </c:pt>
                <c:pt idx="967">
                  <c:v>39756</c:v>
                </c:pt>
                <c:pt idx="968">
                  <c:v>39757</c:v>
                </c:pt>
                <c:pt idx="969">
                  <c:v>39758</c:v>
                </c:pt>
                <c:pt idx="970">
                  <c:v>39759</c:v>
                </c:pt>
                <c:pt idx="971">
                  <c:v>39762</c:v>
                </c:pt>
                <c:pt idx="972">
                  <c:v>39763</c:v>
                </c:pt>
                <c:pt idx="973">
                  <c:v>39764</c:v>
                </c:pt>
                <c:pt idx="974">
                  <c:v>39765</c:v>
                </c:pt>
                <c:pt idx="975">
                  <c:v>39766</c:v>
                </c:pt>
                <c:pt idx="976">
                  <c:v>39769</c:v>
                </c:pt>
                <c:pt idx="977">
                  <c:v>39770</c:v>
                </c:pt>
                <c:pt idx="978">
                  <c:v>39771</c:v>
                </c:pt>
                <c:pt idx="979">
                  <c:v>39772</c:v>
                </c:pt>
                <c:pt idx="980">
                  <c:v>39773</c:v>
                </c:pt>
                <c:pt idx="981">
                  <c:v>39776</c:v>
                </c:pt>
                <c:pt idx="982">
                  <c:v>39777</c:v>
                </c:pt>
                <c:pt idx="983">
                  <c:v>39778</c:v>
                </c:pt>
                <c:pt idx="984">
                  <c:v>39780</c:v>
                </c:pt>
                <c:pt idx="985">
                  <c:v>39783</c:v>
                </c:pt>
                <c:pt idx="986">
                  <c:v>39784</c:v>
                </c:pt>
                <c:pt idx="987">
                  <c:v>39785</c:v>
                </c:pt>
                <c:pt idx="988">
                  <c:v>39786</c:v>
                </c:pt>
                <c:pt idx="989">
                  <c:v>39787</c:v>
                </c:pt>
                <c:pt idx="990">
                  <c:v>39790</c:v>
                </c:pt>
                <c:pt idx="991">
                  <c:v>39791</c:v>
                </c:pt>
                <c:pt idx="992">
                  <c:v>39792</c:v>
                </c:pt>
                <c:pt idx="993">
                  <c:v>39793</c:v>
                </c:pt>
                <c:pt idx="994">
                  <c:v>39794</c:v>
                </c:pt>
                <c:pt idx="995">
                  <c:v>39797</c:v>
                </c:pt>
                <c:pt idx="996">
                  <c:v>39798</c:v>
                </c:pt>
                <c:pt idx="997">
                  <c:v>39799</c:v>
                </c:pt>
                <c:pt idx="998">
                  <c:v>39800</c:v>
                </c:pt>
                <c:pt idx="999">
                  <c:v>39801</c:v>
                </c:pt>
                <c:pt idx="1000">
                  <c:v>39804</c:v>
                </c:pt>
                <c:pt idx="1001">
                  <c:v>39805</c:v>
                </c:pt>
                <c:pt idx="1002">
                  <c:v>39806</c:v>
                </c:pt>
                <c:pt idx="1003">
                  <c:v>39808</c:v>
                </c:pt>
                <c:pt idx="1004">
                  <c:v>39811</c:v>
                </c:pt>
                <c:pt idx="1005">
                  <c:v>39812</c:v>
                </c:pt>
                <c:pt idx="1006">
                  <c:v>39813</c:v>
                </c:pt>
                <c:pt idx="1007">
                  <c:v>39815</c:v>
                </c:pt>
                <c:pt idx="1008">
                  <c:v>39818</c:v>
                </c:pt>
                <c:pt idx="1009">
                  <c:v>39819</c:v>
                </c:pt>
                <c:pt idx="1010">
                  <c:v>39820</c:v>
                </c:pt>
                <c:pt idx="1011">
                  <c:v>39821</c:v>
                </c:pt>
                <c:pt idx="1012">
                  <c:v>39822</c:v>
                </c:pt>
                <c:pt idx="1013">
                  <c:v>39825</c:v>
                </c:pt>
                <c:pt idx="1014">
                  <c:v>39826</c:v>
                </c:pt>
                <c:pt idx="1015">
                  <c:v>39827</c:v>
                </c:pt>
                <c:pt idx="1016">
                  <c:v>39828</c:v>
                </c:pt>
                <c:pt idx="1017">
                  <c:v>39829</c:v>
                </c:pt>
                <c:pt idx="1018">
                  <c:v>39833</c:v>
                </c:pt>
                <c:pt idx="1019">
                  <c:v>39834</c:v>
                </c:pt>
                <c:pt idx="1020">
                  <c:v>39835</c:v>
                </c:pt>
                <c:pt idx="1021">
                  <c:v>39836</c:v>
                </c:pt>
                <c:pt idx="1022">
                  <c:v>39839</c:v>
                </c:pt>
                <c:pt idx="1023">
                  <c:v>39840</c:v>
                </c:pt>
                <c:pt idx="1024">
                  <c:v>39841</c:v>
                </c:pt>
                <c:pt idx="1025">
                  <c:v>39842</c:v>
                </c:pt>
                <c:pt idx="1026">
                  <c:v>39843</c:v>
                </c:pt>
                <c:pt idx="1027">
                  <c:v>39846</c:v>
                </c:pt>
                <c:pt idx="1028">
                  <c:v>39847</c:v>
                </c:pt>
                <c:pt idx="1029">
                  <c:v>39848</c:v>
                </c:pt>
                <c:pt idx="1030">
                  <c:v>39849</c:v>
                </c:pt>
                <c:pt idx="1031">
                  <c:v>39850</c:v>
                </c:pt>
                <c:pt idx="1032">
                  <c:v>39853</c:v>
                </c:pt>
                <c:pt idx="1033">
                  <c:v>39854</c:v>
                </c:pt>
                <c:pt idx="1034">
                  <c:v>39855</c:v>
                </c:pt>
                <c:pt idx="1035">
                  <c:v>39856</c:v>
                </c:pt>
                <c:pt idx="1036">
                  <c:v>39857</c:v>
                </c:pt>
                <c:pt idx="1037">
                  <c:v>39861</c:v>
                </c:pt>
                <c:pt idx="1038">
                  <c:v>39862</c:v>
                </c:pt>
                <c:pt idx="1039">
                  <c:v>39863</c:v>
                </c:pt>
                <c:pt idx="1040">
                  <c:v>39864</c:v>
                </c:pt>
                <c:pt idx="1041">
                  <c:v>39867</c:v>
                </c:pt>
                <c:pt idx="1042">
                  <c:v>39868</c:v>
                </c:pt>
                <c:pt idx="1043">
                  <c:v>39869</c:v>
                </c:pt>
                <c:pt idx="1044">
                  <c:v>39870</c:v>
                </c:pt>
                <c:pt idx="1045">
                  <c:v>39871</c:v>
                </c:pt>
                <c:pt idx="1046">
                  <c:v>39874</c:v>
                </c:pt>
                <c:pt idx="1047">
                  <c:v>39875</c:v>
                </c:pt>
                <c:pt idx="1048">
                  <c:v>39876</c:v>
                </c:pt>
                <c:pt idx="1049">
                  <c:v>39877</c:v>
                </c:pt>
                <c:pt idx="1050">
                  <c:v>39878</c:v>
                </c:pt>
                <c:pt idx="1051">
                  <c:v>39881</c:v>
                </c:pt>
                <c:pt idx="1052">
                  <c:v>39882</c:v>
                </c:pt>
                <c:pt idx="1053">
                  <c:v>39883</c:v>
                </c:pt>
                <c:pt idx="1054">
                  <c:v>39884</c:v>
                </c:pt>
                <c:pt idx="1055">
                  <c:v>39885</c:v>
                </c:pt>
                <c:pt idx="1056">
                  <c:v>39888</c:v>
                </c:pt>
                <c:pt idx="1057">
                  <c:v>39889</c:v>
                </c:pt>
                <c:pt idx="1058">
                  <c:v>39890</c:v>
                </c:pt>
                <c:pt idx="1059">
                  <c:v>39891</c:v>
                </c:pt>
                <c:pt idx="1060">
                  <c:v>39892</c:v>
                </c:pt>
                <c:pt idx="1061">
                  <c:v>39895</c:v>
                </c:pt>
                <c:pt idx="1062">
                  <c:v>39896</c:v>
                </c:pt>
                <c:pt idx="1063">
                  <c:v>39897</c:v>
                </c:pt>
                <c:pt idx="1064">
                  <c:v>39898</c:v>
                </c:pt>
                <c:pt idx="1065">
                  <c:v>39899</c:v>
                </c:pt>
                <c:pt idx="1066">
                  <c:v>39902</c:v>
                </c:pt>
                <c:pt idx="1067">
                  <c:v>39903</c:v>
                </c:pt>
                <c:pt idx="1068">
                  <c:v>39904</c:v>
                </c:pt>
                <c:pt idx="1069">
                  <c:v>39905</c:v>
                </c:pt>
                <c:pt idx="1070">
                  <c:v>39906</c:v>
                </c:pt>
                <c:pt idx="1071">
                  <c:v>39909</c:v>
                </c:pt>
                <c:pt idx="1072">
                  <c:v>39910</c:v>
                </c:pt>
                <c:pt idx="1073">
                  <c:v>39911</c:v>
                </c:pt>
                <c:pt idx="1074">
                  <c:v>39912</c:v>
                </c:pt>
                <c:pt idx="1075">
                  <c:v>39916</c:v>
                </c:pt>
                <c:pt idx="1076">
                  <c:v>39917</c:v>
                </c:pt>
                <c:pt idx="1077">
                  <c:v>39918</c:v>
                </c:pt>
                <c:pt idx="1078">
                  <c:v>39919</c:v>
                </c:pt>
                <c:pt idx="1079">
                  <c:v>39920</c:v>
                </c:pt>
                <c:pt idx="1080">
                  <c:v>39923</c:v>
                </c:pt>
                <c:pt idx="1081">
                  <c:v>39924</c:v>
                </c:pt>
                <c:pt idx="1082">
                  <c:v>39925</c:v>
                </c:pt>
                <c:pt idx="1083">
                  <c:v>39926</c:v>
                </c:pt>
                <c:pt idx="1084">
                  <c:v>39927</c:v>
                </c:pt>
                <c:pt idx="1085">
                  <c:v>39930</c:v>
                </c:pt>
                <c:pt idx="1086">
                  <c:v>39931</c:v>
                </c:pt>
                <c:pt idx="1087">
                  <c:v>39932</c:v>
                </c:pt>
                <c:pt idx="1088">
                  <c:v>39933</c:v>
                </c:pt>
                <c:pt idx="1089">
                  <c:v>39934</c:v>
                </c:pt>
                <c:pt idx="1090">
                  <c:v>39937</c:v>
                </c:pt>
                <c:pt idx="1091">
                  <c:v>39938</c:v>
                </c:pt>
                <c:pt idx="1092">
                  <c:v>39939</c:v>
                </c:pt>
                <c:pt idx="1093">
                  <c:v>39940</c:v>
                </c:pt>
                <c:pt idx="1094">
                  <c:v>39941</c:v>
                </c:pt>
                <c:pt idx="1095">
                  <c:v>39944</c:v>
                </c:pt>
                <c:pt idx="1096">
                  <c:v>39945</c:v>
                </c:pt>
                <c:pt idx="1097">
                  <c:v>39946</c:v>
                </c:pt>
                <c:pt idx="1098">
                  <c:v>39947</c:v>
                </c:pt>
                <c:pt idx="1099">
                  <c:v>39948</c:v>
                </c:pt>
                <c:pt idx="1100">
                  <c:v>39951</c:v>
                </c:pt>
                <c:pt idx="1101">
                  <c:v>39952</c:v>
                </c:pt>
                <c:pt idx="1102">
                  <c:v>39953</c:v>
                </c:pt>
                <c:pt idx="1103">
                  <c:v>39954</c:v>
                </c:pt>
                <c:pt idx="1104">
                  <c:v>39955</c:v>
                </c:pt>
                <c:pt idx="1105">
                  <c:v>39959</c:v>
                </c:pt>
                <c:pt idx="1106">
                  <c:v>39960</c:v>
                </c:pt>
                <c:pt idx="1107">
                  <c:v>39961</c:v>
                </c:pt>
                <c:pt idx="1108">
                  <c:v>39962</c:v>
                </c:pt>
                <c:pt idx="1109">
                  <c:v>39965</c:v>
                </c:pt>
                <c:pt idx="1110">
                  <c:v>39966</c:v>
                </c:pt>
                <c:pt idx="1111">
                  <c:v>39967</c:v>
                </c:pt>
                <c:pt idx="1112">
                  <c:v>39968</c:v>
                </c:pt>
                <c:pt idx="1113">
                  <c:v>39969</c:v>
                </c:pt>
                <c:pt idx="1114">
                  <c:v>39972</c:v>
                </c:pt>
                <c:pt idx="1115">
                  <c:v>39973</c:v>
                </c:pt>
                <c:pt idx="1116">
                  <c:v>39974</c:v>
                </c:pt>
                <c:pt idx="1117">
                  <c:v>39975</c:v>
                </c:pt>
                <c:pt idx="1118">
                  <c:v>39976</c:v>
                </c:pt>
                <c:pt idx="1119">
                  <c:v>39979</c:v>
                </c:pt>
                <c:pt idx="1120">
                  <c:v>39980</c:v>
                </c:pt>
                <c:pt idx="1121">
                  <c:v>39981</c:v>
                </c:pt>
                <c:pt idx="1122">
                  <c:v>39982</c:v>
                </c:pt>
                <c:pt idx="1123">
                  <c:v>39983</c:v>
                </c:pt>
                <c:pt idx="1124">
                  <c:v>39986</c:v>
                </c:pt>
                <c:pt idx="1125">
                  <c:v>39987</c:v>
                </c:pt>
                <c:pt idx="1126">
                  <c:v>39988</c:v>
                </c:pt>
                <c:pt idx="1127">
                  <c:v>39989</c:v>
                </c:pt>
                <c:pt idx="1128">
                  <c:v>39990</c:v>
                </c:pt>
                <c:pt idx="1129">
                  <c:v>39993</c:v>
                </c:pt>
                <c:pt idx="1130">
                  <c:v>39994</c:v>
                </c:pt>
                <c:pt idx="1131">
                  <c:v>39995</c:v>
                </c:pt>
                <c:pt idx="1132">
                  <c:v>39996</c:v>
                </c:pt>
                <c:pt idx="1133">
                  <c:v>40000</c:v>
                </c:pt>
                <c:pt idx="1134">
                  <c:v>40001</c:v>
                </c:pt>
                <c:pt idx="1135">
                  <c:v>40002</c:v>
                </c:pt>
                <c:pt idx="1136">
                  <c:v>40003</c:v>
                </c:pt>
                <c:pt idx="1137">
                  <c:v>40004</c:v>
                </c:pt>
                <c:pt idx="1138">
                  <c:v>40007</c:v>
                </c:pt>
                <c:pt idx="1139">
                  <c:v>40008</c:v>
                </c:pt>
                <c:pt idx="1140">
                  <c:v>40009</c:v>
                </c:pt>
                <c:pt idx="1141">
                  <c:v>40010</c:v>
                </c:pt>
                <c:pt idx="1142">
                  <c:v>40011</c:v>
                </c:pt>
                <c:pt idx="1143">
                  <c:v>40014</c:v>
                </c:pt>
                <c:pt idx="1144">
                  <c:v>40015</c:v>
                </c:pt>
                <c:pt idx="1145">
                  <c:v>40016</c:v>
                </c:pt>
                <c:pt idx="1146">
                  <c:v>40017</c:v>
                </c:pt>
                <c:pt idx="1147">
                  <c:v>40018</c:v>
                </c:pt>
                <c:pt idx="1148">
                  <c:v>40021</c:v>
                </c:pt>
                <c:pt idx="1149">
                  <c:v>40022</c:v>
                </c:pt>
                <c:pt idx="1150">
                  <c:v>40023</c:v>
                </c:pt>
                <c:pt idx="1151">
                  <c:v>40024</c:v>
                </c:pt>
                <c:pt idx="1152">
                  <c:v>40025</c:v>
                </c:pt>
                <c:pt idx="1153">
                  <c:v>40028</c:v>
                </c:pt>
                <c:pt idx="1154">
                  <c:v>40029</c:v>
                </c:pt>
                <c:pt idx="1155">
                  <c:v>40030</c:v>
                </c:pt>
                <c:pt idx="1156">
                  <c:v>40031</c:v>
                </c:pt>
                <c:pt idx="1157">
                  <c:v>40032</c:v>
                </c:pt>
                <c:pt idx="1158">
                  <c:v>40035</c:v>
                </c:pt>
                <c:pt idx="1159">
                  <c:v>40036</c:v>
                </c:pt>
                <c:pt idx="1160">
                  <c:v>40037</c:v>
                </c:pt>
                <c:pt idx="1161">
                  <c:v>40038</c:v>
                </c:pt>
                <c:pt idx="1162">
                  <c:v>40039</c:v>
                </c:pt>
                <c:pt idx="1163">
                  <c:v>40042</c:v>
                </c:pt>
                <c:pt idx="1164">
                  <c:v>40043</c:v>
                </c:pt>
                <c:pt idx="1165">
                  <c:v>40044</c:v>
                </c:pt>
                <c:pt idx="1166">
                  <c:v>40045</c:v>
                </c:pt>
                <c:pt idx="1167">
                  <c:v>40046</c:v>
                </c:pt>
                <c:pt idx="1168">
                  <c:v>40049</c:v>
                </c:pt>
                <c:pt idx="1169">
                  <c:v>40050</c:v>
                </c:pt>
                <c:pt idx="1170">
                  <c:v>40051</c:v>
                </c:pt>
                <c:pt idx="1171">
                  <c:v>40052</c:v>
                </c:pt>
                <c:pt idx="1172">
                  <c:v>40053</c:v>
                </c:pt>
                <c:pt idx="1173">
                  <c:v>40056</c:v>
                </c:pt>
                <c:pt idx="1174">
                  <c:v>40057</c:v>
                </c:pt>
                <c:pt idx="1175">
                  <c:v>40058</c:v>
                </c:pt>
                <c:pt idx="1176">
                  <c:v>40059</c:v>
                </c:pt>
                <c:pt idx="1177">
                  <c:v>40060</c:v>
                </c:pt>
                <c:pt idx="1178">
                  <c:v>40064</c:v>
                </c:pt>
                <c:pt idx="1179">
                  <c:v>40065</c:v>
                </c:pt>
                <c:pt idx="1180">
                  <c:v>40066</c:v>
                </c:pt>
                <c:pt idx="1181">
                  <c:v>40067</c:v>
                </c:pt>
                <c:pt idx="1182">
                  <c:v>40070</c:v>
                </c:pt>
                <c:pt idx="1183">
                  <c:v>40071</c:v>
                </c:pt>
                <c:pt idx="1184">
                  <c:v>40072</c:v>
                </c:pt>
                <c:pt idx="1185">
                  <c:v>40073</c:v>
                </c:pt>
                <c:pt idx="1186">
                  <c:v>40074</c:v>
                </c:pt>
                <c:pt idx="1187">
                  <c:v>40077</c:v>
                </c:pt>
                <c:pt idx="1188">
                  <c:v>40078</c:v>
                </c:pt>
                <c:pt idx="1189">
                  <c:v>40079</c:v>
                </c:pt>
                <c:pt idx="1190">
                  <c:v>40080</c:v>
                </c:pt>
                <c:pt idx="1191">
                  <c:v>40081</c:v>
                </c:pt>
                <c:pt idx="1192">
                  <c:v>40084</c:v>
                </c:pt>
                <c:pt idx="1193">
                  <c:v>40085</c:v>
                </c:pt>
                <c:pt idx="1194">
                  <c:v>40086</c:v>
                </c:pt>
                <c:pt idx="1195">
                  <c:v>40087</c:v>
                </c:pt>
                <c:pt idx="1196">
                  <c:v>40088</c:v>
                </c:pt>
                <c:pt idx="1197">
                  <c:v>40091</c:v>
                </c:pt>
                <c:pt idx="1198">
                  <c:v>40092</c:v>
                </c:pt>
                <c:pt idx="1199">
                  <c:v>40093</c:v>
                </c:pt>
                <c:pt idx="1200">
                  <c:v>40094</c:v>
                </c:pt>
                <c:pt idx="1201">
                  <c:v>40095</c:v>
                </c:pt>
                <c:pt idx="1202">
                  <c:v>40098</c:v>
                </c:pt>
                <c:pt idx="1203">
                  <c:v>40099</c:v>
                </c:pt>
                <c:pt idx="1204">
                  <c:v>40100</c:v>
                </c:pt>
                <c:pt idx="1205">
                  <c:v>40101</c:v>
                </c:pt>
                <c:pt idx="1206">
                  <c:v>40102</c:v>
                </c:pt>
                <c:pt idx="1207">
                  <c:v>40105</c:v>
                </c:pt>
                <c:pt idx="1208">
                  <c:v>40106</c:v>
                </c:pt>
                <c:pt idx="1209">
                  <c:v>40107</c:v>
                </c:pt>
                <c:pt idx="1210">
                  <c:v>40108</c:v>
                </c:pt>
                <c:pt idx="1211">
                  <c:v>40109</c:v>
                </c:pt>
                <c:pt idx="1212">
                  <c:v>40112</c:v>
                </c:pt>
                <c:pt idx="1213">
                  <c:v>40113</c:v>
                </c:pt>
                <c:pt idx="1214">
                  <c:v>40114</c:v>
                </c:pt>
                <c:pt idx="1215">
                  <c:v>40115</c:v>
                </c:pt>
                <c:pt idx="1216">
                  <c:v>40116</c:v>
                </c:pt>
                <c:pt idx="1217">
                  <c:v>40119</c:v>
                </c:pt>
                <c:pt idx="1218">
                  <c:v>40120</c:v>
                </c:pt>
                <c:pt idx="1219">
                  <c:v>40121</c:v>
                </c:pt>
                <c:pt idx="1220">
                  <c:v>40122</c:v>
                </c:pt>
                <c:pt idx="1221">
                  <c:v>40123</c:v>
                </c:pt>
                <c:pt idx="1222">
                  <c:v>40126</c:v>
                </c:pt>
                <c:pt idx="1223">
                  <c:v>40127</c:v>
                </c:pt>
                <c:pt idx="1224">
                  <c:v>40128</c:v>
                </c:pt>
                <c:pt idx="1225">
                  <c:v>40129</c:v>
                </c:pt>
                <c:pt idx="1226">
                  <c:v>40130</c:v>
                </c:pt>
                <c:pt idx="1227">
                  <c:v>40133</c:v>
                </c:pt>
                <c:pt idx="1228">
                  <c:v>40134</c:v>
                </c:pt>
                <c:pt idx="1229">
                  <c:v>40135</c:v>
                </c:pt>
                <c:pt idx="1230">
                  <c:v>40136</c:v>
                </c:pt>
                <c:pt idx="1231">
                  <c:v>40137</c:v>
                </c:pt>
                <c:pt idx="1232">
                  <c:v>40140</c:v>
                </c:pt>
                <c:pt idx="1233">
                  <c:v>40141</c:v>
                </c:pt>
                <c:pt idx="1234">
                  <c:v>40142</c:v>
                </c:pt>
                <c:pt idx="1235">
                  <c:v>40144</c:v>
                </c:pt>
                <c:pt idx="1236">
                  <c:v>40147</c:v>
                </c:pt>
                <c:pt idx="1237">
                  <c:v>40148</c:v>
                </c:pt>
                <c:pt idx="1238">
                  <c:v>40149</c:v>
                </c:pt>
                <c:pt idx="1239">
                  <c:v>40150</c:v>
                </c:pt>
                <c:pt idx="1240">
                  <c:v>40151</c:v>
                </c:pt>
                <c:pt idx="1241">
                  <c:v>40154</c:v>
                </c:pt>
                <c:pt idx="1242">
                  <c:v>40155</c:v>
                </c:pt>
                <c:pt idx="1243">
                  <c:v>40156</c:v>
                </c:pt>
                <c:pt idx="1244">
                  <c:v>40157</c:v>
                </c:pt>
                <c:pt idx="1245">
                  <c:v>40158</c:v>
                </c:pt>
                <c:pt idx="1246">
                  <c:v>40161</c:v>
                </c:pt>
                <c:pt idx="1247">
                  <c:v>40162</c:v>
                </c:pt>
                <c:pt idx="1248">
                  <c:v>40163</c:v>
                </c:pt>
                <c:pt idx="1249">
                  <c:v>40164</c:v>
                </c:pt>
                <c:pt idx="1250">
                  <c:v>40165</c:v>
                </c:pt>
                <c:pt idx="1251">
                  <c:v>40168</c:v>
                </c:pt>
                <c:pt idx="1252">
                  <c:v>40169</c:v>
                </c:pt>
                <c:pt idx="1253">
                  <c:v>40170</c:v>
                </c:pt>
                <c:pt idx="1254">
                  <c:v>40171</c:v>
                </c:pt>
                <c:pt idx="1255">
                  <c:v>40175</c:v>
                </c:pt>
                <c:pt idx="1256">
                  <c:v>40176</c:v>
                </c:pt>
                <c:pt idx="1257">
                  <c:v>40177</c:v>
                </c:pt>
                <c:pt idx="1258">
                  <c:v>40178</c:v>
                </c:pt>
                <c:pt idx="1259">
                  <c:v>40182</c:v>
                </c:pt>
                <c:pt idx="1260">
                  <c:v>40183</c:v>
                </c:pt>
                <c:pt idx="1261">
                  <c:v>40184</c:v>
                </c:pt>
                <c:pt idx="1262">
                  <c:v>40185</c:v>
                </c:pt>
                <c:pt idx="1263">
                  <c:v>40186</c:v>
                </c:pt>
                <c:pt idx="1264">
                  <c:v>40189</c:v>
                </c:pt>
                <c:pt idx="1265">
                  <c:v>40190</c:v>
                </c:pt>
                <c:pt idx="1266">
                  <c:v>40191</c:v>
                </c:pt>
                <c:pt idx="1267">
                  <c:v>40192</c:v>
                </c:pt>
                <c:pt idx="1268">
                  <c:v>40193</c:v>
                </c:pt>
                <c:pt idx="1269">
                  <c:v>40197</c:v>
                </c:pt>
                <c:pt idx="1270">
                  <c:v>40198</c:v>
                </c:pt>
                <c:pt idx="1271">
                  <c:v>40199</c:v>
                </c:pt>
                <c:pt idx="1272">
                  <c:v>40200</c:v>
                </c:pt>
                <c:pt idx="1273">
                  <c:v>40203</c:v>
                </c:pt>
                <c:pt idx="1274">
                  <c:v>40204</c:v>
                </c:pt>
                <c:pt idx="1275">
                  <c:v>40205</c:v>
                </c:pt>
                <c:pt idx="1276">
                  <c:v>40206</c:v>
                </c:pt>
                <c:pt idx="1277">
                  <c:v>40207</c:v>
                </c:pt>
                <c:pt idx="1278">
                  <c:v>40210</c:v>
                </c:pt>
                <c:pt idx="1279">
                  <c:v>40211</c:v>
                </c:pt>
                <c:pt idx="1280">
                  <c:v>40212</c:v>
                </c:pt>
                <c:pt idx="1281">
                  <c:v>40213</c:v>
                </c:pt>
                <c:pt idx="1282">
                  <c:v>40214</c:v>
                </c:pt>
                <c:pt idx="1283">
                  <c:v>40217</c:v>
                </c:pt>
                <c:pt idx="1284">
                  <c:v>40218</c:v>
                </c:pt>
                <c:pt idx="1285">
                  <c:v>40219</c:v>
                </c:pt>
                <c:pt idx="1286">
                  <c:v>40220</c:v>
                </c:pt>
                <c:pt idx="1287">
                  <c:v>40221</c:v>
                </c:pt>
                <c:pt idx="1288">
                  <c:v>40225</c:v>
                </c:pt>
                <c:pt idx="1289">
                  <c:v>40226</c:v>
                </c:pt>
                <c:pt idx="1290">
                  <c:v>40227</c:v>
                </c:pt>
                <c:pt idx="1291">
                  <c:v>40228</c:v>
                </c:pt>
                <c:pt idx="1292">
                  <c:v>40231</c:v>
                </c:pt>
                <c:pt idx="1293">
                  <c:v>40232</c:v>
                </c:pt>
                <c:pt idx="1294">
                  <c:v>40233</c:v>
                </c:pt>
                <c:pt idx="1295">
                  <c:v>40234</c:v>
                </c:pt>
                <c:pt idx="1296">
                  <c:v>40235</c:v>
                </c:pt>
                <c:pt idx="1297">
                  <c:v>40238</c:v>
                </c:pt>
                <c:pt idx="1298">
                  <c:v>40239</c:v>
                </c:pt>
                <c:pt idx="1299">
                  <c:v>40240</c:v>
                </c:pt>
                <c:pt idx="1300">
                  <c:v>40241</c:v>
                </c:pt>
                <c:pt idx="1301">
                  <c:v>40242</c:v>
                </c:pt>
                <c:pt idx="1302">
                  <c:v>40245</c:v>
                </c:pt>
                <c:pt idx="1303">
                  <c:v>40246</c:v>
                </c:pt>
                <c:pt idx="1304">
                  <c:v>40247</c:v>
                </c:pt>
                <c:pt idx="1305">
                  <c:v>40248</c:v>
                </c:pt>
                <c:pt idx="1306">
                  <c:v>40249</c:v>
                </c:pt>
                <c:pt idx="1307">
                  <c:v>40252</c:v>
                </c:pt>
                <c:pt idx="1308">
                  <c:v>40253</c:v>
                </c:pt>
                <c:pt idx="1309">
                  <c:v>40254</c:v>
                </c:pt>
                <c:pt idx="1310">
                  <c:v>40255</c:v>
                </c:pt>
                <c:pt idx="1311">
                  <c:v>40256</c:v>
                </c:pt>
                <c:pt idx="1312">
                  <c:v>40259</c:v>
                </c:pt>
                <c:pt idx="1313">
                  <c:v>40260</c:v>
                </c:pt>
                <c:pt idx="1314">
                  <c:v>40261</c:v>
                </c:pt>
                <c:pt idx="1315">
                  <c:v>40262</c:v>
                </c:pt>
                <c:pt idx="1316">
                  <c:v>40263</c:v>
                </c:pt>
                <c:pt idx="1317">
                  <c:v>40266</c:v>
                </c:pt>
                <c:pt idx="1318">
                  <c:v>40267</c:v>
                </c:pt>
                <c:pt idx="1319">
                  <c:v>40268</c:v>
                </c:pt>
                <c:pt idx="1320">
                  <c:v>40269</c:v>
                </c:pt>
                <c:pt idx="1321">
                  <c:v>40273</c:v>
                </c:pt>
                <c:pt idx="1322">
                  <c:v>40274</c:v>
                </c:pt>
                <c:pt idx="1323">
                  <c:v>40275</c:v>
                </c:pt>
                <c:pt idx="1324">
                  <c:v>40276</c:v>
                </c:pt>
                <c:pt idx="1325">
                  <c:v>40277</c:v>
                </c:pt>
                <c:pt idx="1326">
                  <c:v>40280</c:v>
                </c:pt>
                <c:pt idx="1327">
                  <c:v>40281</c:v>
                </c:pt>
                <c:pt idx="1328">
                  <c:v>40282</c:v>
                </c:pt>
                <c:pt idx="1329">
                  <c:v>40283</c:v>
                </c:pt>
                <c:pt idx="1330">
                  <c:v>40284</c:v>
                </c:pt>
                <c:pt idx="1331">
                  <c:v>40287</c:v>
                </c:pt>
                <c:pt idx="1332">
                  <c:v>40288</c:v>
                </c:pt>
                <c:pt idx="1333">
                  <c:v>40289</c:v>
                </c:pt>
                <c:pt idx="1334">
                  <c:v>40290</c:v>
                </c:pt>
                <c:pt idx="1335">
                  <c:v>40291</c:v>
                </c:pt>
                <c:pt idx="1336">
                  <c:v>40294</c:v>
                </c:pt>
                <c:pt idx="1337">
                  <c:v>40295</c:v>
                </c:pt>
                <c:pt idx="1338">
                  <c:v>40296</c:v>
                </c:pt>
                <c:pt idx="1339">
                  <c:v>40297</c:v>
                </c:pt>
                <c:pt idx="1340">
                  <c:v>40298</c:v>
                </c:pt>
                <c:pt idx="1341">
                  <c:v>40301</c:v>
                </c:pt>
                <c:pt idx="1342">
                  <c:v>40302</c:v>
                </c:pt>
                <c:pt idx="1343">
                  <c:v>40303</c:v>
                </c:pt>
                <c:pt idx="1344">
                  <c:v>40304</c:v>
                </c:pt>
                <c:pt idx="1345">
                  <c:v>40305</c:v>
                </c:pt>
                <c:pt idx="1346">
                  <c:v>40308</c:v>
                </c:pt>
                <c:pt idx="1347">
                  <c:v>40309</c:v>
                </c:pt>
                <c:pt idx="1348">
                  <c:v>40310</c:v>
                </c:pt>
                <c:pt idx="1349">
                  <c:v>40311</c:v>
                </c:pt>
                <c:pt idx="1350">
                  <c:v>40312</c:v>
                </c:pt>
                <c:pt idx="1351">
                  <c:v>40315</c:v>
                </c:pt>
                <c:pt idx="1352">
                  <c:v>40316</c:v>
                </c:pt>
                <c:pt idx="1353">
                  <c:v>40317</c:v>
                </c:pt>
                <c:pt idx="1354">
                  <c:v>40318</c:v>
                </c:pt>
                <c:pt idx="1355">
                  <c:v>40319</c:v>
                </c:pt>
                <c:pt idx="1356">
                  <c:v>40322</c:v>
                </c:pt>
                <c:pt idx="1357">
                  <c:v>40323</c:v>
                </c:pt>
                <c:pt idx="1358">
                  <c:v>40324</c:v>
                </c:pt>
                <c:pt idx="1359">
                  <c:v>40325</c:v>
                </c:pt>
                <c:pt idx="1360">
                  <c:v>40326</c:v>
                </c:pt>
                <c:pt idx="1361">
                  <c:v>40330</c:v>
                </c:pt>
                <c:pt idx="1362">
                  <c:v>40331</c:v>
                </c:pt>
                <c:pt idx="1363">
                  <c:v>40332</c:v>
                </c:pt>
                <c:pt idx="1364">
                  <c:v>40333</c:v>
                </c:pt>
                <c:pt idx="1365">
                  <c:v>40336</c:v>
                </c:pt>
                <c:pt idx="1366">
                  <c:v>40337</c:v>
                </c:pt>
                <c:pt idx="1367">
                  <c:v>40338</c:v>
                </c:pt>
                <c:pt idx="1368">
                  <c:v>40339</c:v>
                </c:pt>
                <c:pt idx="1369">
                  <c:v>40340</c:v>
                </c:pt>
                <c:pt idx="1370">
                  <c:v>40343</c:v>
                </c:pt>
                <c:pt idx="1371">
                  <c:v>40344</c:v>
                </c:pt>
                <c:pt idx="1372">
                  <c:v>40345</c:v>
                </c:pt>
                <c:pt idx="1373">
                  <c:v>40346</c:v>
                </c:pt>
                <c:pt idx="1374">
                  <c:v>40347</c:v>
                </c:pt>
                <c:pt idx="1375">
                  <c:v>40350</c:v>
                </c:pt>
                <c:pt idx="1376">
                  <c:v>40351</c:v>
                </c:pt>
                <c:pt idx="1377">
                  <c:v>40352</c:v>
                </c:pt>
                <c:pt idx="1378">
                  <c:v>40353</c:v>
                </c:pt>
                <c:pt idx="1379">
                  <c:v>40354</c:v>
                </c:pt>
                <c:pt idx="1380">
                  <c:v>40357</c:v>
                </c:pt>
                <c:pt idx="1381">
                  <c:v>40358</c:v>
                </c:pt>
                <c:pt idx="1382">
                  <c:v>40359</c:v>
                </c:pt>
                <c:pt idx="1383">
                  <c:v>40360</c:v>
                </c:pt>
                <c:pt idx="1384">
                  <c:v>40361</c:v>
                </c:pt>
                <c:pt idx="1385">
                  <c:v>40365</c:v>
                </c:pt>
                <c:pt idx="1386">
                  <c:v>40366</c:v>
                </c:pt>
                <c:pt idx="1387">
                  <c:v>40367</c:v>
                </c:pt>
                <c:pt idx="1388">
                  <c:v>40368</c:v>
                </c:pt>
                <c:pt idx="1389">
                  <c:v>40371</c:v>
                </c:pt>
                <c:pt idx="1390">
                  <c:v>40372</c:v>
                </c:pt>
                <c:pt idx="1391">
                  <c:v>40373</c:v>
                </c:pt>
                <c:pt idx="1392">
                  <c:v>40374</c:v>
                </c:pt>
                <c:pt idx="1393">
                  <c:v>40375</c:v>
                </c:pt>
                <c:pt idx="1394">
                  <c:v>40378</c:v>
                </c:pt>
                <c:pt idx="1395">
                  <c:v>40379</c:v>
                </c:pt>
                <c:pt idx="1396">
                  <c:v>40380</c:v>
                </c:pt>
                <c:pt idx="1397">
                  <c:v>40381</c:v>
                </c:pt>
                <c:pt idx="1398">
                  <c:v>40382</c:v>
                </c:pt>
                <c:pt idx="1399">
                  <c:v>40385</c:v>
                </c:pt>
                <c:pt idx="1400">
                  <c:v>40386</c:v>
                </c:pt>
                <c:pt idx="1401">
                  <c:v>40387</c:v>
                </c:pt>
                <c:pt idx="1402">
                  <c:v>40388</c:v>
                </c:pt>
                <c:pt idx="1403">
                  <c:v>40389</c:v>
                </c:pt>
                <c:pt idx="1404">
                  <c:v>40392</c:v>
                </c:pt>
                <c:pt idx="1405">
                  <c:v>40393</c:v>
                </c:pt>
                <c:pt idx="1406">
                  <c:v>40394</c:v>
                </c:pt>
                <c:pt idx="1407">
                  <c:v>40395</c:v>
                </c:pt>
                <c:pt idx="1408">
                  <c:v>40396</c:v>
                </c:pt>
                <c:pt idx="1409">
                  <c:v>40399</c:v>
                </c:pt>
                <c:pt idx="1410">
                  <c:v>40400</c:v>
                </c:pt>
                <c:pt idx="1411">
                  <c:v>40401</c:v>
                </c:pt>
                <c:pt idx="1412">
                  <c:v>40402</c:v>
                </c:pt>
                <c:pt idx="1413">
                  <c:v>40403</c:v>
                </c:pt>
                <c:pt idx="1414">
                  <c:v>40406</c:v>
                </c:pt>
                <c:pt idx="1415">
                  <c:v>40407</c:v>
                </c:pt>
                <c:pt idx="1416">
                  <c:v>40408</c:v>
                </c:pt>
                <c:pt idx="1417">
                  <c:v>40409</c:v>
                </c:pt>
                <c:pt idx="1418">
                  <c:v>40410</c:v>
                </c:pt>
                <c:pt idx="1419">
                  <c:v>40413</c:v>
                </c:pt>
                <c:pt idx="1420">
                  <c:v>40414</c:v>
                </c:pt>
                <c:pt idx="1421">
                  <c:v>40415</c:v>
                </c:pt>
                <c:pt idx="1422">
                  <c:v>40416</c:v>
                </c:pt>
                <c:pt idx="1423">
                  <c:v>40417</c:v>
                </c:pt>
                <c:pt idx="1424">
                  <c:v>40420</c:v>
                </c:pt>
                <c:pt idx="1425">
                  <c:v>40421</c:v>
                </c:pt>
                <c:pt idx="1426">
                  <c:v>40422</c:v>
                </c:pt>
                <c:pt idx="1427">
                  <c:v>40423</c:v>
                </c:pt>
                <c:pt idx="1428">
                  <c:v>40424</c:v>
                </c:pt>
                <c:pt idx="1429">
                  <c:v>40428</c:v>
                </c:pt>
                <c:pt idx="1430">
                  <c:v>40429</c:v>
                </c:pt>
                <c:pt idx="1431">
                  <c:v>40430</c:v>
                </c:pt>
                <c:pt idx="1432">
                  <c:v>40431</c:v>
                </c:pt>
                <c:pt idx="1433">
                  <c:v>40434</c:v>
                </c:pt>
                <c:pt idx="1434">
                  <c:v>40435</c:v>
                </c:pt>
                <c:pt idx="1435">
                  <c:v>40436</c:v>
                </c:pt>
                <c:pt idx="1436">
                  <c:v>40437</c:v>
                </c:pt>
                <c:pt idx="1437">
                  <c:v>40438</c:v>
                </c:pt>
                <c:pt idx="1438">
                  <c:v>40441</c:v>
                </c:pt>
                <c:pt idx="1439">
                  <c:v>40442</c:v>
                </c:pt>
                <c:pt idx="1440">
                  <c:v>40443</c:v>
                </c:pt>
                <c:pt idx="1441">
                  <c:v>40444</c:v>
                </c:pt>
                <c:pt idx="1442">
                  <c:v>40445</c:v>
                </c:pt>
                <c:pt idx="1443">
                  <c:v>40448</c:v>
                </c:pt>
                <c:pt idx="1444">
                  <c:v>40449</c:v>
                </c:pt>
                <c:pt idx="1445">
                  <c:v>40450</c:v>
                </c:pt>
                <c:pt idx="1446">
                  <c:v>40451</c:v>
                </c:pt>
                <c:pt idx="1447">
                  <c:v>40452</c:v>
                </c:pt>
                <c:pt idx="1448">
                  <c:v>40455</c:v>
                </c:pt>
                <c:pt idx="1449">
                  <c:v>40456</c:v>
                </c:pt>
                <c:pt idx="1450">
                  <c:v>40457</c:v>
                </c:pt>
                <c:pt idx="1451">
                  <c:v>40458</c:v>
                </c:pt>
                <c:pt idx="1452">
                  <c:v>40459</c:v>
                </c:pt>
                <c:pt idx="1453">
                  <c:v>40462</c:v>
                </c:pt>
                <c:pt idx="1454">
                  <c:v>40463</c:v>
                </c:pt>
                <c:pt idx="1455">
                  <c:v>40464</c:v>
                </c:pt>
                <c:pt idx="1456">
                  <c:v>40465</c:v>
                </c:pt>
                <c:pt idx="1457">
                  <c:v>40466</c:v>
                </c:pt>
                <c:pt idx="1458">
                  <c:v>40469</c:v>
                </c:pt>
                <c:pt idx="1459">
                  <c:v>40470</c:v>
                </c:pt>
                <c:pt idx="1460">
                  <c:v>40471</c:v>
                </c:pt>
                <c:pt idx="1461">
                  <c:v>40472</c:v>
                </c:pt>
                <c:pt idx="1462">
                  <c:v>40473</c:v>
                </c:pt>
                <c:pt idx="1463">
                  <c:v>40476</c:v>
                </c:pt>
                <c:pt idx="1464">
                  <c:v>40477</c:v>
                </c:pt>
                <c:pt idx="1465">
                  <c:v>40478</c:v>
                </c:pt>
                <c:pt idx="1466">
                  <c:v>40479</c:v>
                </c:pt>
                <c:pt idx="1467">
                  <c:v>40480</c:v>
                </c:pt>
                <c:pt idx="1468">
                  <c:v>40483</c:v>
                </c:pt>
                <c:pt idx="1469">
                  <c:v>40484</c:v>
                </c:pt>
                <c:pt idx="1470">
                  <c:v>40485</c:v>
                </c:pt>
                <c:pt idx="1471">
                  <c:v>40486</c:v>
                </c:pt>
                <c:pt idx="1472">
                  <c:v>40487</c:v>
                </c:pt>
                <c:pt idx="1473">
                  <c:v>40490</c:v>
                </c:pt>
                <c:pt idx="1474">
                  <c:v>40491</c:v>
                </c:pt>
                <c:pt idx="1475">
                  <c:v>40492</c:v>
                </c:pt>
                <c:pt idx="1476">
                  <c:v>40493</c:v>
                </c:pt>
                <c:pt idx="1477">
                  <c:v>40494</c:v>
                </c:pt>
                <c:pt idx="1478">
                  <c:v>40497</c:v>
                </c:pt>
                <c:pt idx="1479">
                  <c:v>40498</c:v>
                </c:pt>
                <c:pt idx="1480">
                  <c:v>40499</c:v>
                </c:pt>
                <c:pt idx="1481">
                  <c:v>40500</c:v>
                </c:pt>
                <c:pt idx="1482">
                  <c:v>40501</c:v>
                </c:pt>
                <c:pt idx="1483">
                  <c:v>40504</c:v>
                </c:pt>
                <c:pt idx="1484">
                  <c:v>40505</c:v>
                </c:pt>
                <c:pt idx="1485">
                  <c:v>40506</c:v>
                </c:pt>
                <c:pt idx="1486">
                  <c:v>40508</c:v>
                </c:pt>
                <c:pt idx="1487">
                  <c:v>40511</c:v>
                </c:pt>
                <c:pt idx="1488">
                  <c:v>40512</c:v>
                </c:pt>
                <c:pt idx="1489">
                  <c:v>40513</c:v>
                </c:pt>
                <c:pt idx="1490">
                  <c:v>40514</c:v>
                </c:pt>
                <c:pt idx="1491">
                  <c:v>40515</c:v>
                </c:pt>
                <c:pt idx="1492">
                  <c:v>40518</c:v>
                </c:pt>
                <c:pt idx="1493">
                  <c:v>40519</c:v>
                </c:pt>
                <c:pt idx="1494">
                  <c:v>40520</c:v>
                </c:pt>
                <c:pt idx="1495">
                  <c:v>40521</c:v>
                </c:pt>
                <c:pt idx="1496">
                  <c:v>40522</c:v>
                </c:pt>
                <c:pt idx="1497">
                  <c:v>40525</c:v>
                </c:pt>
                <c:pt idx="1498">
                  <c:v>40526</c:v>
                </c:pt>
                <c:pt idx="1499">
                  <c:v>40527</c:v>
                </c:pt>
                <c:pt idx="1500">
                  <c:v>40528</c:v>
                </c:pt>
                <c:pt idx="1501">
                  <c:v>40529</c:v>
                </c:pt>
                <c:pt idx="1502">
                  <c:v>40532</c:v>
                </c:pt>
                <c:pt idx="1503">
                  <c:v>40533</c:v>
                </c:pt>
                <c:pt idx="1504">
                  <c:v>40534</c:v>
                </c:pt>
                <c:pt idx="1505">
                  <c:v>40535</c:v>
                </c:pt>
                <c:pt idx="1506">
                  <c:v>40539</c:v>
                </c:pt>
                <c:pt idx="1507">
                  <c:v>40540</c:v>
                </c:pt>
                <c:pt idx="1508">
                  <c:v>40541</c:v>
                </c:pt>
                <c:pt idx="1509">
                  <c:v>40542</c:v>
                </c:pt>
                <c:pt idx="1510">
                  <c:v>40543</c:v>
                </c:pt>
                <c:pt idx="1511">
                  <c:v>40546</c:v>
                </c:pt>
                <c:pt idx="1512">
                  <c:v>40547</c:v>
                </c:pt>
                <c:pt idx="1513">
                  <c:v>40548</c:v>
                </c:pt>
                <c:pt idx="1514">
                  <c:v>40549</c:v>
                </c:pt>
                <c:pt idx="1515">
                  <c:v>40550</c:v>
                </c:pt>
                <c:pt idx="1516">
                  <c:v>40553</c:v>
                </c:pt>
                <c:pt idx="1517">
                  <c:v>40554</c:v>
                </c:pt>
                <c:pt idx="1518">
                  <c:v>40555</c:v>
                </c:pt>
                <c:pt idx="1519">
                  <c:v>40556</c:v>
                </c:pt>
                <c:pt idx="1520">
                  <c:v>40557</c:v>
                </c:pt>
                <c:pt idx="1521">
                  <c:v>40561</c:v>
                </c:pt>
                <c:pt idx="1522">
                  <c:v>40562</c:v>
                </c:pt>
                <c:pt idx="1523">
                  <c:v>40563</c:v>
                </c:pt>
                <c:pt idx="1524">
                  <c:v>40564</c:v>
                </c:pt>
                <c:pt idx="1525">
                  <c:v>40567</c:v>
                </c:pt>
                <c:pt idx="1526">
                  <c:v>40568</c:v>
                </c:pt>
                <c:pt idx="1527">
                  <c:v>40569</c:v>
                </c:pt>
                <c:pt idx="1528">
                  <c:v>40570</c:v>
                </c:pt>
                <c:pt idx="1529">
                  <c:v>40571</c:v>
                </c:pt>
                <c:pt idx="1530">
                  <c:v>40574</c:v>
                </c:pt>
                <c:pt idx="1531">
                  <c:v>40575</c:v>
                </c:pt>
                <c:pt idx="1532">
                  <c:v>40576</c:v>
                </c:pt>
                <c:pt idx="1533">
                  <c:v>40577</c:v>
                </c:pt>
                <c:pt idx="1534">
                  <c:v>40578</c:v>
                </c:pt>
                <c:pt idx="1535">
                  <c:v>40581</c:v>
                </c:pt>
                <c:pt idx="1536">
                  <c:v>40582</c:v>
                </c:pt>
                <c:pt idx="1537">
                  <c:v>40583</c:v>
                </c:pt>
                <c:pt idx="1538">
                  <c:v>40584</c:v>
                </c:pt>
                <c:pt idx="1539">
                  <c:v>40585</c:v>
                </c:pt>
                <c:pt idx="1540">
                  <c:v>40588</c:v>
                </c:pt>
                <c:pt idx="1541">
                  <c:v>40589</c:v>
                </c:pt>
                <c:pt idx="1542">
                  <c:v>40590</c:v>
                </c:pt>
                <c:pt idx="1543">
                  <c:v>40591</c:v>
                </c:pt>
                <c:pt idx="1544">
                  <c:v>40592</c:v>
                </c:pt>
                <c:pt idx="1545">
                  <c:v>40596</c:v>
                </c:pt>
                <c:pt idx="1546">
                  <c:v>40597</c:v>
                </c:pt>
                <c:pt idx="1547">
                  <c:v>40598</c:v>
                </c:pt>
                <c:pt idx="1548">
                  <c:v>40599</c:v>
                </c:pt>
                <c:pt idx="1549">
                  <c:v>40602</c:v>
                </c:pt>
                <c:pt idx="1550">
                  <c:v>40603</c:v>
                </c:pt>
                <c:pt idx="1551">
                  <c:v>40604</c:v>
                </c:pt>
                <c:pt idx="1552">
                  <c:v>40605</c:v>
                </c:pt>
                <c:pt idx="1553">
                  <c:v>40606</c:v>
                </c:pt>
                <c:pt idx="1554">
                  <c:v>40609</c:v>
                </c:pt>
                <c:pt idx="1555">
                  <c:v>40610</c:v>
                </c:pt>
                <c:pt idx="1556">
                  <c:v>40611</c:v>
                </c:pt>
                <c:pt idx="1557">
                  <c:v>40612</c:v>
                </c:pt>
                <c:pt idx="1558">
                  <c:v>40613</c:v>
                </c:pt>
                <c:pt idx="1559">
                  <c:v>40616</c:v>
                </c:pt>
                <c:pt idx="1560">
                  <c:v>40617</c:v>
                </c:pt>
                <c:pt idx="1561">
                  <c:v>40618</c:v>
                </c:pt>
                <c:pt idx="1562">
                  <c:v>40619</c:v>
                </c:pt>
                <c:pt idx="1563">
                  <c:v>40620</c:v>
                </c:pt>
                <c:pt idx="1564">
                  <c:v>40623</c:v>
                </c:pt>
                <c:pt idx="1565">
                  <c:v>40624</c:v>
                </c:pt>
                <c:pt idx="1566">
                  <c:v>40625</c:v>
                </c:pt>
                <c:pt idx="1567">
                  <c:v>40626</c:v>
                </c:pt>
                <c:pt idx="1568">
                  <c:v>40627</c:v>
                </c:pt>
                <c:pt idx="1569">
                  <c:v>40630</c:v>
                </c:pt>
                <c:pt idx="1570">
                  <c:v>40631</c:v>
                </c:pt>
                <c:pt idx="1571">
                  <c:v>40632</c:v>
                </c:pt>
                <c:pt idx="1572">
                  <c:v>40633</c:v>
                </c:pt>
                <c:pt idx="1573">
                  <c:v>40634</c:v>
                </c:pt>
                <c:pt idx="1574">
                  <c:v>40637</c:v>
                </c:pt>
                <c:pt idx="1575">
                  <c:v>40638</c:v>
                </c:pt>
                <c:pt idx="1576">
                  <c:v>40639</c:v>
                </c:pt>
                <c:pt idx="1577">
                  <c:v>40640</c:v>
                </c:pt>
                <c:pt idx="1578">
                  <c:v>40641</c:v>
                </c:pt>
                <c:pt idx="1579">
                  <c:v>40644</c:v>
                </c:pt>
                <c:pt idx="1580">
                  <c:v>40645</c:v>
                </c:pt>
                <c:pt idx="1581">
                  <c:v>40646</c:v>
                </c:pt>
                <c:pt idx="1582">
                  <c:v>40647</c:v>
                </c:pt>
                <c:pt idx="1583">
                  <c:v>40648</c:v>
                </c:pt>
                <c:pt idx="1584">
                  <c:v>40651</c:v>
                </c:pt>
                <c:pt idx="1585">
                  <c:v>40652</c:v>
                </c:pt>
                <c:pt idx="1586">
                  <c:v>40653</c:v>
                </c:pt>
                <c:pt idx="1587">
                  <c:v>40654</c:v>
                </c:pt>
                <c:pt idx="1588">
                  <c:v>40658</c:v>
                </c:pt>
                <c:pt idx="1589">
                  <c:v>40659</c:v>
                </c:pt>
                <c:pt idx="1590">
                  <c:v>40660</c:v>
                </c:pt>
                <c:pt idx="1591">
                  <c:v>40661</c:v>
                </c:pt>
                <c:pt idx="1592">
                  <c:v>40662</c:v>
                </c:pt>
                <c:pt idx="1593">
                  <c:v>40665</c:v>
                </c:pt>
                <c:pt idx="1594">
                  <c:v>40666</c:v>
                </c:pt>
                <c:pt idx="1595">
                  <c:v>40667</c:v>
                </c:pt>
                <c:pt idx="1596">
                  <c:v>40668</c:v>
                </c:pt>
                <c:pt idx="1597">
                  <c:v>40669</c:v>
                </c:pt>
                <c:pt idx="1598">
                  <c:v>40672</c:v>
                </c:pt>
                <c:pt idx="1599">
                  <c:v>40673</c:v>
                </c:pt>
                <c:pt idx="1600">
                  <c:v>40674</c:v>
                </c:pt>
                <c:pt idx="1601">
                  <c:v>40675</c:v>
                </c:pt>
                <c:pt idx="1602">
                  <c:v>40676</c:v>
                </c:pt>
                <c:pt idx="1603">
                  <c:v>40679</c:v>
                </c:pt>
                <c:pt idx="1604">
                  <c:v>40680</c:v>
                </c:pt>
                <c:pt idx="1605">
                  <c:v>40681</c:v>
                </c:pt>
                <c:pt idx="1606">
                  <c:v>40682</c:v>
                </c:pt>
                <c:pt idx="1607">
                  <c:v>40683</c:v>
                </c:pt>
                <c:pt idx="1608">
                  <c:v>40686</c:v>
                </c:pt>
                <c:pt idx="1609">
                  <c:v>40687</c:v>
                </c:pt>
                <c:pt idx="1610">
                  <c:v>40688</c:v>
                </c:pt>
                <c:pt idx="1611">
                  <c:v>40689</c:v>
                </c:pt>
                <c:pt idx="1612">
                  <c:v>40690</c:v>
                </c:pt>
                <c:pt idx="1613">
                  <c:v>40694</c:v>
                </c:pt>
                <c:pt idx="1614">
                  <c:v>40695</c:v>
                </c:pt>
                <c:pt idx="1615">
                  <c:v>40696</c:v>
                </c:pt>
                <c:pt idx="1616">
                  <c:v>40697</c:v>
                </c:pt>
                <c:pt idx="1617">
                  <c:v>40700</c:v>
                </c:pt>
                <c:pt idx="1618">
                  <c:v>40701</c:v>
                </c:pt>
                <c:pt idx="1619">
                  <c:v>40702</c:v>
                </c:pt>
                <c:pt idx="1620">
                  <c:v>40703</c:v>
                </c:pt>
                <c:pt idx="1621">
                  <c:v>40704</c:v>
                </c:pt>
                <c:pt idx="1622">
                  <c:v>40707</c:v>
                </c:pt>
                <c:pt idx="1623">
                  <c:v>40708</c:v>
                </c:pt>
                <c:pt idx="1624">
                  <c:v>40709</c:v>
                </c:pt>
                <c:pt idx="1625">
                  <c:v>40710</c:v>
                </c:pt>
                <c:pt idx="1626">
                  <c:v>40711</c:v>
                </c:pt>
                <c:pt idx="1627">
                  <c:v>40714</c:v>
                </c:pt>
                <c:pt idx="1628">
                  <c:v>40715</c:v>
                </c:pt>
                <c:pt idx="1629">
                  <c:v>40716</c:v>
                </c:pt>
                <c:pt idx="1630">
                  <c:v>40717</c:v>
                </c:pt>
                <c:pt idx="1631">
                  <c:v>40718</c:v>
                </c:pt>
                <c:pt idx="1632">
                  <c:v>40721</c:v>
                </c:pt>
                <c:pt idx="1633">
                  <c:v>40722</c:v>
                </c:pt>
                <c:pt idx="1634">
                  <c:v>40723</c:v>
                </c:pt>
                <c:pt idx="1635">
                  <c:v>40724</c:v>
                </c:pt>
                <c:pt idx="1636">
                  <c:v>40725</c:v>
                </c:pt>
                <c:pt idx="1637">
                  <c:v>40729</c:v>
                </c:pt>
                <c:pt idx="1638">
                  <c:v>40730</c:v>
                </c:pt>
                <c:pt idx="1639">
                  <c:v>40731</c:v>
                </c:pt>
                <c:pt idx="1640">
                  <c:v>40732</c:v>
                </c:pt>
                <c:pt idx="1641">
                  <c:v>40735</c:v>
                </c:pt>
                <c:pt idx="1642">
                  <c:v>40736</c:v>
                </c:pt>
                <c:pt idx="1643">
                  <c:v>40737</c:v>
                </c:pt>
                <c:pt idx="1644">
                  <c:v>40738</c:v>
                </c:pt>
                <c:pt idx="1645">
                  <c:v>40739</c:v>
                </c:pt>
                <c:pt idx="1646">
                  <c:v>40742</c:v>
                </c:pt>
                <c:pt idx="1647">
                  <c:v>40743</c:v>
                </c:pt>
                <c:pt idx="1648">
                  <c:v>40744</c:v>
                </c:pt>
                <c:pt idx="1649">
                  <c:v>40745</c:v>
                </c:pt>
                <c:pt idx="1650">
                  <c:v>40746</c:v>
                </c:pt>
                <c:pt idx="1651">
                  <c:v>40749</c:v>
                </c:pt>
                <c:pt idx="1652">
                  <c:v>40750</c:v>
                </c:pt>
                <c:pt idx="1653">
                  <c:v>40751</c:v>
                </c:pt>
                <c:pt idx="1654">
                  <c:v>40752</c:v>
                </c:pt>
                <c:pt idx="1655">
                  <c:v>40753</c:v>
                </c:pt>
                <c:pt idx="1656">
                  <c:v>40756</c:v>
                </c:pt>
                <c:pt idx="1657">
                  <c:v>40757</c:v>
                </c:pt>
                <c:pt idx="1658">
                  <c:v>40758</c:v>
                </c:pt>
                <c:pt idx="1659">
                  <c:v>40759</c:v>
                </c:pt>
                <c:pt idx="1660">
                  <c:v>40760</c:v>
                </c:pt>
                <c:pt idx="1661">
                  <c:v>40763</c:v>
                </c:pt>
                <c:pt idx="1662">
                  <c:v>40764</c:v>
                </c:pt>
                <c:pt idx="1663">
                  <c:v>40765</c:v>
                </c:pt>
                <c:pt idx="1664">
                  <c:v>40766</c:v>
                </c:pt>
                <c:pt idx="1665">
                  <c:v>40767</c:v>
                </c:pt>
                <c:pt idx="1666">
                  <c:v>40770</c:v>
                </c:pt>
                <c:pt idx="1667">
                  <c:v>40771</c:v>
                </c:pt>
                <c:pt idx="1668">
                  <c:v>40772</c:v>
                </c:pt>
                <c:pt idx="1669">
                  <c:v>40773</c:v>
                </c:pt>
                <c:pt idx="1670">
                  <c:v>40774</c:v>
                </c:pt>
                <c:pt idx="1671">
                  <c:v>40777</c:v>
                </c:pt>
                <c:pt idx="1672">
                  <c:v>40778</c:v>
                </c:pt>
                <c:pt idx="1673">
                  <c:v>40779</c:v>
                </c:pt>
                <c:pt idx="1674">
                  <c:v>40780</c:v>
                </c:pt>
                <c:pt idx="1675">
                  <c:v>40781</c:v>
                </c:pt>
                <c:pt idx="1676">
                  <c:v>40784</c:v>
                </c:pt>
                <c:pt idx="1677">
                  <c:v>40785</c:v>
                </c:pt>
                <c:pt idx="1678">
                  <c:v>40786</c:v>
                </c:pt>
                <c:pt idx="1679">
                  <c:v>40787</c:v>
                </c:pt>
                <c:pt idx="1680">
                  <c:v>40788</c:v>
                </c:pt>
                <c:pt idx="1681">
                  <c:v>40792</c:v>
                </c:pt>
                <c:pt idx="1682">
                  <c:v>40793</c:v>
                </c:pt>
                <c:pt idx="1683">
                  <c:v>40794</c:v>
                </c:pt>
                <c:pt idx="1684">
                  <c:v>40795</c:v>
                </c:pt>
                <c:pt idx="1685">
                  <c:v>40798</c:v>
                </c:pt>
                <c:pt idx="1686">
                  <c:v>40799</c:v>
                </c:pt>
                <c:pt idx="1687">
                  <c:v>40800</c:v>
                </c:pt>
                <c:pt idx="1688">
                  <c:v>40801</c:v>
                </c:pt>
                <c:pt idx="1689">
                  <c:v>40802</c:v>
                </c:pt>
                <c:pt idx="1690">
                  <c:v>40805</c:v>
                </c:pt>
                <c:pt idx="1691">
                  <c:v>40806</c:v>
                </c:pt>
                <c:pt idx="1692">
                  <c:v>40807</c:v>
                </c:pt>
                <c:pt idx="1693">
                  <c:v>40808</c:v>
                </c:pt>
                <c:pt idx="1694">
                  <c:v>40809</c:v>
                </c:pt>
                <c:pt idx="1695">
                  <c:v>40812</c:v>
                </c:pt>
                <c:pt idx="1696">
                  <c:v>40813</c:v>
                </c:pt>
                <c:pt idx="1697">
                  <c:v>40814</c:v>
                </c:pt>
                <c:pt idx="1698">
                  <c:v>40815</c:v>
                </c:pt>
                <c:pt idx="1699">
                  <c:v>40816</c:v>
                </c:pt>
                <c:pt idx="1700">
                  <c:v>40819</c:v>
                </c:pt>
                <c:pt idx="1701">
                  <c:v>40820</c:v>
                </c:pt>
                <c:pt idx="1702">
                  <c:v>40821</c:v>
                </c:pt>
                <c:pt idx="1703">
                  <c:v>40822</c:v>
                </c:pt>
                <c:pt idx="1704">
                  <c:v>40823</c:v>
                </c:pt>
                <c:pt idx="1705">
                  <c:v>40826</c:v>
                </c:pt>
                <c:pt idx="1706">
                  <c:v>40827</c:v>
                </c:pt>
                <c:pt idx="1707">
                  <c:v>40828</c:v>
                </c:pt>
                <c:pt idx="1708">
                  <c:v>40829</c:v>
                </c:pt>
                <c:pt idx="1709">
                  <c:v>40830</c:v>
                </c:pt>
                <c:pt idx="1710">
                  <c:v>40833</c:v>
                </c:pt>
                <c:pt idx="1711">
                  <c:v>40834</c:v>
                </c:pt>
                <c:pt idx="1712">
                  <c:v>40835</c:v>
                </c:pt>
                <c:pt idx="1713">
                  <c:v>40836</c:v>
                </c:pt>
                <c:pt idx="1714">
                  <c:v>40837</c:v>
                </c:pt>
                <c:pt idx="1715">
                  <c:v>40840</c:v>
                </c:pt>
                <c:pt idx="1716">
                  <c:v>40841</c:v>
                </c:pt>
                <c:pt idx="1717">
                  <c:v>40842</c:v>
                </c:pt>
                <c:pt idx="1718">
                  <c:v>40843</c:v>
                </c:pt>
                <c:pt idx="1719">
                  <c:v>40844</c:v>
                </c:pt>
                <c:pt idx="1720">
                  <c:v>40847</c:v>
                </c:pt>
                <c:pt idx="1721">
                  <c:v>40848</c:v>
                </c:pt>
                <c:pt idx="1722">
                  <c:v>40849</c:v>
                </c:pt>
                <c:pt idx="1723">
                  <c:v>40850</c:v>
                </c:pt>
                <c:pt idx="1724">
                  <c:v>40851</c:v>
                </c:pt>
                <c:pt idx="1725">
                  <c:v>40854</c:v>
                </c:pt>
                <c:pt idx="1726">
                  <c:v>40855</c:v>
                </c:pt>
                <c:pt idx="1727">
                  <c:v>40856</c:v>
                </c:pt>
                <c:pt idx="1728">
                  <c:v>40857</c:v>
                </c:pt>
                <c:pt idx="1729">
                  <c:v>40858</c:v>
                </c:pt>
                <c:pt idx="1730">
                  <c:v>40861</c:v>
                </c:pt>
                <c:pt idx="1731">
                  <c:v>40862</c:v>
                </c:pt>
                <c:pt idx="1732">
                  <c:v>40863</c:v>
                </c:pt>
                <c:pt idx="1733">
                  <c:v>40864</c:v>
                </c:pt>
                <c:pt idx="1734">
                  <c:v>40865</c:v>
                </c:pt>
                <c:pt idx="1735">
                  <c:v>40868</c:v>
                </c:pt>
                <c:pt idx="1736">
                  <c:v>40869</c:v>
                </c:pt>
                <c:pt idx="1737">
                  <c:v>40870</c:v>
                </c:pt>
                <c:pt idx="1738">
                  <c:v>40872</c:v>
                </c:pt>
                <c:pt idx="1739">
                  <c:v>40875</c:v>
                </c:pt>
                <c:pt idx="1740">
                  <c:v>40876</c:v>
                </c:pt>
                <c:pt idx="1741">
                  <c:v>40877</c:v>
                </c:pt>
                <c:pt idx="1742">
                  <c:v>40878</c:v>
                </c:pt>
                <c:pt idx="1743">
                  <c:v>40879</c:v>
                </c:pt>
                <c:pt idx="1744">
                  <c:v>40882</c:v>
                </c:pt>
                <c:pt idx="1745">
                  <c:v>40883</c:v>
                </c:pt>
                <c:pt idx="1746">
                  <c:v>40884</c:v>
                </c:pt>
                <c:pt idx="1747">
                  <c:v>40885</c:v>
                </c:pt>
                <c:pt idx="1748">
                  <c:v>40886</c:v>
                </c:pt>
                <c:pt idx="1749">
                  <c:v>40889</c:v>
                </c:pt>
                <c:pt idx="1750">
                  <c:v>40890</c:v>
                </c:pt>
                <c:pt idx="1751">
                  <c:v>40891</c:v>
                </c:pt>
                <c:pt idx="1752">
                  <c:v>40892</c:v>
                </c:pt>
                <c:pt idx="1753">
                  <c:v>40893</c:v>
                </c:pt>
                <c:pt idx="1754">
                  <c:v>40896</c:v>
                </c:pt>
                <c:pt idx="1755">
                  <c:v>40897</c:v>
                </c:pt>
                <c:pt idx="1756">
                  <c:v>40898</c:v>
                </c:pt>
                <c:pt idx="1757">
                  <c:v>40899</c:v>
                </c:pt>
                <c:pt idx="1758">
                  <c:v>40900</c:v>
                </c:pt>
                <c:pt idx="1759">
                  <c:v>40904</c:v>
                </c:pt>
                <c:pt idx="1760">
                  <c:v>40905</c:v>
                </c:pt>
                <c:pt idx="1761">
                  <c:v>40906</c:v>
                </c:pt>
                <c:pt idx="1762">
                  <c:v>40907</c:v>
                </c:pt>
                <c:pt idx="1763">
                  <c:v>40911</c:v>
                </c:pt>
                <c:pt idx="1764">
                  <c:v>40912</c:v>
                </c:pt>
                <c:pt idx="1765">
                  <c:v>40913</c:v>
                </c:pt>
                <c:pt idx="1766">
                  <c:v>40914</c:v>
                </c:pt>
                <c:pt idx="1767">
                  <c:v>40917</c:v>
                </c:pt>
                <c:pt idx="1768">
                  <c:v>40918</c:v>
                </c:pt>
                <c:pt idx="1769">
                  <c:v>40919</c:v>
                </c:pt>
                <c:pt idx="1770">
                  <c:v>40920</c:v>
                </c:pt>
                <c:pt idx="1771">
                  <c:v>40921</c:v>
                </c:pt>
                <c:pt idx="1772">
                  <c:v>40925</c:v>
                </c:pt>
                <c:pt idx="1773">
                  <c:v>40926</c:v>
                </c:pt>
                <c:pt idx="1774">
                  <c:v>40927</c:v>
                </c:pt>
                <c:pt idx="1775">
                  <c:v>40928</c:v>
                </c:pt>
                <c:pt idx="1776">
                  <c:v>40931</c:v>
                </c:pt>
                <c:pt idx="1777">
                  <c:v>40932</c:v>
                </c:pt>
                <c:pt idx="1778">
                  <c:v>40933</c:v>
                </c:pt>
                <c:pt idx="1779">
                  <c:v>40934</c:v>
                </c:pt>
                <c:pt idx="1780">
                  <c:v>40935</c:v>
                </c:pt>
                <c:pt idx="1781">
                  <c:v>40938</c:v>
                </c:pt>
                <c:pt idx="1782">
                  <c:v>40939</c:v>
                </c:pt>
                <c:pt idx="1783">
                  <c:v>40940</c:v>
                </c:pt>
                <c:pt idx="1784">
                  <c:v>40941</c:v>
                </c:pt>
                <c:pt idx="1785">
                  <c:v>40942</c:v>
                </c:pt>
                <c:pt idx="1786">
                  <c:v>40945</c:v>
                </c:pt>
                <c:pt idx="1787">
                  <c:v>40946</c:v>
                </c:pt>
                <c:pt idx="1788">
                  <c:v>40947</c:v>
                </c:pt>
                <c:pt idx="1789">
                  <c:v>40948</c:v>
                </c:pt>
                <c:pt idx="1790">
                  <c:v>40949</c:v>
                </c:pt>
                <c:pt idx="1791">
                  <c:v>40952</c:v>
                </c:pt>
                <c:pt idx="1792">
                  <c:v>40953</c:v>
                </c:pt>
                <c:pt idx="1793">
                  <c:v>40954</c:v>
                </c:pt>
                <c:pt idx="1794">
                  <c:v>40955</c:v>
                </c:pt>
                <c:pt idx="1795">
                  <c:v>40956</c:v>
                </c:pt>
                <c:pt idx="1796">
                  <c:v>40960</c:v>
                </c:pt>
                <c:pt idx="1797">
                  <c:v>40961</c:v>
                </c:pt>
                <c:pt idx="1798">
                  <c:v>40962</c:v>
                </c:pt>
                <c:pt idx="1799">
                  <c:v>40963</c:v>
                </c:pt>
                <c:pt idx="1800">
                  <c:v>40966</c:v>
                </c:pt>
                <c:pt idx="1801">
                  <c:v>40967</c:v>
                </c:pt>
                <c:pt idx="1802">
                  <c:v>40968</c:v>
                </c:pt>
                <c:pt idx="1803">
                  <c:v>40969</c:v>
                </c:pt>
                <c:pt idx="1804">
                  <c:v>40970</c:v>
                </c:pt>
                <c:pt idx="1805">
                  <c:v>40973</c:v>
                </c:pt>
                <c:pt idx="1806">
                  <c:v>40974</c:v>
                </c:pt>
                <c:pt idx="1807">
                  <c:v>40975</c:v>
                </c:pt>
                <c:pt idx="1808">
                  <c:v>40976</c:v>
                </c:pt>
                <c:pt idx="1809">
                  <c:v>40977</c:v>
                </c:pt>
                <c:pt idx="1810">
                  <c:v>40980</c:v>
                </c:pt>
                <c:pt idx="1811">
                  <c:v>40981</c:v>
                </c:pt>
                <c:pt idx="1812">
                  <c:v>40982</c:v>
                </c:pt>
                <c:pt idx="1813">
                  <c:v>40983</c:v>
                </c:pt>
                <c:pt idx="1814">
                  <c:v>40984</c:v>
                </c:pt>
                <c:pt idx="1815">
                  <c:v>40987</c:v>
                </c:pt>
                <c:pt idx="1816">
                  <c:v>40988</c:v>
                </c:pt>
                <c:pt idx="1817">
                  <c:v>40989</c:v>
                </c:pt>
                <c:pt idx="1818">
                  <c:v>40990</c:v>
                </c:pt>
                <c:pt idx="1819">
                  <c:v>40991</c:v>
                </c:pt>
                <c:pt idx="1820">
                  <c:v>40994</c:v>
                </c:pt>
                <c:pt idx="1821">
                  <c:v>40995</c:v>
                </c:pt>
                <c:pt idx="1822">
                  <c:v>40996</c:v>
                </c:pt>
                <c:pt idx="1823">
                  <c:v>40997</c:v>
                </c:pt>
                <c:pt idx="1824">
                  <c:v>40998</c:v>
                </c:pt>
                <c:pt idx="1825">
                  <c:v>41001</c:v>
                </c:pt>
                <c:pt idx="1826">
                  <c:v>41002</c:v>
                </c:pt>
                <c:pt idx="1827">
                  <c:v>41003</c:v>
                </c:pt>
                <c:pt idx="1828">
                  <c:v>41004</c:v>
                </c:pt>
                <c:pt idx="1829">
                  <c:v>41008</c:v>
                </c:pt>
                <c:pt idx="1830">
                  <c:v>41009</c:v>
                </c:pt>
                <c:pt idx="1831">
                  <c:v>41010</c:v>
                </c:pt>
                <c:pt idx="1832">
                  <c:v>41011</c:v>
                </c:pt>
                <c:pt idx="1833">
                  <c:v>41012</c:v>
                </c:pt>
                <c:pt idx="1834">
                  <c:v>41015</c:v>
                </c:pt>
                <c:pt idx="1835">
                  <c:v>41016</c:v>
                </c:pt>
                <c:pt idx="1836">
                  <c:v>41017</c:v>
                </c:pt>
                <c:pt idx="1837">
                  <c:v>41018</c:v>
                </c:pt>
                <c:pt idx="1838">
                  <c:v>41019</c:v>
                </c:pt>
                <c:pt idx="1839">
                  <c:v>41022</c:v>
                </c:pt>
                <c:pt idx="1840">
                  <c:v>41023</c:v>
                </c:pt>
                <c:pt idx="1841">
                  <c:v>41024</c:v>
                </c:pt>
                <c:pt idx="1842">
                  <c:v>41025</c:v>
                </c:pt>
                <c:pt idx="1843">
                  <c:v>41026</c:v>
                </c:pt>
                <c:pt idx="1844">
                  <c:v>41029</c:v>
                </c:pt>
                <c:pt idx="1845">
                  <c:v>41030</c:v>
                </c:pt>
                <c:pt idx="1846">
                  <c:v>41031</c:v>
                </c:pt>
                <c:pt idx="1847">
                  <c:v>41032</c:v>
                </c:pt>
                <c:pt idx="1848">
                  <c:v>41033</c:v>
                </c:pt>
                <c:pt idx="1849">
                  <c:v>41036</c:v>
                </c:pt>
                <c:pt idx="1850">
                  <c:v>41037</c:v>
                </c:pt>
                <c:pt idx="1851">
                  <c:v>41038</c:v>
                </c:pt>
                <c:pt idx="1852">
                  <c:v>41039</c:v>
                </c:pt>
                <c:pt idx="1853">
                  <c:v>41040</c:v>
                </c:pt>
                <c:pt idx="1854">
                  <c:v>41043</c:v>
                </c:pt>
                <c:pt idx="1855">
                  <c:v>41044</c:v>
                </c:pt>
                <c:pt idx="1856">
                  <c:v>41045</c:v>
                </c:pt>
                <c:pt idx="1857">
                  <c:v>41046</c:v>
                </c:pt>
                <c:pt idx="1858">
                  <c:v>41047</c:v>
                </c:pt>
                <c:pt idx="1859">
                  <c:v>41050</c:v>
                </c:pt>
                <c:pt idx="1860">
                  <c:v>41051</c:v>
                </c:pt>
                <c:pt idx="1861">
                  <c:v>41052</c:v>
                </c:pt>
                <c:pt idx="1862">
                  <c:v>41053</c:v>
                </c:pt>
                <c:pt idx="1863">
                  <c:v>41054</c:v>
                </c:pt>
                <c:pt idx="1864">
                  <c:v>41058</c:v>
                </c:pt>
                <c:pt idx="1865">
                  <c:v>41059</c:v>
                </c:pt>
                <c:pt idx="1866">
                  <c:v>41060</c:v>
                </c:pt>
                <c:pt idx="1867">
                  <c:v>41061</c:v>
                </c:pt>
                <c:pt idx="1868">
                  <c:v>41064</c:v>
                </c:pt>
                <c:pt idx="1869">
                  <c:v>41065</c:v>
                </c:pt>
                <c:pt idx="1870">
                  <c:v>41066</c:v>
                </c:pt>
                <c:pt idx="1871">
                  <c:v>41067</c:v>
                </c:pt>
                <c:pt idx="1872">
                  <c:v>41068</c:v>
                </c:pt>
                <c:pt idx="1873">
                  <c:v>41071</c:v>
                </c:pt>
                <c:pt idx="1874">
                  <c:v>41072</c:v>
                </c:pt>
                <c:pt idx="1875">
                  <c:v>41073</c:v>
                </c:pt>
                <c:pt idx="1876">
                  <c:v>41074</c:v>
                </c:pt>
                <c:pt idx="1877">
                  <c:v>41075</c:v>
                </c:pt>
                <c:pt idx="1878">
                  <c:v>41078</c:v>
                </c:pt>
                <c:pt idx="1879">
                  <c:v>41079</c:v>
                </c:pt>
                <c:pt idx="1880">
                  <c:v>41080</c:v>
                </c:pt>
                <c:pt idx="1881">
                  <c:v>41081</c:v>
                </c:pt>
                <c:pt idx="1882">
                  <c:v>41082</c:v>
                </c:pt>
                <c:pt idx="1883">
                  <c:v>41085</c:v>
                </c:pt>
                <c:pt idx="1884">
                  <c:v>41086</c:v>
                </c:pt>
                <c:pt idx="1885">
                  <c:v>41087</c:v>
                </c:pt>
                <c:pt idx="1886">
                  <c:v>41088</c:v>
                </c:pt>
                <c:pt idx="1887">
                  <c:v>41089</c:v>
                </c:pt>
                <c:pt idx="1888">
                  <c:v>41092</c:v>
                </c:pt>
                <c:pt idx="1889">
                  <c:v>41093</c:v>
                </c:pt>
                <c:pt idx="1890">
                  <c:v>41095</c:v>
                </c:pt>
                <c:pt idx="1891">
                  <c:v>41096</c:v>
                </c:pt>
                <c:pt idx="1892">
                  <c:v>41099</c:v>
                </c:pt>
                <c:pt idx="1893">
                  <c:v>41100</c:v>
                </c:pt>
                <c:pt idx="1894">
                  <c:v>41101</c:v>
                </c:pt>
                <c:pt idx="1895">
                  <c:v>41102</c:v>
                </c:pt>
                <c:pt idx="1896">
                  <c:v>41103</c:v>
                </c:pt>
                <c:pt idx="1897">
                  <c:v>41106</c:v>
                </c:pt>
                <c:pt idx="1898">
                  <c:v>41107</c:v>
                </c:pt>
                <c:pt idx="1899">
                  <c:v>41108</c:v>
                </c:pt>
                <c:pt idx="1900">
                  <c:v>41109</c:v>
                </c:pt>
                <c:pt idx="1901">
                  <c:v>41110</c:v>
                </c:pt>
                <c:pt idx="1902">
                  <c:v>41113</c:v>
                </c:pt>
                <c:pt idx="1903">
                  <c:v>41114</c:v>
                </c:pt>
                <c:pt idx="1904">
                  <c:v>41115</c:v>
                </c:pt>
                <c:pt idx="1905">
                  <c:v>41116</c:v>
                </c:pt>
                <c:pt idx="1906">
                  <c:v>41117</c:v>
                </c:pt>
                <c:pt idx="1907">
                  <c:v>41120</c:v>
                </c:pt>
                <c:pt idx="1908">
                  <c:v>41121</c:v>
                </c:pt>
                <c:pt idx="1909">
                  <c:v>41122</c:v>
                </c:pt>
                <c:pt idx="1910">
                  <c:v>41123</c:v>
                </c:pt>
                <c:pt idx="1911">
                  <c:v>41124</c:v>
                </c:pt>
                <c:pt idx="1912">
                  <c:v>41127</c:v>
                </c:pt>
                <c:pt idx="1913">
                  <c:v>41128</c:v>
                </c:pt>
                <c:pt idx="1914">
                  <c:v>41129</c:v>
                </c:pt>
                <c:pt idx="1915">
                  <c:v>41130</c:v>
                </c:pt>
                <c:pt idx="1916">
                  <c:v>41131</c:v>
                </c:pt>
                <c:pt idx="1917">
                  <c:v>41134</c:v>
                </c:pt>
                <c:pt idx="1918">
                  <c:v>41135</c:v>
                </c:pt>
                <c:pt idx="1919">
                  <c:v>41136</c:v>
                </c:pt>
                <c:pt idx="1920">
                  <c:v>41137</c:v>
                </c:pt>
                <c:pt idx="1921">
                  <c:v>41138</c:v>
                </c:pt>
                <c:pt idx="1922">
                  <c:v>41141</c:v>
                </c:pt>
                <c:pt idx="1923">
                  <c:v>41142</c:v>
                </c:pt>
                <c:pt idx="1924">
                  <c:v>41143</c:v>
                </c:pt>
                <c:pt idx="1925">
                  <c:v>41144</c:v>
                </c:pt>
                <c:pt idx="1926">
                  <c:v>41145</c:v>
                </c:pt>
                <c:pt idx="1927">
                  <c:v>41148</c:v>
                </c:pt>
                <c:pt idx="1928">
                  <c:v>41149</c:v>
                </c:pt>
                <c:pt idx="1929">
                  <c:v>41150</c:v>
                </c:pt>
                <c:pt idx="1930">
                  <c:v>41151</c:v>
                </c:pt>
                <c:pt idx="1931">
                  <c:v>41152</c:v>
                </c:pt>
                <c:pt idx="1932">
                  <c:v>41156</c:v>
                </c:pt>
                <c:pt idx="1933">
                  <c:v>41157</c:v>
                </c:pt>
                <c:pt idx="1934">
                  <c:v>41158</c:v>
                </c:pt>
                <c:pt idx="1935">
                  <c:v>41159</c:v>
                </c:pt>
                <c:pt idx="1936">
                  <c:v>41162</c:v>
                </c:pt>
                <c:pt idx="1937">
                  <c:v>41163</c:v>
                </c:pt>
                <c:pt idx="1938">
                  <c:v>41164</c:v>
                </c:pt>
                <c:pt idx="1939">
                  <c:v>41165</c:v>
                </c:pt>
                <c:pt idx="1940">
                  <c:v>41166</c:v>
                </c:pt>
                <c:pt idx="1941">
                  <c:v>41169</c:v>
                </c:pt>
                <c:pt idx="1942">
                  <c:v>41170</c:v>
                </c:pt>
                <c:pt idx="1943">
                  <c:v>41171</c:v>
                </c:pt>
                <c:pt idx="1944">
                  <c:v>41172</c:v>
                </c:pt>
                <c:pt idx="1945">
                  <c:v>41173</c:v>
                </c:pt>
                <c:pt idx="1946">
                  <c:v>41176</c:v>
                </c:pt>
                <c:pt idx="1947">
                  <c:v>41177</c:v>
                </c:pt>
                <c:pt idx="1948">
                  <c:v>41178</c:v>
                </c:pt>
                <c:pt idx="1949">
                  <c:v>41179</c:v>
                </c:pt>
                <c:pt idx="1950">
                  <c:v>41180</c:v>
                </c:pt>
                <c:pt idx="1951">
                  <c:v>41183</c:v>
                </c:pt>
                <c:pt idx="1952">
                  <c:v>41184</c:v>
                </c:pt>
                <c:pt idx="1953">
                  <c:v>41185</c:v>
                </c:pt>
                <c:pt idx="1954">
                  <c:v>41186</c:v>
                </c:pt>
                <c:pt idx="1955">
                  <c:v>41187</c:v>
                </c:pt>
                <c:pt idx="1956">
                  <c:v>41190</c:v>
                </c:pt>
                <c:pt idx="1957">
                  <c:v>41191</c:v>
                </c:pt>
                <c:pt idx="1958">
                  <c:v>41192</c:v>
                </c:pt>
                <c:pt idx="1959">
                  <c:v>41193</c:v>
                </c:pt>
                <c:pt idx="1960">
                  <c:v>41194</c:v>
                </c:pt>
                <c:pt idx="1961">
                  <c:v>41197</c:v>
                </c:pt>
                <c:pt idx="1962">
                  <c:v>41198</c:v>
                </c:pt>
                <c:pt idx="1963">
                  <c:v>41199</c:v>
                </c:pt>
                <c:pt idx="1964">
                  <c:v>41200</c:v>
                </c:pt>
                <c:pt idx="1965">
                  <c:v>41201</c:v>
                </c:pt>
                <c:pt idx="1966">
                  <c:v>41204</c:v>
                </c:pt>
                <c:pt idx="1967">
                  <c:v>41205</c:v>
                </c:pt>
                <c:pt idx="1968">
                  <c:v>41206</c:v>
                </c:pt>
                <c:pt idx="1969">
                  <c:v>41207</c:v>
                </c:pt>
                <c:pt idx="1970">
                  <c:v>41208</c:v>
                </c:pt>
                <c:pt idx="1971">
                  <c:v>41213</c:v>
                </c:pt>
                <c:pt idx="1972">
                  <c:v>41214</c:v>
                </c:pt>
                <c:pt idx="1973">
                  <c:v>41215</c:v>
                </c:pt>
                <c:pt idx="1974">
                  <c:v>41218</c:v>
                </c:pt>
                <c:pt idx="1975">
                  <c:v>41219</c:v>
                </c:pt>
                <c:pt idx="1976">
                  <c:v>41220</c:v>
                </c:pt>
                <c:pt idx="1977">
                  <c:v>41221</c:v>
                </c:pt>
                <c:pt idx="1978">
                  <c:v>41222</c:v>
                </c:pt>
                <c:pt idx="1979">
                  <c:v>41225</c:v>
                </c:pt>
                <c:pt idx="1980">
                  <c:v>41226</c:v>
                </c:pt>
                <c:pt idx="1981">
                  <c:v>41227</c:v>
                </c:pt>
                <c:pt idx="1982">
                  <c:v>41228</c:v>
                </c:pt>
                <c:pt idx="1983">
                  <c:v>41229</c:v>
                </c:pt>
                <c:pt idx="1984">
                  <c:v>41232</c:v>
                </c:pt>
                <c:pt idx="1985">
                  <c:v>41233</c:v>
                </c:pt>
                <c:pt idx="1986">
                  <c:v>41234</c:v>
                </c:pt>
                <c:pt idx="1987">
                  <c:v>41236</c:v>
                </c:pt>
                <c:pt idx="1988">
                  <c:v>41239</c:v>
                </c:pt>
                <c:pt idx="1989">
                  <c:v>41240</c:v>
                </c:pt>
                <c:pt idx="1990">
                  <c:v>41241</c:v>
                </c:pt>
                <c:pt idx="1991">
                  <c:v>41242</c:v>
                </c:pt>
                <c:pt idx="1992">
                  <c:v>41243</c:v>
                </c:pt>
                <c:pt idx="1993">
                  <c:v>41246</c:v>
                </c:pt>
                <c:pt idx="1994">
                  <c:v>41247</c:v>
                </c:pt>
                <c:pt idx="1995">
                  <c:v>41248</c:v>
                </c:pt>
                <c:pt idx="1996">
                  <c:v>41249</c:v>
                </c:pt>
                <c:pt idx="1997">
                  <c:v>41250</c:v>
                </c:pt>
                <c:pt idx="1998">
                  <c:v>41253</c:v>
                </c:pt>
                <c:pt idx="1999">
                  <c:v>41254</c:v>
                </c:pt>
                <c:pt idx="2000">
                  <c:v>41255</c:v>
                </c:pt>
                <c:pt idx="2001">
                  <c:v>41256</c:v>
                </c:pt>
                <c:pt idx="2002">
                  <c:v>41257</c:v>
                </c:pt>
                <c:pt idx="2003">
                  <c:v>41260</c:v>
                </c:pt>
                <c:pt idx="2004">
                  <c:v>41261</c:v>
                </c:pt>
                <c:pt idx="2005">
                  <c:v>41262</c:v>
                </c:pt>
                <c:pt idx="2006">
                  <c:v>41263</c:v>
                </c:pt>
                <c:pt idx="2007">
                  <c:v>41264</c:v>
                </c:pt>
                <c:pt idx="2008">
                  <c:v>41267</c:v>
                </c:pt>
                <c:pt idx="2009">
                  <c:v>41269</c:v>
                </c:pt>
                <c:pt idx="2010">
                  <c:v>41270</c:v>
                </c:pt>
                <c:pt idx="2011">
                  <c:v>41271</c:v>
                </c:pt>
                <c:pt idx="2012">
                  <c:v>41274</c:v>
                </c:pt>
                <c:pt idx="2013">
                  <c:v>41276</c:v>
                </c:pt>
                <c:pt idx="2014">
                  <c:v>41277</c:v>
                </c:pt>
                <c:pt idx="2015">
                  <c:v>41278</c:v>
                </c:pt>
                <c:pt idx="2016">
                  <c:v>41281</c:v>
                </c:pt>
                <c:pt idx="2017">
                  <c:v>41282</c:v>
                </c:pt>
                <c:pt idx="2018">
                  <c:v>41283</c:v>
                </c:pt>
                <c:pt idx="2019">
                  <c:v>41284</c:v>
                </c:pt>
                <c:pt idx="2020">
                  <c:v>41285</c:v>
                </c:pt>
                <c:pt idx="2021">
                  <c:v>41288</c:v>
                </c:pt>
                <c:pt idx="2022">
                  <c:v>41289</c:v>
                </c:pt>
                <c:pt idx="2023">
                  <c:v>41290</c:v>
                </c:pt>
                <c:pt idx="2024">
                  <c:v>41291</c:v>
                </c:pt>
                <c:pt idx="2025">
                  <c:v>41292</c:v>
                </c:pt>
                <c:pt idx="2026">
                  <c:v>41296</c:v>
                </c:pt>
                <c:pt idx="2027">
                  <c:v>41297</c:v>
                </c:pt>
                <c:pt idx="2028">
                  <c:v>41298</c:v>
                </c:pt>
                <c:pt idx="2029">
                  <c:v>41299</c:v>
                </c:pt>
                <c:pt idx="2030">
                  <c:v>41302</c:v>
                </c:pt>
                <c:pt idx="2031">
                  <c:v>41303</c:v>
                </c:pt>
                <c:pt idx="2032">
                  <c:v>41304</c:v>
                </c:pt>
                <c:pt idx="2033">
                  <c:v>41305</c:v>
                </c:pt>
                <c:pt idx="2034">
                  <c:v>41306</c:v>
                </c:pt>
                <c:pt idx="2035">
                  <c:v>41309</c:v>
                </c:pt>
                <c:pt idx="2036">
                  <c:v>41310</c:v>
                </c:pt>
                <c:pt idx="2037">
                  <c:v>41311</c:v>
                </c:pt>
                <c:pt idx="2038">
                  <c:v>41312</c:v>
                </c:pt>
                <c:pt idx="2039">
                  <c:v>41313</c:v>
                </c:pt>
                <c:pt idx="2040">
                  <c:v>41316</c:v>
                </c:pt>
                <c:pt idx="2041">
                  <c:v>41317</c:v>
                </c:pt>
                <c:pt idx="2042">
                  <c:v>41318</c:v>
                </c:pt>
                <c:pt idx="2043">
                  <c:v>41319</c:v>
                </c:pt>
                <c:pt idx="2044">
                  <c:v>41320</c:v>
                </c:pt>
                <c:pt idx="2045">
                  <c:v>41324</c:v>
                </c:pt>
                <c:pt idx="2046">
                  <c:v>41325</c:v>
                </c:pt>
                <c:pt idx="2047">
                  <c:v>41326</c:v>
                </c:pt>
                <c:pt idx="2048">
                  <c:v>41327</c:v>
                </c:pt>
                <c:pt idx="2049">
                  <c:v>41330</c:v>
                </c:pt>
                <c:pt idx="2050">
                  <c:v>41331</c:v>
                </c:pt>
                <c:pt idx="2051">
                  <c:v>41332</c:v>
                </c:pt>
                <c:pt idx="2052">
                  <c:v>41333</c:v>
                </c:pt>
                <c:pt idx="2053">
                  <c:v>41334</c:v>
                </c:pt>
                <c:pt idx="2054">
                  <c:v>41337</c:v>
                </c:pt>
                <c:pt idx="2055">
                  <c:v>41338</c:v>
                </c:pt>
                <c:pt idx="2056">
                  <c:v>41339</c:v>
                </c:pt>
                <c:pt idx="2057">
                  <c:v>41340</c:v>
                </c:pt>
                <c:pt idx="2058">
                  <c:v>41341</c:v>
                </c:pt>
                <c:pt idx="2059">
                  <c:v>41344</c:v>
                </c:pt>
                <c:pt idx="2060">
                  <c:v>41345</c:v>
                </c:pt>
                <c:pt idx="2061">
                  <c:v>41346</c:v>
                </c:pt>
                <c:pt idx="2062">
                  <c:v>41347</c:v>
                </c:pt>
                <c:pt idx="2063">
                  <c:v>41348</c:v>
                </c:pt>
                <c:pt idx="2064">
                  <c:v>41351</c:v>
                </c:pt>
                <c:pt idx="2065">
                  <c:v>41352</c:v>
                </c:pt>
                <c:pt idx="2066">
                  <c:v>41353</c:v>
                </c:pt>
                <c:pt idx="2067">
                  <c:v>41354</c:v>
                </c:pt>
                <c:pt idx="2068">
                  <c:v>41355</c:v>
                </c:pt>
                <c:pt idx="2069">
                  <c:v>41358</c:v>
                </c:pt>
                <c:pt idx="2070">
                  <c:v>41359</c:v>
                </c:pt>
                <c:pt idx="2071">
                  <c:v>41360</c:v>
                </c:pt>
                <c:pt idx="2072">
                  <c:v>41361</c:v>
                </c:pt>
                <c:pt idx="2073">
                  <c:v>41365</c:v>
                </c:pt>
                <c:pt idx="2074">
                  <c:v>41366</c:v>
                </c:pt>
                <c:pt idx="2075">
                  <c:v>41367</c:v>
                </c:pt>
                <c:pt idx="2076">
                  <c:v>41368</c:v>
                </c:pt>
                <c:pt idx="2077">
                  <c:v>41369</c:v>
                </c:pt>
                <c:pt idx="2078">
                  <c:v>41372</c:v>
                </c:pt>
                <c:pt idx="2079">
                  <c:v>41373</c:v>
                </c:pt>
                <c:pt idx="2080">
                  <c:v>41374</c:v>
                </c:pt>
                <c:pt idx="2081">
                  <c:v>41375</c:v>
                </c:pt>
                <c:pt idx="2082">
                  <c:v>41376</c:v>
                </c:pt>
                <c:pt idx="2083">
                  <c:v>41379</c:v>
                </c:pt>
                <c:pt idx="2084">
                  <c:v>41380</c:v>
                </c:pt>
                <c:pt idx="2085">
                  <c:v>41381</c:v>
                </c:pt>
                <c:pt idx="2086">
                  <c:v>41382</c:v>
                </c:pt>
                <c:pt idx="2087">
                  <c:v>41383</c:v>
                </c:pt>
                <c:pt idx="2088">
                  <c:v>41386</c:v>
                </c:pt>
                <c:pt idx="2089">
                  <c:v>41387</c:v>
                </c:pt>
                <c:pt idx="2090">
                  <c:v>41388</c:v>
                </c:pt>
                <c:pt idx="2091">
                  <c:v>41389</c:v>
                </c:pt>
                <c:pt idx="2092">
                  <c:v>41390</c:v>
                </c:pt>
                <c:pt idx="2093">
                  <c:v>41393</c:v>
                </c:pt>
                <c:pt idx="2094">
                  <c:v>41394</c:v>
                </c:pt>
                <c:pt idx="2095">
                  <c:v>41395</c:v>
                </c:pt>
                <c:pt idx="2096">
                  <c:v>41396</c:v>
                </c:pt>
                <c:pt idx="2097">
                  <c:v>41397</c:v>
                </c:pt>
                <c:pt idx="2098">
                  <c:v>41400</c:v>
                </c:pt>
                <c:pt idx="2099">
                  <c:v>41401</c:v>
                </c:pt>
                <c:pt idx="2100">
                  <c:v>41402</c:v>
                </c:pt>
                <c:pt idx="2101">
                  <c:v>41403</c:v>
                </c:pt>
                <c:pt idx="2102">
                  <c:v>41404</c:v>
                </c:pt>
                <c:pt idx="2103">
                  <c:v>41407</c:v>
                </c:pt>
                <c:pt idx="2104">
                  <c:v>41408</c:v>
                </c:pt>
                <c:pt idx="2105">
                  <c:v>41409</c:v>
                </c:pt>
                <c:pt idx="2106">
                  <c:v>41410</c:v>
                </c:pt>
                <c:pt idx="2107">
                  <c:v>41411</c:v>
                </c:pt>
                <c:pt idx="2108">
                  <c:v>41414</c:v>
                </c:pt>
                <c:pt idx="2109">
                  <c:v>41415</c:v>
                </c:pt>
                <c:pt idx="2110">
                  <c:v>41416</c:v>
                </c:pt>
                <c:pt idx="2111">
                  <c:v>41417</c:v>
                </c:pt>
                <c:pt idx="2112">
                  <c:v>41418</c:v>
                </c:pt>
                <c:pt idx="2113">
                  <c:v>41422</c:v>
                </c:pt>
                <c:pt idx="2114">
                  <c:v>41423</c:v>
                </c:pt>
                <c:pt idx="2115">
                  <c:v>41424</c:v>
                </c:pt>
                <c:pt idx="2116">
                  <c:v>41425</c:v>
                </c:pt>
                <c:pt idx="2117">
                  <c:v>41428</c:v>
                </c:pt>
                <c:pt idx="2118">
                  <c:v>41429</c:v>
                </c:pt>
                <c:pt idx="2119">
                  <c:v>41430</c:v>
                </c:pt>
                <c:pt idx="2120">
                  <c:v>41431</c:v>
                </c:pt>
                <c:pt idx="2121">
                  <c:v>41432</c:v>
                </c:pt>
                <c:pt idx="2122">
                  <c:v>41435</c:v>
                </c:pt>
                <c:pt idx="2123">
                  <c:v>41436</c:v>
                </c:pt>
                <c:pt idx="2124">
                  <c:v>41437</c:v>
                </c:pt>
                <c:pt idx="2125">
                  <c:v>41438</c:v>
                </c:pt>
                <c:pt idx="2126">
                  <c:v>41439</c:v>
                </c:pt>
                <c:pt idx="2127">
                  <c:v>41442</c:v>
                </c:pt>
                <c:pt idx="2128">
                  <c:v>41443</c:v>
                </c:pt>
                <c:pt idx="2129">
                  <c:v>41444</c:v>
                </c:pt>
                <c:pt idx="2130">
                  <c:v>41445</c:v>
                </c:pt>
                <c:pt idx="2131">
                  <c:v>41446</c:v>
                </c:pt>
                <c:pt idx="2132">
                  <c:v>41449</c:v>
                </c:pt>
                <c:pt idx="2133">
                  <c:v>41450</c:v>
                </c:pt>
                <c:pt idx="2134">
                  <c:v>41451</c:v>
                </c:pt>
                <c:pt idx="2135">
                  <c:v>41452</c:v>
                </c:pt>
                <c:pt idx="2136">
                  <c:v>41453</c:v>
                </c:pt>
                <c:pt idx="2137">
                  <c:v>41456</c:v>
                </c:pt>
                <c:pt idx="2138">
                  <c:v>41457</c:v>
                </c:pt>
                <c:pt idx="2139">
                  <c:v>41458</c:v>
                </c:pt>
                <c:pt idx="2140">
                  <c:v>41460</c:v>
                </c:pt>
                <c:pt idx="2141">
                  <c:v>41463</c:v>
                </c:pt>
                <c:pt idx="2142">
                  <c:v>41464</c:v>
                </c:pt>
                <c:pt idx="2143">
                  <c:v>41465</c:v>
                </c:pt>
                <c:pt idx="2144">
                  <c:v>41466</c:v>
                </c:pt>
                <c:pt idx="2145">
                  <c:v>41467</c:v>
                </c:pt>
                <c:pt idx="2146">
                  <c:v>41470</c:v>
                </c:pt>
                <c:pt idx="2147">
                  <c:v>41471</c:v>
                </c:pt>
                <c:pt idx="2148">
                  <c:v>41472</c:v>
                </c:pt>
                <c:pt idx="2149">
                  <c:v>41473</c:v>
                </c:pt>
                <c:pt idx="2150">
                  <c:v>41474</c:v>
                </c:pt>
                <c:pt idx="2151">
                  <c:v>41477</c:v>
                </c:pt>
                <c:pt idx="2152">
                  <c:v>41478</c:v>
                </c:pt>
                <c:pt idx="2153">
                  <c:v>41479</c:v>
                </c:pt>
                <c:pt idx="2154">
                  <c:v>41480</c:v>
                </c:pt>
                <c:pt idx="2155">
                  <c:v>41481</c:v>
                </c:pt>
                <c:pt idx="2156">
                  <c:v>41484</c:v>
                </c:pt>
                <c:pt idx="2157">
                  <c:v>41485</c:v>
                </c:pt>
                <c:pt idx="2158">
                  <c:v>41486</c:v>
                </c:pt>
                <c:pt idx="2159">
                  <c:v>41487</c:v>
                </c:pt>
                <c:pt idx="2160">
                  <c:v>41488</c:v>
                </c:pt>
                <c:pt idx="2161">
                  <c:v>41491</c:v>
                </c:pt>
                <c:pt idx="2162">
                  <c:v>41492</c:v>
                </c:pt>
                <c:pt idx="2163">
                  <c:v>41493</c:v>
                </c:pt>
                <c:pt idx="2164">
                  <c:v>41494</c:v>
                </c:pt>
                <c:pt idx="2165">
                  <c:v>41495</c:v>
                </c:pt>
                <c:pt idx="2166">
                  <c:v>41498</c:v>
                </c:pt>
                <c:pt idx="2167">
                  <c:v>41499</c:v>
                </c:pt>
                <c:pt idx="2168">
                  <c:v>41500</c:v>
                </c:pt>
                <c:pt idx="2169">
                  <c:v>41501</c:v>
                </c:pt>
                <c:pt idx="2170">
                  <c:v>41502</c:v>
                </c:pt>
                <c:pt idx="2171">
                  <c:v>41505</c:v>
                </c:pt>
                <c:pt idx="2172">
                  <c:v>41506</c:v>
                </c:pt>
                <c:pt idx="2173">
                  <c:v>41507</c:v>
                </c:pt>
                <c:pt idx="2174">
                  <c:v>41508</c:v>
                </c:pt>
                <c:pt idx="2175">
                  <c:v>41509</c:v>
                </c:pt>
                <c:pt idx="2176">
                  <c:v>41512</c:v>
                </c:pt>
                <c:pt idx="2177">
                  <c:v>41513</c:v>
                </c:pt>
                <c:pt idx="2178">
                  <c:v>41514</c:v>
                </c:pt>
                <c:pt idx="2179">
                  <c:v>41515</c:v>
                </c:pt>
                <c:pt idx="2180">
                  <c:v>41516</c:v>
                </c:pt>
                <c:pt idx="2181">
                  <c:v>41520</c:v>
                </c:pt>
                <c:pt idx="2182">
                  <c:v>41521</c:v>
                </c:pt>
                <c:pt idx="2183">
                  <c:v>41522</c:v>
                </c:pt>
                <c:pt idx="2184">
                  <c:v>41523</c:v>
                </c:pt>
                <c:pt idx="2185">
                  <c:v>41526</c:v>
                </c:pt>
                <c:pt idx="2186">
                  <c:v>41527</c:v>
                </c:pt>
                <c:pt idx="2187">
                  <c:v>41528</c:v>
                </c:pt>
                <c:pt idx="2188">
                  <c:v>41529</c:v>
                </c:pt>
                <c:pt idx="2189">
                  <c:v>41530</c:v>
                </c:pt>
                <c:pt idx="2190">
                  <c:v>41533</c:v>
                </c:pt>
                <c:pt idx="2191">
                  <c:v>41534</c:v>
                </c:pt>
                <c:pt idx="2192">
                  <c:v>41535</c:v>
                </c:pt>
                <c:pt idx="2193">
                  <c:v>41536</c:v>
                </c:pt>
                <c:pt idx="2194">
                  <c:v>41537</c:v>
                </c:pt>
                <c:pt idx="2195">
                  <c:v>41540</c:v>
                </c:pt>
                <c:pt idx="2196">
                  <c:v>41541</c:v>
                </c:pt>
                <c:pt idx="2197">
                  <c:v>41542</c:v>
                </c:pt>
                <c:pt idx="2198">
                  <c:v>41543</c:v>
                </c:pt>
                <c:pt idx="2199">
                  <c:v>41544</c:v>
                </c:pt>
                <c:pt idx="2200">
                  <c:v>41547</c:v>
                </c:pt>
                <c:pt idx="2201">
                  <c:v>41548</c:v>
                </c:pt>
                <c:pt idx="2202">
                  <c:v>41549</c:v>
                </c:pt>
                <c:pt idx="2203">
                  <c:v>41550</c:v>
                </c:pt>
                <c:pt idx="2204">
                  <c:v>41551</c:v>
                </c:pt>
                <c:pt idx="2205">
                  <c:v>41554</c:v>
                </c:pt>
                <c:pt idx="2206">
                  <c:v>41555</c:v>
                </c:pt>
                <c:pt idx="2207">
                  <c:v>41556</c:v>
                </c:pt>
                <c:pt idx="2208">
                  <c:v>41557</c:v>
                </c:pt>
                <c:pt idx="2209">
                  <c:v>41558</c:v>
                </c:pt>
                <c:pt idx="2210">
                  <c:v>41561</c:v>
                </c:pt>
                <c:pt idx="2211">
                  <c:v>41562</c:v>
                </c:pt>
                <c:pt idx="2212">
                  <c:v>41563</c:v>
                </c:pt>
                <c:pt idx="2213">
                  <c:v>41564</c:v>
                </c:pt>
                <c:pt idx="2214">
                  <c:v>41565</c:v>
                </c:pt>
                <c:pt idx="2215">
                  <c:v>41568</c:v>
                </c:pt>
                <c:pt idx="2216">
                  <c:v>41569</c:v>
                </c:pt>
                <c:pt idx="2217">
                  <c:v>41570</c:v>
                </c:pt>
                <c:pt idx="2218">
                  <c:v>41571</c:v>
                </c:pt>
                <c:pt idx="2219">
                  <c:v>41572</c:v>
                </c:pt>
                <c:pt idx="2220">
                  <c:v>41575</c:v>
                </c:pt>
                <c:pt idx="2221">
                  <c:v>41576</c:v>
                </c:pt>
                <c:pt idx="2222">
                  <c:v>41577</c:v>
                </c:pt>
                <c:pt idx="2223">
                  <c:v>41578</c:v>
                </c:pt>
                <c:pt idx="2224">
                  <c:v>41579</c:v>
                </c:pt>
                <c:pt idx="2225">
                  <c:v>41582</c:v>
                </c:pt>
                <c:pt idx="2226">
                  <c:v>41583</c:v>
                </c:pt>
                <c:pt idx="2227">
                  <c:v>41584</c:v>
                </c:pt>
                <c:pt idx="2228">
                  <c:v>41585</c:v>
                </c:pt>
                <c:pt idx="2229">
                  <c:v>41586</c:v>
                </c:pt>
                <c:pt idx="2230">
                  <c:v>41589</c:v>
                </c:pt>
                <c:pt idx="2231">
                  <c:v>41590</c:v>
                </c:pt>
                <c:pt idx="2232">
                  <c:v>41591</c:v>
                </c:pt>
                <c:pt idx="2233">
                  <c:v>41592</c:v>
                </c:pt>
                <c:pt idx="2234">
                  <c:v>41593</c:v>
                </c:pt>
                <c:pt idx="2235">
                  <c:v>41596</c:v>
                </c:pt>
                <c:pt idx="2236">
                  <c:v>41597</c:v>
                </c:pt>
                <c:pt idx="2237">
                  <c:v>41598</c:v>
                </c:pt>
                <c:pt idx="2238">
                  <c:v>41599</c:v>
                </c:pt>
                <c:pt idx="2239">
                  <c:v>41600</c:v>
                </c:pt>
                <c:pt idx="2240">
                  <c:v>41603</c:v>
                </c:pt>
                <c:pt idx="2241">
                  <c:v>41604</c:v>
                </c:pt>
                <c:pt idx="2242">
                  <c:v>41605</c:v>
                </c:pt>
                <c:pt idx="2243">
                  <c:v>41607</c:v>
                </c:pt>
                <c:pt idx="2244">
                  <c:v>41610</c:v>
                </c:pt>
                <c:pt idx="2245">
                  <c:v>41611</c:v>
                </c:pt>
                <c:pt idx="2246">
                  <c:v>41612</c:v>
                </c:pt>
                <c:pt idx="2247">
                  <c:v>41613</c:v>
                </c:pt>
                <c:pt idx="2248">
                  <c:v>41614</c:v>
                </c:pt>
                <c:pt idx="2249">
                  <c:v>41617</c:v>
                </c:pt>
                <c:pt idx="2250">
                  <c:v>41618</c:v>
                </c:pt>
                <c:pt idx="2251">
                  <c:v>41619</c:v>
                </c:pt>
                <c:pt idx="2252">
                  <c:v>41620</c:v>
                </c:pt>
                <c:pt idx="2253">
                  <c:v>41621</c:v>
                </c:pt>
                <c:pt idx="2254">
                  <c:v>41624</c:v>
                </c:pt>
                <c:pt idx="2255">
                  <c:v>41625</c:v>
                </c:pt>
                <c:pt idx="2256">
                  <c:v>41626</c:v>
                </c:pt>
                <c:pt idx="2257">
                  <c:v>41627</c:v>
                </c:pt>
                <c:pt idx="2258">
                  <c:v>41628</c:v>
                </c:pt>
                <c:pt idx="2259">
                  <c:v>41631</c:v>
                </c:pt>
                <c:pt idx="2260">
                  <c:v>41632</c:v>
                </c:pt>
                <c:pt idx="2261">
                  <c:v>41634</c:v>
                </c:pt>
                <c:pt idx="2262">
                  <c:v>41635</c:v>
                </c:pt>
                <c:pt idx="2263">
                  <c:v>41638</c:v>
                </c:pt>
                <c:pt idx="2264">
                  <c:v>41639</c:v>
                </c:pt>
                <c:pt idx="2265">
                  <c:v>41641</c:v>
                </c:pt>
                <c:pt idx="2266">
                  <c:v>41642</c:v>
                </c:pt>
                <c:pt idx="2267">
                  <c:v>41645</c:v>
                </c:pt>
                <c:pt idx="2268">
                  <c:v>41646</c:v>
                </c:pt>
                <c:pt idx="2269">
                  <c:v>41647</c:v>
                </c:pt>
                <c:pt idx="2270">
                  <c:v>41648</c:v>
                </c:pt>
                <c:pt idx="2271">
                  <c:v>41649</c:v>
                </c:pt>
                <c:pt idx="2272">
                  <c:v>41652</c:v>
                </c:pt>
                <c:pt idx="2273">
                  <c:v>41653</c:v>
                </c:pt>
                <c:pt idx="2274">
                  <c:v>41654</c:v>
                </c:pt>
                <c:pt idx="2275">
                  <c:v>41655</c:v>
                </c:pt>
                <c:pt idx="2276">
                  <c:v>41656</c:v>
                </c:pt>
                <c:pt idx="2277">
                  <c:v>41660</c:v>
                </c:pt>
                <c:pt idx="2278">
                  <c:v>41661</c:v>
                </c:pt>
                <c:pt idx="2279">
                  <c:v>41662</c:v>
                </c:pt>
                <c:pt idx="2280">
                  <c:v>41663</c:v>
                </c:pt>
                <c:pt idx="2281">
                  <c:v>41666</c:v>
                </c:pt>
                <c:pt idx="2282">
                  <c:v>41667</c:v>
                </c:pt>
                <c:pt idx="2283">
                  <c:v>41668</c:v>
                </c:pt>
                <c:pt idx="2284">
                  <c:v>41669</c:v>
                </c:pt>
                <c:pt idx="2285">
                  <c:v>41670</c:v>
                </c:pt>
                <c:pt idx="2286">
                  <c:v>41673</c:v>
                </c:pt>
                <c:pt idx="2287">
                  <c:v>41674</c:v>
                </c:pt>
                <c:pt idx="2288">
                  <c:v>41675</c:v>
                </c:pt>
                <c:pt idx="2289">
                  <c:v>41676</c:v>
                </c:pt>
                <c:pt idx="2290">
                  <c:v>41677</c:v>
                </c:pt>
                <c:pt idx="2291">
                  <c:v>41680</c:v>
                </c:pt>
                <c:pt idx="2292">
                  <c:v>41681</c:v>
                </c:pt>
                <c:pt idx="2293">
                  <c:v>41682</c:v>
                </c:pt>
                <c:pt idx="2294">
                  <c:v>41683</c:v>
                </c:pt>
                <c:pt idx="2295">
                  <c:v>41684</c:v>
                </c:pt>
                <c:pt idx="2296">
                  <c:v>41688</c:v>
                </c:pt>
                <c:pt idx="2297">
                  <c:v>41689</c:v>
                </c:pt>
                <c:pt idx="2298">
                  <c:v>41690</c:v>
                </c:pt>
                <c:pt idx="2299">
                  <c:v>41691</c:v>
                </c:pt>
                <c:pt idx="2300">
                  <c:v>41694</c:v>
                </c:pt>
                <c:pt idx="2301">
                  <c:v>41695</c:v>
                </c:pt>
                <c:pt idx="2302">
                  <c:v>41696</c:v>
                </c:pt>
                <c:pt idx="2303">
                  <c:v>41697</c:v>
                </c:pt>
                <c:pt idx="2304">
                  <c:v>41698</c:v>
                </c:pt>
                <c:pt idx="2305">
                  <c:v>41701</c:v>
                </c:pt>
                <c:pt idx="2306">
                  <c:v>41702</c:v>
                </c:pt>
                <c:pt idx="2307">
                  <c:v>41703</c:v>
                </c:pt>
                <c:pt idx="2308">
                  <c:v>41704</c:v>
                </c:pt>
                <c:pt idx="2309">
                  <c:v>41705</c:v>
                </c:pt>
                <c:pt idx="2310">
                  <c:v>41708</c:v>
                </c:pt>
                <c:pt idx="2311">
                  <c:v>41709</c:v>
                </c:pt>
                <c:pt idx="2312">
                  <c:v>41710</c:v>
                </c:pt>
                <c:pt idx="2313">
                  <c:v>41711</c:v>
                </c:pt>
                <c:pt idx="2314">
                  <c:v>41712</c:v>
                </c:pt>
                <c:pt idx="2315">
                  <c:v>41715</c:v>
                </c:pt>
                <c:pt idx="2316">
                  <c:v>41716</c:v>
                </c:pt>
                <c:pt idx="2317">
                  <c:v>41717</c:v>
                </c:pt>
                <c:pt idx="2318">
                  <c:v>41718</c:v>
                </c:pt>
                <c:pt idx="2319">
                  <c:v>41719</c:v>
                </c:pt>
                <c:pt idx="2320">
                  <c:v>41722</c:v>
                </c:pt>
                <c:pt idx="2321">
                  <c:v>41723</c:v>
                </c:pt>
                <c:pt idx="2322">
                  <c:v>41724</c:v>
                </c:pt>
                <c:pt idx="2323">
                  <c:v>41725</c:v>
                </c:pt>
                <c:pt idx="2324">
                  <c:v>41726</c:v>
                </c:pt>
                <c:pt idx="2325">
                  <c:v>41729</c:v>
                </c:pt>
                <c:pt idx="2326">
                  <c:v>41730</c:v>
                </c:pt>
                <c:pt idx="2327">
                  <c:v>41731</c:v>
                </c:pt>
                <c:pt idx="2328">
                  <c:v>41732</c:v>
                </c:pt>
                <c:pt idx="2329">
                  <c:v>41733</c:v>
                </c:pt>
                <c:pt idx="2330">
                  <c:v>41736</c:v>
                </c:pt>
                <c:pt idx="2331">
                  <c:v>41737</c:v>
                </c:pt>
                <c:pt idx="2332">
                  <c:v>41738</c:v>
                </c:pt>
                <c:pt idx="2333">
                  <c:v>41739</c:v>
                </c:pt>
                <c:pt idx="2334">
                  <c:v>41740</c:v>
                </c:pt>
                <c:pt idx="2335">
                  <c:v>41743</c:v>
                </c:pt>
                <c:pt idx="2336">
                  <c:v>41744</c:v>
                </c:pt>
                <c:pt idx="2337">
                  <c:v>41745</c:v>
                </c:pt>
                <c:pt idx="2338">
                  <c:v>41746</c:v>
                </c:pt>
                <c:pt idx="2339">
                  <c:v>41750</c:v>
                </c:pt>
                <c:pt idx="2340">
                  <c:v>41751</c:v>
                </c:pt>
                <c:pt idx="2341">
                  <c:v>41752</c:v>
                </c:pt>
                <c:pt idx="2342">
                  <c:v>41753</c:v>
                </c:pt>
                <c:pt idx="2343">
                  <c:v>41754</c:v>
                </c:pt>
                <c:pt idx="2344">
                  <c:v>41757</c:v>
                </c:pt>
                <c:pt idx="2345">
                  <c:v>41758</c:v>
                </c:pt>
                <c:pt idx="2346">
                  <c:v>41759</c:v>
                </c:pt>
                <c:pt idx="2347">
                  <c:v>41760</c:v>
                </c:pt>
                <c:pt idx="2348">
                  <c:v>41761</c:v>
                </c:pt>
                <c:pt idx="2349">
                  <c:v>41764</c:v>
                </c:pt>
                <c:pt idx="2350">
                  <c:v>41765</c:v>
                </c:pt>
                <c:pt idx="2351">
                  <c:v>41766</c:v>
                </c:pt>
                <c:pt idx="2352">
                  <c:v>41767</c:v>
                </c:pt>
                <c:pt idx="2353">
                  <c:v>41768</c:v>
                </c:pt>
                <c:pt idx="2354">
                  <c:v>41771</c:v>
                </c:pt>
                <c:pt idx="2355">
                  <c:v>41772</c:v>
                </c:pt>
                <c:pt idx="2356">
                  <c:v>41773</c:v>
                </c:pt>
                <c:pt idx="2357">
                  <c:v>41774</c:v>
                </c:pt>
                <c:pt idx="2358">
                  <c:v>41775</c:v>
                </c:pt>
                <c:pt idx="2359">
                  <c:v>41778</c:v>
                </c:pt>
                <c:pt idx="2360">
                  <c:v>41779</c:v>
                </c:pt>
                <c:pt idx="2361">
                  <c:v>41780</c:v>
                </c:pt>
                <c:pt idx="2362">
                  <c:v>41781</c:v>
                </c:pt>
                <c:pt idx="2363">
                  <c:v>41782</c:v>
                </c:pt>
                <c:pt idx="2364">
                  <c:v>41786</c:v>
                </c:pt>
                <c:pt idx="2365">
                  <c:v>41787</c:v>
                </c:pt>
                <c:pt idx="2366">
                  <c:v>41788</c:v>
                </c:pt>
                <c:pt idx="2367">
                  <c:v>41789</c:v>
                </c:pt>
                <c:pt idx="2368">
                  <c:v>41792</c:v>
                </c:pt>
                <c:pt idx="2369">
                  <c:v>41793</c:v>
                </c:pt>
                <c:pt idx="2370">
                  <c:v>41794</c:v>
                </c:pt>
                <c:pt idx="2371">
                  <c:v>41795</c:v>
                </c:pt>
                <c:pt idx="2372">
                  <c:v>41796</c:v>
                </c:pt>
                <c:pt idx="2373">
                  <c:v>41799</c:v>
                </c:pt>
                <c:pt idx="2374">
                  <c:v>41800</c:v>
                </c:pt>
                <c:pt idx="2375">
                  <c:v>41801</c:v>
                </c:pt>
                <c:pt idx="2376">
                  <c:v>41802</c:v>
                </c:pt>
                <c:pt idx="2377">
                  <c:v>41803</c:v>
                </c:pt>
                <c:pt idx="2378">
                  <c:v>41806</c:v>
                </c:pt>
                <c:pt idx="2379">
                  <c:v>41807</c:v>
                </c:pt>
                <c:pt idx="2380">
                  <c:v>41808</c:v>
                </c:pt>
                <c:pt idx="2381">
                  <c:v>41809</c:v>
                </c:pt>
                <c:pt idx="2382">
                  <c:v>41810</c:v>
                </c:pt>
                <c:pt idx="2383">
                  <c:v>41813</c:v>
                </c:pt>
                <c:pt idx="2384">
                  <c:v>41814</c:v>
                </c:pt>
                <c:pt idx="2385">
                  <c:v>41815</c:v>
                </c:pt>
                <c:pt idx="2386">
                  <c:v>41816</c:v>
                </c:pt>
                <c:pt idx="2387">
                  <c:v>41817</c:v>
                </c:pt>
                <c:pt idx="2388">
                  <c:v>41820</c:v>
                </c:pt>
                <c:pt idx="2389">
                  <c:v>41821</c:v>
                </c:pt>
                <c:pt idx="2390">
                  <c:v>41822</c:v>
                </c:pt>
                <c:pt idx="2391">
                  <c:v>41823</c:v>
                </c:pt>
                <c:pt idx="2392">
                  <c:v>41827</c:v>
                </c:pt>
                <c:pt idx="2393">
                  <c:v>41828</c:v>
                </c:pt>
                <c:pt idx="2394">
                  <c:v>41829</c:v>
                </c:pt>
                <c:pt idx="2395">
                  <c:v>41830</c:v>
                </c:pt>
                <c:pt idx="2396">
                  <c:v>41831</c:v>
                </c:pt>
                <c:pt idx="2397">
                  <c:v>41834</c:v>
                </c:pt>
                <c:pt idx="2398">
                  <c:v>41835</c:v>
                </c:pt>
                <c:pt idx="2399">
                  <c:v>41836</c:v>
                </c:pt>
                <c:pt idx="2400">
                  <c:v>41837</c:v>
                </c:pt>
                <c:pt idx="2401">
                  <c:v>41838</c:v>
                </c:pt>
                <c:pt idx="2402">
                  <c:v>41841</c:v>
                </c:pt>
                <c:pt idx="2403">
                  <c:v>41842</c:v>
                </c:pt>
                <c:pt idx="2404">
                  <c:v>41843</c:v>
                </c:pt>
                <c:pt idx="2405">
                  <c:v>41844</c:v>
                </c:pt>
                <c:pt idx="2406">
                  <c:v>41845</c:v>
                </c:pt>
                <c:pt idx="2407">
                  <c:v>41848</c:v>
                </c:pt>
                <c:pt idx="2408">
                  <c:v>41849</c:v>
                </c:pt>
                <c:pt idx="2409">
                  <c:v>41850</c:v>
                </c:pt>
                <c:pt idx="2410">
                  <c:v>41851</c:v>
                </c:pt>
                <c:pt idx="2411">
                  <c:v>41852</c:v>
                </c:pt>
                <c:pt idx="2412">
                  <c:v>41855</c:v>
                </c:pt>
                <c:pt idx="2413">
                  <c:v>41856</c:v>
                </c:pt>
                <c:pt idx="2414">
                  <c:v>41857</c:v>
                </c:pt>
                <c:pt idx="2415">
                  <c:v>41858</c:v>
                </c:pt>
                <c:pt idx="2416">
                  <c:v>41859</c:v>
                </c:pt>
                <c:pt idx="2417">
                  <c:v>41862</c:v>
                </c:pt>
                <c:pt idx="2418">
                  <c:v>41863</c:v>
                </c:pt>
                <c:pt idx="2419">
                  <c:v>41864</c:v>
                </c:pt>
                <c:pt idx="2420">
                  <c:v>41865</c:v>
                </c:pt>
                <c:pt idx="2421">
                  <c:v>41866</c:v>
                </c:pt>
                <c:pt idx="2422">
                  <c:v>41869</c:v>
                </c:pt>
                <c:pt idx="2423">
                  <c:v>41870</c:v>
                </c:pt>
                <c:pt idx="2424">
                  <c:v>41871</c:v>
                </c:pt>
                <c:pt idx="2425">
                  <c:v>41872</c:v>
                </c:pt>
                <c:pt idx="2426">
                  <c:v>41873</c:v>
                </c:pt>
                <c:pt idx="2427">
                  <c:v>41876</c:v>
                </c:pt>
                <c:pt idx="2428">
                  <c:v>41877</c:v>
                </c:pt>
                <c:pt idx="2429">
                  <c:v>41878</c:v>
                </c:pt>
                <c:pt idx="2430">
                  <c:v>41879</c:v>
                </c:pt>
                <c:pt idx="2431">
                  <c:v>41880</c:v>
                </c:pt>
                <c:pt idx="2432">
                  <c:v>41884</c:v>
                </c:pt>
                <c:pt idx="2433">
                  <c:v>41885</c:v>
                </c:pt>
                <c:pt idx="2434">
                  <c:v>41886</c:v>
                </c:pt>
                <c:pt idx="2435">
                  <c:v>41887</c:v>
                </c:pt>
                <c:pt idx="2436">
                  <c:v>41890</c:v>
                </c:pt>
                <c:pt idx="2437">
                  <c:v>41891</c:v>
                </c:pt>
                <c:pt idx="2438">
                  <c:v>41892</c:v>
                </c:pt>
                <c:pt idx="2439">
                  <c:v>41893</c:v>
                </c:pt>
                <c:pt idx="2440">
                  <c:v>41894</c:v>
                </c:pt>
                <c:pt idx="2441">
                  <c:v>41897</c:v>
                </c:pt>
                <c:pt idx="2442">
                  <c:v>41898</c:v>
                </c:pt>
                <c:pt idx="2443">
                  <c:v>41899</c:v>
                </c:pt>
                <c:pt idx="2444">
                  <c:v>41900</c:v>
                </c:pt>
                <c:pt idx="2445">
                  <c:v>41901</c:v>
                </c:pt>
                <c:pt idx="2446">
                  <c:v>41904</c:v>
                </c:pt>
                <c:pt idx="2447">
                  <c:v>41905</c:v>
                </c:pt>
                <c:pt idx="2448">
                  <c:v>41906</c:v>
                </c:pt>
                <c:pt idx="2449">
                  <c:v>41907</c:v>
                </c:pt>
                <c:pt idx="2450">
                  <c:v>41908</c:v>
                </c:pt>
                <c:pt idx="2451">
                  <c:v>41911</c:v>
                </c:pt>
                <c:pt idx="2452">
                  <c:v>41912</c:v>
                </c:pt>
                <c:pt idx="2453">
                  <c:v>41913</c:v>
                </c:pt>
                <c:pt idx="2454">
                  <c:v>41914</c:v>
                </c:pt>
                <c:pt idx="2455">
                  <c:v>41915</c:v>
                </c:pt>
                <c:pt idx="2456">
                  <c:v>41918</c:v>
                </c:pt>
                <c:pt idx="2457">
                  <c:v>41919</c:v>
                </c:pt>
                <c:pt idx="2458">
                  <c:v>41920</c:v>
                </c:pt>
                <c:pt idx="2459">
                  <c:v>41921</c:v>
                </c:pt>
                <c:pt idx="2460">
                  <c:v>41922</c:v>
                </c:pt>
                <c:pt idx="2461">
                  <c:v>41925</c:v>
                </c:pt>
                <c:pt idx="2462">
                  <c:v>41926</c:v>
                </c:pt>
                <c:pt idx="2463">
                  <c:v>41927</c:v>
                </c:pt>
                <c:pt idx="2464">
                  <c:v>41928</c:v>
                </c:pt>
                <c:pt idx="2465">
                  <c:v>41929</c:v>
                </c:pt>
                <c:pt idx="2466">
                  <c:v>41932</c:v>
                </c:pt>
                <c:pt idx="2467">
                  <c:v>41933</c:v>
                </c:pt>
                <c:pt idx="2468">
                  <c:v>41934</c:v>
                </c:pt>
                <c:pt idx="2469">
                  <c:v>41935</c:v>
                </c:pt>
                <c:pt idx="2470">
                  <c:v>41936</c:v>
                </c:pt>
                <c:pt idx="2471">
                  <c:v>41939</c:v>
                </c:pt>
                <c:pt idx="2472">
                  <c:v>41940</c:v>
                </c:pt>
                <c:pt idx="2473">
                  <c:v>41941</c:v>
                </c:pt>
                <c:pt idx="2474">
                  <c:v>41942</c:v>
                </c:pt>
                <c:pt idx="2475">
                  <c:v>41943</c:v>
                </c:pt>
                <c:pt idx="2476">
                  <c:v>41946</c:v>
                </c:pt>
                <c:pt idx="2477">
                  <c:v>41947</c:v>
                </c:pt>
                <c:pt idx="2478">
                  <c:v>41948</c:v>
                </c:pt>
                <c:pt idx="2479">
                  <c:v>41949</c:v>
                </c:pt>
                <c:pt idx="2480">
                  <c:v>41950</c:v>
                </c:pt>
                <c:pt idx="2481">
                  <c:v>41953</c:v>
                </c:pt>
                <c:pt idx="2482">
                  <c:v>41954</c:v>
                </c:pt>
                <c:pt idx="2483">
                  <c:v>41955</c:v>
                </c:pt>
                <c:pt idx="2484">
                  <c:v>41956</c:v>
                </c:pt>
                <c:pt idx="2485">
                  <c:v>41957</c:v>
                </c:pt>
                <c:pt idx="2486">
                  <c:v>41960</c:v>
                </c:pt>
                <c:pt idx="2487">
                  <c:v>41961</c:v>
                </c:pt>
                <c:pt idx="2488">
                  <c:v>41962</c:v>
                </c:pt>
                <c:pt idx="2489">
                  <c:v>41963</c:v>
                </c:pt>
                <c:pt idx="2490">
                  <c:v>41964</c:v>
                </c:pt>
                <c:pt idx="2491">
                  <c:v>41967</c:v>
                </c:pt>
                <c:pt idx="2492">
                  <c:v>41968</c:v>
                </c:pt>
                <c:pt idx="2493">
                  <c:v>41969</c:v>
                </c:pt>
                <c:pt idx="2494">
                  <c:v>41971</c:v>
                </c:pt>
                <c:pt idx="2495">
                  <c:v>41974</c:v>
                </c:pt>
                <c:pt idx="2496">
                  <c:v>41975</c:v>
                </c:pt>
                <c:pt idx="2497">
                  <c:v>41976</c:v>
                </c:pt>
                <c:pt idx="2498">
                  <c:v>41977</c:v>
                </c:pt>
                <c:pt idx="2499">
                  <c:v>41978</c:v>
                </c:pt>
                <c:pt idx="2500">
                  <c:v>41981</c:v>
                </c:pt>
                <c:pt idx="2501">
                  <c:v>41982</c:v>
                </c:pt>
                <c:pt idx="2502">
                  <c:v>41983</c:v>
                </c:pt>
                <c:pt idx="2503">
                  <c:v>41984</c:v>
                </c:pt>
                <c:pt idx="2504">
                  <c:v>41985</c:v>
                </c:pt>
                <c:pt idx="2505">
                  <c:v>41988</c:v>
                </c:pt>
                <c:pt idx="2506">
                  <c:v>41989</c:v>
                </c:pt>
                <c:pt idx="2507">
                  <c:v>41990</c:v>
                </c:pt>
                <c:pt idx="2508">
                  <c:v>41991</c:v>
                </c:pt>
                <c:pt idx="2509">
                  <c:v>41992</c:v>
                </c:pt>
                <c:pt idx="2510">
                  <c:v>41995</c:v>
                </c:pt>
                <c:pt idx="2511">
                  <c:v>41996</c:v>
                </c:pt>
                <c:pt idx="2512">
                  <c:v>41997</c:v>
                </c:pt>
                <c:pt idx="2513">
                  <c:v>41999</c:v>
                </c:pt>
                <c:pt idx="2514">
                  <c:v>42002</c:v>
                </c:pt>
                <c:pt idx="2515">
                  <c:v>42003</c:v>
                </c:pt>
                <c:pt idx="2516">
                  <c:v>42004</c:v>
                </c:pt>
                <c:pt idx="2517">
                  <c:v>42006</c:v>
                </c:pt>
                <c:pt idx="2518">
                  <c:v>42009</c:v>
                </c:pt>
                <c:pt idx="2519">
                  <c:v>42010</c:v>
                </c:pt>
                <c:pt idx="2520">
                  <c:v>42011</c:v>
                </c:pt>
                <c:pt idx="2521">
                  <c:v>42012</c:v>
                </c:pt>
                <c:pt idx="2522">
                  <c:v>42013</c:v>
                </c:pt>
                <c:pt idx="2523">
                  <c:v>42016</c:v>
                </c:pt>
                <c:pt idx="2524">
                  <c:v>42017</c:v>
                </c:pt>
                <c:pt idx="2525">
                  <c:v>42018</c:v>
                </c:pt>
                <c:pt idx="2526">
                  <c:v>42019</c:v>
                </c:pt>
                <c:pt idx="2527">
                  <c:v>42020</c:v>
                </c:pt>
                <c:pt idx="2528">
                  <c:v>42024</c:v>
                </c:pt>
                <c:pt idx="2529">
                  <c:v>42025</c:v>
                </c:pt>
                <c:pt idx="2530">
                  <c:v>42026</c:v>
                </c:pt>
                <c:pt idx="2531">
                  <c:v>42027</c:v>
                </c:pt>
                <c:pt idx="2532">
                  <c:v>42030</c:v>
                </c:pt>
                <c:pt idx="2533">
                  <c:v>42031</c:v>
                </c:pt>
                <c:pt idx="2534">
                  <c:v>42032</c:v>
                </c:pt>
                <c:pt idx="2535">
                  <c:v>42033</c:v>
                </c:pt>
                <c:pt idx="2536">
                  <c:v>42034</c:v>
                </c:pt>
                <c:pt idx="2537">
                  <c:v>42037</c:v>
                </c:pt>
                <c:pt idx="2538">
                  <c:v>42038</c:v>
                </c:pt>
                <c:pt idx="2539">
                  <c:v>42039</c:v>
                </c:pt>
                <c:pt idx="2540">
                  <c:v>42040</c:v>
                </c:pt>
                <c:pt idx="2541">
                  <c:v>42041</c:v>
                </c:pt>
                <c:pt idx="2542">
                  <c:v>42044</c:v>
                </c:pt>
                <c:pt idx="2543">
                  <c:v>42045</c:v>
                </c:pt>
                <c:pt idx="2544">
                  <c:v>42046</c:v>
                </c:pt>
                <c:pt idx="2545">
                  <c:v>42047</c:v>
                </c:pt>
                <c:pt idx="2546">
                  <c:v>42048</c:v>
                </c:pt>
                <c:pt idx="2547">
                  <c:v>42052</c:v>
                </c:pt>
                <c:pt idx="2548">
                  <c:v>42053</c:v>
                </c:pt>
                <c:pt idx="2549">
                  <c:v>42054</c:v>
                </c:pt>
                <c:pt idx="2550">
                  <c:v>42055</c:v>
                </c:pt>
                <c:pt idx="2551">
                  <c:v>42058</c:v>
                </c:pt>
                <c:pt idx="2552">
                  <c:v>42059</c:v>
                </c:pt>
                <c:pt idx="2553">
                  <c:v>42060</c:v>
                </c:pt>
                <c:pt idx="2554">
                  <c:v>42061</c:v>
                </c:pt>
                <c:pt idx="2555">
                  <c:v>42062</c:v>
                </c:pt>
                <c:pt idx="2556">
                  <c:v>42065</c:v>
                </c:pt>
                <c:pt idx="2557">
                  <c:v>42066</c:v>
                </c:pt>
                <c:pt idx="2558">
                  <c:v>42067</c:v>
                </c:pt>
                <c:pt idx="2559">
                  <c:v>42068</c:v>
                </c:pt>
                <c:pt idx="2560">
                  <c:v>42069</c:v>
                </c:pt>
                <c:pt idx="2561">
                  <c:v>42072</c:v>
                </c:pt>
                <c:pt idx="2562">
                  <c:v>42073</c:v>
                </c:pt>
                <c:pt idx="2563">
                  <c:v>42074</c:v>
                </c:pt>
                <c:pt idx="2564">
                  <c:v>42075</c:v>
                </c:pt>
                <c:pt idx="2565">
                  <c:v>42076</c:v>
                </c:pt>
                <c:pt idx="2566">
                  <c:v>42079</c:v>
                </c:pt>
                <c:pt idx="2567">
                  <c:v>42080</c:v>
                </c:pt>
                <c:pt idx="2568">
                  <c:v>42081</c:v>
                </c:pt>
                <c:pt idx="2569">
                  <c:v>42082</c:v>
                </c:pt>
                <c:pt idx="2570">
                  <c:v>42083</c:v>
                </c:pt>
                <c:pt idx="2571">
                  <c:v>42086</c:v>
                </c:pt>
                <c:pt idx="2572">
                  <c:v>42087</c:v>
                </c:pt>
                <c:pt idx="2573">
                  <c:v>42088</c:v>
                </c:pt>
                <c:pt idx="2574">
                  <c:v>42089</c:v>
                </c:pt>
                <c:pt idx="2575">
                  <c:v>42090</c:v>
                </c:pt>
                <c:pt idx="2576">
                  <c:v>42093</c:v>
                </c:pt>
                <c:pt idx="2577">
                  <c:v>42094</c:v>
                </c:pt>
                <c:pt idx="2578">
                  <c:v>42095</c:v>
                </c:pt>
                <c:pt idx="2579">
                  <c:v>42096</c:v>
                </c:pt>
                <c:pt idx="2580">
                  <c:v>42100</c:v>
                </c:pt>
                <c:pt idx="2581">
                  <c:v>42101</c:v>
                </c:pt>
                <c:pt idx="2582">
                  <c:v>42102</c:v>
                </c:pt>
                <c:pt idx="2583">
                  <c:v>42103</c:v>
                </c:pt>
                <c:pt idx="2584">
                  <c:v>42104</c:v>
                </c:pt>
                <c:pt idx="2585">
                  <c:v>42107</c:v>
                </c:pt>
                <c:pt idx="2586">
                  <c:v>42108</c:v>
                </c:pt>
                <c:pt idx="2587">
                  <c:v>42109</c:v>
                </c:pt>
                <c:pt idx="2588">
                  <c:v>42110</c:v>
                </c:pt>
                <c:pt idx="2589">
                  <c:v>42111</c:v>
                </c:pt>
                <c:pt idx="2590">
                  <c:v>42114</c:v>
                </c:pt>
                <c:pt idx="2591">
                  <c:v>42115</c:v>
                </c:pt>
                <c:pt idx="2592">
                  <c:v>42116</c:v>
                </c:pt>
                <c:pt idx="2593">
                  <c:v>42117</c:v>
                </c:pt>
                <c:pt idx="2594">
                  <c:v>42118</c:v>
                </c:pt>
                <c:pt idx="2595">
                  <c:v>42121</c:v>
                </c:pt>
                <c:pt idx="2596">
                  <c:v>42122</c:v>
                </c:pt>
                <c:pt idx="2597">
                  <c:v>42123</c:v>
                </c:pt>
                <c:pt idx="2598">
                  <c:v>42124</c:v>
                </c:pt>
                <c:pt idx="2599">
                  <c:v>42125</c:v>
                </c:pt>
                <c:pt idx="2600">
                  <c:v>42128</c:v>
                </c:pt>
                <c:pt idx="2601">
                  <c:v>42129</c:v>
                </c:pt>
                <c:pt idx="2602">
                  <c:v>42130</c:v>
                </c:pt>
                <c:pt idx="2603">
                  <c:v>42131</c:v>
                </c:pt>
                <c:pt idx="2604">
                  <c:v>42132</c:v>
                </c:pt>
                <c:pt idx="2605">
                  <c:v>42135</c:v>
                </c:pt>
                <c:pt idx="2606">
                  <c:v>42136</c:v>
                </c:pt>
                <c:pt idx="2607">
                  <c:v>42137</c:v>
                </c:pt>
                <c:pt idx="2608">
                  <c:v>42138</c:v>
                </c:pt>
                <c:pt idx="2609">
                  <c:v>42139</c:v>
                </c:pt>
                <c:pt idx="2610">
                  <c:v>42142</c:v>
                </c:pt>
                <c:pt idx="2611">
                  <c:v>42143</c:v>
                </c:pt>
                <c:pt idx="2612">
                  <c:v>42144</c:v>
                </c:pt>
                <c:pt idx="2613">
                  <c:v>42145</c:v>
                </c:pt>
                <c:pt idx="2614">
                  <c:v>42146</c:v>
                </c:pt>
                <c:pt idx="2615">
                  <c:v>42150</c:v>
                </c:pt>
                <c:pt idx="2616">
                  <c:v>42151</c:v>
                </c:pt>
                <c:pt idx="2617">
                  <c:v>42152</c:v>
                </c:pt>
                <c:pt idx="2618">
                  <c:v>42153</c:v>
                </c:pt>
                <c:pt idx="2619">
                  <c:v>42156</c:v>
                </c:pt>
                <c:pt idx="2620">
                  <c:v>42157</c:v>
                </c:pt>
                <c:pt idx="2621">
                  <c:v>42158</c:v>
                </c:pt>
                <c:pt idx="2622">
                  <c:v>42159</c:v>
                </c:pt>
                <c:pt idx="2623">
                  <c:v>42160</c:v>
                </c:pt>
                <c:pt idx="2624">
                  <c:v>42163</c:v>
                </c:pt>
                <c:pt idx="2625">
                  <c:v>42164</c:v>
                </c:pt>
                <c:pt idx="2626">
                  <c:v>42165</c:v>
                </c:pt>
                <c:pt idx="2627">
                  <c:v>42166</c:v>
                </c:pt>
                <c:pt idx="2628">
                  <c:v>42167</c:v>
                </c:pt>
                <c:pt idx="2629">
                  <c:v>42170</c:v>
                </c:pt>
                <c:pt idx="2630">
                  <c:v>42171</c:v>
                </c:pt>
                <c:pt idx="2631">
                  <c:v>42172</c:v>
                </c:pt>
                <c:pt idx="2632">
                  <c:v>42173</c:v>
                </c:pt>
                <c:pt idx="2633">
                  <c:v>42174</c:v>
                </c:pt>
                <c:pt idx="2634">
                  <c:v>42177</c:v>
                </c:pt>
                <c:pt idx="2635">
                  <c:v>42178</c:v>
                </c:pt>
                <c:pt idx="2636">
                  <c:v>42179</c:v>
                </c:pt>
                <c:pt idx="2637">
                  <c:v>42180</c:v>
                </c:pt>
                <c:pt idx="2638">
                  <c:v>42181</c:v>
                </c:pt>
                <c:pt idx="2639">
                  <c:v>42184</c:v>
                </c:pt>
                <c:pt idx="2640">
                  <c:v>42185</c:v>
                </c:pt>
                <c:pt idx="2641">
                  <c:v>42186</c:v>
                </c:pt>
                <c:pt idx="2642">
                  <c:v>42187</c:v>
                </c:pt>
                <c:pt idx="2643">
                  <c:v>42191</c:v>
                </c:pt>
                <c:pt idx="2644">
                  <c:v>42192</c:v>
                </c:pt>
                <c:pt idx="2645">
                  <c:v>42193</c:v>
                </c:pt>
                <c:pt idx="2646">
                  <c:v>42194</c:v>
                </c:pt>
                <c:pt idx="2647">
                  <c:v>42195</c:v>
                </c:pt>
                <c:pt idx="2648">
                  <c:v>42198</c:v>
                </c:pt>
                <c:pt idx="2649">
                  <c:v>42199</c:v>
                </c:pt>
                <c:pt idx="2650">
                  <c:v>42200</c:v>
                </c:pt>
                <c:pt idx="2651">
                  <c:v>42201</c:v>
                </c:pt>
                <c:pt idx="2652">
                  <c:v>42202</c:v>
                </c:pt>
                <c:pt idx="2653">
                  <c:v>42205</c:v>
                </c:pt>
                <c:pt idx="2654">
                  <c:v>42206</c:v>
                </c:pt>
                <c:pt idx="2655">
                  <c:v>42207</c:v>
                </c:pt>
                <c:pt idx="2656">
                  <c:v>42208</c:v>
                </c:pt>
                <c:pt idx="2657">
                  <c:v>42209</c:v>
                </c:pt>
                <c:pt idx="2658">
                  <c:v>42212</c:v>
                </c:pt>
                <c:pt idx="2659">
                  <c:v>42213</c:v>
                </c:pt>
                <c:pt idx="2660">
                  <c:v>42214</c:v>
                </c:pt>
                <c:pt idx="2661">
                  <c:v>42215</c:v>
                </c:pt>
                <c:pt idx="2662">
                  <c:v>42216</c:v>
                </c:pt>
                <c:pt idx="2663">
                  <c:v>42219</c:v>
                </c:pt>
                <c:pt idx="2664">
                  <c:v>42220</c:v>
                </c:pt>
                <c:pt idx="2665">
                  <c:v>42221</c:v>
                </c:pt>
                <c:pt idx="2666">
                  <c:v>42222</c:v>
                </c:pt>
                <c:pt idx="2667">
                  <c:v>42223</c:v>
                </c:pt>
                <c:pt idx="2668">
                  <c:v>42226</c:v>
                </c:pt>
                <c:pt idx="2669">
                  <c:v>42227</c:v>
                </c:pt>
                <c:pt idx="2670">
                  <c:v>42228</c:v>
                </c:pt>
                <c:pt idx="2671">
                  <c:v>42229</c:v>
                </c:pt>
                <c:pt idx="2672">
                  <c:v>42230</c:v>
                </c:pt>
                <c:pt idx="2673">
                  <c:v>42233</c:v>
                </c:pt>
                <c:pt idx="2674">
                  <c:v>42234</c:v>
                </c:pt>
                <c:pt idx="2675">
                  <c:v>42235</c:v>
                </c:pt>
                <c:pt idx="2676">
                  <c:v>42236</c:v>
                </c:pt>
                <c:pt idx="2677">
                  <c:v>42237</c:v>
                </c:pt>
                <c:pt idx="2678">
                  <c:v>42240</c:v>
                </c:pt>
                <c:pt idx="2679">
                  <c:v>42241</c:v>
                </c:pt>
                <c:pt idx="2680">
                  <c:v>42242</c:v>
                </c:pt>
                <c:pt idx="2681">
                  <c:v>42243</c:v>
                </c:pt>
                <c:pt idx="2682">
                  <c:v>42244</c:v>
                </c:pt>
                <c:pt idx="2683">
                  <c:v>42247</c:v>
                </c:pt>
                <c:pt idx="2684">
                  <c:v>42248</c:v>
                </c:pt>
                <c:pt idx="2685">
                  <c:v>42249</c:v>
                </c:pt>
                <c:pt idx="2686">
                  <c:v>42250</c:v>
                </c:pt>
                <c:pt idx="2687">
                  <c:v>42251</c:v>
                </c:pt>
                <c:pt idx="2688">
                  <c:v>42255</c:v>
                </c:pt>
                <c:pt idx="2689">
                  <c:v>42256</c:v>
                </c:pt>
                <c:pt idx="2690">
                  <c:v>42257</c:v>
                </c:pt>
                <c:pt idx="2691">
                  <c:v>42258</c:v>
                </c:pt>
                <c:pt idx="2692">
                  <c:v>42261</c:v>
                </c:pt>
                <c:pt idx="2693">
                  <c:v>42262</c:v>
                </c:pt>
                <c:pt idx="2694">
                  <c:v>42263</c:v>
                </c:pt>
                <c:pt idx="2695">
                  <c:v>42264</c:v>
                </c:pt>
                <c:pt idx="2696">
                  <c:v>42265</c:v>
                </c:pt>
                <c:pt idx="2697">
                  <c:v>42268</c:v>
                </c:pt>
                <c:pt idx="2698">
                  <c:v>42269</c:v>
                </c:pt>
                <c:pt idx="2699">
                  <c:v>42270</c:v>
                </c:pt>
                <c:pt idx="2700">
                  <c:v>42271</c:v>
                </c:pt>
                <c:pt idx="2701">
                  <c:v>42272</c:v>
                </c:pt>
                <c:pt idx="2702">
                  <c:v>42275</c:v>
                </c:pt>
                <c:pt idx="2703">
                  <c:v>42276</c:v>
                </c:pt>
                <c:pt idx="2704">
                  <c:v>42277</c:v>
                </c:pt>
                <c:pt idx="2705">
                  <c:v>42278</c:v>
                </c:pt>
                <c:pt idx="2706">
                  <c:v>42279</c:v>
                </c:pt>
                <c:pt idx="2707">
                  <c:v>42282</c:v>
                </c:pt>
                <c:pt idx="2708">
                  <c:v>42283</c:v>
                </c:pt>
                <c:pt idx="2709">
                  <c:v>42284</c:v>
                </c:pt>
                <c:pt idx="2710">
                  <c:v>42285</c:v>
                </c:pt>
                <c:pt idx="2711">
                  <c:v>42286</c:v>
                </c:pt>
                <c:pt idx="2712">
                  <c:v>42289</c:v>
                </c:pt>
                <c:pt idx="2713">
                  <c:v>42290</c:v>
                </c:pt>
                <c:pt idx="2714">
                  <c:v>42291</c:v>
                </c:pt>
                <c:pt idx="2715">
                  <c:v>42292</c:v>
                </c:pt>
                <c:pt idx="2716">
                  <c:v>42293</c:v>
                </c:pt>
                <c:pt idx="2717">
                  <c:v>42296</c:v>
                </c:pt>
                <c:pt idx="2718">
                  <c:v>42297</c:v>
                </c:pt>
                <c:pt idx="2719">
                  <c:v>42298</c:v>
                </c:pt>
                <c:pt idx="2720">
                  <c:v>42299</c:v>
                </c:pt>
                <c:pt idx="2721">
                  <c:v>42300</c:v>
                </c:pt>
                <c:pt idx="2722">
                  <c:v>42303</c:v>
                </c:pt>
                <c:pt idx="2723">
                  <c:v>42304</c:v>
                </c:pt>
                <c:pt idx="2724">
                  <c:v>42305</c:v>
                </c:pt>
                <c:pt idx="2725">
                  <c:v>42306</c:v>
                </c:pt>
                <c:pt idx="2726">
                  <c:v>42307</c:v>
                </c:pt>
                <c:pt idx="2727">
                  <c:v>42310</c:v>
                </c:pt>
                <c:pt idx="2728">
                  <c:v>42311</c:v>
                </c:pt>
                <c:pt idx="2729">
                  <c:v>42312</c:v>
                </c:pt>
                <c:pt idx="2730">
                  <c:v>42313</c:v>
                </c:pt>
                <c:pt idx="2731">
                  <c:v>42314</c:v>
                </c:pt>
                <c:pt idx="2732">
                  <c:v>42317</c:v>
                </c:pt>
                <c:pt idx="2733">
                  <c:v>42318</c:v>
                </c:pt>
                <c:pt idx="2734">
                  <c:v>42319</c:v>
                </c:pt>
                <c:pt idx="2735">
                  <c:v>42320</c:v>
                </c:pt>
                <c:pt idx="2736">
                  <c:v>42321</c:v>
                </c:pt>
                <c:pt idx="2737">
                  <c:v>42324</c:v>
                </c:pt>
                <c:pt idx="2738">
                  <c:v>42325</c:v>
                </c:pt>
                <c:pt idx="2739">
                  <c:v>42326</c:v>
                </c:pt>
                <c:pt idx="2740">
                  <c:v>42327</c:v>
                </c:pt>
                <c:pt idx="2741">
                  <c:v>42328</c:v>
                </c:pt>
                <c:pt idx="2742">
                  <c:v>42331</c:v>
                </c:pt>
                <c:pt idx="2743">
                  <c:v>42332</c:v>
                </c:pt>
                <c:pt idx="2744">
                  <c:v>42333</c:v>
                </c:pt>
                <c:pt idx="2745">
                  <c:v>42335</c:v>
                </c:pt>
                <c:pt idx="2746">
                  <c:v>42338</c:v>
                </c:pt>
                <c:pt idx="2747">
                  <c:v>42339</c:v>
                </c:pt>
                <c:pt idx="2748">
                  <c:v>42340</c:v>
                </c:pt>
                <c:pt idx="2749">
                  <c:v>42341</c:v>
                </c:pt>
                <c:pt idx="2750">
                  <c:v>42342</c:v>
                </c:pt>
                <c:pt idx="2751">
                  <c:v>42345</c:v>
                </c:pt>
                <c:pt idx="2752">
                  <c:v>42346</c:v>
                </c:pt>
                <c:pt idx="2753">
                  <c:v>42347</c:v>
                </c:pt>
                <c:pt idx="2754">
                  <c:v>42348</c:v>
                </c:pt>
                <c:pt idx="2755">
                  <c:v>42349</c:v>
                </c:pt>
                <c:pt idx="2756">
                  <c:v>42352</c:v>
                </c:pt>
                <c:pt idx="2757">
                  <c:v>42353</c:v>
                </c:pt>
                <c:pt idx="2758">
                  <c:v>42354</c:v>
                </c:pt>
                <c:pt idx="2759">
                  <c:v>42355</c:v>
                </c:pt>
                <c:pt idx="2760">
                  <c:v>42356</c:v>
                </c:pt>
                <c:pt idx="2761">
                  <c:v>42359</c:v>
                </c:pt>
                <c:pt idx="2762">
                  <c:v>42360</c:v>
                </c:pt>
                <c:pt idx="2763">
                  <c:v>42361</c:v>
                </c:pt>
                <c:pt idx="2764">
                  <c:v>42362</c:v>
                </c:pt>
                <c:pt idx="2765">
                  <c:v>42366</c:v>
                </c:pt>
                <c:pt idx="2766">
                  <c:v>42367</c:v>
                </c:pt>
                <c:pt idx="2767">
                  <c:v>42368</c:v>
                </c:pt>
                <c:pt idx="2768">
                  <c:v>42369</c:v>
                </c:pt>
                <c:pt idx="2769">
                  <c:v>42373</c:v>
                </c:pt>
                <c:pt idx="2770">
                  <c:v>42374</c:v>
                </c:pt>
                <c:pt idx="2771">
                  <c:v>42375</c:v>
                </c:pt>
                <c:pt idx="2772">
                  <c:v>42376</c:v>
                </c:pt>
                <c:pt idx="2773">
                  <c:v>42377</c:v>
                </c:pt>
                <c:pt idx="2774">
                  <c:v>42380</c:v>
                </c:pt>
                <c:pt idx="2775">
                  <c:v>42381</c:v>
                </c:pt>
                <c:pt idx="2776">
                  <c:v>42382</c:v>
                </c:pt>
                <c:pt idx="2777">
                  <c:v>42383</c:v>
                </c:pt>
                <c:pt idx="2778">
                  <c:v>42384</c:v>
                </c:pt>
                <c:pt idx="2779">
                  <c:v>42388</c:v>
                </c:pt>
                <c:pt idx="2780">
                  <c:v>42389</c:v>
                </c:pt>
                <c:pt idx="2781">
                  <c:v>42390</c:v>
                </c:pt>
                <c:pt idx="2782">
                  <c:v>42391</c:v>
                </c:pt>
                <c:pt idx="2783">
                  <c:v>42394</c:v>
                </c:pt>
                <c:pt idx="2784">
                  <c:v>42395</c:v>
                </c:pt>
                <c:pt idx="2785">
                  <c:v>42396</c:v>
                </c:pt>
                <c:pt idx="2786">
                  <c:v>42397</c:v>
                </c:pt>
                <c:pt idx="2787">
                  <c:v>42398</c:v>
                </c:pt>
                <c:pt idx="2788">
                  <c:v>42401</c:v>
                </c:pt>
                <c:pt idx="2789">
                  <c:v>42402</c:v>
                </c:pt>
                <c:pt idx="2790">
                  <c:v>42403</c:v>
                </c:pt>
                <c:pt idx="2791">
                  <c:v>42404</c:v>
                </c:pt>
                <c:pt idx="2792">
                  <c:v>42405</c:v>
                </c:pt>
                <c:pt idx="2793">
                  <c:v>42408</c:v>
                </c:pt>
                <c:pt idx="2794">
                  <c:v>42409</c:v>
                </c:pt>
                <c:pt idx="2795">
                  <c:v>42410</c:v>
                </c:pt>
                <c:pt idx="2796">
                  <c:v>42411</c:v>
                </c:pt>
                <c:pt idx="2797">
                  <c:v>42412</c:v>
                </c:pt>
                <c:pt idx="2798">
                  <c:v>42416</c:v>
                </c:pt>
                <c:pt idx="2799">
                  <c:v>42417</c:v>
                </c:pt>
                <c:pt idx="2800">
                  <c:v>42418</c:v>
                </c:pt>
                <c:pt idx="2801">
                  <c:v>42419</c:v>
                </c:pt>
                <c:pt idx="2802">
                  <c:v>42422</c:v>
                </c:pt>
                <c:pt idx="2803">
                  <c:v>42423</c:v>
                </c:pt>
                <c:pt idx="2804">
                  <c:v>42424</c:v>
                </c:pt>
                <c:pt idx="2805">
                  <c:v>42425</c:v>
                </c:pt>
                <c:pt idx="2806">
                  <c:v>42426</c:v>
                </c:pt>
                <c:pt idx="2807">
                  <c:v>42429</c:v>
                </c:pt>
                <c:pt idx="2808">
                  <c:v>42430</c:v>
                </c:pt>
                <c:pt idx="2809">
                  <c:v>42431</c:v>
                </c:pt>
                <c:pt idx="2810">
                  <c:v>42432</c:v>
                </c:pt>
                <c:pt idx="2811">
                  <c:v>42433</c:v>
                </c:pt>
                <c:pt idx="2812">
                  <c:v>42436</c:v>
                </c:pt>
                <c:pt idx="2813">
                  <c:v>42437</c:v>
                </c:pt>
                <c:pt idx="2814">
                  <c:v>42438</c:v>
                </c:pt>
                <c:pt idx="2815">
                  <c:v>42439</c:v>
                </c:pt>
                <c:pt idx="2816">
                  <c:v>42440</c:v>
                </c:pt>
                <c:pt idx="2817">
                  <c:v>42443</c:v>
                </c:pt>
                <c:pt idx="2818">
                  <c:v>42444</c:v>
                </c:pt>
                <c:pt idx="2819">
                  <c:v>42445</c:v>
                </c:pt>
                <c:pt idx="2820">
                  <c:v>42446</c:v>
                </c:pt>
                <c:pt idx="2821">
                  <c:v>42447</c:v>
                </c:pt>
                <c:pt idx="2822">
                  <c:v>42450</c:v>
                </c:pt>
                <c:pt idx="2823">
                  <c:v>42451</c:v>
                </c:pt>
                <c:pt idx="2824">
                  <c:v>42452</c:v>
                </c:pt>
                <c:pt idx="2825">
                  <c:v>42453</c:v>
                </c:pt>
                <c:pt idx="2826">
                  <c:v>42457</c:v>
                </c:pt>
                <c:pt idx="2827">
                  <c:v>42458</c:v>
                </c:pt>
                <c:pt idx="2828">
                  <c:v>42459</c:v>
                </c:pt>
                <c:pt idx="2829">
                  <c:v>42460</c:v>
                </c:pt>
                <c:pt idx="2830">
                  <c:v>42461</c:v>
                </c:pt>
                <c:pt idx="2831">
                  <c:v>42464</c:v>
                </c:pt>
                <c:pt idx="2832">
                  <c:v>42465</c:v>
                </c:pt>
                <c:pt idx="2833">
                  <c:v>42466</c:v>
                </c:pt>
                <c:pt idx="2834">
                  <c:v>42467</c:v>
                </c:pt>
                <c:pt idx="2835">
                  <c:v>42468</c:v>
                </c:pt>
                <c:pt idx="2836">
                  <c:v>42471</c:v>
                </c:pt>
                <c:pt idx="2837">
                  <c:v>42472</c:v>
                </c:pt>
                <c:pt idx="2838">
                  <c:v>42473</c:v>
                </c:pt>
                <c:pt idx="2839">
                  <c:v>42474</c:v>
                </c:pt>
                <c:pt idx="2840">
                  <c:v>42475</c:v>
                </c:pt>
                <c:pt idx="2841">
                  <c:v>42478</c:v>
                </c:pt>
                <c:pt idx="2842">
                  <c:v>42479</c:v>
                </c:pt>
                <c:pt idx="2843">
                  <c:v>42480</c:v>
                </c:pt>
                <c:pt idx="2844">
                  <c:v>42481</c:v>
                </c:pt>
                <c:pt idx="2845">
                  <c:v>42482</c:v>
                </c:pt>
                <c:pt idx="2846">
                  <c:v>42485</c:v>
                </c:pt>
                <c:pt idx="2847">
                  <c:v>42486</c:v>
                </c:pt>
                <c:pt idx="2848">
                  <c:v>42487</c:v>
                </c:pt>
                <c:pt idx="2849">
                  <c:v>42488</c:v>
                </c:pt>
                <c:pt idx="2850">
                  <c:v>42489</c:v>
                </c:pt>
                <c:pt idx="2851">
                  <c:v>42492</c:v>
                </c:pt>
                <c:pt idx="2852">
                  <c:v>42493</c:v>
                </c:pt>
                <c:pt idx="2853">
                  <c:v>42494</c:v>
                </c:pt>
                <c:pt idx="2854">
                  <c:v>42495</c:v>
                </c:pt>
                <c:pt idx="2855">
                  <c:v>42496</c:v>
                </c:pt>
                <c:pt idx="2856">
                  <c:v>42499</c:v>
                </c:pt>
                <c:pt idx="2857">
                  <c:v>42500</c:v>
                </c:pt>
                <c:pt idx="2858">
                  <c:v>42501</c:v>
                </c:pt>
                <c:pt idx="2859">
                  <c:v>42502</c:v>
                </c:pt>
                <c:pt idx="2860">
                  <c:v>42503</c:v>
                </c:pt>
                <c:pt idx="2861">
                  <c:v>42506</c:v>
                </c:pt>
                <c:pt idx="2862">
                  <c:v>42507</c:v>
                </c:pt>
                <c:pt idx="2863">
                  <c:v>42508</c:v>
                </c:pt>
                <c:pt idx="2864">
                  <c:v>42509</c:v>
                </c:pt>
                <c:pt idx="2865">
                  <c:v>42510</c:v>
                </c:pt>
                <c:pt idx="2866">
                  <c:v>42513</c:v>
                </c:pt>
                <c:pt idx="2867">
                  <c:v>42514</c:v>
                </c:pt>
                <c:pt idx="2868">
                  <c:v>42515</c:v>
                </c:pt>
                <c:pt idx="2869">
                  <c:v>42516</c:v>
                </c:pt>
                <c:pt idx="2870">
                  <c:v>42517</c:v>
                </c:pt>
                <c:pt idx="2871">
                  <c:v>42521</c:v>
                </c:pt>
                <c:pt idx="2872">
                  <c:v>42522</c:v>
                </c:pt>
                <c:pt idx="2873">
                  <c:v>42523</c:v>
                </c:pt>
                <c:pt idx="2874">
                  <c:v>42524</c:v>
                </c:pt>
                <c:pt idx="2875">
                  <c:v>42527</c:v>
                </c:pt>
                <c:pt idx="2876">
                  <c:v>42528</c:v>
                </c:pt>
                <c:pt idx="2877">
                  <c:v>42529</c:v>
                </c:pt>
                <c:pt idx="2878">
                  <c:v>42530</c:v>
                </c:pt>
                <c:pt idx="2879">
                  <c:v>42531</c:v>
                </c:pt>
                <c:pt idx="2880">
                  <c:v>42534</c:v>
                </c:pt>
                <c:pt idx="2881">
                  <c:v>42535</c:v>
                </c:pt>
                <c:pt idx="2882">
                  <c:v>42536</c:v>
                </c:pt>
                <c:pt idx="2883">
                  <c:v>42537</c:v>
                </c:pt>
                <c:pt idx="2884">
                  <c:v>42538</c:v>
                </c:pt>
                <c:pt idx="2885">
                  <c:v>42541</c:v>
                </c:pt>
                <c:pt idx="2886">
                  <c:v>42542</c:v>
                </c:pt>
                <c:pt idx="2887">
                  <c:v>42543</c:v>
                </c:pt>
                <c:pt idx="2888">
                  <c:v>42544</c:v>
                </c:pt>
                <c:pt idx="2889">
                  <c:v>42545</c:v>
                </c:pt>
                <c:pt idx="2890">
                  <c:v>42548</c:v>
                </c:pt>
                <c:pt idx="2891">
                  <c:v>42549</c:v>
                </c:pt>
                <c:pt idx="2892">
                  <c:v>42550</c:v>
                </c:pt>
                <c:pt idx="2893">
                  <c:v>42551</c:v>
                </c:pt>
                <c:pt idx="2894">
                  <c:v>42552</c:v>
                </c:pt>
                <c:pt idx="2895">
                  <c:v>42556</c:v>
                </c:pt>
                <c:pt idx="2896">
                  <c:v>42557</c:v>
                </c:pt>
                <c:pt idx="2897">
                  <c:v>42558</c:v>
                </c:pt>
                <c:pt idx="2898">
                  <c:v>42559</c:v>
                </c:pt>
                <c:pt idx="2899">
                  <c:v>42562</c:v>
                </c:pt>
                <c:pt idx="2900">
                  <c:v>42563</c:v>
                </c:pt>
                <c:pt idx="2901">
                  <c:v>42564</c:v>
                </c:pt>
                <c:pt idx="2902">
                  <c:v>42565</c:v>
                </c:pt>
                <c:pt idx="2903">
                  <c:v>42566</c:v>
                </c:pt>
                <c:pt idx="2904">
                  <c:v>42569</c:v>
                </c:pt>
                <c:pt idx="2905">
                  <c:v>42570</c:v>
                </c:pt>
                <c:pt idx="2906">
                  <c:v>42571</c:v>
                </c:pt>
                <c:pt idx="2907">
                  <c:v>42572</c:v>
                </c:pt>
                <c:pt idx="2908">
                  <c:v>42573</c:v>
                </c:pt>
                <c:pt idx="2909">
                  <c:v>42576</c:v>
                </c:pt>
                <c:pt idx="2910">
                  <c:v>42577</c:v>
                </c:pt>
                <c:pt idx="2911">
                  <c:v>42578</c:v>
                </c:pt>
                <c:pt idx="2912">
                  <c:v>42579</c:v>
                </c:pt>
                <c:pt idx="2913">
                  <c:v>42580</c:v>
                </c:pt>
                <c:pt idx="2914">
                  <c:v>42583</c:v>
                </c:pt>
                <c:pt idx="2915">
                  <c:v>42584</c:v>
                </c:pt>
                <c:pt idx="2916">
                  <c:v>42585</c:v>
                </c:pt>
                <c:pt idx="2917">
                  <c:v>42586</c:v>
                </c:pt>
                <c:pt idx="2918">
                  <c:v>42587</c:v>
                </c:pt>
                <c:pt idx="2919">
                  <c:v>42590</c:v>
                </c:pt>
                <c:pt idx="2920">
                  <c:v>42591</c:v>
                </c:pt>
                <c:pt idx="2921">
                  <c:v>42592</c:v>
                </c:pt>
                <c:pt idx="2922">
                  <c:v>42593</c:v>
                </c:pt>
                <c:pt idx="2923">
                  <c:v>42594</c:v>
                </c:pt>
                <c:pt idx="2924">
                  <c:v>42597</c:v>
                </c:pt>
                <c:pt idx="2925">
                  <c:v>42598</c:v>
                </c:pt>
                <c:pt idx="2926">
                  <c:v>42599</c:v>
                </c:pt>
                <c:pt idx="2927">
                  <c:v>42600</c:v>
                </c:pt>
                <c:pt idx="2928">
                  <c:v>42601</c:v>
                </c:pt>
                <c:pt idx="2929">
                  <c:v>42604</c:v>
                </c:pt>
                <c:pt idx="2930">
                  <c:v>42605</c:v>
                </c:pt>
                <c:pt idx="2931">
                  <c:v>42606</c:v>
                </c:pt>
                <c:pt idx="2932">
                  <c:v>42607</c:v>
                </c:pt>
                <c:pt idx="2933">
                  <c:v>42608</c:v>
                </c:pt>
                <c:pt idx="2934">
                  <c:v>42611</c:v>
                </c:pt>
                <c:pt idx="2935">
                  <c:v>42612</c:v>
                </c:pt>
                <c:pt idx="2936">
                  <c:v>42613</c:v>
                </c:pt>
                <c:pt idx="2937">
                  <c:v>42614</c:v>
                </c:pt>
                <c:pt idx="2938">
                  <c:v>42615</c:v>
                </c:pt>
                <c:pt idx="2939">
                  <c:v>42619</c:v>
                </c:pt>
                <c:pt idx="2940">
                  <c:v>42620</c:v>
                </c:pt>
                <c:pt idx="2941">
                  <c:v>42621</c:v>
                </c:pt>
                <c:pt idx="2942">
                  <c:v>42622</c:v>
                </c:pt>
                <c:pt idx="2943">
                  <c:v>42625</c:v>
                </c:pt>
                <c:pt idx="2944">
                  <c:v>42626</c:v>
                </c:pt>
                <c:pt idx="2945">
                  <c:v>42627</c:v>
                </c:pt>
                <c:pt idx="2946">
                  <c:v>42628</c:v>
                </c:pt>
                <c:pt idx="2947">
                  <c:v>42629</c:v>
                </c:pt>
                <c:pt idx="2948">
                  <c:v>42632</c:v>
                </c:pt>
                <c:pt idx="2949">
                  <c:v>42633</c:v>
                </c:pt>
                <c:pt idx="2950">
                  <c:v>42634</c:v>
                </c:pt>
                <c:pt idx="2951">
                  <c:v>42635</c:v>
                </c:pt>
                <c:pt idx="2952">
                  <c:v>42636</c:v>
                </c:pt>
                <c:pt idx="2953">
                  <c:v>42639</c:v>
                </c:pt>
                <c:pt idx="2954">
                  <c:v>42640</c:v>
                </c:pt>
                <c:pt idx="2955">
                  <c:v>42641</c:v>
                </c:pt>
                <c:pt idx="2956">
                  <c:v>42642</c:v>
                </c:pt>
                <c:pt idx="2957">
                  <c:v>42643</c:v>
                </c:pt>
                <c:pt idx="2958">
                  <c:v>42646</c:v>
                </c:pt>
                <c:pt idx="2959">
                  <c:v>42647</c:v>
                </c:pt>
                <c:pt idx="2960">
                  <c:v>42648</c:v>
                </c:pt>
                <c:pt idx="2961">
                  <c:v>42649</c:v>
                </c:pt>
                <c:pt idx="2962">
                  <c:v>42650</c:v>
                </c:pt>
                <c:pt idx="2963">
                  <c:v>42653</c:v>
                </c:pt>
                <c:pt idx="2964">
                  <c:v>42654</c:v>
                </c:pt>
                <c:pt idx="2965">
                  <c:v>42655</c:v>
                </c:pt>
                <c:pt idx="2966">
                  <c:v>42656</c:v>
                </c:pt>
                <c:pt idx="2967">
                  <c:v>42657</c:v>
                </c:pt>
                <c:pt idx="2968">
                  <c:v>42660</c:v>
                </c:pt>
                <c:pt idx="2969">
                  <c:v>42661</c:v>
                </c:pt>
                <c:pt idx="2970">
                  <c:v>42662</c:v>
                </c:pt>
                <c:pt idx="2971">
                  <c:v>42663</c:v>
                </c:pt>
                <c:pt idx="2972">
                  <c:v>42664</c:v>
                </c:pt>
                <c:pt idx="2973">
                  <c:v>42667</c:v>
                </c:pt>
                <c:pt idx="2974">
                  <c:v>42668</c:v>
                </c:pt>
                <c:pt idx="2975">
                  <c:v>42669</c:v>
                </c:pt>
                <c:pt idx="2976">
                  <c:v>42670</c:v>
                </c:pt>
                <c:pt idx="2977">
                  <c:v>42671</c:v>
                </c:pt>
                <c:pt idx="2978">
                  <c:v>42674</c:v>
                </c:pt>
                <c:pt idx="2979">
                  <c:v>42675</c:v>
                </c:pt>
                <c:pt idx="2980">
                  <c:v>42676</c:v>
                </c:pt>
                <c:pt idx="2981">
                  <c:v>42677</c:v>
                </c:pt>
                <c:pt idx="2982">
                  <c:v>42678</c:v>
                </c:pt>
                <c:pt idx="2983">
                  <c:v>42681</c:v>
                </c:pt>
                <c:pt idx="2984">
                  <c:v>42682</c:v>
                </c:pt>
                <c:pt idx="2985">
                  <c:v>42683</c:v>
                </c:pt>
                <c:pt idx="2986">
                  <c:v>42684</c:v>
                </c:pt>
                <c:pt idx="2987">
                  <c:v>42685</c:v>
                </c:pt>
                <c:pt idx="2988">
                  <c:v>42688</c:v>
                </c:pt>
                <c:pt idx="2989">
                  <c:v>42689</c:v>
                </c:pt>
                <c:pt idx="2990">
                  <c:v>42690</c:v>
                </c:pt>
                <c:pt idx="2991">
                  <c:v>42691</c:v>
                </c:pt>
                <c:pt idx="2992">
                  <c:v>42692</c:v>
                </c:pt>
                <c:pt idx="2993">
                  <c:v>42695</c:v>
                </c:pt>
                <c:pt idx="2994">
                  <c:v>42696</c:v>
                </c:pt>
                <c:pt idx="2995">
                  <c:v>42697</c:v>
                </c:pt>
                <c:pt idx="2996">
                  <c:v>42699</c:v>
                </c:pt>
                <c:pt idx="2997">
                  <c:v>42702</c:v>
                </c:pt>
                <c:pt idx="2998">
                  <c:v>42703</c:v>
                </c:pt>
                <c:pt idx="2999">
                  <c:v>42704</c:v>
                </c:pt>
                <c:pt idx="3000">
                  <c:v>42705</c:v>
                </c:pt>
                <c:pt idx="3001">
                  <c:v>42706</c:v>
                </c:pt>
                <c:pt idx="3002">
                  <c:v>42709</c:v>
                </c:pt>
                <c:pt idx="3003">
                  <c:v>42710</c:v>
                </c:pt>
                <c:pt idx="3004">
                  <c:v>42711</c:v>
                </c:pt>
                <c:pt idx="3005">
                  <c:v>42712</c:v>
                </c:pt>
                <c:pt idx="3006">
                  <c:v>42713</c:v>
                </c:pt>
                <c:pt idx="3007">
                  <c:v>42716</c:v>
                </c:pt>
                <c:pt idx="3008">
                  <c:v>42717</c:v>
                </c:pt>
                <c:pt idx="3009">
                  <c:v>42718</c:v>
                </c:pt>
                <c:pt idx="3010">
                  <c:v>42719</c:v>
                </c:pt>
                <c:pt idx="3011">
                  <c:v>42720</c:v>
                </c:pt>
                <c:pt idx="3012">
                  <c:v>42723</c:v>
                </c:pt>
                <c:pt idx="3013">
                  <c:v>42724</c:v>
                </c:pt>
                <c:pt idx="3014">
                  <c:v>42725</c:v>
                </c:pt>
                <c:pt idx="3015">
                  <c:v>42726</c:v>
                </c:pt>
                <c:pt idx="3016">
                  <c:v>42727</c:v>
                </c:pt>
                <c:pt idx="3017">
                  <c:v>42731</c:v>
                </c:pt>
                <c:pt idx="3018">
                  <c:v>42732</c:v>
                </c:pt>
                <c:pt idx="3019">
                  <c:v>42733</c:v>
                </c:pt>
                <c:pt idx="3020">
                  <c:v>42734</c:v>
                </c:pt>
                <c:pt idx="3021">
                  <c:v>42738</c:v>
                </c:pt>
                <c:pt idx="3022">
                  <c:v>42739</c:v>
                </c:pt>
                <c:pt idx="3023">
                  <c:v>42740</c:v>
                </c:pt>
                <c:pt idx="3024">
                  <c:v>42741</c:v>
                </c:pt>
                <c:pt idx="3025">
                  <c:v>42744</c:v>
                </c:pt>
                <c:pt idx="3026">
                  <c:v>42745</c:v>
                </c:pt>
                <c:pt idx="3027">
                  <c:v>42746</c:v>
                </c:pt>
                <c:pt idx="3028">
                  <c:v>42747</c:v>
                </c:pt>
                <c:pt idx="3029">
                  <c:v>42748</c:v>
                </c:pt>
                <c:pt idx="3030">
                  <c:v>42752</c:v>
                </c:pt>
                <c:pt idx="3031">
                  <c:v>42753</c:v>
                </c:pt>
                <c:pt idx="3032">
                  <c:v>42754</c:v>
                </c:pt>
                <c:pt idx="3033">
                  <c:v>42755</c:v>
                </c:pt>
                <c:pt idx="3034">
                  <c:v>42758</c:v>
                </c:pt>
                <c:pt idx="3035">
                  <c:v>42759</c:v>
                </c:pt>
                <c:pt idx="3036">
                  <c:v>42760</c:v>
                </c:pt>
                <c:pt idx="3037">
                  <c:v>42761</c:v>
                </c:pt>
                <c:pt idx="3038">
                  <c:v>42762</c:v>
                </c:pt>
                <c:pt idx="3039">
                  <c:v>42765</c:v>
                </c:pt>
                <c:pt idx="3040">
                  <c:v>42766</c:v>
                </c:pt>
                <c:pt idx="3041">
                  <c:v>42767</c:v>
                </c:pt>
                <c:pt idx="3042">
                  <c:v>42768</c:v>
                </c:pt>
                <c:pt idx="3043">
                  <c:v>42769</c:v>
                </c:pt>
                <c:pt idx="3044">
                  <c:v>42772</c:v>
                </c:pt>
                <c:pt idx="3045">
                  <c:v>42773</c:v>
                </c:pt>
                <c:pt idx="3046">
                  <c:v>42774</c:v>
                </c:pt>
                <c:pt idx="3047">
                  <c:v>42775</c:v>
                </c:pt>
                <c:pt idx="3048">
                  <c:v>42776</c:v>
                </c:pt>
                <c:pt idx="3049">
                  <c:v>42779</c:v>
                </c:pt>
                <c:pt idx="3050">
                  <c:v>42780</c:v>
                </c:pt>
                <c:pt idx="3051">
                  <c:v>42781</c:v>
                </c:pt>
                <c:pt idx="3052">
                  <c:v>42782</c:v>
                </c:pt>
                <c:pt idx="3053">
                  <c:v>42783</c:v>
                </c:pt>
                <c:pt idx="3054">
                  <c:v>42787</c:v>
                </c:pt>
                <c:pt idx="3055">
                  <c:v>42788</c:v>
                </c:pt>
                <c:pt idx="3056">
                  <c:v>42789</c:v>
                </c:pt>
                <c:pt idx="3057">
                  <c:v>42790</c:v>
                </c:pt>
                <c:pt idx="3058">
                  <c:v>42793</c:v>
                </c:pt>
                <c:pt idx="3059">
                  <c:v>42794</c:v>
                </c:pt>
                <c:pt idx="3060">
                  <c:v>42795</c:v>
                </c:pt>
                <c:pt idx="3061">
                  <c:v>42796</c:v>
                </c:pt>
                <c:pt idx="3062">
                  <c:v>42797</c:v>
                </c:pt>
                <c:pt idx="3063">
                  <c:v>42800</c:v>
                </c:pt>
                <c:pt idx="3064">
                  <c:v>42801</c:v>
                </c:pt>
                <c:pt idx="3065">
                  <c:v>42802</c:v>
                </c:pt>
                <c:pt idx="3066">
                  <c:v>42803</c:v>
                </c:pt>
                <c:pt idx="3067">
                  <c:v>42804</c:v>
                </c:pt>
                <c:pt idx="3068">
                  <c:v>42807</c:v>
                </c:pt>
                <c:pt idx="3069">
                  <c:v>42808</c:v>
                </c:pt>
                <c:pt idx="3070">
                  <c:v>42809</c:v>
                </c:pt>
                <c:pt idx="3071">
                  <c:v>42810</c:v>
                </c:pt>
                <c:pt idx="3072">
                  <c:v>42811</c:v>
                </c:pt>
                <c:pt idx="3073">
                  <c:v>42814</c:v>
                </c:pt>
                <c:pt idx="3074">
                  <c:v>42815</c:v>
                </c:pt>
                <c:pt idx="3075">
                  <c:v>42816</c:v>
                </c:pt>
                <c:pt idx="3076">
                  <c:v>42817</c:v>
                </c:pt>
                <c:pt idx="3077">
                  <c:v>42818</c:v>
                </c:pt>
                <c:pt idx="3078">
                  <c:v>42821</c:v>
                </c:pt>
                <c:pt idx="3079">
                  <c:v>42822</c:v>
                </c:pt>
                <c:pt idx="3080">
                  <c:v>42823</c:v>
                </c:pt>
                <c:pt idx="3081">
                  <c:v>42824</c:v>
                </c:pt>
                <c:pt idx="3082">
                  <c:v>42825</c:v>
                </c:pt>
                <c:pt idx="3083">
                  <c:v>42828</c:v>
                </c:pt>
                <c:pt idx="3084">
                  <c:v>42829</c:v>
                </c:pt>
                <c:pt idx="3085">
                  <c:v>42830</c:v>
                </c:pt>
                <c:pt idx="3086">
                  <c:v>42831</c:v>
                </c:pt>
                <c:pt idx="3087">
                  <c:v>42832</c:v>
                </c:pt>
                <c:pt idx="3088">
                  <c:v>42835</c:v>
                </c:pt>
                <c:pt idx="3089">
                  <c:v>42836</c:v>
                </c:pt>
                <c:pt idx="3090">
                  <c:v>42837</c:v>
                </c:pt>
                <c:pt idx="3091">
                  <c:v>42838</c:v>
                </c:pt>
                <c:pt idx="3092">
                  <c:v>42842</c:v>
                </c:pt>
                <c:pt idx="3093">
                  <c:v>42843</c:v>
                </c:pt>
                <c:pt idx="3094">
                  <c:v>42844</c:v>
                </c:pt>
                <c:pt idx="3095">
                  <c:v>42845</c:v>
                </c:pt>
                <c:pt idx="3096">
                  <c:v>42846</c:v>
                </c:pt>
                <c:pt idx="3097">
                  <c:v>42849</c:v>
                </c:pt>
                <c:pt idx="3098">
                  <c:v>42850</c:v>
                </c:pt>
                <c:pt idx="3099">
                  <c:v>42851</c:v>
                </c:pt>
                <c:pt idx="3100">
                  <c:v>42852</c:v>
                </c:pt>
                <c:pt idx="3101">
                  <c:v>42853</c:v>
                </c:pt>
                <c:pt idx="3102">
                  <c:v>42856</c:v>
                </c:pt>
                <c:pt idx="3103">
                  <c:v>42857</c:v>
                </c:pt>
                <c:pt idx="3104">
                  <c:v>42858</c:v>
                </c:pt>
                <c:pt idx="3105">
                  <c:v>42859</c:v>
                </c:pt>
                <c:pt idx="3106">
                  <c:v>42860</c:v>
                </c:pt>
                <c:pt idx="3107">
                  <c:v>42863</c:v>
                </c:pt>
                <c:pt idx="3108">
                  <c:v>42864</c:v>
                </c:pt>
                <c:pt idx="3109">
                  <c:v>42865</c:v>
                </c:pt>
                <c:pt idx="3110">
                  <c:v>42866</c:v>
                </c:pt>
                <c:pt idx="3111">
                  <c:v>42867</c:v>
                </c:pt>
                <c:pt idx="3112">
                  <c:v>42870</c:v>
                </c:pt>
                <c:pt idx="3113">
                  <c:v>42871</c:v>
                </c:pt>
                <c:pt idx="3114">
                  <c:v>42872</c:v>
                </c:pt>
                <c:pt idx="3115">
                  <c:v>42873</c:v>
                </c:pt>
                <c:pt idx="3116">
                  <c:v>42874</c:v>
                </c:pt>
                <c:pt idx="3117">
                  <c:v>42877</c:v>
                </c:pt>
                <c:pt idx="3118">
                  <c:v>42878</c:v>
                </c:pt>
                <c:pt idx="3119">
                  <c:v>42879</c:v>
                </c:pt>
                <c:pt idx="3120">
                  <c:v>42880</c:v>
                </c:pt>
                <c:pt idx="3121">
                  <c:v>42881</c:v>
                </c:pt>
                <c:pt idx="3122">
                  <c:v>42885</c:v>
                </c:pt>
                <c:pt idx="3123">
                  <c:v>42886</c:v>
                </c:pt>
                <c:pt idx="3124">
                  <c:v>42887</c:v>
                </c:pt>
                <c:pt idx="3125">
                  <c:v>42888</c:v>
                </c:pt>
                <c:pt idx="3126">
                  <c:v>42891</c:v>
                </c:pt>
                <c:pt idx="3127">
                  <c:v>42892</c:v>
                </c:pt>
                <c:pt idx="3128">
                  <c:v>42893</c:v>
                </c:pt>
                <c:pt idx="3129">
                  <c:v>42894</c:v>
                </c:pt>
                <c:pt idx="3130">
                  <c:v>42895</c:v>
                </c:pt>
                <c:pt idx="3131">
                  <c:v>42898</c:v>
                </c:pt>
                <c:pt idx="3132">
                  <c:v>42899</c:v>
                </c:pt>
                <c:pt idx="3133">
                  <c:v>42900</c:v>
                </c:pt>
                <c:pt idx="3134">
                  <c:v>42901</c:v>
                </c:pt>
                <c:pt idx="3135">
                  <c:v>42902</c:v>
                </c:pt>
                <c:pt idx="3136">
                  <c:v>42905</c:v>
                </c:pt>
                <c:pt idx="3137">
                  <c:v>42906</c:v>
                </c:pt>
                <c:pt idx="3138">
                  <c:v>42907</c:v>
                </c:pt>
                <c:pt idx="3139">
                  <c:v>42908</c:v>
                </c:pt>
                <c:pt idx="3140">
                  <c:v>42909</c:v>
                </c:pt>
                <c:pt idx="3141">
                  <c:v>42912</c:v>
                </c:pt>
                <c:pt idx="3142">
                  <c:v>42913</c:v>
                </c:pt>
                <c:pt idx="3143">
                  <c:v>42914</c:v>
                </c:pt>
                <c:pt idx="3144">
                  <c:v>42915</c:v>
                </c:pt>
                <c:pt idx="3145">
                  <c:v>42916</c:v>
                </c:pt>
                <c:pt idx="3146">
                  <c:v>42919</c:v>
                </c:pt>
                <c:pt idx="3147">
                  <c:v>42921</c:v>
                </c:pt>
                <c:pt idx="3148">
                  <c:v>42922</c:v>
                </c:pt>
                <c:pt idx="3149">
                  <c:v>42923</c:v>
                </c:pt>
                <c:pt idx="3150">
                  <c:v>42926</c:v>
                </c:pt>
                <c:pt idx="3151">
                  <c:v>42927</c:v>
                </c:pt>
                <c:pt idx="3152">
                  <c:v>42928</c:v>
                </c:pt>
                <c:pt idx="3153">
                  <c:v>42929</c:v>
                </c:pt>
                <c:pt idx="3154">
                  <c:v>42930</c:v>
                </c:pt>
                <c:pt idx="3155">
                  <c:v>42933</c:v>
                </c:pt>
                <c:pt idx="3156">
                  <c:v>42934</c:v>
                </c:pt>
                <c:pt idx="3157">
                  <c:v>42935</c:v>
                </c:pt>
                <c:pt idx="3158">
                  <c:v>42936</c:v>
                </c:pt>
                <c:pt idx="3159">
                  <c:v>42937</c:v>
                </c:pt>
                <c:pt idx="3160">
                  <c:v>42940</c:v>
                </c:pt>
                <c:pt idx="3161">
                  <c:v>42941</c:v>
                </c:pt>
                <c:pt idx="3162">
                  <c:v>42942</c:v>
                </c:pt>
                <c:pt idx="3163">
                  <c:v>42943</c:v>
                </c:pt>
                <c:pt idx="3164">
                  <c:v>42944</c:v>
                </c:pt>
                <c:pt idx="3165">
                  <c:v>42947</c:v>
                </c:pt>
                <c:pt idx="3166">
                  <c:v>42948</c:v>
                </c:pt>
                <c:pt idx="3167">
                  <c:v>42949</c:v>
                </c:pt>
                <c:pt idx="3168">
                  <c:v>42950</c:v>
                </c:pt>
                <c:pt idx="3169">
                  <c:v>42951</c:v>
                </c:pt>
                <c:pt idx="3170">
                  <c:v>42954</c:v>
                </c:pt>
                <c:pt idx="3171">
                  <c:v>42955</c:v>
                </c:pt>
                <c:pt idx="3172">
                  <c:v>42956</c:v>
                </c:pt>
                <c:pt idx="3173">
                  <c:v>42957</c:v>
                </c:pt>
                <c:pt idx="3174">
                  <c:v>42958</c:v>
                </c:pt>
                <c:pt idx="3175">
                  <c:v>42961</c:v>
                </c:pt>
                <c:pt idx="3176">
                  <c:v>42962</c:v>
                </c:pt>
                <c:pt idx="3177">
                  <c:v>42963</c:v>
                </c:pt>
                <c:pt idx="3178">
                  <c:v>42964</c:v>
                </c:pt>
                <c:pt idx="3179">
                  <c:v>42965</c:v>
                </c:pt>
                <c:pt idx="3180">
                  <c:v>42968</c:v>
                </c:pt>
                <c:pt idx="3181">
                  <c:v>42969</c:v>
                </c:pt>
                <c:pt idx="3182">
                  <c:v>42970</c:v>
                </c:pt>
                <c:pt idx="3183">
                  <c:v>42971</c:v>
                </c:pt>
                <c:pt idx="3184">
                  <c:v>42972</c:v>
                </c:pt>
                <c:pt idx="3185">
                  <c:v>42975</c:v>
                </c:pt>
                <c:pt idx="3186">
                  <c:v>42976</c:v>
                </c:pt>
                <c:pt idx="3187">
                  <c:v>42977</c:v>
                </c:pt>
                <c:pt idx="3188">
                  <c:v>42978</c:v>
                </c:pt>
                <c:pt idx="3189">
                  <c:v>42979</c:v>
                </c:pt>
                <c:pt idx="3190">
                  <c:v>42983</c:v>
                </c:pt>
                <c:pt idx="3191">
                  <c:v>42984</c:v>
                </c:pt>
                <c:pt idx="3192">
                  <c:v>42985</c:v>
                </c:pt>
                <c:pt idx="3193">
                  <c:v>42986</c:v>
                </c:pt>
                <c:pt idx="3194">
                  <c:v>42989</c:v>
                </c:pt>
                <c:pt idx="3195">
                  <c:v>42990</c:v>
                </c:pt>
                <c:pt idx="3196">
                  <c:v>42991</c:v>
                </c:pt>
                <c:pt idx="3197">
                  <c:v>42992</c:v>
                </c:pt>
                <c:pt idx="3198">
                  <c:v>42993</c:v>
                </c:pt>
                <c:pt idx="3199">
                  <c:v>42996</c:v>
                </c:pt>
                <c:pt idx="3200">
                  <c:v>42997</c:v>
                </c:pt>
                <c:pt idx="3201">
                  <c:v>42998</c:v>
                </c:pt>
                <c:pt idx="3202">
                  <c:v>42999</c:v>
                </c:pt>
                <c:pt idx="3203">
                  <c:v>43000</c:v>
                </c:pt>
                <c:pt idx="3204">
                  <c:v>43003</c:v>
                </c:pt>
                <c:pt idx="3205">
                  <c:v>43004</c:v>
                </c:pt>
                <c:pt idx="3206">
                  <c:v>43005</c:v>
                </c:pt>
                <c:pt idx="3207">
                  <c:v>43006</c:v>
                </c:pt>
                <c:pt idx="3208">
                  <c:v>43007</c:v>
                </c:pt>
                <c:pt idx="3209">
                  <c:v>43010</c:v>
                </c:pt>
                <c:pt idx="3210">
                  <c:v>43011</c:v>
                </c:pt>
                <c:pt idx="3211">
                  <c:v>43012</c:v>
                </c:pt>
                <c:pt idx="3212">
                  <c:v>43013</c:v>
                </c:pt>
                <c:pt idx="3213">
                  <c:v>43014</c:v>
                </c:pt>
                <c:pt idx="3214">
                  <c:v>43017</c:v>
                </c:pt>
                <c:pt idx="3215">
                  <c:v>43018</c:v>
                </c:pt>
                <c:pt idx="3216">
                  <c:v>43019</c:v>
                </c:pt>
                <c:pt idx="3217">
                  <c:v>43020</c:v>
                </c:pt>
                <c:pt idx="3218">
                  <c:v>43021</c:v>
                </c:pt>
                <c:pt idx="3219">
                  <c:v>43024</c:v>
                </c:pt>
                <c:pt idx="3220">
                  <c:v>43025</c:v>
                </c:pt>
                <c:pt idx="3221">
                  <c:v>43026</c:v>
                </c:pt>
                <c:pt idx="3222">
                  <c:v>43027</c:v>
                </c:pt>
                <c:pt idx="3223">
                  <c:v>43028</c:v>
                </c:pt>
                <c:pt idx="3224">
                  <c:v>43031</c:v>
                </c:pt>
                <c:pt idx="3225">
                  <c:v>43032</c:v>
                </c:pt>
                <c:pt idx="3226">
                  <c:v>43033</c:v>
                </c:pt>
                <c:pt idx="3227">
                  <c:v>43034</c:v>
                </c:pt>
                <c:pt idx="3228">
                  <c:v>43035</c:v>
                </c:pt>
                <c:pt idx="3229">
                  <c:v>43038</c:v>
                </c:pt>
                <c:pt idx="3230">
                  <c:v>43039</c:v>
                </c:pt>
                <c:pt idx="3231">
                  <c:v>43040</c:v>
                </c:pt>
                <c:pt idx="3232">
                  <c:v>43041</c:v>
                </c:pt>
                <c:pt idx="3233">
                  <c:v>43042</c:v>
                </c:pt>
                <c:pt idx="3234">
                  <c:v>43045</c:v>
                </c:pt>
                <c:pt idx="3235">
                  <c:v>43046</c:v>
                </c:pt>
                <c:pt idx="3236">
                  <c:v>43047</c:v>
                </c:pt>
                <c:pt idx="3237">
                  <c:v>43048</c:v>
                </c:pt>
                <c:pt idx="3238">
                  <c:v>43049</c:v>
                </c:pt>
                <c:pt idx="3239">
                  <c:v>43052</c:v>
                </c:pt>
                <c:pt idx="3240">
                  <c:v>43053</c:v>
                </c:pt>
                <c:pt idx="3241">
                  <c:v>43054</c:v>
                </c:pt>
                <c:pt idx="3242">
                  <c:v>43055</c:v>
                </c:pt>
                <c:pt idx="3243">
                  <c:v>43056</c:v>
                </c:pt>
                <c:pt idx="3244">
                  <c:v>43059</c:v>
                </c:pt>
                <c:pt idx="3245">
                  <c:v>43060</c:v>
                </c:pt>
                <c:pt idx="3246">
                  <c:v>43061</c:v>
                </c:pt>
                <c:pt idx="3247">
                  <c:v>43063</c:v>
                </c:pt>
                <c:pt idx="3248">
                  <c:v>43066</c:v>
                </c:pt>
                <c:pt idx="3249">
                  <c:v>43067</c:v>
                </c:pt>
                <c:pt idx="3250">
                  <c:v>43068</c:v>
                </c:pt>
                <c:pt idx="3251">
                  <c:v>43069</c:v>
                </c:pt>
                <c:pt idx="3252">
                  <c:v>43070</c:v>
                </c:pt>
                <c:pt idx="3253">
                  <c:v>43073</c:v>
                </c:pt>
                <c:pt idx="3254">
                  <c:v>43074</c:v>
                </c:pt>
                <c:pt idx="3255">
                  <c:v>43075</c:v>
                </c:pt>
                <c:pt idx="3256">
                  <c:v>43076</c:v>
                </c:pt>
                <c:pt idx="3257">
                  <c:v>43077</c:v>
                </c:pt>
                <c:pt idx="3258">
                  <c:v>43080</c:v>
                </c:pt>
                <c:pt idx="3259">
                  <c:v>43081</c:v>
                </c:pt>
                <c:pt idx="3260">
                  <c:v>43082</c:v>
                </c:pt>
                <c:pt idx="3261">
                  <c:v>43083</c:v>
                </c:pt>
                <c:pt idx="3262">
                  <c:v>43084</c:v>
                </c:pt>
                <c:pt idx="3263">
                  <c:v>43087</c:v>
                </c:pt>
                <c:pt idx="3264">
                  <c:v>43088</c:v>
                </c:pt>
                <c:pt idx="3265">
                  <c:v>43089</c:v>
                </c:pt>
                <c:pt idx="3266">
                  <c:v>43090</c:v>
                </c:pt>
                <c:pt idx="3267">
                  <c:v>43091</c:v>
                </c:pt>
                <c:pt idx="3268">
                  <c:v>43095</c:v>
                </c:pt>
                <c:pt idx="3269">
                  <c:v>43096</c:v>
                </c:pt>
                <c:pt idx="3270">
                  <c:v>43097</c:v>
                </c:pt>
                <c:pt idx="3271">
                  <c:v>43098</c:v>
                </c:pt>
                <c:pt idx="3272">
                  <c:v>43102</c:v>
                </c:pt>
                <c:pt idx="3273">
                  <c:v>43103</c:v>
                </c:pt>
                <c:pt idx="3274">
                  <c:v>43104</c:v>
                </c:pt>
                <c:pt idx="3275">
                  <c:v>43105</c:v>
                </c:pt>
                <c:pt idx="3276">
                  <c:v>43108</c:v>
                </c:pt>
                <c:pt idx="3277">
                  <c:v>43109</c:v>
                </c:pt>
                <c:pt idx="3278">
                  <c:v>43110</c:v>
                </c:pt>
                <c:pt idx="3279">
                  <c:v>43111</c:v>
                </c:pt>
                <c:pt idx="3280">
                  <c:v>43112</c:v>
                </c:pt>
                <c:pt idx="3281">
                  <c:v>43116</c:v>
                </c:pt>
                <c:pt idx="3282">
                  <c:v>43117</c:v>
                </c:pt>
                <c:pt idx="3283">
                  <c:v>43118</c:v>
                </c:pt>
                <c:pt idx="3284">
                  <c:v>43119</c:v>
                </c:pt>
                <c:pt idx="3285">
                  <c:v>43122</c:v>
                </c:pt>
                <c:pt idx="3286">
                  <c:v>43123</c:v>
                </c:pt>
                <c:pt idx="3287">
                  <c:v>43124</c:v>
                </c:pt>
                <c:pt idx="3288">
                  <c:v>43125</c:v>
                </c:pt>
                <c:pt idx="3289">
                  <c:v>43126</c:v>
                </c:pt>
                <c:pt idx="3290">
                  <c:v>43129</c:v>
                </c:pt>
                <c:pt idx="3291">
                  <c:v>43130</c:v>
                </c:pt>
                <c:pt idx="3292">
                  <c:v>43131</c:v>
                </c:pt>
                <c:pt idx="3293">
                  <c:v>43132</c:v>
                </c:pt>
                <c:pt idx="3294">
                  <c:v>43133</c:v>
                </c:pt>
                <c:pt idx="3295">
                  <c:v>43136</c:v>
                </c:pt>
                <c:pt idx="3296">
                  <c:v>43137</c:v>
                </c:pt>
                <c:pt idx="3297">
                  <c:v>43138</c:v>
                </c:pt>
                <c:pt idx="3298">
                  <c:v>43139</c:v>
                </c:pt>
                <c:pt idx="3299">
                  <c:v>43140</c:v>
                </c:pt>
                <c:pt idx="3300">
                  <c:v>43143</c:v>
                </c:pt>
                <c:pt idx="3301">
                  <c:v>43144</c:v>
                </c:pt>
                <c:pt idx="3302">
                  <c:v>43145</c:v>
                </c:pt>
                <c:pt idx="3303">
                  <c:v>43146</c:v>
                </c:pt>
                <c:pt idx="3304">
                  <c:v>43147</c:v>
                </c:pt>
                <c:pt idx="3305">
                  <c:v>43151</c:v>
                </c:pt>
                <c:pt idx="3306">
                  <c:v>43152</c:v>
                </c:pt>
                <c:pt idx="3307">
                  <c:v>43153</c:v>
                </c:pt>
                <c:pt idx="3308">
                  <c:v>43154</c:v>
                </c:pt>
                <c:pt idx="3309">
                  <c:v>43157</c:v>
                </c:pt>
                <c:pt idx="3310">
                  <c:v>43158</c:v>
                </c:pt>
                <c:pt idx="3311">
                  <c:v>43159</c:v>
                </c:pt>
                <c:pt idx="3312">
                  <c:v>43160</c:v>
                </c:pt>
                <c:pt idx="3313">
                  <c:v>43161</c:v>
                </c:pt>
                <c:pt idx="3314">
                  <c:v>43164</c:v>
                </c:pt>
                <c:pt idx="3315">
                  <c:v>43165</c:v>
                </c:pt>
                <c:pt idx="3316">
                  <c:v>43166</c:v>
                </c:pt>
                <c:pt idx="3317">
                  <c:v>43167</c:v>
                </c:pt>
                <c:pt idx="3318">
                  <c:v>43168</c:v>
                </c:pt>
                <c:pt idx="3319">
                  <c:v>43171</c:v>
                </c:pt>
                <c:pt idx="3320">
                  <c:v>43172</c:v>
                </c:pt>
                <c:pt idx="3321">
                  <c:v>43173</c:v>
                </c:pt>
                <c:pt idx="3322">
                  <c:v>43174</c:v>
                </c:pt>
                <c:pt idx="3323">
                  <c:v>43175</c:v>
                </c:pt>
                <c:pt idx="3324">
                  <c:v>43178</c:v>
                </c:pt>
                <c:pt idx="3325">
                  <c:v>43179</c:v>
                </c:pt>
                <c:pt idx="3326">
                  <c:v>43180</c:v>
                </c:pt>
                <c:pt idx="3327">
                  <c:v>43181</c:v>
                </c:pt>
                <c:pt idx="3328">
                  <c:v>43182</c:v>
                </c:pt>
                <c:pt idx="3329">
                  <c:v>43185</c:v>
                </c:pt>
                <c:pt idx="3330">
                  <c:v>43186</c:v>
                </c:pt>
                <c:pt idx="3331">
                  <c:v>43187</c:v>
                </c:pt>
                <c:pt idx="3332">
                  <c:v>43188</c:v>
                </c:pt>
                <c:pt idx="3333">
                  <c:v>43192</c:v>
                </c:pt>
                <c:pt idx="3334">
                  <c:v>43193</c:v>
                </c:pt>
                <c:pt idx="3335">
                  <c:v>43194</c:v>
                </c:pt>
                <c:pt idx="3336">
                  <c:v>43195</c:v>
                </c:pt>
                <c:pt idx="3337">
                  <c:v>43196</c:v>
                </c:pt>
                <c:pt idx="3338">
                  <c:v>43199</c:v>
                </c:pt>
                <c:pt idx="3339">
                  <c:v>43200</c:v>
                </c:pt>
                <c:pt idx="3340">
                  <c:v>43201</c:v>
                </c:pt>
                <c:pt idx="3341">
                  <c:v>43202</c:v>
                </c:pt>
                <c:pt idx="3342">
                  <c:v>43203</c:v>
                </c:pt>
                <c:pt idx="3343">
                  <c:v>43206</c:v>
                </c:pt>
                <c:pt idx="3344">
                  <c:v>43207</c:v>
                </c:pt>
                <c:pt idx="3345">
                  <c:v>43208</c:v>
                </c:pt>
                <c:pt idx="3346">
                  <c:v>43209</c:v>
                </c:pt>
                <c:pt idx="3347">
                  <c:v>43210</c:v>
                </c:pt>
                <c:pt idx="3348">
                  <c:v>43213</c:v>
                </c:pt>
                <c:pt idx="3349">
                  <c:v>43214</c:v>
                </c:pt>
                <c:pt idx="3350">
                  <c:v>43215</c:v>
                </c:pt>
                <c:pt idx="3351">
                  <c:v>43216</c:v>
                </c:pt>
                <c:pt idx="3352">
                  <c:v>43217</c:v>
                </c:pt>
                <c:pt idx="3353">
                  <c:v>43220</c:v>
                </c:pt>
                <c:pt idx="3354">
                  <c:v>43221</c:v>
                </c:pt>
                <c:pt idx="3355">
                  <c:v>43222</c:v>
                </c:pt>
                <c:pt idx="3356">
                  <c:v>43223</c:v>
                </c:pt>
                <c:pt idx="3357">
                  <c:v>43224</c:v>
                </c:pt>
                <c:pt idx="3358">
                  <c:v>43227</c:v>
                </c:pt>
                <c:pt idx="3359">
                  <c:v>43228</c:v>
                </c:pt>
                <c:pt idx="3360">
                  <c:v>43229</c:v>
                </c:pt>
                <c:pt idx="3361">
                  <c:v>43230</c:v>
                </c:pt>
                <c:pt idx="3362">
                  <c:v>43231</c:v>
                </c:pt>
                <c:pt idx="3363">
                  <c:v>43234</c:v>
                </c:pt>
                <c:pt idx="3364">
                  <c:v>43235</c:v>
                </c:pt>
                <c:pt idx="3365">
                  <c:v>43236</c:v>
                </c:pt>
                <c:pt idx="3366">
                  <c:v>43237</c:v>
                </c:pt>
                <c:pt idx="3367">
                  <c:v>43238</c:v>
                </c:pt>
                <c:pt idx="3368">
                  <c:v>43241</c:v>
                </c:pt>
                <c:pt idx="3369">
                  <c:v>43242</c:v>
                </c:pt>
                <c:pt idx="3370">
                  <c:v>43243</c:v>
                </c:pt>
                <c:pt idx="3371">
                  <c:v>43244</c:v>
                </c:pt>
                <c:pt idx="3372">
                  <c:v>43245</c:v>
                </c:pt>
                <c:pt idx="3373">
                  <c:v>43249</c:v>
                </c:pt>
                <c:pt idx="3374">
                  <c:v>43250</c:v>
                </c:pt>
                <c:pt idx="3375">
                  <c:v>43251</c:v>
                </c:pt>
                <c:pt idx="3376">
                  <c:v>43252</c:v>
                </c:pt>
                <c:pt idx="3377">
                  <c:v>43255</c:v>
                </c:pt>
                <c:pt idx="3378">
                  <c:v>43256</c:v>
                </c:pt>
                <c:pt idx="3379">
                  <c:v>43257</c:v>
                </c:pt>
                <c:pt idx="3380">
                  <c:v>43258</c:v>
                </c:pt>
                <c:pt idx="3381">
                  <c:v>43259</c:v>
                </c:pt>
                <c:pt idx="3382">
                  <c:v>43262</c:v>
                </c:pt>
                <c:pt idx="3383">
                  <c:v>43263</c:v>
                </c:pt>
                <c:pt idx="3384">
                  <c:v>43264</c:v>
                </c:pt>
                <c:pt idx="3385">
                  <c:v>43265</c:v>
                </c:pt>
                <c:pt idx="3386">
                  <c:v>43266</c:v>
                </c:pt>
                <c:pt idx="3387">
                  <c:v>43269</c:v>
                </c:pt>
                <c:pt idx="3388">
                  <c:v>43270</c:v>
                </c:pt>
                <c:pt idx="3389">
                  <c:v>43271</c:v>
                </c:pt>
                <c:pt idx="3390">
                  <c:v>43272</c:v>
                </c:pt>
                <c:pt idx="3391">
                  <c:v>43273</c:v>
                </c:pt>
                <c:pt idx="3392">
                  <c:v>43276</c:v>
                </c:pt>
                <c:pt idx="3393">
                  <c:v>43277</c:v>
                </c:pt>
                <c:pt idx="3394">
                  <c:v>43278</c:v>
                </c:pt>
                <c:pt idx="3395">
                  <c:v>43279</c:v>
                </c:pt>
                <c:pt idx="3396">
                  <c:v>43280</c:v>
                </c:pt>
                <c:pt idx="3397">
                  <c:v>43283</c:v>
                </c:pt>
                <c:pt idx="3398">
                  <c:v>43284</c:v>
                </c:pt>
                <c:pt idx="3399">
                  <c:v>43286</c:v>
                </c:pt>
                <c:pt idx="3400">
                  <c:v>43287</c:v>
                </c:pt>
                <c:pt idx="3401">
                  <c:v>43290</c:v>
                </c:pt>
                <c:pt idx="3402">
                  <c:v>43291</c:v>
                </c:pt>
                <c:pt idx="3403">
                  <c:v>43292</c:v>
                </c:pt>
                <c:pt idx="3404">
                  <c:v>43293</c:v>
                </c:pt>
                <c:pt idx="3405">
                  <c:v>43294</c:v>
                </c:pt>
                <c:pt idx="3406">
                  <c:v>43297</c:v>
                </c:pt>
                <c:pt idx="3407">
                  <c:v>43298</c:v>
                </c:pt>
                <c:pt idx="3408">
                  <c:v>43299</c:v>
                </c:pt>
                <c:pt idx="3409">
                  <c:v>43300</c:v>
                </c:pt>
                <c:pt idx="3410">
                  <c:v>43301</c:v>
                </c:pt>
                <c:pt idx="3411">
                  <c:v>43304</c:v>
                </c:pt>
                <c:pt idx="3412">
                  <c:v>43305</c:v>
                </c:pt>
                <c:pt idx="3413">
                  <c:v>43306</c:v>
                </c:pt>
                <c:pt idx="3414">
                  <c:v>43307</c:v>
                </c:pt>
                <c:pt idx="3415">
                  <c:v>43308</c:v>
                </c:pt>
                <c:pt idx="3416">
                  <c:v>43311</c:v>
                </c:pt>
                <c:pt idx="3417">
                  <c:v>43312</c:v>
                </c:pt>
                <c:pt idx="3418">
                  <c:v>43313</c:v>
                </c:pt>
                <c:pt idx="3419">
                  <c:v>43314</c:v>
                </c:pt>
                <c:pt idx="3420">
                  <c:v>43315</c:v>
                </c:pt>
                <c:pt idx="3421">
                  <c:v>43318</c:v>
                </c:pt>
                <c:pt idx="3422">
                  <c:v>43319</c:v>
                </c:pt>
                <c:pt idx="3423">
                  <c:v>43320</c:v>
                </c:pt>
                <c:pt idx="3424">
                  <c:v>43321</c:v>
                </c:pt>
                <c:pt idx="3425">
                  <c:v>43322</c:v>
                </c:pt>
                <c:pt idx="3426">
                  <c:v>43325</c:v>
                </c:pt>
                <c:pt idx="3427">
                  <c:v>43326</c:v>
                </c:pt>
                <c:pt idx="3428">
                  <c:v>43327</c:v>
                </c:pt>
                <c:pt idx="3429">
                  <c:v>43328</c:v>
                </c:pt>
                <c:pt idx="3430">
                  <c:v>43329</c:v>
                </c:pt>
                <c:pt idx="3431">
                  <c:v>43332</c:v>
                </c:pt>
                <c:pt idx="3432">
                  <c:v>43333</c:v>
                </c:pt>
                <c:pt idx="3433">
                  <c:v>43334</c:v>
                </c:pt>
                <c:pt idx="3434">
                  <c:v>43335</c:v>
                </c:pt>
                <c:pt idx="3435">
                  <c:v>43336</c:v>
                </c:pt>
                <c:pt idx="3436">
                  <c:v>43339</c:v>
                </c:pt>
                <c:pt idx="3437">
                  <c:v>43340</c:v>
                </c:pt>
                <c:pt idx="3438">
                  <c:v>43341</c:v>
                </c:pt>
                <c:pt idx="3439">
                  <c:v>43342</c:v>
                </c:pt>
                <c:pt idx="3440">
                  <c:v>43343</c:v>
                </c:pt>
                <c:pt idx="3441">
                  <c:v>43347</c:v>
                </c:pt>
                <c:pt idx="3442">
                  <c:v>43348</c:v>
                </c:pt>
                <c:pt idx="3443">
                  <c:v>43349</c:v>
                </c:pt>
                <c:pt idx="3444">
                  <c:v>43350</c:v>
                </c:pt>
                <c:pt idx="3445">
                  <c:v>43353</c:v>
                </c:pt>
                <c:pt idx="3446">
                  <c:v>43354</c:v>
                </c:pt>
                <c:pt idx="3447">
                  <c:v>43355</c:v>
                </c:pt>
                <c:pt idx="3448">
                  <c:v>43356</c:v>
                </c:pt>
                <c:pt idx="3449">
                  <c:v>43357</c:v>
                </c:pt>
                <c:pt idx="3450">
                  <c:v>43360</c:v>
                </c:pt>
                <c:pt idx="3451">
                  <c:v>43361</c:v>
                </c:pt>
                <c:pt idx="3452">
                  <c:v>43362</c:v>
                </c:pt>
                <c:pt idx="3453">
                  <c:v>43363</c:v>
                </c:pt>
                <c:pt idx="3454">
                  <c:v>43364</c:v>
                </c:pt>
                <c:pt idx="3455">
                  <c:v>43367</c:v>
                </c:pt>
                <c:pt idx="3456">
                  <c:v>43368</c:v>
                </c:pt>
                <c:pt idx="3457">
                  <c:v>43369</c:v>
                </c:pt>
                <c:pt idx="3458">
                  <c:v>43370</c:v>
                </c:pt>
                <c:pt idx="3459">
                  <c:v>43371</c:v>
                </c:pt>
                <c:pt idx="3460">
                  <c:v>43374</c:v>
                </c:pt>
                <c:pt idx="3461">
                  <c:v>43375</c:v>
                </c:pt>
                <c:pt idx="3462">
                  <c:v>43376</c:v>
                </c:pt>
                <c:pt idx="3463">
                  <c:v>43377</c:v>
                </c:pt>
                <c:pt idx="3464">
                  <c:v>43378</c:v>
                </c:pt>
                <c:pt idx="3465">
                  <c:v>43381</c:v>
                </c:pt>
                <c:pt idx="3466">
                  <c:v>43382</c:v>
                </c:pt>
                <c:pt idx="3467">
                  <c:v>43383</c:v>
                </c:pt>
                <c:pt idx="3468">
                  <c:v>43384</c:v>
                </c:pt>
                <c:pt idx="3469">
                  <c:v>43385</c:v>
                </c:pt>
                <c:pt idx="3470">
                  <c:v>43388</c:v>
                </c:pt>
                <c:pt idx="3471">
                  <c:v>43389</c:v>
                </c:pt>
                <c:pt idx="3472">
                  <c:v>43390</c:v>
                </c:pt>
                <c:pt idx="3473">
                  <c:v>43391</c:v>
                </c:pt>
                <c:pt idx="3474">
                  <c:v>43392</c:v>
                </c:pt>
                <c:pt idx="3475">
                  <c:v>43395</c:v>
                </c:pt>
                <c:pt idx="3476">
                  <c:v>43396</c:v>
                </c:pt>
                <c:pt idx="3477">
                  <c:v>43397</c:v>
                </c:pt>
                <c:pt idx="3478">
                  <c:v>43398</c:v>
                </c:pt>
                <c:pt idx="3479">
                  <c:v>43399</c:v>
                </c:pt>
                <c:pt idx="3480">
                  <c:v>43402</c:v>
                </c:pt>
                <c:pt idx="3481">
                  <c:v>43403</c:v>
                </c:pt>
                <c:pt idx="3482">
                  <c:v>43404</c:v>
                </c:pt>
                <c:pt idx="3483">
                  <c:v>43405</c:v>
                </c:pt>
                <c:pt idx="3484">
                  <c:v>43406</c:v>
                </c:pt>
                <c:pt idx="3485">
                  <c:v>43409</c:v>
                </c:pt>
                <c:pt idx="3486">
                  <c:v>43410</c:v>
                </c:pt>
                <c:pt idx="3487">
                  <c:v>43411</c:v>
                </c:pt>
                <c:pt idx="3488">
                  <c:v>43412</c:v>
                </c:pt>
                <c:pt idx="3489">
                  <c:v>43413</c:v>
                </c:pt>
                <c:pt idx="3490">
                  <c:v>43416</c:v>
                </c:pt>
                <c:pt idx="3491">
                  <c:v>43417</c:v>
                </c:pt>
                <c:pt idx="3492">
                  <c:v>43418</c:v>
                </c:pt>
                <c:pt idx="3493">
                  <c:v>43419</c:v>
                </c:pt>
                <c:pt idx="3494">
                  <c:v>43420</c:v>
                </c:pt>
                <c:pt idx="3495">
                  <c:v>43423</c:v>
                </c:pt>
                <c:pt idx="3496">
                  <c:v>43424</c:v>
                </c:pt>
                <c:pt idx="3497">
                  <c:v>43425</c:v>
                </c:pt>
                <c:pt idx="3498">
                  <c:v>43427</c:v>
                </c:pt>
                <c:pt idx="3499">
                  <c:v>43430</c:v>
                </c:pt>
                <c:pt idx="3500">
                  <c:v>43431</c:v>
                </c:pt>
                <c:pt idx="3501">
                  <c:v>43432</c:v>
                </c:pt>
                <c:pt idx="3502">
                  <c:v>43433</c:v>
                </c:pt>
                <c:pt idx="3503">
                  <c:v>43434</c:v>
                </c:pt>
                <c:pt idx="3504">
                  <c:v>43437</c:v>
                </c:pt>
                <c:pt idx="3505">
                  <c:v>43438</c:v>
                </c:pt>
                <c:pt idx="3506">
                  <c:v>43440</c:v>
                </c:pt>
                <c:pt idx="3507">
                  <c:v>43441</c:v>
                </c:pt>
                <c:pt idx="3508">
                  <c:v>43444</c:v>
                </c:pt>
                <c:pt idx="3509">
                  <c:v>43445</c:v>
                </c:pt>
                <c:pt idx="3510">
                  <c:v>43446</c:v>
                </c:pt>
                <c:pt idx="3511">
                  <c:v>43447</c:v>
                </c:pt>
                <c:pt idx="3512">
                  <c:v>43448</c:v>
                </c:pt>
                <c:pt idx="3513">
                  <c:v>43451</c:v>
                </c:pt>
                <c:pt idx="3514">
                  <c:v>43452</c:v>
                </c:pt>
                <c:pt idx="3515">
                  <c:v>43453</c:v>
                </c:pt>
                <c:pt idx="3516">
                  <c:v>43454</c:v>
                </c:pt>
                <c:pt idx="3517">
                  <c:v>43455</c:v>
                </c:pt>
                <c:pt idx="3518">
                  <c:v>43458</c:v>
                </c:pt>
                <c:pt idx="3519">
                  <c:v>43460</c:v>
                </c:pt>
                <c:pt idx="3520">
                  <c:v>43461</c:v>
                </c:pt>
                <c:pt idx="3521">
                  <c:v>43462</c:v>
                </c:pt>
                <c:pt idx="3522">
                  <c:v>43465</c:v>
                </c:pt>
                <c:pt idx="3523">
                  <c:v>43467</c:v>
                </c:pt>
                <c:pt idx="3524">
                  <c:v>43468</c:v>
                </c:pt>
                <c:pt idx="3525">
                  <c:v>43469</c:v>
                </c:pt>
                <c:pt idx="3526">
                  <c:v>43472</c:v>
                </c:pt>
                <c:pt idx="3527">
                  <c:v>43473</c:v>
                </c:pt>
                <c:pt idx="3528">
                  <c:v>43474</c:v>
                </c:pt>
                <c:pt idx="3529">
                  <c:v>43475</c:v>
                </c:pt>
                <c:pt idx="3530">
                  <c:v>43476</c:v>
                </c:pt>
                <c:pt idx="3531">
                  <c:v>43479</c:v>
                </c:pt>
                <c:pt idx="3532">
                  <c:v>43480</c:v>
                </c:pt>
                <c:pt idx="3533">
                  <c:v>43481</c:v>
                </c:pt>
                <c:pt idx="3534">
                  <c:v>43482</c:v>
                </c:pt>
                <c:pt idx="3535">
                  <c:v>43483</c:v>
                </c:pt>
                <c:pt idx="3536">
                  <c:v>43487</c:v>
                </c:pt>
                <c:pt idx="3537">
                  <c:v>43488</c:v>
                </c:pt>
                <c:pt idx="3538">
                  <c:v>43489</c:v>
                </c:pt>
                <c:pt idx="3539">
                  <c:v>43490</c:v>
                </c:pt>
                <c:pt idx="3540">
                  <c:v>43493</c:v>
                </c:pt>
                <c:pt idx="3541">
                  <c:v>43494</c:v>
                </c:pt>
                <c:pt idx="3542">
                  <c:v>43495</c:v>
                </c:pt>
                <c:pt idx="3543">
                  <c:v>43496</c:v>
                </c:pt>
                <c:pt idx="3544">
                  <c:v>43497</c:v>
                </c:pt>
                <c:pt idx="3545">
                  <c:v>43500</c:v>
                </c:pt>
                <c:pt idx="3546">
                  <c:v>43501</c:v>
                </c:pt>
                <c:pt idx="3547">
                  <c:v>43502</c:v>
                </c:pt>
                <c:pt idx="3548">
                  <c:v>43503</c:v>
                </c:pt>
                <c:pt idx="3549">
                  <c:v>43504</c:v>
                </c:pt>
                <c:pt idx="3550">
                  <c:v>43507</c:v>
                </c:pt>
                <c:pt idx="3551">
                  <c:v>43508</c:v>
                </c:pt>
                <c:pt idx="3552">
                  <c:v>43509</c:v>
                </c:pt>
                <c:pt idx="3553">
                  <c:v>43510</c:v>
                </c:pt>
                <c:pt idx="3554">
                  <c:v>43511</c:v>
                </c:pt>
                <c:pt idx="3555">
                  <c:v>43515</c:v>
                </c:pt>
                <c:pt idx="3556">
                  <c:v>43516</c:v>
                </c:pt>
                <c:pt idx="3557">
                  <c:v>43517</c:v>
                </c:pt>
                <c:pt idx="3558">
                  <c:v>43518</c:v>
                </c:pt>
                <c:pt idx="3559">
                  <c:v>43521</c:v>
                </c:pt>
                <c:pt idx="3560">
                  <c:v>43522</c:v>
                </c:pt>
                <c:pt idx="3561">
                  <c:v>43523</c:v>
                </c:pt>
                <c:pt idx="3562">
                  <c:v>43524</c:v>
                </c:pt>
                <c:pt idx="3563">
                  <c:v>43525</c:v>
                </c:pt>
                <c:pt idx="3564">
                  <c:v>43528</c:v>
                </c:pt>
                <c:pt idx="3565">
                  <c:v>43529</c:v>
                </c:pt>
                <c:pt idx="3566">
                  <c:v>43530</c:v>
                </c:pt>
                <c:pt idx="3567">
                  <c:v>43531</c:v>
                </c:pt>
                <c:pt idx="3568">
                  <c:v>43532</c:v>
                </c:pt>
                <c:pt idx="3569">
                  <c:v>43535</c:v>
                </c:pt>
                <c:pt idx="3570">
                  <c:v>43536</c:v>
                </c:pt>
                <c:pt idx="3571">
                  <c:v>43537</c:v>
                </c:pt>
                <c:pt idx="3572">
                  <c:v>43538</c:v>
                </c:pt>
                <c:pt idx="3573">
                  <c:v>43539</c:v>
                </c:pt>
                <c:pt idx="3574">
                  <c:v>43542</c:v>
                </c:pt>
                <c:pt idx="3575">
                  <c:v>43543</c:v>
                </c:pt>
                <c:pt idx="3576">
                  <c:v>43544</c:v>
                </c:pt>
                <c:pt idx="3577">
                  <c:v>43545</c:v>
                </c:pt>
                <c:pt idx="3578">
                  <c:v>43546</c:v>
                </c:pt>
                <c:pt idx="3579">
                  <c:v>43549</c:v>
                </c:pt>
                <c:pt idx="3580">
                  <c:v>43550</c:v>
                </c:pt>
                <c:pt idx="3581">
                  <c:v>43551</c:v>
                </c:pt>
                <c:pt idx="3582">
                  <c:v>43552</c:v>
                </c:pt>
                <c:pt idx="3583">
                  <c:v>43553</c:v>
                </c:pt>
                <c:pt idx="3584">
                  <c:v>43556</c:v>
                </c:pt>
                <c:pt idx="3585">
                  <c:v>43557</c:v>
                </c:pt>
                <c:pt idx="3586">
                  <c:v>43558</c:v>
                </c:pt>
                <c:pt idx="3587">
                  <c:v>43559</c:v>
                </c:pt>
                <c:pt idx="3588">
                  <c:v>43560</c:v>
                </c:pt>
                <c:pt idx="3589">
                  <c:v>43563</c:v>
                </c:pt>
                <c:pt idx="3590">
                  <c:v>43564</c:v>
                </c:pt>
                <c:pt idx="3591">
                  <c:v>43565</c:v>
                </c:pt>
                <c:pt idx="3592">
                  <c:v>43566</c:v>
                </c:pt>
                <c:pt idx="3593">
                  <c:v>43567</c:v>
                </c:pt>
                <c:pt idx="3594">
                  <c:v>43570</c:v>
                </c:pt>
                <c:pt idx="3595">
                  <c:v>43571</c:v>
                </c:pt>
                <c:pt idx="3596">
                  <c:v>43572</c:v>
                </c:pt>
                <c:pt idx="3597">
                  <c:v>43573</c:v>
                </c:pt>
                <c:pt idx="3598">
                  <c:v>43577</c:v>
                </c:pt>
                <c:pt idx="3599">
                  <c:v>43578</c:v>
                </c:pt>
                <c:pt idx="3600">
                  <c:v>43579</c:v>
                </c:pt>
                <c:pt idx="3601">
                  <c:v>43580</c:v>
                </c:pt>
                <c:pt idx="3602">
                  <c:v>43581</c:v>
                </c:pt>
                <c:pt idx="3603">
                  <c:v>43584</c:v>
                </c:pt>
                <c:pt idx="3604">
                  <c:v>43585</c:v>
                </c:pt>
                <c:pt idx="3605">
                  <c:v>43586</c:v>
                </c:pt>
                <c:pt idx="3606">
                  <c:v>43587</c:v>
                </c:pt>
                <c:pt idx="3607">
                  <c:v>43588</c:v>
                </c:pt>
                <c:pt idx="3608">
                  <c:v>43591</c:v>
                </c:pt>
                <c:pt idx="3609">
                  <c:v>43592</c:v>
                </c:pt>
                <c:pt idx="3610">
                  <c:v>43593</c:v>
                </c:pt>
                <c:pt idx="3611">
                  <c:v>43594</c:v>
                </c:pt>
                <c:pt idx="3612">
                  <c:v>43595</c:v>
                </c:pt>
                <c:pt idx="3613">
                  <c:v>43598</c:v>
                </c:pt>
                <c:pt idx="3614">
                  <c:v>43599</c:v>
                </c:pt>
                <c:pt idx="3615">
                  <c:v>43600</c:v>
                </c:pt>
                <c:pt idx="3616">
                  <c:v>43601</c:v>
                </c:pt>
                <c:pt idx="3617">
                  <c:v>43602</c:v>
                </c:pt>
                <c:pt idx="3618">
                  <c:v>43605</c:v>
                </c:pt>
                <c:pt idx="3619">
                  <c:v>43606</c:v>
                </c:pt>
                <c:pt idx="3620">
                  <c:v>43607</c:v>
                </c:pt>
                <c:pt idx="3621">
                  <c:v>43608</c:v>
                </c:pt>
                <c:pt idx="3622">
                  <c:v>43609</c:v>
                </c:pt>
                <c:pt idx="3623">
                  <c:v>43613</c:v>
                </c:pt>
                <c:pt idx="3624">
                  <c:v>43614</c:v>
                </c:pt>
                <c:pt idx="3625">
                  <c:v>43615</c:v>
                </c:pt>
                <c:pt idx="3626">
                  <c:v>43616</c:v>
                </c:pt>
                <c:pt idx="3627">
                  <c:v>43619</c:v>
                </c:pt>
                <c:pt idx="3628">
                  <c:v>43620</c:v>
                </c:pt>
                <c:pt idx="3629">
                  <c:v>43621</c:v>
                </c:pt>
                <c:pt idx="3630">
                  <c:v>43622</c:v>
                </c:pt>
                <c:pt idx="3631">
                  <c:v>43623</c:v>
                </c:pt>
                <c:pt idx="3632">
                  <c:v>43626</c:v>
                </c:pt>
                <c:pt idx="3633">
                  <c:v>43627</c:v>
                </c:pt>
                <c:pt idx="3634">
                  <c:v>43628</c:v>
                </c:pt>
                <c:pt idx="3635">
                  <c:v>43629</c:v>
                </c:pt>
                <c:pt idx="3636">
                  <c:v>43630</c:v>
                </c:pt>
                <c:pt idx="3637">
                  <c:v>43633</c:v>
                </c:pt>
                <c:pt idx="3638">
                  <c:v>43634</c:v>
                </c:pt>
                <c:pt idx="3639">
                  <c:v>43635</c:v>
                </c:pt>
                <c:pt idx="3640">
                  <c:v>43636</c:v>
                </c:pt>
                <c:pt idx="3641">
                  <c:v>43637</c:v>
                </c:pt>
                <c:pt idx="3642">
                  <c:v>43640</c:v>
                </c:pt>
                <c:pt idx="3643">
                  <c:v>43641</c:v>
                </c:pt>
                <c:pt idx="3644">
                  <c:v>43642</c:v>
                </c:pt>
                <c:pt idx="3645">
                  <c:v>43643</c:v>
                </c:pt>
                <c:pt idx="3646">
                  <c:v>43644</c:v>
                </c:pt>
                <c:pt idx="3647">
                  <c:v>43647</c:v>
                </c:pt>
                <c:pt idx="3648">
                  <c:v>43648</c:v>
                </c:pt>
                <c:pt idx="3649">
                  <c:v>43649</c:v>
                </c:pt>
                <c:pt idx="3650">
                  <c:v>43651</c:v>
                </c:pt>
                <c:pt idx="3651">
                  <c:v>43654</c:v>
                </c:pt>
                <c:pt idx="3652">
                  <c:v>43655</c:v>
                </c:pt>
                <c:pt idx="3653">
                  <c:v>43656</c:v>
                </c:pt>
                <c:pt idx="3654">
                  <c:v>43657</c:v>
                </c:pt>
                <c:pt idx="3655">
                  <c:v>43658</c:v>
                </c:pt>
                <c:pt idx="3656">
                  <c:v>43661</c:v>
                </c:pt>
                <c:pt idx="3657">
                  <c:v>43662</c:v>
                </c:pt>
                <c:pt idx="3658">
                  <c:v>43663</c:v>
                </c:pt>
                <c:pt idx="3659">
                  <c:v>43664</c:v>
                </c:pt>
                <c:pt idx="3660">
                  <c:v>43665</c:v>
                </c:pt>
                <c:pt idx="3661">
                  <c:v>43668</c:v>
                </c:pt>
                <c:pt idx="3662">
                  <c:v>43669</c:v>
                </c:pt>
                <c:pt idx="3663">
                  <c:v>43670</c:v>
                </c:pt>
                <c:pt idx="3664">
                  <c:v>43671</c:v>
                </c:pt>
                <c:pt idx="3665">
                  <c:v>43672</c:v>
                </c:pt>
                <c:pt idx="3666">
                  <c:v>43675</c:v>
                </c:pt>
                <c:pt idx="3667">
                  <c:v>43676</c:v>
                </c:pt>
                <c:pt idx="3668">
                  <c:v>43677</c:v>
                </c:pt>
                <c:pt idx="3669">
                  <c:v>43678</c:v>
                </c:pt>
                <c:pt idx="3670">
                  <c:v>43679</c:v>
                </c:pt>
                <c:pt idx="3671">
                  <c:v>43682</c:v>
                </c:pt>
                <c:pt idx="3672">
                  <c:v>43683</c:v>
                </c:pt>
                <c:pt idx="3673">
                  <c:v>43684</c:v>
                </c:pt>
                <c:pt idx="3674">
                  <c:v>43685</c:v>
                </c:pt>
                <c:pt idx="3675">
                  <c:v>43686</c:v>
                </c:pt>
                <c:pt idx="3676">
                  <c:v>43689</c:v>
                </c:pt>
                <c:pt idx="3677">
                  <c:v>43690</c:v>
                </c:pt>
                <c:pt idx="3678">
                  <c:v>43691</c:v>
                </c:pt>
                <c:pt idx="3679">
                  <c:v>43692</c:v>
                </c:pt>
                <c:pt idx="3680">
                  <c:v>43693</c:v>
                </c:pt>
                <c:pt idx="3681">
                  <c:v>43696</c:v>
                </c:pt>
                <c:pt idx="3682">
                  <c:v>43697</c:v>
                </c:pt>
                <c:pt idx="3683">
                  <c:v>43698</c:v>
                </c:pt>
                <c:pt idx="3684">
                  <c:v>43699</c:v>
                </c:pt>
                <c:pt idx="3685">
                  <c:v>43700</c:v>
                </c:pt>
                <c:pt idx="3686">
                  <c:v>43703</c:v>
                </c:pt>
                <c:pt idx="3687">
                  <c:v>43704</c:v>
                </c:pt>
                <c:pt idx="3688">
                  <c:v>43705</c:v>
                </c:pt>
                <c:pt idx="3689">
                  <c:v>43706</c:v>
                </c:pt>
                <c:pt idx="3690">
                  <c:v>43707</c:v>
                </c:pt>
                <c:pt idx="3691">
                  <c:v>43711</c:v>
                </c:pt>
                <c:pt idx="3692">
                  <c:v>43712</c:v>
                </c:pt>
                <c:pt idx="3693">
                  <c:v>43713</c:v>
                </c:pt>
                <c:pt idx="3694">
                  <c:v>43714</c:v>
                </c:pt>
                <c:pt idx="3695">
                  <c:v>43717</c:v>
                </c:pt>
                <c:pt idx="3696">
                  <c:v>43718</c:v>
                </c:pt>
                <c:pt idx="3697">
                  <c:v>43719</c:v>
                </c:pt>
                <c:pt idx="3698">
                  <c:v>43720</c:v>
                </c:pt>
                <c:pt idx="3699">
                  <c:v>43721</c:v>
                </c:pt>
                <c:pt idx="3700">
                  <c:v>43724</c:v>
                </c:pt>
                <c:pt idx="3701">
                  <c:v>43725</c:v>
                </c:pt>
                <c:pt idx="3702">
                  <c:v>43726</c:v>
                </c:pt>
                <c:pt idx="3703">
                  <c:v>43727</c:v>
                </c:pt>
                <c:pt idx="3704">
                  <c:v>43728</c:v>
                </c:pt>
                <c:pt idx="3705">
                  <c:v>43731</c:v>
                </c:pt>
                <c:pt idx="3706">
                  <c:v>43732</c:v>
                </c:pt>
                <c:pt idx="3707">
                  <c:v>43733</c:v>
                </c:pt>
                <c:pt idx="3708">
                  <c:v>43734</c:v>
                </c:pt>
                <c:pt idx="3709">
                  <c:v>43735</c:v>
                </c:pt>
                <c:pt idx="3710">
                  <c:v>43738</c:v>
                </c:pt>
                <c:pt idx="3711">
                  <c:v>43739</c:v>
                </c:pt>
                <c:pt idx="3712">
                  <c:v>43740</c:v>
                </c:pt>
                <c:pt idx="3713">
                  <c:v>43741</c:v>
                </c:pt>
                <c:pt idx="3714">
                  <c:v>43742</c:v>
                </c:pt>
                <c:pt idx="3715">
                  <c:v>43745</c:v>
                </c:pt>
                <c:pt idx="3716">
                  <c:v>43746</c:v>
                </c:pt>
                <c:pt idx="3717">
                  <c:v>43747</c:v>
                </c:pt>
                <c:pt idx="3718">
                  <c:v>43748</c:v>
                </c:pt>
                <c:pt idx="3719">
                  <c:v>43749</c:v>
                </c:pt>
                <c:pt idx="3720">
                  <c:v>43752</c:v>
                </c:pt>
                <c:pt idx="3721">
                  <c:v>43753</c:v>
                </c:pt>
                <c:pt idx="3722">
                  <c:v>43754</c:v>
                </c:pt>
                <c:pt idx="3723">
                  <c:v>43755</c:v>
                </c:pt>
                <c:pt idx="3724">
                  <c:v>43756</c:v>
                </c:pt>
                <c:pt idx="3725">
                  <c:v>43759</c:v>
                </c:pt>
                <c:pt idx="3726">
                  <c:v>43760</c:v>
                </c:pt>
                <c:pt idx="3727">
                  <c:v>43761</c:v>
                </c:pt>
                <c:pt idx="3728">
                  <c:v>43762</c:v>
                </c:pt>
                <c:pt idx="3729">
                  <c:v>43763</c:v>
                </c:pt>
                <c:pt idx="3730">
                  <c:v>43766</c:v>
                </c:pt>
                <c:pt idx="3731">
                  <c:v>43767</c:v>
                </c:pt>
                <c:pt idx="3732">
                  <c:v>43768</c:v>
                </c:pt>
                <c:pt idx="3733">
                  <c:v>43769</c:v>
                </c:pt>
                <c:pt idx="3734">
                  <c:v>43770</c:v>
                </c:pt>
                <c:pt idx="3735">
                  <c:v>43773</c:v>
                </c:pt>
                <c:pt idx="3736">
                  <c:v>43774</c:v>
                </c:pt>
                <c:pt idx="3737">
                  <c:v>43775</c:v>
                </c:pt>
                <c:pt idx="3738">
                  <c:v>43776</c:v>
                </c:pt>
                <c:pt idx="3739">
                  <c:v>43777</c:v>
                </c:pt>
                <c:pt idx="3740">
                  <c:v>43780</c:v>
                </c:pt>
                <c:pt idx="3741">
                  <c:v>43781</c:v>
                </c:pt>
                <c:pt idx="3742">
                  <c:v>43782</c:v>
                </c:pt>
                <c:pt idx="3743">
                  <c:v>43783</c:v>
                </c:pt>
                <c:pt idx="3744">
                  <c:v>43784</c:v>
                </c:pt>
                <c:pt idx="3745">
                  <c:v>43787</c:v>
                </c:pt>
                <c:pt idx="3746">
                  <c:v>43788</c:v>
                </c:pt>
                <c:pt idx="3747">
                  <c:v>43789</c:v>
                </c:pt>
                <c:pt idx="3748">
                  <c:v>43790</c:v>
                </c:pt>
                <c:pt idx="3749">
                  <c:v>43791</c:v>
                </c:pt>
                <c:pt idx="3750">
                  <c:v>43794</c:v>
                </c:pt>
                <c:pt idx="3751">
                  <c:v>43795</c:v>
                </c:pt>
                <c:pt idx="3752">
                  <c:v>43796</c:v>
                </c:pt>
                <c:pt idx="3753">
                  <c:v>43798</c:v>
                </c:pt>
                <c:pt idx="3754">
                  <c:v>43801</c:v>
                </c:pt>
                <c:pt idx="3755">
                  <c:v>43802</c:v>
                </c:pt>
                <c:pt idx="3756">
                  <c:v>43803</c:v>
                </c:pt>
                <c:pt idx="3757">
                  <c:v>43804</c:v>
                </c:pt>
                <c:pt idx="3758">
                  <c:v>43805</c:v>
                </c:pt>
                <c:pt idx="3759">
                  <c:v>43808</c:v>
                </c:pt>
                <c:pt idx="3760">
                  <c:v>43809</c:v>
                </c:pt>
                <c:pt idx="3761">
                  <c:v>43810</c:v>
                </c:pt>
                <c:pt idx="3762">
                  <c:v>43811</c:v>
                </c:pt>
                <c:pt idx="3763">
                  <c:v>43812</c:v>
                </c:pt>
                <c:pt idx="3764">
                  <c:v>43815</c:v>
                </c:pt>
                <c:pt idx="3765">
                  <c:v>43816</c:v>
                </c:pt>
                <c:pt idx="3766">
                  <c:v>43817</c:v>
                </c:pt>
                <c:pt idx="3767">
                  <c:v>43818</c:v>
                </c:pt>
                <c:pt idx="3768">
                  <c:v>43819</c:v>
                </c:pt>
                <c:pt idx="3769">
                  <c:v>43822</c:v>
                </c:pt>
                <c:pt idx="3770">
                  <c:v>43823</c:v>
                </c:pt>
                <c:pt idx="3771">
                  <c:v>43825</c:v>
                </c:pt>
                <c:pt idx="3772">
                  <c:v>43826</c:v>
                </c:pt>
                <c:pt idx="3773">
                  <c:v>43829</c:v>
                </c:pt>
                <c:pt idx="3774">
                  <c:v>43830</c:v>
                </c:pt>
                <c:pt idx="3775">
                  <c:v>43832</c:v>
                </c:pt>
                <c:pt idx="3776">
                  <c:v>43833</c:v>
                </c:pt>
                <c:pt idx="3777">
                  <c:v>43836</c:v>
                </c:pt>
                <c:pt idx="3778">
                  <c:v>43837</c:v>
                </c:pt>
                <c:pt idx="3779">
                  <c:v>43838</c:v>
                </c:pt>
                <c:pt idx="3780">
                  <c:v>43839</c:v>
                </c:pt>
                <c:pt idx="3781">
                  <c:v>43840</c:v>
                </c:pt>
                <c:pt idx="3782">
                  <c:v>43843</c:v>
                </c:pt>
                <c:pt idx="3783">
                  <c:v>43844</c:v>
                </c:pt>
                <c:pt idx="3784">
                  <c:v>43845</c:v>
                </c:pt>
                <c:pt idx="3785">
                  <c:v>43846</c:v>
                </c:pt>
                <c:pt idx="3786">
                  <c:v>43847</c:v>
                </c:pt>
                <c:pt idx="3787">
                  <c:v>43851</c:v>
                </c:pt>
                <c:pt idx="3788">
                  <c:v>43852</c:v>
                </c:pt>
                <c:pt idx="3789">
                  <c:v>43853</c:v>
                </c:pt>
                <c:pt idx="3790">
                  <c:v>43854</c:v>
                </c:pt>
                <c:pt idx="3791">
                  <c:v>43857</c:v>
                </c:pt>
                <c:pt idx="3792">
                  <c:v>43858</c:v>
                </c:pt>
                <c:pt idx="3793">
                  <c:v>43859</c:v>
                </c:pt>
                <c:pt idx="3794">
                  <c:v>43860</c:v>
                </c:pt>
                <c:pt idx="3795">
                  <c:v>43861</c:v>
                </c:pt>
                <c:pt idx="3796">
                  <c:v>43864</c:v>
                </c:pt>
                <c:pt idx="3797">
                  <c:v>43865</c:v>
                </c:pt>
                <c:pt idx="3798">
                  <c:v>43866</c:v>
                </c:pt>
                <c:pt idx="3799">
                  <c:v>43867</c:v>
                </c:pt>
                <c:pt idx="3800">
                  <c:v>43868</c:v>
                </c:pt>
                <c:pt idx="3801">
                  <c:v>43871</c:v>
                </c:pt>
                <c:pt idx="3802">
                  <c:v>43872</c:v>
                </c:pt>
                <c:pt idx="3803">
                  <c:v>43873</c:v>
                </c:pt>
                <c:pt idx="3804">
                  <c:v>43874</c:v>
                </c:pt>
                <c:pt idx="3805">
                  <c:v>43875</c:v>
                </c:pt>
                <c:pt idx="3806">
                  <c:v>43879</c:v>
                </c:pt>
                <c:pt idx="3807">
                  <c:v>43880</c:v>
                </c:pt>
                <c:pt idx="3808">
                  <c:v>43881</c:v>
                </c:pt>
                <c:pt idx="3809">
                  <c:v>43882</c:v>
                </c:pt>
                <c:pt idx="3810">
                  <c:v>43885</c:v>
                </c:pt>
                <c:pt idx="3811">
                  <c:v>43886</c:v>
                </c:pt>
                <c:pt idx="3812">
                  <c:v>43887</c:v>
                </c:pt>
                <c:pt idx="3813">
                  <c:v>43888</c:v>
                </c:pt>
                <c:pt idx="3814">
                  <c:v>43889</c:v>
                </c:pt>
                <c:pt idx="3815">
                  <c:v>43892</c:v>
                </c:pt>
                <c:pt idx="3816">
                  <c:v>43893</c:v>
                </c:pt>
                <c:pt idx="3817">
                  <c:v>43894</c:v>
                </c:pt>
                <c:pt idx="3818">
                  <c:v>43895</c:v>
                </c:pt>
                <c:pt idx="3819">
                  <c:v>43896</c:v>
                </c:pt>
                <c:pt idx="3820">
                  <c:v>43899</c:v>
                </c:pt>
                <c:pt idx="3821">
                  <c:v>43900</c:v>
                </c:pt>
                <c:pt idx="3822">
                  <c:v>43901</c:v>
                </c:pt>
                <c:pt idx="3823">
                  <c:v>43902</c:v>
                </c:pt>
                <c:pt idx="3824">
                  <c:v>43903</c:v>
                </c:pt>
                <c:pt idx="3825">
                  <c:v>43906</c:v>
                </c:pt>
                <c:pt idx="3826">
                  <c:v>43907</c:v>
                </c:pt>
                <c:pt idx="3827">
                  <c:v>43908</c:v>
                </c:pt>
                <c:pt idx="3828">
                  <c:v>43909</c:v>
                </c:pt>
                <c:pt idx="3829">
                  <c:v>43910</c:v>
                </c:pt>
                <c:pt idx="3830">
                  <c:v>43913</c:v>
                </c:pt>
                <c:pt idx="3831">
                  <c:v>43914</c:v>
                </c:pt>
                <c:pt idx="3832">
                  <c:v>43915</c:v>
                </c:pt>
                <c:pt idx="3833">
                  <c:v>43916</c:v>
                </c:pt>
                <c:pt idx="3834">
                  <c:v>43917</c:v>
                </c:pt>
                <c:pt idx="3835">
                  <c:v>43920</c:v>
                </c:pt>
                <c:pt idx="3836">
                  <c:v>43921</c:v>
                </c:pt>
                <c:pt idx="3837">
                  <c:v>43922</c:v>
                </c:pt>
                <c:pt idx="3838">
                  <c:v>43923</c:v>
                </c:pt>
                <c:pt idx="3839">
                  <c:v>43924</c:v>
                </c:pt>
                <c:pt idx="3840">
                  <c:v>43927</c:v>
                </c:pt>
                <c:pt idx="3841">
                  <c:v>43928</c:v>
                </c:pt>
                <c:pt idx="3842">
                  <c:v>43929</c:v>
                </c:pt>
                <c:pt idx="3843">
                  <c:v>43930</c:v>
                </c:pt>
                <c:pt idx="3844">
                  <c:v>43934</c:v>
                </c:pt>
                <c:pt idx="3845">
                  <c:v>43935</c:v>
                </c:pt>
                <c:pt idx="3846">
                  <c:v>43936</c:v>
                </c:pt>
                <c:pt idx="3847">
                  <c:v>43937</c:v>
                </c:pt>
                <c:pt idx="3848">
                  <c:v>43938</c:v>
                </c:pt>
                <c:pt idx="3849">
                  <c:v>43941</c:v>
                </c:pt>
                <c:pt idx="3850">
                  <c:v>43942</c:v>
                </c:pt>
                <c:pt idx="3851">
                  <c:v>43943</c:v>
                </c:pt>
                <c:pt idx="3852">
                  <c:v>43944</c:v>
                </c:pt>
                <c:pt idx="3853">
                  <c:v>43945</c:v>
                </c:pt>
                <c:pt idx="3854">
                  <c:v>43948</c:v>
                </c:pt>
                <c:pt idx="3855">
                  <c:v>43949</c:v>
                </c:pt>
                <c:pt idx="3856">
                  <c:v>43950</c:v>
                </c:pt>
                <c:pt idx="3857">
                  <c:v>43951</c:v>
                </c:pt>
                <c:pt idx="3858">
                  <c:v>43952</c:v>
                </c:pt>
                <c:pt idx="3859">
                  <c:v>43955</c:v>
                </c:pt>
                <c:pt idx="3860">
                  <c:v>43956</c:v>
                </c:pt>
                <c:pt idx="3861">
                  <c:v>43957</c:v>
                </c:pt>
                <c:pt idx="3862">
                  <c:v>43958</c:v>
                </c:pt>
                <c:pt idx="3863">
                  <c:v>43959</c:v>
                </c:pt>
                <c:pt idx="3864">
                  <c:v>43962</c:v>
                </c:pt>
                <c:pt idx="3865">
                  <c:v>43963</c:v>
                </c:pt>
                <c:pt idx="3866">
                  <c:v>43964</c:v>
                </c:pt>
                <c:pt idx="3867">
                  <c:v>43965</c:v>
                </c:pt>
                <c:pt idx="3868">
                  <c:v>43966</c:v>
                </c:pt>
                <c:pt idx="3869">
                  <c:v>43969</c:v>
                </c:pt>
                <c:pt idx="3870">
                  <c:v>43970</c:v>
                </c:pt>
                <c:pt idx="3871">
                  <c:v>43971</c:v>
                </c:pt>
                <c:pt idx="3872">
                  <c:v>43972</c:v>
                </c:pt>
                <c:pt idx="3873">
                  <c:v>43973</c:v>
                </c:pt>
                <c:pt idx="3874">
                  <c:v>43977</c:v>
                </c:pt>
                <c:pt idx="3875">
                  <c:v>43978</c:v>
                </c:pt>
                <c:pt idx="3876">
                  <c:v>43979</c:v>
                </c:pt>
                <c:pt idx="3877">
                  <c:v>43980</c:v>
                </c:pt>
                <c:pt idx="3878">
                  <c:v>43983</c:v>
                </c:pt>
                <c:pt idx="3879">
                  <c:v>43984</c:v>
                </c:pt>
                <c:pt idx="3880">
                  <c:v>43985</c:v>
                </c:pt>
                <c:pt idx="3881">
                  <c:v>43986</c:v>
                </c:pt>
                <c:pt idx="3882">
                  <c:v>43987</c:v>
                </c:pt>
                <c:pt idx="3883">
                  <c:v>43990</c:v>
                </c:pt>
                <c:pt idx="3884">
                  <c:v>43991</c:v>
                </c:pt>
                <c:pt idx="3885">
                  <c:v>43992</c:v>
                </c:pt>
                <c:pt idx="3886">
                  <c:v>43993</c:v>
                </c:pt>
                <c:pt idx="3887">
                  <c:v>43994</c:v>
                </c:pt>
                <c:pt idx="3888">
                  <c:v>43997</c:v>
                </c:pt>
                <c:pt idx="3889">
                  <c:v>43998</c:v>
                </c:pt>
                <c:pt idx="3890">
                  <c:v>43999</c:v>
                </c:pt>
                <c:pt idx="3891">
                  <c:v>44000</c:v>
                </c:pt>
                <c:pt idx="3892">
                  <c:v>44001</c:v>
                </c:pt>
                <c:pt idx="3893">
                  <c:v>44004</c:v>
                </c:pt>
                <c:pt idx="3894">
                  <c:v>44005</c:v>
                </c:pt>
                <c:pt idx="3895">
                  <c:v>44006</c:v>
                </c:pt>
                <c:pt idx="3896">
                  <c:v>44007</c:v>
                </c:pt>
                <c:pt idx="3897">
                  <c:v>44008</c:v>
                </c:pt>
                <c:pt idx="3898">
                  <c:v>44011</c:v>
                </c:pt>
                <c:pt idx="3899">
                  <c:v>44012</c:v>
                </c:pt>
                <c:pt idx="3900">
                  <c:v>44013</c:v>
                </c:pt>
                <c:pt idx="3901">
                  <c:v>44014</c:v>
                </c:pt>
                <c:pt idx="3902">
                  <c:v>44018</c:v>
                </c:pt>
                <c:pt idx="3903">
                  <c:v>44019</c:v>
                </c:pt>
                <c:pt idx="3904">
                  <c:v>44020</c:v>
                </c:pt>
                <c:pt idx="3905">
                  <c:v>44021</c:v>
                </c:pt>
                <c:pt idx="3906">
                  <c:v>44022</c:v>
                </c:pt>
                <c:pt idx="3907">
                  <c:v>44025</c:v>
                </c:pt>
                <c:pt idx="3908">
                  <c:v>44026</c:v>
                </c:pt>
                <c:pt idx="3909">
                  <c:v>44027</c:v>
                </c:pt>
                <c:pt idx="3910">
                  <c:v>44028</c:v>
                </c:pt>
                <c:pt idx="3911">
                  <c:v>44029</c:v>
                </c:pt>
                <c:pt idx="3912">
                  <c:v>44032</c:v>
                </c:pt>
                <c:pt idx="3913">
                  <c:v>44033</c:v>
                </c:pt>
                <c:pt idx="3914">
                  <c:v>44034</c:v>
                </c:pt>
                <c:pt idx="3915">
                  <c:v>44035</c:v>
                </c:pt>
                <c:pt idx="3916">
                  <c:v>44036</c:v>
                </c:pt>
                <c:pt idx="3917">
                  <c:v>44039</c:v>
                </c:pt>
                <c:pt idx="3918">
                  <c:v>44040</c:v>
                </c:pt>
                <c:pt idx="3919">
                  <c:v>44041</c:v>
                </c:pt>
                <c:pt idx="3920">
                  <c:v>44042</c:v>
                </c:pt>
                <c:pt idx="3921">
                  <c:v>44043</c:v>
                </c:pt>
                <c:pt idx="3922">
                  <c:v>44046</c:v>
                </c:pt>
                <c:pt idx="3923">
                  <c:v>44047</c:v>
                </c:pt>
                <c:pt idx="3924">
                  <c:v>44048</c:v>
                </c:pt>
                <c:pt idx="3925">
                  <c:v>44049</c:v>
                </c:pt>
                <c:pt idx="3926">
                  <c:v>44050</c:v>
                </c:pt>
                <c:pt idx="3927">
                  <c:v>44053</c:v>
                </c:pt>
                <c:pt idx="3928">
                  <c:v>44054</c:v>
                </c:pt>
                <c:pt idx="3929">
                  <c:v>44055</c:v>
                </c:pt>
                <c:pt idx="3930">
                  <c:v>44056</c:v>
                </c:pt>
                <c:pt idx="3931">
                  <c:v>44057</c:v>
                </c:pt>
                <c:pt idx="3932">
                  <c:v>44060</c:v>
                </c:pt>
                <c:pt idx="3933">
                  <c:v>44061</c:v>
                </c:pt>
                <c:pt idx="3934">
                  <c:v>44062</c:v>
                </c:pt>
                <c:pt idx="3935">
                  <c:v>44063</c:v>
                </c:pt>
                <c:pt idx="3936">
                  <c:v>44064</c:v>
                </c:pt>
                <c:pt idx="3937">
                  <c:v>44067</c:v>
                </c:pt>
                <c:pt idx="3938">
                  <c:v>44068</c:v>
                </c:pt>
                <c:pt idx="3939">
                  <c:v>44069</c:v>
                </c:pt>
                <c:pt idx="3940">
                  <c:v>44070</c:v>
                </c:pt>
                <c:pt idx="3941">
                  <c:v>44071</c:v>
                </c:pt>
                <c:pt idx="3942">
                  <c:v>44074</c:v>
                </c:pt>
                <c:pt idx="3943">
                  <c:v>44075</c:v>
                </c:pt>
                <c:pt idx="3944">
                  <c:v>44076</c:v>
                </c:pt>
                <c:pt idx="3945">
                  <c:v>44077</c:v>
                </c:pt>
                <c:pt idx="3946">
                  <c:v>44078</c:v>
                </c:pt>
                <c:pt idx="3947">
                  <c:v>44082</c:v>
                </c:pt>
                <c:pt idx="3948">
                  <c:v>44083</c:v>
                </c:pt>
                <c:pt idx="3949">
                  <c:v>44084</c:v>
                </c:pt>
                <c:pt idx="3950">
                  <c:v>44085</c:v>
                </c:pt>
                <c:pt idx="3951">
                  <c:v>44088</c:v>
                </c:pt>
                <c:pt idx="3952">
                  <c:v>44089</c:v>
                </c:pt>
                <c:pt idx="3953">
                  <c:v>44090</c:v>
                </c:pt>
                <c:pt idx="3954">
                  <c:v>44091</c:v>
                </c:pt>
                <c:pt idx="3955">
                  <c:v>44092</c:v>
                </c:pt>
                <c:pt idx="3956">
                  <c:v>44095</c:v>
                </c:pt>
                <c:pt idx="3957">
                  <c:v>44096</c:v>
                </c:pt>
                <c:pt idx="3958">
                  <c:v>44097</c:v>
                </c:pt>
                <c:pt idx="3959">
                  <c:v>44098</c:v>
                </c:pt>
                <c:pt idx="3960">
                  <c:v>44099</c:v>
                </c:pt>
                <c:pt idx="3961">
                  <c:v>44102</c:v>
                </c:pt>
                <c:pt idx="3962">
                  <c:v>44103</c:v>
                </c:pt>
                <c:pt idx="3963">
                  <c:v>44104</c:v>
                </c:pt>
                <c:pt idx="3964">
                  <c:v>44105</c:v>
                </c:pt>
                <c:pt idx="3965">
                  <c:v>44106</c:v>
                </c:pt>
                <c:pt idx="3966">
                  <c:v>44109</c:v>
                </c:pt>
                <c:pt idx="3967">
                  <c:v>44110</c:v>
                </c:pt>
                <c:pt idx="3968">
                  <c:v>44111</c:v>
                </c:pt>
                <c:pt idx="3969">
                  <c:v>44112</c:v>
                </c:pt>
                <c:pt idx="3970">
                  <c:v>44113</c:v>
                </c:pt>
                <c:pt idx="3971">
                  <c:v>44116</c:v>
                </c:pt>
                <c:pt idx="3972">
                  <c:v>44117</c:v>
                </c:pt>
                <c:pt idx="3973">
                  <c:v>44118</c:v>
                </c:pt>
                <c:pt idx="3974">
                  <c:v>44119</c:v>
                </c:pt>
                <c:pt idx="3975">
                  <c:v>44120</c:v>
                </c:pt>
                <c:pt idx="3976">
                  <c:v>44123</c:v>
                </c:pt>
                <c:pt idx="3977">
                  <c:v>44124</c:v>
                </c:pt>
                <c:pt idx="3978">
                  <c:v>44125</c:v>
                </c:pt>
                <c:pt idx="3979">
                  <c:v>44126</c:v>
                </c:pt>
                <c:pt idx="3980">
                  <c:v>44127</c:v>
                </c:pt>
                <c:pt idx="3981">
                  <c:v>44130</c:v>
                </c:pt>
                <c:pt idx="3982">
                  <c:v>44131</c:v>
                </c:pt>
                <c:pt idx="3983">
                  <c:v>44132</c:v>
                </c:pt>
                <c:pt idx="3984">
                  <c:v>44133</c:v>
                </c:pt>
                <c:pt idx="3985">
                  <c:v>44134</c:v>
                </c:pt>
                <c:pt idx="3986">
                  <c:v>44137</c:v>
                </c:pt>
                <c:pt idx="3987">
                  <c:v>44138</c:v>
                </c:pt>
                <c:pt idx="3988">
                  <c:v>44139</c:v>
                </c:pt>
                <c:pt idx="3989">
                  <c:v>44140</c:v>
                </c:pt>
                <c:pt idx="3990">
                  <c:v>44141</c:v>
                </c:pt>
                <c:pt idx="3991">
                  <c:v>44144</c:v>
                </c:pt>
                <c:pt idx="3992">
                  <c:v>44145</c:v>
                </c:pt>
                <c:pt idx="3993">
                  <c:v>44146</c:v>
                </c:pt>
                <c:pt idx="3994">
                  <c:v>44147</c:v>
                </c:pt>
                <c:pt idx="3995">
                  <c:v>44148</c:v>
                </c:pt>
                <c:pt idx="3996">
                  <c:v>44151</c:v>
                </c:pt>
                <c:pt idx="3997">
                  <c:v>44152</c:v>
                </c:pt>
                <c:pt idx="3998">
                  <c:v>44153</c:v>
                </c:pt>
                <c:pt idx="3999">
                  <c:v>44154</c:v>
                </c:pt>
                <c:pt idx="4000">
                  <c:v>44155</c:v>
                </c:pt>
                <c:pt idx="4001">
                  <c:v>44158</c:v>
                </c:pt>
                <c:pt idx="4002">
                  <c:v>44159</c:v>
                </c:pt>
                <c:pt idx="4003">
                  <c:v>44160</c:v>
                </c:pt>
                <c:pt idx="4004">
                  <c:v>44162</c:v>
                </c:pt>
                <c:pt idx="4005">
                  <c:v>44165</c:v>
                </c:pt>
                <c:pt idx="4006">
                  <c:v>44166</c:v>
                </c:pt>
                <c:pt idx="4007">
                  <c:v>44167</c:v>
                </c:pt>
                <c:pt idx="4008">
                  <c:v>44168</c:v>
                </c:pt>
                <c:pt idx="4009">
                  <c:v>44169</c:v>
                </c:pt>
                <c:pt idx="4010">
                  <c:v>44172</c:v>
                </c:pt>
                <c:pt idx="4011">
                  <c:v>44173</c:v>
                </c:pt>
                <c:pt idx="4012">
                  <c:v>44174</c:v>
                </c:pt>
                <c:pt idx="4013">
                  <c:v>44175</c:v>
                </c:pt>
                <c:pt idx="4014">
                  <c:v>44176</c:v>
                </c:pt>
                <c:pt idx="4015">
                  <c:v>44179</c:v>
                </c:pt>
                <c:pt idx="4016">
                  <c:v>44180</c:v>
                </c:pt>
                <c:pt idx="4017">
                  <c:v>44181</c:v>
                </c:pt>
                <c:pt idx="4018">
                  <c:v>44182</c:v>
                </c:pt>
                <c:pt idx="4019">
                  <c:v>44183</c:v>
                </c:pt>
                <c:pt idx="4020">
                  <c:v>44186</c:v>
                </c:pt>
                <c:pt idx="4021">
                  <c:v>44187</c:v>
                </c:pt>
                <c:pt idx="4022">
                  <c:v>44188</c:v>
                </c:pt>
                <c:pt idx="4023">
                  <c:v>44189</c:v>
                </c:pt>
                <c:pt idx="4024">
                  <c:v>44193</c:v>
                </c:pt>
                <c:pt idx="4025">
                  <c:v>44194</c:v>
                </c:pt>
                <c:pt idx="4026">
                  <c:v>44195</c:v>
                </c:pt>
                <c:pt idx="4027">
                  <c:v>44196</c:v>
                </c:pt>
                <c:pt idx="4028">
                  <c:v>44200</c:v>
                </c:pt>
                <c:pt idx="4029">
                  <c:v>44201</c:v>
                </c:pt>
                <c:pt idx="4030">
                  <c:v>44202</c:v>
                </c:pt>
                <c:pt idx="4031">
                  <c:v>44203</c:v>
                </c:pt>
                <c:pt idx="4032">
                  <c:v>44204</c:v>
                </c:pt>
                <c:pt idx="4033">
                  <c:v>44207</c:v>
                </c:pt>
                <c:pt idx="4034">
                  <c:v>44208</c:v>
                </c:pt>
                <c:pt idx="4035">
                  <c:v>44209</c:v>
                </c:pt>
                <c:pt idx="4036">
                  <c:v>44210</c:v>
                </c:pt>
                <c:pt idx="4037">
                  <c:v>44211</c:v>
                </c:pt>
                <c:pt idx="4038">
                  <c:v>44215</c:v>
                </c:pt>
                <c:pt idx="4039">
                  <c:v>44216</c:v>
                </c:pt>
                <c:pt idx="4040">
                  <c:v>44217</c:v>
                </c:pt>
                <c:pt idx="4041">
                  <c:v>44218</c:v>
                </c:pt>
                <c:pt idx="4042">
                  <c:v>44221</c:v>
                </c:pt>
                <c:pt idx="4043">
                  <c:v>44222</c:v>
                </c:pt>
                <c:pt idx="4044">
                  <c:v>44223</c:v>
                </c:pt>
                <c:pt idx="4045">
                  <c:v>44224</c:v>
                </c:pt>
                <c:pt idx="4046">
                  <c:v>44225</c:v>
                </c:pt>
                <c:pt idx="4047">
                  <c:v>44228</c:v>
                </c:pt>
                <c:pt idx="4048">
                  <c:v>44229</c:v>
                </c:pt>
                <c:pt idx="4049">
                  <c:v>44230</c:v>
                </c:pt>
                <c:pt idx="4050">
                  <c:v>44231</c:v>
                </c:pt>
                <c:pt idx="4051">
                  <c:v>44232</c:v>
                </c:pt>
                <c:pt idx="4052">
                  <c:v>44235</c:v>
                </c:pt>
                <c:pt idx="4053">
                  <c:v>44236</c:v>
                </c:pt>
                <c:pt idx="4054">
                  <c:v>44237</c:v>
                </c:pt>
                <c:pt idx="4055">
                  <c:v>44238</c:v>
                </c:pt>
                <c:pt idx="4056">
                  <c:v>44239</c:v>
                </c:pt>
                <c:pt idx="4057">
                  <c:v>44243</c:v>
                </c:pt>
                <c:pt idx="4058">
                  <c:v>44244</c:v>
                </c:pt>
                <c:pt idx="4059">
                  <c:v>44245</c:v>
                </c:pt>
                <c:pt idx="4060">
                  <c:v>44246</c:v>
                </c:pt>
                <c:pt idx="4061">
                  <c:v>44249</c:v>
                </c:pt>
                <c:pt idx="4062">
                  <c:v>44250</c:v>
                </c:pt>
                <c:pt idx="4063">
                  <c:v>44251</c:v>
                </c:pt>
                <c:pt idx="4064">
                  <c:v>44252</c:v>
                </c:pt>
                <c:pt idx="4065">
                  <c:v>44253</c:v>
                </c:pt>
                <c:pt idx="4066">
                  <c:v>44256</c:v>
                </c:pt>
                <c:pt idx="4067">
                  <c:v>44257</c:v>
                </c:pt>
                <c:pt idx="4068">
                  <c:v>44258</c:v>
                </c:pt>
                <c:pt idx="4069">
                  <c:v>44259</c:v>
                </c:pt>
                <c:pt idx="4070">
                  <c:v>44260</c:v>
                </c:pt>
                <c:pt idx="4071">
                  <c:v>44263</c:v>
                </c:pt>
                <c:pt idx="4072">
                  <c:v>44264</c:v>
                </c:pt>
                <c:pt idx="4073">
                  <c:v>44265</c:v>
                </c:pt>
                <c:pt idx="4074">
                  <c:v>44266</c:v>
                </c:pt>
                <c:pt idx="4075">
                  <c:v>44267</c:v>
                </c:pt>
                <c:pt idx="4076">
                  <c:v>44270</c:v>
                </c:pt>
                <c:pt idx="4077">
                  <c:v>44271</c:v>
                </c:pt>
                <c:pt idx="4078">
                  <c:v>44272</c:v>
                </c:pt>
                <c:pt idx="4079">
                  <c:v>44273</c:v>
                </c:pt>
                <c:pt idx="4080">
                  <c:v>44274</c:v>
                </c:pt>
                <c:pt idx="4081">
                  <c:v>44277</c:v>
                </c:pt>
                <c:pt idx="4082">
                  <c:v>44278</c:v>
                </c:pt>
                <c:pt idx="4083">
                  <c:v>44279</c:v>
                </c:pt>
                <c:pt idx="4084">
                  <c:v>44280</c:v>
                </c:pt>
                <c:pt idx="4085">
                  <c:v>44281</c:v>
                </c:pt>
                <c:pt idx="4086">
                  <c:v>44284</c:v>
                </c:pt>
                <c:pt idx="4087">
                  <c:v>44285</c:v>
                </c:pt>
                <c:pt idx="4088">
                  <c:v>44286</c:v>
                </c:pt>
                <c:pt idx="4089">
                  <c:v>44287</c:v>
                </c:pt>
                <c:pt idx="4090">
                  <c:v>44291</c:v>
                </c:pt>
                <c:pt idx="4091">
                  <c:v>44292</c:v>
                </c:pt>
                <c:pt idx="4092">
                  <c:v>44293</c:v>
                </c:pt>
                <c:pt idx="4093">
                  <c:v>44294</c:v>
                </c:pt>
                <c:pt idx="4094">
                  <c:v>44295</c:v>
                </c:pt>
                <c:pt idx="4095">
                  <c:v>44298</c:v>
                </c:pt>
                <c:pt idx="4096">
                  <c:v>44299</c:v>
                </c:pt>
                <c:pt idx="4097">
                  <c:v>44300</c:v>
                </c:pt>
                <c:pt idx="4098">
                  <c:v>44301</c:v>
                </c:pt>
                <c:pt idx="4099">
                  <c:v>44302</c:v>
                </c:pt>
                <c:pt idx="4100">
                  <c:v>44305</c:v>
                </c:pt>
                <c:pt idx="4101">
                  <c:v>44306</c:v>
                </c:pt>
                <c:pt idx="4102">
                  <c:v>44307</c:v>
                </c:pt>
                <c:pt idx="4103">
                  <c:v>44308</c:v>
                </c:pt>
                <c:pt idx="4104">
                  <c:v>44309</c:v>
                </c:pt>
                <c:pt idx="4105">
                  <c:v>44312</c:v>
                </c:pt>
                <c:pt idx="4106">
                  <c:v>44313</c:v>
                </c:pt>
                <c:pt idx="4107">
                  <c:v>44314</c:v>
                </c:pt>
                <c:pt idx="4108">
                  <c:v>44315</c:v>
                </c:pt>
                <c:pt idx="4109">
                  <c:v>44316</c:v>
                </c:pt>
                <c:pt idx="4110">
                  <c:v>44319</c:v>
                </c:pt>
                <c:pt idx="4111">
                  <c:v>44320</c:v>
                </c:pt>
                <c:pt idx="4112">
                  <c:v>44321</c:v>
                </c:pt>
                <c:pt idx="4113">
                  <c:v>44322</c:v>
                </c:pt>
                <c:pt idx="4114">
                  <c:v>44323</c:v>
                </c:pt>
                <c:pt idx="4115">
                  <c:v>44326</c:v>
                </c:pt>
                <c:pt idx="4116">
                  <c:v>44327</c:v>
                </c:pt>
                <c:pt idx="4117">
                  <c:v>44328</c:v>
                </c:pt>
                <c:pt idx="4118">
                  <c:v>44329</c:v>
                </c:pt>
                <c:pt idx="4119">
                  <c:v>44330</c:v>
                </c:pt>
                <c:pt idx="4120">
                  <c:v>44333</c:v>
                </c:pt>
                <c:pt idx="4121">
                  <c:v>44334</c:v>
                </c:pt>
                <c:pt idx="4122">
                  <c:v>44335</c:v>
                </c:pt>
                <c:pt idx="4123">
                  <c:v>44336</c:v>
                </c:pt>
                <c:pt idx="4124">
                  <c:v>44337</c:v>
                </c:pt>
                <c:pt idx="4125">
                  <c:v>44340</c:v>
                </c:pt>
                <c:pt idx="4126">
                  <c:v>44341</c:v>
                </c:pt>
                <c:pt idx="4127">
                  <c:v>44342</c:v>
                </c:pt>
                <c:pt idx="4128">
                  <c:v>44343</c:v>
                </c:pt>
                <c:pt idx="4129">
                  <c:v>44344</c:v>
                </c:pt>
                <c:pt idx="4130">
                  <c:v>44348</c:v>
                </c:pt>
                <c:pt idx="4131">
                  <c:v>44349</c:v>
                </c:pt>
                <c:pt idx="4132">
                  <c:v>44350</c:v>
                </c:pt>
                <c:pt idx="4133">
                  <c:v>44351</c:v>
                </c:pt>
                <c:pt idx="4134">
                  <c:v>44354</c:v>
                </c:pt>
                <c:pt idx="4135">
                  <c:v>44355</c:v>
                </c:pt>
                <c:pt idx="4136">
                  <c:v>44356</c:v>
                </c:pt>
                <c:pt idx="4137">
                  <c:v>44357</c:v>
                </c:pt>
                <c:pt idx="4138">
                  <c:v>44358</c:v>
                </c:pt>
                <c:pt idx="4139">
                  <c:v>44361</c:v>
                </c:pt>
                <c:pt idx="4140">
                  <c:v>44362</c:v>
                </c:pt>
                <c:pt idx="4141">
                  <c:v>44363</c:v>
                </c:pt>
                <c:pt idx="4142">
                  <c:v>44364</c:v>
                </c:pt>
                <c:pt idx="4143">
                  <c:v>44365</c:v>
                </c:pt>
                <c:pt idx="4144">
                  <c:v>44368</c:v>
                </c:pt>
                <c:pt idx="4145">
                  <c:v>44369</c:v>
                </c:pt>
                <c:pt idx="4146">
                  <c:v>44370</c:v>
                </c:pt>
                <c:pt idx="4147">
                  <c:v>44371</c:v>
                </c:pt>
                <c:pt idx="4148">
                  <c:v>44372</c:v>
                </c:pt>
                <c:pt idx="4149">
                  <c:v>44375</c:v>
                </c:pt>
                <c:pt idx="4150">
                  <c:v>44376</c:v>
                </c:pt>
                <c:pt idx="4151">
                  <c:v>44377</c:v>
                </c:pt>
                <c:pt idx="4152">
                  <c:v>44378</c:v>
                </c:pt>
                <c:pt idx="4153">
                  <c:v>44379</c:v>
                </c:pt>
                <c:pt idx="4154">
                  <c:v>44383</c:v>
                </c:pt>
                <c:pt idx="4155">
                  <c:v>44384</c:v>
                </c:pt>
                <c:pt idx="4156">
                  <c:v>44385</c:v>
                </c:pt>
                <c:pt idx="4157">
                  <c:v>44386</c:v>
                </c:pt>
                <c:pt idx="4158">
                  <c:v>44389</c:v>
                </c:pt>
                <c:pt idx="4159">
                  <c:v>44390</c:v>
                </c:pt>
                <c:pt idx="4160">
                  <c:v>44391</c:v>
                </c:pt>
                <c:pt idx="4161">
                  <c:v>44392</c:v>
                </c:pt>
                <c:pt idx="4162">
                  <c:v>44393</c:v>
                </c:pt>
                <c:pt idx="4163">
                  <c:v>44396</c:v>
                </c:pt>
                <c:pt idx="4164">
                  <c:v>44397</c:v>
                </c:pt>
                <c:pt idx="4165">
                  <c:v>44398</c:v>
                </c:pt>
                <c:pt idx="4166">
                  <c:v>44399</c:v>
                </c:pt>
                <c:pt idx="4167">
                  <c:v>44400</c:v>
                </c:pt>
                <c:pt idx="4168">
                  <c:v>44403</c:v>
                </c:pt>
                <c:pt idx="4169">
                  <c:v>44404</c:v>
                </c:pt>
                <c:pt idx="4170">
                  <c:v>44405</c:v>
                </c:pt>
                <c:pt idx="4171">
                  <c:v>44406</c:v>
                </c:pt>
                <c:pt idx="4172">
                  <c:v>44407</c:v>
                </c:pt>
                <c:pt idx="4173">
                  <c:v>44410</c:v>
                </c:pt>
                <c:pt idx="4174">
                  <c:v>44411</c:v>
                </c:pt>
                <c:pt idx="4175">
                  <c:v>44412</c:v>
                </c:pt>
                <c:pt idx="4176">
                  <c:v>44413</c:v>
                </c:pt>
                <c:pt idx="4177">
                  <c:v>44414</c:v>
                </c:pt>
                <c:pt idx="4178">
                  <c:v>44417</c:v>
                </c:pt>
                <c:pt idx="4179">
                  <c:v>44418</c:v>
                </c:pt>
                <c:pt idx="4180">
                  <c:v>44419</c:v>
                </c:pt>
                <c:pt idx="4181">
                  <c:v>44420</c:v>
                </c:pt>
                <c:pt idx="4182">
                  <c:v>44421</c:v>
                </c:pt>
                <c:pt idx="4183">
                  <c:v>44424</c:v>
                </c:pt>
                <c:pt idx="4184">
                  <c:v>44425</c:v>
                </c:pt>
                <c:pt idx="4185">
                  <c:v>44426</c:v>
                </c:pt>
                <c:pt idx="4186">
                  <c:v>44427</c:v>
                </c:pt>
                <c:pt idx="4187">
                  <c:v>44428</c:v>
                </c:pt>
                <c:pt idx="4188">
                  <c:v>44431</c:v>
                </c:pt>
                <c:pt idx="4189">
                  <c:v>44432</c:v>
                </c:pt>
                <c:pt idx="4190">
                  <c:v>44433</c:v>
                </c:pt>
                <c:pt idx="4191">
                  <c:v>44434</c:v>
                </c:pt>
                <c:pt idx="4192">
                  <c:v>44435</c:v>
                </c:pt>
                <c:pt idx="4193">
                  <c:v>44438</c:v>
                </c:pt>
                <c:pt idx="4194">
                  <c:v>44439</c:v>
                </c:pt>
                <c:pt idx="4195">
                  <c:v>44440</c:v>
                </c:pt>
                <c:pt idx="4196">
                  <c:v>44441</c:v>
                </c:pt>
                <c:pt idx="4197">
                  <c:v>44442</c:v>
                </c:pt>
                <c:pt idx="4198">
                  <c:v>44446</c:v>
                </c:pt>
                <c:pt idx="4199">
                  <c:v>44447</c:v>
                </c:pt>
                <c:pt idx="4200">
                  <c:v>44448</c:v>
                </c:pt>
                <c:pt idx="4201">
                  <c:v>44449</c:v>
                </c:pt>
                <c:pt idx="4202">
                  <c:v>44452</c:v>
                </c:pt>
                <c:pt idx="4203">
                  <c:v>44453</c:v>
                </c:pt>
                <c:pt idx="4204">
                  <c:v>44454</c:v>
                </c:pt>
                <c:pt idx="4205">
                  <c:v>44455</c:v>
                </c:pt>
                <c:pt idx="4206">
                  <c:v>44456</c:v>
                </c:pt>
                <c:pt idx="4207">
                  <c:v>44459</c:v>
                </c:pt>
                <c:pt idx="4208">
                  <c:v>44460</c:v>
                </c:pt>
                <c:pt idx="4209">
                  <c:v>44461</c:v>
                </c:pt>
                <c:pt idx="4210">
                  <c:v>44462</c:v>
                </c:pt>
                <c:pt idx="4211">
                  <c:v>44463</c:v>
                </c:pt>
                <c:pt idx="4212">
                  <c:v>44466</c:v>
                </c:pt>
                <c:pt idx="4213">
                  <c:v>44467</c:v>
                </c:pt>
                <c:pt idx="4214">
                  <c:v>44468</c:v>
                </c:pt>
                <c:pt idx="4215">
                  <c:v>44469</c:v>
                </c:pt>
                <c:pt idx="4216">
                  <c:v>44470</c:v>
                </c:pt>
                <c:pt idx="4217">
                  <c:v>44473</c:v>
                </c:pt>
                <c:pt idx="4218">
                  <c:v>44474</c:v>
                </c:pt>
                <c:pt idx="4219">
                  <c:v>44475</c:v>
                </c:pt>
                <c:pt idx="4220">
                  <c:v>44476</c:v>
                </c:pt>
                <c:pt idx="4221">
                  <c:v>44477</c:v>
                </c:pt>
                <c:pt idx="4222">
                  <c:v>44480</c:v>
                </c:pt>
                <c:pt idx="4223">
                  <c:v>44481</c:v>
                </c:pt>
                <c:pt idx="4224">
                  <c:v>44482</c:v>
                </c:pt>
                <c:pt idx="4225">
                  <c:v>44483</c:v>
                </c:pt>
                <c:pt idx="4226">
                  <c:v>44484</c:v>
                </c:pt>
                <c:pt idx="4227">
                  <c:v>44487</c:v>
                </c:pt>
                <c:pt idx="4228">
                  <c:v>44488</c:v>
                </c:pt>
                <c:pt idx="4229">
                  <c:v>44489</c:v>
                </c:pt>
                <c:pt idx="4230">
                  <c:v>44490</c:v>
                </c:pt>
                <c:pt idx="4231">
                  <c:v>44491</c:v>
                </c:pt>
                <c:pt idx="4232">
                  <c:v>44494</c:v>
                </c:pt>
                <c:pt idx="4233">
                  <c:v>44495</c:v>
                </c:pt>
                <c:pt idx="4234">
                  <c:v>44496</c:v>
                </c:pt>
                <c:pt idx="4235">
                  <c:v>44497</c:v>
                </c:pt>
                <c:pt idx="4236">
                  <c:v>44498</c:v>
                </c:pt>
                <c:pt idx="4237">
                  <c:v>44501</c:v>
                </c:pt>
                <c:pt idx="4238">
                  <c:v>44502</c:v>
                </c:pt>
                <c:pt idx="4239">
                  <c:v>44503</c:v>
                </c:pt>
                <c:pt idx="4240">
                  <c:v>44504</c:v>
                </c:pt>
                <c:pt idx="4241">
                  <c:v>44505</c:v>
                </c:pt>
                <c:pt idx="4242">
                  <c:v>44508</c:v>
                </c:pt>
                <c:pt idx="4243">
                  <c:v>44509</c:v>
                </c:pt>
                <c:pt idx="4244">
                  <c:v>44510</c:v>
                </c:pt>
                <c:pt idx="4245">
                  <c:v>44511</c:v>
                </c:pt>
                <c:pt idx="4246">
                  <c:v>44512</c:v>
                </c:pt>
                <c:pt idx="4247">
                  <c:v>44515</c:v>
                </c:pt>
                <c:pt idx="4248">
                  <c:v>44516</c:v>
                </c:pt>
                <c:pt idx="4249">
                  <c:v>44517</c:v>
                </c:pt>
                <c:pt idx="4250">
                  <c:v>44518</c:v>
                </c:pt>
                <c:pt idx="4251">
                  <c:v>44519</c:v>
                </c:pt>
                <c:pt idx="4252">
                  <c:v>44522</c:v>
                </c:pt>
                <c:pt idx="4253">
                  <c:v>44523</c:v>
                </c:pt>
                <c:pt idx="4254">
                  <c:v>44524</c:v>
                </c:pt>
                <c:pt idx="4255">
                  <c:v>44526</c:v>
                </c:pt>
                <c:pt idx="4256">
                  <c:v>44529</c:v>
                </c:pt>
                <c:pt idx="4257">
                  <c:v>44530</c:v>
                </c:pt>
                <c:pt idx="4258">
                  <c:v>44531</c:v>
                </c:pt>
                <c:pt idx="4259">
                  <c:v>44532</c:v>
                </c:pt>
                <c:pt idx="4260">
                  <c:v>44533</c:v>
                </c:pt>
                <c:pt idx="4261">
                  <c:v>44536</c:v>
                </c:pt>
                <c:pt idx="4262">
                  <c:v>44537</c:v>
                </c:pt>
                <c:pt idx="4263">
                  <c:v>44538</c:v>
                </c:pt>
                <c:pt idx="4264">
                  <c:v>44539</c:v>
                </c:pt>
                <c:pt idx="4265">
                  <c:v>44540</c:v>
                </c:pt>
                <c:pt idx="4266">
                  <c:v>44543</c:v>
                </c:pt>
                <c:pt idx="4267">
                  <c:v>44544</c:v>
                </c:pt>
                <c:pt idx="4268">
                  <c:v>44545</c:v>
                </c:pt>
                <c:pt idx="4269">
                  <c:v>44546</c:v>
                </c:pt>
                <c:pt idx="4270">
                  <c:v>44547</c:v>
                </c:pt>
                <c:pt idx="4271">
                  <c:v>44550</c:v>
                </c:pt>
                <c:pt idx="4272">
                  <c:v>44551</c:v>
                </c:pt>
                <c:pt idx="4273">
                  <c:v>44552</c:v>
                </c:pt>
                <c:pt idx="4274">
                  <c:v>44553</c:v>
                </c:pt>
                <c:pt idx="4275">
                  <c:v>44557</c:v>
                </c:pt>
                <c:pt idx="4276">
                  <c:v>44558</c:v>
                </c:pt>
                <c:pt idx="4277">
                  <c:v>44559</c:v>
                </c:pt>
                <c:pt idx="4278">
                  <c:v>44560</c:v>
                </c:pt>
                <c:pt idx="4279">
                  <c:v>44561</c:v>
                </c:pt>
                <c:pt idx="4280">
                  <c:v>44564</c:v>
                </c:pt>
                <c:pt idx="4281">
                  <c:v>44565</c:v>
                </c:pt>
                <c:pt idx="4282">
                  <c:v>44566</c:v>
                </c:pt>
                <c:pt idx="4283">
                  <c:v>44567</c:v>
                </c:pt>
                <c:pt idx="4284">
                  <c:v>44568</c:v>
                </c:pt>
                <c:pt idx="4285">
                  <c:v>44571</c:v>
                </c:pt>
                <c:pt idx="4286">
                  <c:v>44572</c:v>
                </c:pt>
                <c:pt idx="4287">
                  <c:v>44573</c:v>
                </c:pt>
                <c:pt idx="4288">
                  <c:v>44574</c:v>
                </c:pt>
                <c:pt idx="4289">
                  <c:v>44575</c:v>
                </c:pt>
                <c:pt idx="4290">
                  <c:v>44579</c:v>
                </c:pt>
                <c:pt idx="4291">
                  <c:v>44580</c:v>
                </c:pt>
                <c:pt idx="4292">
                  <c:v>44581</c:v>
                </c:pt>
                <c:pt idx="4293">
                  <c:v>44582</c:v>
                </c:pt>
                <c:pt idx="4294">
                  <c:v>44585</c:v>
                </c:pt>
                <c:pt idx="4295">
                  <c:v>44586</c:v>
                </c:pt>
                <c:pt idx="4296">
                  <c:v>44587</c:v>
                </c:pt>
                <c:pt idx="4297">
                  <c:v>44588</c:v>
                </c:pt>
                <c:pt idx="4298">
                  <c:v>44589</c:v>
                </c:pt>
                <c:pt idx="4299">
                  <c:v>44592</c:v>
                </c:pt>
                <c:pt idx="4300">
                  <c:v>44593</c:v>
                </c:pt>
                <c:pt idx="4301">
                  <c:v>44594</c:v>
                </c:pt>
                <c:pt idx="4302">
                  <c:v>44595</c:v>
                </c:pt>
                <c:pt idx="4303">
                  <c:v>44596</c:v>
                </c:pt>
                <c:pt idx="4304">
                  <c:v>44599</c:v>
                </c:pt>
                <c:pt idx="4305">
                  <c:v>44600</c:v>
                </c:pt>
                <c:pt idx="4306">
                  <c:v>44601</c:v>
                </c:pt>
                <c:pt idx="4307">
                  <c:v>44602</c:v>
                </c:pt>
                <c:pt idx="4308">
                  <c:v>44603</c:v>
                </c:pt>
                <c:pt idx="4309">
                  <c:v>44606</c:v>
                </c:pt>
                <c:pt idx="4310">
                  <c:v>44607</c:v>
                </c:pt>
                <c:pt idx="4311">
                  <c:v>44608</c:v>
                </c:pt>
                <c:pt idx="4312">
                  <c:v>44609</c:v>
                </c:pt>
                <c:pt idx="4313">
                  <c:v>44610</c:v>
                </c:pt>
                <c:pt idx="4314">
                  <c:v>44614</c:v>
                </c:pt>
                <c:pt idx="4315">
                  <c:v>44615</c:v>
                </c:pt>
                <c:pt idx="4316">
                  <c:v>44616</c:v>
                </c:pt>
                <c:pt idx="4317">
                  <c:v>44617</c:v>
                </c:pt>
                <c:pt idx="4318">
                  <c:v>44620</c:v>
                </c:pt>
                <c:pt idx="4319">
                  <c:v>44621</c:v>
                </c:pt>
                <c:pt idx="4320">
                  <c:v>44622</c:v>
                </c:pt>
                <c:pt idx="4321">
                  <c:v>44623</c:v>
                </c:pt>
                <c:pt idx="4322">
                  <c:v>44624</c:v>
                </c:pt>
                <c:pt idx="4323">
                  <c:v>44627</c:v>
                </c:pt>
                <c:pt idx="4324">
                  <c:v>44628</c:v>
                </c:pt>
                <c:pt idx="4325">
                  <c:v>44629</c:v>
                </c:pt>
                <c:pt idx="4326">
                  <c:v>44630</c:v>
                </c:pt>
                <c:pt idx="4327">
                  <c:v>44631</c:v>
                </c:pt>
                <c:pt idx="4328">
                  <c:v>44634</c:v>
                </c:pt>
                <c:pt idx="4329">
                  <c:v>44635</c:v>
                </c:pt>
                <c:pt idx="4330">
                  <c:v>44636</c:v>
                </c:pt>
                <c:pt idx="4331">
                  <c:v>44637</c:v>
                </c:pt>
                <c:pt idx="4332">
                  <c:v>44638</c:v>
                </c:pt>
                <c:pt idx="4333">
                  <c:v>44641</c:v>
                </c:pt>
                <c:pt idx="4334">
                  <c:v>44642</c:v>
                </c:pt>
                <c:pt idx="4335">
                  <c:v>44643</c:v>
                </c:pt>
                <c:pt idx="4336">
                  <c:v>44644</c:v>
                </c:pt>
                <c:pt idx="4337">
                  <c:v>44645</c:v>
                </c:pt>
                <c:pt idx="4338">
                  <c:v>44648</c:v>
                </c:pt>
                <c:pt idx="4339">
                  <c:v>44649</c:v>
                </c:pt>
                <c:pt idx="4340">
                  <c:v>44650</c:v>
                </c:pt>
                <c:pt idx="4341">
                  <c:v>44651</c:v>
                </c:pt>
                <c:pt idx="4342">
                  <c:v>44652</c:v>
                </c:pt>
                <c:pt idx="4343">
                  <c:v>44655</c:v>
                </c:pt>
                <c:pt idx="4344">
                  <c:v>44656</c:v>
                </c:pt>
                <c:pt idx="4345">
                  <c:v>44657</c:v>
                </c:pt>
                <c:pt idx="4346">
                  <c:v>44658</c:v>
                </c:pt>
                <c:pt idx="4347">
                  <c:v>44659</c:v>
                </c:pt>
                <c:pt idx="4348">
                  <c:v>44662</c:v>
                </c:pt>
                <c:pt idx="4349">
                  <c:v>44663</c:v>
                </c:pt>
                <c:pt idx="4350">
                  <c:v>44664</c:v>
                </c:pt>
                <c:pt idx="4351">
                  <c:v>44665</c:v>
                </c:pt>
                <c:pt idx="4352">
                  <c:v>44669</c:v>
                </c:pt>
                <c:pt idx="4353">
                  <c:v>44670</c:v>
                </c:pt>
                <c:pt idx="4354">
                  <c:v>44671</c:v>
                </c:pt>
                <c:pt idx="4355">
                  <c:v>44672</c:v>
                </c:pt>
                <c:pt idx="4356">
                  <c:v>44673</c:v>
                </c:pt>
                <c:pt idx="4357">
                  <c:v>44676</c:v>
                </c:pt>
                <c:pt idx="4358">
                  <c:v>44677</c:v>
                </c:pt>
                <c:pt idx="4359">
                  <c:v>44678</c:v>
                </c:pt>
                <c:pt idx="4360">
                  <c:v>44679</c:v>
                </c:pt>
                <c:pt idx="4361">
                  <c:v>44680</c:v>
                </c:pt>
                <c:pt idx="4362">
                  <c:v>44683</c:v>
                </c:pt>
                <c:pt idx="4363">
                  <c:v>44684</c:v>
                </c:pt>
                <c:pt idx="4364">
                  <c:v>44685</c:v>
                </c:pt>
                <c:pt idx="4365">
                  <c:v>44686</c:v>
                </c:pt>
                <c:pt idx="4366">
                  <c:v>44687</c:v>
                </c:pt>
                <c:pt idx="4367">
                  <c:v>44690</c:v>
                </c:pt>
                <c:pt idx="4368">
                  <c:v>44691</c:v>
                </c:pt>
                <c:pt idx="4369">
                  <c:v>44692</c:v>
                </c:pt>
                <c:pt idx="4370">
                  <c:v>44693</c:v>
                </c:pt>
                <c:pt idx="4371">
                  <c:v>44694</c:v>
                </c:pt>
                <c:pt idx="4372">
                  <c:v>44697</c:v>
                </c:pt>
                <c:pt idx="4373">
                  <c:v>44698</c:v>
                </c:pt>
                <c:pt idx="4374">
                  <c:v>44699</c:v>
                </c:pt>
                <c:pt idx="4375">
                  <c:v>44700</c:v>
                </c:pt>
                <c:pt idx="4376">
                  <c:v>44701</c:v>
                </c:pt>
                <c:pt idx="4377">
                  <c:v>44704</c:v>
                </c:pt>
                <c:pt idx="4378">
                  <c:v>44705</c:v>
                </c:pt>
                <c:pt idx="4379">
                  <c:v>44706</c:v>
                </c:pt>
                <c:pt idx="4380">
                  <c:v>44707</c:v>
                </c:pt>
                <c:pt idx="4381">
                  <c:v>44708</c:v>
                </c:pt>
                <c:pt idx="4382">
                  <c:v>44712</c:v>
                </c:pt>
                <c:pt idx="4383">
                  <c:v>44713</c:v>
                </c:pt>
                <c:pt idx="4384">
                  <c:v>44714</c:v>
                </c:pt>
                <c:pt idx="4385">
                  <c:v>44715</c:v>
                </c:pt>
                <c:pt idx="4386">
                  <c:v>44718</c:v>
                </c:pt>
                <c:pt idx="4387">
                  <c:v>44719</c:v>
                </c:pt>
                <c:pt idx="4388">
                  <c:v>44720</c:v>
                </c:pt>
                <c:pt idx="4389">
                  <c:v>44721</c:v>
                </c:pt>
                <c:pt idx="4390">
                  <c:v>44722</c:v>
                </c:pt>
                <c:pt idx="4391">
                  <c:v>44725</c:v>
                </c:pt>
                <c:pt idx="4392">
                  <c:v>44726</c:v>
                </c:pt>
                <c:pt idx="4393">
                  <c:v>44727</c:v>
                </c:pt>
                <c:pt idx="4394">
                  <c:v>44728</c:v>
                </c:pt>
                <c:pt idx="4395">
                  <c:v>44729</c:v>
                </c:pt>
              </c:numCache>
            </c:numRef>
          </c:cat>
          <c:val>
            <c:numRef>
              <c:f>VIX!$B$2:$B$4397</c:f>
              <c:numCache>
                <c:formatCode>0.00</c:formatCode>
                <c:ptCount val="4396"/>
                <c:pt idx="0">
                  <c:v>14.079999923706049</c:v>
                </c:pt>
                <c:pt idx="1">
                  <c:v>13.97999954223633</c:v>
                </c:pt>
                <c:pt idx="2">
                  <c:v>14.090000152587891</c:v>
                </c:pt>
                <c:pt idx="3">
                  <c:v>13.579999923706049</c:v>
                </c:pt>
                <c:pt idx="4">
                  <c:v>13.489999771118161</c:v>
                </c:pt>
                <c:pt idx="5">
                  <c:v>13.22999954223633</c:v>
                </c:pt>
                <c:pt idx="6">
                  <c:v>13.189999580383301</c:v>
                </c:pt>
                <c:pt idx="7">
                  <c:v>12.560000419616699</c:v>
                </c:pt>
                <c:pt idx="8">
                  <c:v>12.840000152587891</c:v>
                </c:pt>
                <c:pt idx="9">
                  <c:v>12.430000305175779</c:v>
                </c:pt>
                <c:pt idx="10">
                  <c:v>12.47000026702881</c:v>
                </c:pt>
                <c:pt idx="11">
                  <c:v>13.180000305175779</c:v>
                </c:pt>
                <c:pt idx="12">
                  <c:v>13.829999923706049</c:v>
                </c:pt>
                <c:pt idx="13">
                  <c:v>14.35999965667725</c:v>
                </c:pt>
                <c:pt idx="14">
                  <c:v>14.64999961853027</c:v>
                </c:pt>
                <c:pt idx="15">
                  <c:v>14.060000419616699</c:v>
                </c:pt>
                <c:pt idx="16">
                  <c:v>13.439999580383301</c:v>
                </c:pt>
                <c:pt idx="17">
                  <c:v>13.239999771118161</c:v>
                </c:pt>
                <c:pt idx="18">
                  <c:v>13.239999771118161</c:v>
                </c:pt>
                <c:pt idx="19">
                  <c:v>12.819999694824221</c:v>
                </c:pt>
                <c:pt idx="20">
                  <c:v>12.02999973297119</c:v>
                </c:pt>
                <c:pt idx="21">
                  <c:v>11.659999847412109</c:v>
                </c:pt>
                <c:pt idx="22">
                  <c:v>11.789999961853029</c:v>
                </c:pt>
                <c:pt idx="23">
                  <c:v>11.210000038146971</c:v>
                </c:pt>
                <c:pt idx="24">
                  <c:v>11.72999954223633</c:v>
                </c:pt>
                <c:pt idx="25">
                  <c:v>11.60000038146973</c:v>
                </c:pt>
                <c:pt idx="26">
                  <c:v>12</c:v>
                </c:pt>
                <c:pt idx="27">
                  <c:v>11.510000228881839</c:v>
                </c:pt>
                <c:pt idx="28">
                  <c:v>11.430000305175779</c:v>
                </c:pt>
                <c:pt idx="29">
                  <c:v>11.52000045776367</c:v>
                </c:pt>
                <c:pt idx="30">
                  <c:v>11.27000045776367</c:v>
                </c:pt>
                <c:pt idx="31">
                  <c:v>11.10000038146973</c:v>
                </c:pt>
                <c:pt idx="32">
                  <c:v>11.77000045776367</c:v>
                </c:pt>
                <c:pt idx="33">
                  <c:v>11.180000305175779</c:v>
                </c:pt>
                <c:pt idx="34">
                  <c:v>13.14000034332275</c:v>
                </c:pt>
                <c:pt idx="35">
                  <c:v>12.39000034332275</c:v>
                </c:pt>
                <c:pt idx="36">
                  <c:v>11.569999694824221</c:v>
                </c:pt>
                <c:pt idx="37">
                  <c:v>11.489999771118161</c:v>
                </c:pt>
                <c:pt idx="38">
                  <c:v>12.079999923706049</c:v>
                </c:pt>
                <c:pt idx="39">
                  <c:v>12.039999961853029</c:v>
                </c:pt>
                <c:pt idx="40">
                  <c:v>12.5</c:v>
                </c:pt>
                <c:pt idx="41">
                  <c:v>12.930000305175779</c:v>
                </c:pt>
                <c:pt idx="42">
                  <c:v>11.939999580383301</c:v>
                </c:pt>
                <c:pt idx="43">
                  <c:v>12.260000228881839</c:v>
                </c:pt>
                <c:pt idx="44">
                  <c:v>12.39999961853027</c:v>
                </c:pt>
                <c:pt idx="45">
                  <c:v>12.69999980926514</c:v>
                </c:pt>
                <c:pt idx="46">
                  <c:v>12.489999771118161</c:v>
                </c:pt>
                <c:pt idx="47">
                  <c:v>12.80000019073486</c:v>
                </c:pt>
                <c:pt idx="48">
                  <c:v>12.39000034332275</c:v>
                </c:pt>
                <c:pt idx="49">
                  <c:v>13.14999961853027</c:v>
                </c:pt>
                <c:pt idx="50">
                  <c:v>13.489999771118161</c:v>
                </c:pt>
                <c:pt idx="51">
                  <c:v>13.289999961853029</c:v>
                </c:pt>
                <c:pt idx="52">
                  <c:v>13.14000034332275</c:v>
                </c:pt>
                <c:pt idx="53">
                  <c:v>13.60999965667725</c:v>
                </c:pt>
                <c:pt idx="54">
                  <c:v>14.27000045776367</c:v>
                </c:pt>
                <c:pt idx="55">
                  <c:v>14.060000419616699</c:v>
                </c:pt>
                <c:pt idx="56">
                  <c:v>13.420000076293951</c:v>
                </c:pt>
                <c:pt idx="57">
                  <c:v>13.75</c:v>
                </c:pt>
                <c:pt idx="58">
                  <c:v>14.489999771118161</c:v>
                </c:pt>
                <c:pt idx="59">
                  <c:v>13.64000034332275</c:v>
                </c:pt>
                <c:pt idx="60">
                  <c:v>14.02000045776367</c:v>
                </c:pt>
                <c:pt idx="61">
                  <c:v>14.090000152587891</c:v>
                </c:pt>
                <c:pt idx="62">
                  <c:v>14.10999965667725</c:v>
                </c:pt>
                <c:pt idx="63">
                  <c:v>13.680000305175779</c:v>
                </c:pt>
                <c:pt idx="64">
                  <c:v>13.14999961853027</c:v>
                </c:pt>
                <c:pt idx="65">
                  <c:v>12.329999923706049</c:v>
                </c:pt>
                <c:pt idx="66">
                  <c:v>12.61999988555908</c:v>
                </c:pt>
                <c:pt idx="67">
                  <c:v>11.97999954223633</c:v>
                </c:pt>
                <c:pt idx="68">
                  <c:v>11.30000019073486</c:v>
                </c:pt>
                <c:pt idx="69">
                  <c:v>13.310000419616699</c:v>
                </c:pt>
                <c:pt idx="70">
                  <c:v>14.52999973297119</c:v>
                </c:pt>
                <c:pt idx="71">
                  <c:v>17.739999771118161</c:v>
                </c:pt>
                <c:pt idx="72">
                  <c:v>16.559999465942379</c:v>
                </c:pt>
                <c:pt idx="73">
                  <c:v>14.960000038146971</c:v>
                </c:pt>
                <c:pt idx="74">
                  <c:v>16.920000076293949</c:v>
                </c:pt>
                <c:pt idx="75">
                  <c:v>14.409999847412109</c:v>
                </c:pt>
                <c:pt idx="76">
                  <c:v>15.38000011444092</c:v>
                </c:pt>
                <c:pt idx="77">
                  <c:v>14.61999988555908</c:v>
                </c:pt>
                <c:pt idx="78">
                  <c:v>14.909999847412109</c:v>
                </c:pt>
                <c:pt idx="79">
                  <c:v>14.86999988555908</c:v>
                </c:pt>
                <c:pt idx="80">
                  <c:v>16.860000610351559</c:v>
                </c:pt>
                <c:pt idx="81">
                  <c:v>15.310000419616699</c:v>
                </c:pt>
                <c:pt idx="82">
                  <c:v>15.11999988555908</c:v>
                </c:pt>
                <c:pt idx="83">
                  <c:v>14.52999973297119</c:v>
                </c:pt>
                <c:pt idx="84">
                  <c:v>13.85000038146973</c:v>
                </c:pt>
                <c:pt idx="85">
                  <c:v>13.97999954223633</c:v>
                </c:pt>
                <c:pt idx="86">
                  <c:v>14.05000019073486</c:v>
                </c:pt>
                <c:pt idx="87">
                  <c:v>13.75</c:v>
                </c:pt>
                <c:pt idx="88">
                  <c:v>14.909999847412109</c:v>
                </c:pt>
                <c:pt idx="89">
                  <c:v>14.44999980926514</c:v>
                </c:pt>
                <c:pt idx="90">
                  <c:v>16.120000839233398</c:v>
                </c:pt>
                <c:pt idx="91">
                  <c:v>16.319999694824219</c:v>
                </c:pt>
                <c:pt idx="92">
                  <c:v>15.680000305175779</c:v>
                </c:pt>
                <c:pt idx="93">
                  <c:v>14.569999694824221</c:v>
                </c:pt>
                <c:pt idx="94">
                  <c:v>13.63000011444092</c:v>
                </c:pt>
                <c:pt idx="95">
                  <c:v>13.319999694824221</c:v>
                </c:pt>
                <c:pt idx="96">
                  <c:v>13.14000034332275</c:v>
                </c:pt>
                <c:pt idx="97">
                  <c:v>12.94999980926514</c:v>
                </c:pt>
                <c:pt idx="98">
                  <c:v>12.689999580383301</c:v>
                </c:pt>
                <c:pt idx="99">
                  <c:v>12.579999923706049</c:v>
                </c:pt>
                <c:pt idx="100">
                  <c:v>12.239999771118161</c:v>
                </c:pt>
                <c:pt idx="101">
                  <c:v>12.14999961853027</c:v>
                </c:pt>
                <c:pt idx="102">
                  <c:v>13.289999961853029</c:v>
                </c:pt>
                <c:pt idx="103">
                  <c:v>12.35999965667725</c:v>
                </c:pt>
                <c:pt idx="104">
                  <c:v>11.840000152587891</c:v>
                </c:pt>
                <c:pt idx="105">
                  <c:v>12.14999961853027</c:v>
                </c:pt>
                <c:pt idx="106">
                  <c:v>12.27999973297119</c:v>
                </c:pt>
                <c:pt idx="107">
                  <c:v>12.39000034332275</c:v>
                </c:pt>
                <c:pt idx="108">
                  <c:v>12.69999980926514</c:v>
                </c:pt>
                <c:pt idx="109">
                  <c:v>12.079999923706049</c:v>
                </c:pt>
                <c:pt idx="110">
                  <c:v>11.960000038146971</c:v>
                </c:pt>
                <c:pt idx="111">
                  <c:v>11.64999961853027</c:v>
                </c:pt>
                <c:pt idx="112">
                  <c:v>11.789999961853029</c:v>
                </c:pt>
                <c:pt idx="113">
                  <c:v>11.460000038146971</c:v>
                </c:pt>
                <c:pt idx="114">
                  <c:v>11.14999961853027</c:v>
                </c:pt>
                <c:pt idx="115">
                  <c:v>11.47999954223633</c:v>
                </c:pt>
                <c:pt idx="116">
                  <c:v>11.47000026702881</c:v>
                </c:pt>
                <c:pt idx="117">
                  <c:v>11.079999923706049</c:v>
                </c:pt>
                <c:pt idx="118">
                  <c:v>11.05000019073486</c:v>
                </c:pt>
                <c:pt idx="119">
                  <c:v>12.13000011444092</c:v>
                </c:pt>
                <c:pt idx="120">
                  <c:v>12.180000305175779</c:v>
                </c:pt>
                <c:pt idx="121">
                  <c:v>12.52000045776367</c:v>
                </c:pt>
                <c:pt idx="122">
                  <c:v>11.579999923706049</c:v>
                </c:pt>
                <c:pt idx="123">
                  <c:v>11.77000045776367</c:v>
                </c:pt>
                <c:pt idx="124">
                  <c:v>12.039999961853029</c:v>
                </c:pt>
                <c:pt idx="125">
                  <c:v>11.39999961853027</c:v>
                </c:pt>
                <c:pt idx="126">
                  <c:v>11.680000305175779</c:v>
                </c:pt>
                <c:pt idx="127">
                  <c:v>12.27000045776367</c:v>
                </c:pt>
                <c:pt idx="128">
                  <c:v>12.489999771118161</c:v>
                </c:pt>
                <c:pt idx="129">
                  <c:v>11.44999980926514</c:v>
                </c:pt>
                <c:pt idx="130">
                  <c:v>11.27999973297119</c:v>
                </c:pt>
                <c:pt idx="131">
                  <c:v>10.94999980926514</c:v>
                </c:pt>
                <c:pt idx="132">
                  <c:v>10.840000152587891</c:v>
                </c:pt>
                <c:pt idx="133">
                  <c:v>10.810000419616699</c:v>
                </c:pt>
                <c:pt idx="134">
                  <c:v>10.329999923706049</c:v>
                </c:pt>
                <c:pt idx="135">
                  <c:v>10.77000045776367</c:v>
                </c:pt>
                <c:pt idx="136">
                  <c:v>10.44999980926514</c:v>
                </c:pt>
                <c:pt idx="137">
                  <c:v>10.22999954223633</c:v>
                </c:pt>
                <c:pt idx="138">
                  <c:v>10.97000026702881</c:v>
                </c:pt>
                <c:pt idx="139">
                  <c:v>10.52000045776367</c:v>
                </c:pt>
                <c:pt idx="140">
                  <c:v>11.10000038146973</c:v>
                </c:pt>
                <c:pt idx="141">
                  <c:v>10.989999771118161</c:v>
                </c:pt>
                <c:pt idx="142">
                  <c:v>10.35999965667725</c:v>
                </c:pt>
                <c:pt idx="143">
                  <c:v>10.52000045776367</c:v>
                </c:pt>
                <c:pt idx="144">
                  <c:v>11.569999694824221</c:v>
                </c:pt>
                <c:pt idx="145">
                  <c:v>12.079999923706049</c:v>
                </c:pt>
                <c:pt idx="146">
                  <c:v>11.75</c:v>
                </c:pt>
                <c:pt idx="147">
                  <c:v>11.829999923706049</c:v>
                </c:pt>
                <c:pt idx="148">
                  <c:v>12.52000045776367</c:v>
                </c:pt>
                <c:pt idx="149">
                  <c:v>12.47999954223633</c:v>
                </c:pt>
                <c:pt idx="150">
                  <c:v>13.210000038146971</c:v>
                </c:pt>
                <c:pt idx="151">
                  <c:v>12.39999961853027</c:v>
                </c:pt>
                <c:pt idx="152">
                  <c:v>12.38000011444092</c:v>
                </c:pt>
                <c:pt idx="153">
                  <c:v>12.420000076293951</c:v>
                </c:pt>
                <c:pt idx="154">
                  <c:v>12.739999771118161</c:v>
                </c:pt>
                <c:pt idx="155">
                  <c:v>12.260000228881839</c:v>
                </c:pt>
                <c:pt idx="156">
                  <c:v>13.52000045776367</c:v>
                </c:pt>
                <c:pt idx="157">
                  <c:v>13.30000019073486</c:v>
                </c:pt>
                <c:pt idx="158">
                  <c:v>13.420000076293951</c:v>
                </c:pt>
                <c:pt idx="159">
                  <c:v>13.420000076293951</c:v>
                </c:pt>
                <c:pt idx="160">
                  <c:v>13.420000076293951</c:v>
                </c:pt>
                <c:pt idx="161">
                  <c:v>13.340000152587891</c:v>
                </c:pt>
                <c:pt idx="162">
                  <c:v>14.170000076293951</c:v>
                </c:pt>
                <c:pt idx="163">
                  <c:v>13.72999954223633</c:v>
                </c:pt>
                <c:pt idx="164">
                  <c:v>13.72000026702881</c:v>
                </c:pt>
                <c:pt idx="165">
                  <c:v>13.52000045776367</c:v>
                </c:pt>
                <c:pt idx="166">
                  <c:v>13.64999961853027</c:v>
                </c:pt>
                <c:pt idx="167">
                  <c:v>12.60000038146973</c:v>
                </c:pt>
                <c:pt idx="168">
                  <c:v>13.14999961853027</c:v>
                </c:pt>
                <c:pt idx="169">
                  <c:v>13.569999694824221</c:v>
                </c:pt>
                <c:pt idx="170">
                  <c:v>12.930000305175779</c:v>
                </c:pt>
                <c:pt idx="171">
                  <c:v>12.52000045776367</c:v>
                </c:pt>
                <c:pt idx="172">
                  <c:v>12.930000305175779</c:v>
                </c:pt>
                <c:pt idx="173">
                  <c:v>11.97999954223633</c:v>
                </c:pt>
                <c:pt idx="174">
                  <c:v>11.64999961853027</c:v>
                </c:pt>
                <c:pt idx="175">
                  <c:v>12.39000034332275</c:v>
                </c:pt>
                <c:pt idx="176">
                  <c:v>12.909999847412109</c:v>
                </c:pt>
                <c:pt idx="177">
                  <c:v>12.489999771118161</c:v>
                </c:pt>
                <c:pt idx="178">
                  <c:v>11.22000026702881</c:v>
                </c:pt>
                <c:pt idx="179">
                  <c:v>12.14000034332275</c:v>
                </c:pt>
                <c:pt idx="180">
                  <c:v>12.64000034332275</c:v>
                </c:pt>
                <c:pt idx="181">
                  <c:v>13.789999961853029</c:v>
                </c:pt>
                <c:pt idx="182">
                  <c:v>13.329999923706049</c:v>
                </c:pt>
                <c:pt idx="183">
                  <c:v>12.960000038146971</c:v>
                </c:pt>
                <c:pt idx="184">
                  <c:v>13.039999961853029</c:v>
                </c:pt>
                <c:pt idx="185">
                  <c:v>12.760000228881839</c:v>
                </c:pt>
                <c:pt idx="186">
                  <c:v>12.63000011444092</c:v>
                </c:pt>
                <c:pt idx="187">
                  <c:v>12.239999771118161</c:v>
                </c:pt>
                <c:pt idx="188">
                  <c:v>11.920000076293951</c:v>
                </c:pt>
                <c:pt idx="189">
                  <c:v>12.460000038146971</c:v>
                </c:pt>
                <c:pt idx="190">
                  <c:v>13.19999980926514</c:v>
                </c:pt>
                <c:pt idx="191">
                  <c:v>14.55000019073486</c:v>
                </c:pt>
                <c:pt idx="192">
                  <c:v>14.960000038146971</c:v>
                </c:pt>
                <c:pt idx="193">
                  <c:v>14.590000152587891</c:v>
                </c:pt>
                <c:pt idx="194">
                  <c:v>15.55000019073486</c:v>
                </c:pt>
                <c:pt idx="195">
                  <c:v>15.63000011444092</c:v>
                </c:pt>
                <c:pt idx="196">
                  <c:v>16.219999313354489</c:v>
                </c:pt>
                <c:pt idx="197">
                  <c:v>16.469999313354489</c:v>
                </c:pt>
                <c:pt idx="198">
                  <c:v>14.86999988555908</c:v>
                </c:pt>
                <c:pt idx="199">
                  <c:v>14.670000076293951</c:v>
                </c:pt>
                <c:pt idx="200">
                  <c:v>15.329999923706049</c:v>
                </c:pt>
                <c:pt idx="201">
                  <c:v>13.5</c:v>
                </c:pt>
                <c:pt idx="202">
                  <c:v>16.110000610351559</c:v>
                </c:pt>
                <c:pt idx="203">
                  <c:v>16.129999160766602</c:v>
                </c:pt>
                <c:pt idx="204">
                  <c:v>14.739999771118161</c:v>
                </c:pt>
                <c:pt idx="205">
                  <c:v>14.52999973297119</c:v>
                </c:pt>
                <c:pt idx="206">
                  <c:v>14.590000152587891</c:v>
                </c:pt>
                <c:pt idx="207">
                  <c:v>16.020000457763668</c:v>
                </c:pt>
                <c:pt idx="208">
                  <c:v>14.25</c:v>
                </c:pt>
                <c:pt idx="209">
                  <c:v>15.319999694824221</c:v>
                </c:pt>
                <c:pt idx="210">
                  <c:v>14.85000038146973</c:v>
                </c:pt>
                <c:pt idx="211">
                  <c:v>13.47999954223633</c:v>
                </c:pt>
                <c:pt idx="212">
                  <c:v>13</c:v>
                </c:pt>
                <c:pt idx="213">
                  <c:v>13.170000076293951</c:v>
                </c:pt>
                <c:pt idx="214">
                  <c:v>13.10000038146973</c:v>
                </c:pt>
                <c:pt idx="215">
                  <c:v>13.079999923706049</c:v>
                </c:pt>
                <c:pt idx="216">
                  <c:v>12.80000019073486</c:v>
                </c:pt>
                <c:pt idx="217">
                  <c:v>11.89999961853027</c:v>
                </c:pt>
                <c:pt idx="218">
                  <c:v>11.63000011444092</c:v>
                </c:pt>
                <c:pt idx="219">
                  <c:v>12.180000305175779</c:v>
                </c:pt>
                <c:pt idx="220">
                  <c:v>12.22999954223633</c:v>
                </c:pt>
                <c:pt idx="221">
                  <c:v>12.260000228881839</c:v>
                </c:pt>
                <c:pt idx="222">
                  <c:v>11.25</c:v>
                </c:pt>
                <c:pt idx="223">
                  <c:v>11.11999988555908</c:v>
                </c:pt>
                <c:pt idx="224">
                  <c:v>10.819999694824221</c:v>
                </c:pt>
                <c:pt idx="225">
                  <c:v>10.60000038146973</c:v>
                </c:pt>
                <c:pt idx="226">
                  <c:v>10.960000038146971</c:v>
                </c:pt>
                <c:pt idx="227">
                  <c:v>10.88000011444092</c:v>
                </c:pt>
                <c:pt idx="228">
                  <c:v>11.840000152587891</c:v>
                </c:pt>
                <c:pt idx="229">
                  <c:v>11.89000034332275</c:v>
                </c:pt>
                <c:pt idx="230">
                  <c:v>12.060000419616699</c:v>
                </c:pt>
                <c:pt idx="231">
                  <c:v>11.239999771118161</c:v>
                </c:pt>
                <c:pt idx="232">
                  <c:v>11.010000228881839</c:v>
                </c:pt>
                <c:pt idx="233">
                  <c:v>11.60000038146973</c:v>
                </c:pt>
                <c:pt idx="234">
                  <c:v>11.52000045776367</c:v>
                </c:pt>
                <c:pt idx="235">
                  <c:v>12.180000305175779</c:v>
                </c:pt>
                <c:pt idx="236">
                  <c:v>12.210000038146971</c:v>
                </c:pt>
                <c:pt idx="237">
                  <c:v>11.689999580383301</c:v>
                </c:pt>
                <c:pt idx="238">
                  <c:v>11.47000026702881</c:v>
                </c:pt>
                <c:pt idx="239">
                  <c:v>11.10999965667725</c:v>
                </c:pt>
                <c:pt idx="240">
                  <c:v>10.47999954223633</c:v>
                </c:pt>
                <c:pt idx="241">
                  <c:v>10.72999954223633</c:v>
                </c:pt>
                <c:pt idx="242">
                  <c:v>10.680000305175779</c:v>
                </c:pt>
                <c:pt idx="243">
                  <c:v>11.38000011444092</c:v>
                </c:pt>
                <c:pt idx="244">
                  <c:v>11.189999580383301</c:v>
                </c:pt>
                <c:pt idx="245">
                  <c:v>10.810000419616699</c:v>
                </c:pt>
                <c:pt idx="246">
                  <c:v>10.289999961853029</c:v>
                </c:pt>
                <c:pt idx="247">
                  <c:v>10.27000045776367</c:v>
                </c:pt>
                <c:pt idx="248">
                  <c:v>11.569999694824221</c:v>
                </c:pt>
                <c:pt idx="249">
                  <c:v>11.35000038146973</c:v>
                </c:pt>
                <c:pt idx="250">
                  <c:v>11.60999965667725</c:v>
                </c:pt>
                <c:pt idx="251">
                  <c:v>12.069999694824221</c:v>
                </c:pt>
                <c:pt idx="252">
                  <c:v>11.14000034332275</c:v>
                </c:pt>
                <c:pt idx="253">
                  <c:v>11.36999988555908</c:v>
                </c:pt>
                <c:pt idx="254">
                  <c:v>11.310000419616699</c:v>
                </c:pt>
                <c:pt idx="255">
                  <c:v>11</c:v>
                </c:pt>
                <c:pt idx="256">
                  <c:v>11.13000011444092</c:v>
                </c:pt>
                <c:pt idx="257">
                  <c:v>10.85999965667725</c:v>
                </c:pt>
                <c:pt idx="258">
                  <c:v>10.939999580383301</c:v>
                </c:pt>
                <c:pt idx="259">
                  <c:v>11.19999980926514</c:v>
                </c:pt>
                <c:pt idx="260">
                  <c:v>11.22999954223633</c:v>
                </c:pt>
                <c:pt idx="261">
                  <c:v>11.909999847412109</c:v>
                </c:pt>
                <c:pt idx="262">
                  <c:v>12.25</c:v>
                </c:pt>
                <c:pt idx="263">
                  <c:v>11.97999954223633</c:v>
                </c:pt>
                <c:pt idx="264">
                  <c:v>14.560000419616699</c:v>
                </c:pt>
                <c:pt idx="265">
                  <c:v>13.930000305175779</c:v>
                </c:pt>
                <c:pt idx="266">
                  <c:v>13.310000419616699</c:v>
                </c:pt>
                <c:pt idx="267">
                  <c:v>12.86999988555908</c:v>
                </c:pt>
                <c:pt idx="268">
                  <c:v>12.420000076293951</c:v>
                </c:pt>
                <c:pt idx="269">
                  <c:v>11.97000026702881</c:v>
                </c:pt>
                <c:pt idx="270">
                  <c:v>12.39000034332275</c:v>
                </c:pt>
                <c:pt idx="271">
                  <c:v>12.94999980926514</c:v>
                </c:pt>
                <c:pt idx="272">
                  <c:v>12.35999965667725</c:v>
                </c:pt>
                <c:pt idx="273">
                  <c:v>13.22999954223633</c:v>
                </c:pt>
                <c:pt idx="274">
                  <c:v>12.960000038146971</c:v>
                </c:pt>
                <c:pt idx="275">
                  <c:v>13.039999961853029</c:v>
                </c:pt>
                <c:pt idx="276">
                  <c:v>13.590000152587891</c:v>
                </c:pt>
                <c:pt idx="277">
                  <c:v>12.829999923706049</c:v>
                </c:pt>
                <c:pt idx="278">
                  <c:v>13.11999988555908</c:v>
                </c:pt>
                <c:pt idx="279">
                  <c:v>12.86999988555908</c:v>
                </c:pt>
                <c:pt idx="280">
                  <c:v>13.35000038146973</c:v>
                </c:pt>
                <c:pt idx="281">
                  <c:v>12.25</c:v>
                </c:pt>
                <c:pt idx="282">
                  <c:v>12.310000419616699</c:v>
                </c:pt>
                <c:pt idx="283">
                  <c:v>11.47999954223633</c:v>
                </c:pt>
                <c:pt idx="284">
                  <c:v>12.010000228881839</c:v>
                </c:pt>
                <c:pt idx="285">
                  <c:v>12.409999847412109</c:v>
                </c:pt>
                <c:pt idx="286">
                  <c:v>11.88000011444092</c:v>
                </c:pt>
                <c:pt idx="287">
                  <c:v>11.86999988555908</c:v>
                </c:pt>
                <c:pt idx="288">
                  <c:v>11.460000038146971</c:v>
                </c:pt>
                <c:pt idx="289">
                  <c:v>11.590000152587891</c:v>
                </c:pt>
                <c:pt idx="290">
                  <c:v>12.340000152587891</c:v>
                </c:pt>
                <c:pt idx="291">
                  <c:v>11.539999961853029</c:v>
                </c:pt>
                <c:pt idx="292">
                  <c:v>11.72000026702881</c:v>
                </c:pt>
                <c:pt idx="293">
                  <c:v>11.960000038146971</c:v>
                </c:pt>
                <c:pt idx="294">
                  <c:v>12.739999771118161</c:v>
                </c:pt>
                <c:pt idx="295">
                  <c:v>12.659999847412109</c:v>
                </c:pt>
                <c:pt idx="296">
                  <c:v>12.319999694824221</c:v>
                </c:pt>
                <c:pt idx="297">
                  <c:v>12.680000305175779</c:v>
                </c:pt>
                <c:pt idx="298">
                  <c:v>11.85000038146973</c:v>
                </c:pt>
                <c:pt idx="299">
                  <c:v>11.36999988555908</c:v>
                </c:pt>
                <c:pt idx="300">
                  <c:v>10.739999771118161</c:v>
                </c:pt>
                <c:pt idx="301">
                  <c:v>11.35000038146973</c:v>
                </c:pt>
                <c:pt idx="302">
                  <c:v>11.97999954223633</c:v>
                </c:pt>
                <c:pt idx="303">
                  <c:v>12.11999988555908</c:v>
                </c:pt>
                <c:pt idx="304">
                  <c:v>11.789999961853029</c:v>
                </c:pt>
                <c:pt idx="305">
                  <c:v>11.61999988555908</c:v>
                </c:pt>
                <c:pt idx="306">
                  <c:v>11.210000038146971</c:v>
                </c:pt>
                <c:pt idx="307">
                  <c:v>11.170000076293951</c:v>
                </c:pt>
                <c:pt idx="308">
                  <c:v>11.189999580383301</c:v>
                </c:pt>
                <c:pt idx="309">
                  <c:v>11.460000038146971</c:v>
                </c:pt>
                <c:pt idx="310">
                  <c:v>11.579999923706049</c:v>
                </c:pt>
                <c:pt idx="311">
                  <c:v>10.94999980926514</c:v>
                </c:pt>
                <c:pt idx="312">
                  <c:v>11.569999694824221</c:v>
                </c:pt>
                <c:pt idx="313">
                  <c:v>11.39000034332275</c:v>
                </c:pt>
                <c:pt idx="314">
                  <c:v>11.569999694824221</c:v>
                </c:pt>
                <c:pt idx="315">
                  <c:v>11.14000034332275</c:v>
                </c:pt>
                <c:pt idx="316">
                  <c:v>11.13000011444092</c:v>
                </c:pt>
                <c:pt idx="317">
                  <c:v>11.44999980926514</c:v>
                </c:pt>
                <c:pt idx="318">
                  <c:v>12.260000228881839</c:v>
                </c:pt>
                <c:pt idx="319">
                  <c:v>12.189999580383301</c:v>
                </c:pt>
                <c:pt idx="320">
                  <c:v>13</c:v>
                </c:pt>
                <c:pt idx="321">
                  <c:v>12.760000228881839</c:v>
                </c:pt>
                <c:pt idx="322">
                  <c:v>12.38000011444092</c:v>
                </c:pt>
                <c:pt idx="323">
                  <c:v>12.579999923706049</c:v>
                </c:pt>
                <c:pt idx="324">
                  <c:v>11.39999961853027</c:v>
                </c:pt>
                <c:pt idx="325">
                  <c:v>11.319999694824221</c:v>
                </c:pt>
                <c:pt idx="326">
                  <c:v>11.64000034332275</c:v>
                </c:pt>
                <c:pt idx="327">
                  <c:v>11.590000152587891</c:v>
                </c:pt>
                <c:pt idx="328">
                  <c:v>11.75</c:v>
                </c:pt>
                <c:pt idx="329">
                  <c:v>11.75</c:v>
                </c:pt>
                <c:pt idx="330">
                  <c:v>11.760000228881839</c:v>
                </c:pt>
                <c:pt idx="331">
                  <c:v>11.840000152587891</c:v>
                </c:pt>
                <c:pt idx="332">
                  <c:v>11.590000152587891</c:v>
                </c:pt>
                <c:pt idx="333">
                  <c:v>12.539999961853029</c:v>
                </c:pt>
                <c:pt idx="334">
                  <c:v>11.989999771118161</c:v>
                </c:pt>
                <c:pt idx="335">
                  <c:v>11.989999771118161</c:v>
                </c:pt>
                <c:pt idx="336">
                  <c:v>11.85999965667725</c:v>
                </c:pt>
                <c:pt idx="337">
                  <c:v>11.61999988555908</c:v>
                </c:pt>
                <c:pt idx="338">
                  <c:v>12</c:v>
                </c:pt>
                <c:pt idx="339">
                  <c:v>11.989999771118161</c:v>
                </c:pt>
                <c:pt idx="340">
                  <c:v>11.77999973297119</c:v>
                </c:pt>
                <c:pt idx="341">
                  <c:v>12.489999771118161</c:v>
                </c:pt>
                <c:pt idx="342">
                  <c:v>14.189999580383301</c:v>
                </c:pt>
                <c:pt idx="343">
                  <c:v>13.569999694824221</c:v>
                </c:pt>
                <c:pt idx="344">
                  <c:v>13.35000038146973</c:v>
                </c:pt>
                <c:pt idx="345">
                  <c:v>16.260000228881839</c:v>
                </c:pt>
                <c:pt idx="346">
                  <c:v>16.989999771118161</c:v>
                </c:pt>
                <c:pt idx="347">
                  <c:v>17.180000305175781</c:v>
                </c:pt>
                <c:pt idx="348">
                  <c:v>17.719999313354489</c:v>
                </c:pt>
                <c:pt idx="349">
                  <c:v>18.260000228881839</c:v>
                </c:pt>
                <c:pt idx="350">
                  <c:v>17.360000610351559</c:v>
                </c:pt>
                <c:pt idx="351">
                  <c:v>15.5</c:v>
                </c:pt>
                <c:pt idx="352">
                  <c:v>14.260000228881839</c:v>
                </c:pt>
                <c:pt idx="353">
                  <c:v>18.659999847412109</c:v>
                </c:pt>
                <c:pt idx="354">
                  <c:v>16.440000534057621</c:v>
                </c:pt>
                <c:pt idx="355">
                  <c:v>14.52000045776367</c:v>
                </c:pt>
                <c:pt idx="356">
                  <c:v>14.319999694824221</c:v>
                </c:pt>
                <c:pt idx="357">
                  <c:v>16.64999961853027</c:v>
                </c:pt>
                <c:pt idx="358">
                  <c:v>17.340000152587891</c:v>
                </c:pt>
                <c:pt idx="359">
                  <c:v>17.79999923706055</c:v>
                </c:pt>
                <c:pt idx="360">
                  <c:v>18.35000038146973</c:v>
                </c:pt>
                <c:pt idx="361">
                  <c:v>18.120000839233398</c:v>
                </c:pt>
                <c:pt idx="362">
                  <c:v>20.95999908447266</c:v>
                </c:pt>
                <c:pt idx="363">
                  <c:v>23.809999465942379</c:v>
                </c:pt>
                <c:pt idx="364">
                  <c:v>21.45999908447266</c:v>
                </c:pt>
                <c:pt idx="365">
                  <c:v>15.89999961853027</c:v>
                </c:pt>
                <c:pt idx="366">
                  <c:v>17.25</c:v>
                </c:pt>
                <c:pt idx="367">
                  <c:v>17.829999923706051</c:v>
                </c:pt>
                <c:pt idx="368">
                  <c:v>16.690000534057621</c:v>
                </c:pt>
                <c:pt idx="369">
                  <c:v>15.52000045776367</c:v>
                </c:pt>
                <c:pt idx="370">
                  <c:v>15.88000011444092</c:v>
                </c:pt>
                <c:pt idx="371">
                  <c:v>15.89000034332275</c:v>
                </c:pt>
                <c:pt idx="372">
                  <c:v>15.61999988555908</c:v>
                </c:pt>
                <c:pt idx="373">
                  <c:v>16.39999961853027</c:v>
                </c:pt>
                <c:pt idx="374">
                  <c:v>15.789999961853029</c:v>
                </c:pt>
                <c:pt idx="375">
                  <c:v>13.02999973297119</c:v>
                </c:pt>
                <c:pt idx="376">
                  <c:v>13.079999923706049</c:v>
                </c:pt>
                <c:pt idx="377">
                  <c:v>13.05000019073486</c:v>
                </c:pt>
                <c:pt idx="378">
                  <c:v>14.14999961853027</c:v>
                </c:pt>
                <c:pt idx="379">
                  <c:v>13.64999961853027</c:v>
                </c:pt>
                <c:pt idx="380">
                  <c:v>13.97000026702881</c:v>
                </c:pt>
                <c:pt idx="381">
                  <c:v>14.02000045776367</c:v>
                </c:pt>
                <c:pt idx="382">
                  <c:v>13.14000034332275</c:v>
                </c:pt>
                <c:pt idx="383">
                  <c:v>14.489999771118161</c:v>
                </c:pt>
                <c:pt idx="384">
                  <c:v>17.79000091552734</c:v>
                </c:pt>
                <c:pt idx="385">
                  <c:v>18.04999923706055</c:v>
                </c:pt>
                <c:pt idx="386">
                  <c:v>18.639999389648441</c:v>
                </c:pt>
                <c:pt idx="387">
                  <c:v>17.739999771118161</c:v>
                </c:pt>
                <c:pt idx="388">
                  <c:v>15.55000019073486</c:v>
                </c:pt>
                <c:pt idx="389">
                  <c:v>16.20999908447266</c:v>
                </c:pt>
                <c:pt idx="390">
                  <c:v>17.39999961853027</c:v>
                </c:pt>
                <c:pt idx="391">
                  <c:v>14.97999954223633</c:v>
                </c:pt>
                <c:pt idx="392">
                  <c:v>14.85000038146973</c:v>
                </c:pt>
                <c:pt idx="393">
                  <c:v>14.61999988555908</c:v>
                </c:pt>
                <c:pt idx="394">
                  <c:v>14.939999580383301</c:v>
                </c:pt>
                <c:pt idx="395">
                  <c:v>14.329999923706049</c:v>
                </c:pt>
                <c:pt idx="396">
                  <c:v>14.94999980926514</c:v>
                </c:pt>
                <c:pt idx="397">
                  <c:v>15.05000019073486</c:v>
                </c:pt>
                <c:pt idx="398">
                  <c:v>14.340000152587891</c:v>
                </c:pt>
                <c:pt idx="399">
                  <c:v>14.460000038146971</c:v>
                </c:pt>
                <c:pt idx="400">
                  <c:v>14.340000152587891</c:v>
                </c:pt>
                <c:pt idx="401">
                  <c:v>15.22999954223633</c:v>
                </c:pt>
                <c:pt idx="402">
                  <c:v>15.22999954223633</c:v>
                </c:pt>
                <c:pt idx="403">
                  <c:v>15.19999980926514</c:v>
                </c:pt>
                <c:pt idx="404">
                  <c:v>14.460000038146971</c:v>
                </c:pt>
                <c:pt idx="405">
                  <c:v>14.30000019073486</c:v>
                </c:pt>
                <c:pt idx="406">
                  <c:v>14.260000228881839</c:v>
                </c:pt>
                <c:pt idx="407">
                  <c:v>13.420000076293951</c:v>
                </c:pt>
                <c:pt idx="408">
                  <c:v>12.409999847412109</c:v>
                </c:pt>
                <c:pt idx="409">
                  <c:v>12.239999771118161</c:v>
                </c:pt>
                <c:pt idx="410">
                  <c:v>11.64000034332275</c:v>
                </c:pt>
                <c:pt idx="411">
                  <c:v>12.22000026702881</c:v>
                </c:pt>
                <c:pt idx="412">
                  <c:v>12.189999580383301</c:v>
                </c:pt>
                <c:pt idx="413">
                  <c:v>12.39999961853027</c:v>
                </c:pt>
                <c:pt idx="414">
                  <c:v>12.39999961853027</c:v>
                </c:pt>
                <c:pt idx="415">
                  <c:v>12.310000419616699</c:v>
                </c:pt>
                <c:pt idx="416">
                  <c:v>12.180000305175779</c:v>
                </c:pt>
                <c:pt idx="417">
                  <c:v>12.27999973297119</c:v>
                </c:pt>
                <c:pt idx="418">
                  <c:v>12.22000026702881</c:v>
                </c:pt>
                <c:pt idx="419">
                  <c:v>12.310000419616699</c:v>
                </c:pt>
                <c:pt idx="420">
                  <c:v>11.960000038146971</c:v>
                </c:pt>
                <c:pt idx="421">
                  <c:v>12.63000011444092</c:v>
                </c:pt>
                <c:pt idx="422">
                  <c:v>13.739999771118161</c:v>
                </c:pt>
                <c:pt idx="423">
                  <c:v>13.88000011444092</c:v>
                </c:pt>
                <c:pt idx="424">
                  <c:v>13.159999847412109</c:v>
                </c:pt>
                <c:pt idx="425">
                  <c:v>12.989999771118161</c:v>
                </c:pt>
                <c:pt idx="426">
                  <c:v>11.920000076293951</c:v>
                </c:pt>
                <c:pt idx="427">
                  <c:v>11.180000305175779</c:v>
                </c:pt>
                <c:pt idx="428">
                  <c:v>11.55000019073486</c:v>
                </c:pt>
                <c:pt idx="429">
                  <c:v>11.760000228881839</c:v>
                </c:pt>
                <c:pt idx="430">
                  <c:v>11.77999973297119</c:v>
                </c:pt>
                <c:pt idx="431">
                  <c:v>11.97999954223633</c:v>
                </c:pt>
                <c:pt idx="432">
                  <c:v>11.39000034332275</c:v>
                </c:pt>
                <c:pt idx="433">
                  <c:v>12.25</c:v>
                </c:pt>
                <c:pt idx="434">
                  <c:v>12.590000152587891</c:v>
                </c:pt>
                <c:pt idx="435">
                  <c:v>12.11999988555908</c:v>
                </c:pt>
                <c:pt idx="436">
                  <c:v>11.52999973297119</c:v>
                </c:pt>
                <c:pt idx="437">
                  <c:v>11.579999923706049</c:v>
                </c:pt>
                <c:pt idx="438">
                  <c:v>11.72000026702881</c:v>
                </c:pt>
                <c:pt idx="439">
                  <c:v>11.97999954223633</c:v>
                </c:pt>
                <c:pt idx="440">
                  <c:v>12.569999694824221</c:v>
                </c:pt>
                <c:pt idx="441">
                  <c:v>12.239999771118161</c:v>
                </c:pt>
                <c:pt idx="442">
                  <c:v>11.85999965667725</c:v>
                </c:pt>
                <c:pt idx="443">
                  <c:v>11.97999954223633</c:v>
                </c:pt>
                <c:pt idx="444">
                  <c:v>11.560000419616699</c:v>
                </c:pt>
                <c:pt idx="445">
                  <c:v>11.680000305175779</c:v>
                </c:pt>
                <c:pt idx="446">
                  <c:v>11.52000045776367</c:v>
                </c:pt>
                <c:pt idx="447">
                  <c:v>11.61999988555908</c:v>
                </c:pt>
                <c:pt idx="448">
                  <c:v>11.090000152587891</c:v>
                </c:pt>
                <c:pt idx="449">
                  <c:v>10.75</c:v>
                </c:pt>
                <c:pt idx="450">
                  <c:v>11.090000152587891</c:v>
                </c:pt>
                <c:pt idx="451">
                  <c:v>11.72999954223633</c:v>
                </c:pt>
                <c:pt idx="452">
                  <c:v>11.340000152587891</c:v>
                </c:pt>
                <c:pt idx="453">
                  <c:v>10.89999961853027</c:v>
                </c:pt>
                <c:pt idx="454">
                  <c:v>10.63000011444092</c:v>
                </c:pt>
                <c:pt idx="455">
                  <c:v>11.079999923706049</c:v>
                </c:pt>
                <c:pt idx="456">
                  <c:v>10.77999973297119</c:v>
                </c:pt>
                <c:pt idx="457">
                  <c:v>10.659999847412109</c:v>
                </c:pt>
                <c:pt idx="458">
                  <c:v>10.560000419616699</c:v>
                </c:pt>
                <c:pt idx="459">
                  <c:v>10.80000019073486</c:v>
                </c:pt>
                <c:pt idx="460">
                  <c:v>11.19999980926514</c:v>
                </c:pt>
                <c:pt idx="461">
                  <c:v>11.10000038146973</c:v>
                </c:pt>
                <c:pt idx="462">
                  <c:v>11.510000228881839</c:v>
                </c:pt>
                <c:pt idx="463">
                  <c:v>11.420000076293951</c:v>
                </c:pt>
                <c:pt idx="464">
                  <c:v>11.159999847412109</c:v>
                </c:pt>
                <c:pt idx="465">
                  <c:v>11.159999847412109</c:v>
                </c:pt>
                <c:pt idx="466">
                  <c:v>11.090000152587891</c:v>
                </c:pt>
                <c:pt idx="467">
                  <c:v>10.75</c:v>
                </c:pt>
                <c:pt idx="468">
                  <c:v>11.010000228881839</c:v>
                </c:pt>
                <c:pt idx="469">
                  <c:v>10.789999961853029</c:v>
                </c:pt>
                <c:pt idx="470">
                  <c:v>10.85999965667725</c:v>
                </c:pt>
                <c:pt idx="471">
                  <c:v>10.5</c:v>
                </c:pt>
                <c:pt idx="472">
                  <c:v>10.310000419616699</c:v>
                </c:pt>
                <c:pt idx="473">
                  <c:v>10.159999847412109</c:v>
                </c:pt>
                <c:pt idx="474">
                  <c:v>10.05000019073486</c:v>
                </c:pt>
                <c:pt idx="475">
                  <c:v>9.9700002670288086</c:v>
                </c:pt>
                <c:pt idx="476">
                  <c:v>9.8999996185302734</c:v>
                </c:pt>
                <c:pt idx="477">
                  <c:v>10.14000034332275</c:v>
                </c:pt>
                <c:pt idx="478">
                  <c:v>10.72999954223633</c:v>
                </c:pt>
                <c:pt idx="479">
                  <c:v>12.30000019073486</c:v>
                </c:pt>
                <c:pt idx="480">
                  <c:v>11.61999988555908</c:v>
                </c:pt>
                <c:pt idx="481">
                  <c:v>10.829999923706049</c:v>
                </c:pt>
                <c:pt idx="482">
                  <c:v>10.909999847412109</c:v>
                </c:pt>
                <c:pt idx="483">
                  <c:v>11.659999847412109</c:v>
                </c:pt>
                <c:pt idx="484">
                  <c:v>11.22999954223633</c:v>
                </c:pt>
                <c:pt idx="485">
                  <c:v>11.27000045776367</c:v>
                </c:pt>
                <c:pt idx="486">
                  <c:v>11.329999923706049</c:v>
                </c:pt>
                <c:pt idx="487">
                  <c:v>12.670000076293951</c:v>
                </c:pt>
                <c:pt idx="488">
                  <c:v>12.069999694824221</c:v>
                </c:pt>
                <c:pt idx="489">
                  <c:v>10.710000038146971</c:v>
                </c:pt>
                <c:pt idx="490">
                  <c:v>10.64999961853027</c:v>
                </c:pt>
                <c:pt idx="491">
                  <c:v>10.180000305175779</c:v>
                </c:pt>
                <c:pt idx="492">
                  <c:v>9.9700002670288086</c:v>
                </c:pt>
                <c:pt idx="493">
                  <c:v>10.05000019073486</c:v>
                </c:pt>
                <c:pt idx="494">
                  <c:v>10.60000038146973</c:v>
                </c:pt>
                <c:pt idx="495">
                  <c:v>10.30000019073486</c:v>
                </c:pt>
                <c:pt idx="496">
                  <c:v>10.260000228881839</c:v>
                </c:pt>
                <c:pt idx="497">
                  <c:v>10.52999973297119</c:v>
                </c:pt>
                <c:pt idx="498">
                  <c:v>11.35999965667725</c:v>
                </c:pt>
                <c:pt idx="499">
                  <c:v>11.260000228881839</c:v>
                </c:pt>
                <c:pt idx="500">
                  <c:v>10.64000034332275</c:v>
                </c:pt>
                <c:pt idx="501">
                  <c:v>10.989999771118161</c:v>
                </c:pt>
                <c:pt idx="502">
                  <c:v>11.560000419616699</c:v>
                </c:pt>
                <c:pt idx="503">
                  <c:v>12.039999961853029</c:v>
                </c:pt>
                <c:pt idx="504">
                  <c:v>11.510000228881839</c:v>
                </c:pt>
                <c:pt idx="505">
                  <c:v>12.14000034332275</c:v>
                </c:pt>
                <c:pt idx="506">
                  <c:v>12</c:v>
                </c:pt>
                <c:pt idx="507">
                  <c:v>11.909999847412109</c:v>
                </c:pt>
                <c:pt idx="508">
                  <c:v>11.47000026702881</c:v>
                </c:pt>
                <c:pt idx="509">
                  <c:v>10.86999988555908</c:v>
                </c:pt>
                <c:pt idx="510">
                  <c:v>10.14999961853027</c:v>
                </c:pt>
                <c:pt idx="511">
                  <c:v>10.739999771118161</c:v>
                </c:pt>
                <c:pt idx="512">
                  <c:v>10.590000152587891</c:v>
                </c:pt>
                <c:pt idx="513">
                  <c:v>10.85000038146973</c:v>
                </c:pt>
                <c:pt idx="514">
                  <c:v>10.39999961853027</c:v>
                </c:pt>
                <c:pt idx="515">
                  <c:v>10.77000045776367</c:v>
                </c:pt>
                <c:pt idx="516">
                  <c:v>10.340000152587891</c:v>
                </c:pt>
                <c:pt idx="517">
                  <c:v>9.8900003433227539</c:v>
                </c:pt>
                <c:pt idx="518">
                  <c:v>11.22000026702881</c:v>
                </c:pt>
                <c:pt idx="519">
                  <c:v>11.13000011444092</c:v>
                </c:pt>
                <c:pt idx="520">
                  <c:v>11.44999980926514</c:v>
                </c:pt>
                <c:pt idx="521">
                  <c:v>10.960000038146971</c:v>
                </c:pt>
                <c:pt idx="522">
                  <c:v>10.420000076293951</c:v>
                </c:pt>
                <c:pt idx="523">
                  <c:v>10.310000419616699</c:v>
                </c:pt>
                <c:pt idx="524">
                  <c:v>10.079999923706049</c:v>
                </c:pt>
                <c:pt idx="525">
                  <c:v>10.55000019073486</c:v>
                </c:pt>
                <c:pt idx="526">
                  <c:v>10.64999961853027</c:v>
                </c:pt>
                <c:pt idx="527">
                  <c:v>10.319999694824221</c:v>
                </c:pt>
                <c:pt idx="528">
                  <c:v>10.439999580383301</c:v>
                </c:pt>
                <c:pt idx="529">
                  <c:v>11.10000038146973</c:v>
                </c:pt>
                <c:pt idx="530">
                  <c:v>11.60999965667725</c:v>
                </c:pt>
                <c:pt idx="531">
                  <c:v>10.340000152587891</c:v>
                </c:pt>
                <c:pt idx="532">
                  <c:v>10.22999954223633</c:v>
                </c:pt>
                <c:pt idx="533">
                  <c:v>10.22000026702881</c:v>
                </c:pt>
                <c:pt idx="534">
                  <c:v>10.02000045776367</c:v>
                </c:pt>
                <c:pt idx="535">
                  <c:v>10.239999771118161</c:v>
                </c:pt>
                <c:pt idx="536">
                  <c:v>10.19999980926514</c:v>
                </c:pt>
                <c:pt idx="537">
                  <c:v>10.180000305175779</c:v>
                </c:pt>
                <c:pt idx="538">
                  <c:v>10.579999923706049</c:v>
                </c:pt>
                <c:pt idx="539">
                  <c:v>11.14999961853027</c:v>
                </c:pt>
                <c:pt idx="540">
                  <c:v>18.309999465942379</c:v>
                </c:pt>
                <c:pt idx="541">
                  <c:v>15.420000076293951</c:v>
                </c:pt>
                <c:pt idx="542">
                  <c:v>15.819999694824221</c:v>
                </c:pt>
                <c:pt idx="543">
                  <c:v>18.610000610351559</c:v>
                </c:pt>
                <c:pt idx="544">
                  <c:v>19.629999160766602</c:v>
                </c:pt>
                <c:pt idx="545">
                  <c:v>15.960000038146971</c:v>
                </c:pt>
                <c:pt idx="546">
                  <c:v>15.239999771118161</c:v>
                </c:pt>
                <c:pt idx="547">
                  <c:v>14.289999961853029</c:v>
                </c:pt>
                <c:pt idx="548">
                  <c:v>14.090000152587891</c:v>
                </c:pt>
                <c:pt idx="549">
                  <c:v>13.989999771118161</c:v>
                </c:pt>
                <c:pt idx="550">
                  <c:v>18.129999160766602</c:v>
                </c:pt>
                <c:pt idx="551">
                  <c:v>17.270000457763668</c:v>
                </c:pt>
                <c:pt idx="552">
                  <c:v>16.430000305175781</c:v>
                </c:pt>
                <c:pt idx="553">
                  <c:v>16.79000091552734</c:v>
                </c:pt>
                <c:pt idx="554">
                  <c:v>14.590000152587891</c:v>
                </c:pt>
                <c:pt idx="555">
                  <c:v>13.27000045776367</c:v>
                </c:pt>
                <c:pt idx="556">
                  <c:v>12.189999580383301</c:v>
                </c:pt>
                <c:pt idx="557">
                  <c:v>12.930000305175779</c:v>
                </c:pt>
                <c:pt idx="558">
                  <c:v>12.94999980926514</c:v>
                </c:pt>
                <c:pt idx="559">
                  <c:v>13.159999847412109</c:v>
                </c:pt>
                <c:pt idx="560">
                  <c:v>13.47999954223633</c:v>
                </c:pt>
                <c:pt idx="561">
                  <c:v>14.97999954223633</c:v>
                </c:pt>
                <c:pt idx="562">
                  <c:v>15.14000034332275</c:v>
                </c:pt>
                <c:pt idx="563">
                  <c:v>14.64000034332275</c:v>
                </c:pt>
                <c:pt idx="564">
                  <c:v>14.52999973297119</c:v>
                </c:pt>
                <c:pt idx="565">
                  <c:v>13.460000038146971</c:v>
                </c:pt>
                <c:pt idx="566">
                  <c:v>13.239999771118161</c:v>
                </c:pt>
                <c:pt idx="567">
                  <c:v>13.22999954223633</c:v>
                </c:pt>
                <c:pt idx="568">
                  <c:v>13.14000034332275</c:v>
                </c:pt>
                <c:pt idx="569">
                  <c:v>12.680000305175779</c:v>
                </c:pt>
                <c:pt idx="570">
                  <c:v>13.489999771118161</c:v>
                </c:pt>
                <c:pt idx="571">
                  <c:v>12.710000038146971</c:v>
                </c:pt>
                <c:pt idx="572">
                  <c:v>12.19999980926514</c:v>
                </c:pt>
                <c:pt idx="573">
                  <c:v>11.97999954223633</c:v>
                </c:pt>
                <c:pt idx="574">
                  <c:v>12.14000034332275</c:v>
                </c:pt>
                <c:pt idx="575">
                  <c:v>12.420000076293951</c:v>
                </c:pt>
                <c:pt idx="576">
                  <c:v>12.539999961853029</c:v>
                </c:pt>
                <c:pt idx="577">
                  <c:v>12.069999694824221</c:v>
                </c:pt>
                <c:pt idx="578">
                  <c:v>13.039999961853029</c:v>
                </c:pt>
                <c:pt idx="579">
                  <c:v>13.11999988555908</c:v>
                </c:pt>
                <c:pt idx="580">
                  <c:v>13.210000038146971</c:v>
                </c:pt>
                <c:pt idx="581">
                  <c:v>12.789999961853029</c:v>
                </c:pt>
                <c:pt idx="582">
                  <c:v>12.44999980926514</c:v>
                </c:pt>
                <c:pt idx="583">
                  <c:v>14.22000026702881</c:v>
                </c:pt>
                <c:pt idx="584">
                  <c:v>13.510000228881839</c:v>
                </c:pt>
                <c:pt idx="585">
                  <c:v>13.079999923706049</c:v>
                </c:pt>
                <c:pt idx="586">
                  <c:v>13.090000152587891</c:v>
                </c:pt>
                <c:pt idx="587">
                  <c:v>12.909999847412109</c:v>
                </c:pt>
                <c:pt idx="588">
                  <c:v>13.14999961853027</c:v>
                </c:pt>
                <c:pt idx="589">
                  <c:v>13.210000038146971</c:v>
                </c:pt>
                <c:pt idx="590">
                  <c:v>12.88000011444092</c:v>
                </c:pt>
                <c:pt idx="591">
                  <c:v>13.60000038146973</c:v>
                </c:pt>
                <c:pt idx="592">
                  <c:v>12.94999980926514</c:v>
                </c:pt>
                <c:pt idx="593">
                  <c:v>13.960000038146971</c:v>
                </c:pt>
                <c:pt idx="594">
                  <c:v>14.010000228881839</c:v>
                </c:pt>
                <c:pt idx="595">
                  <c:v>13.5</c:v>
                </c:pt>
                <c:pt idx="596">
                  <c:v>13.510000228881839</c:v>
                </c:pt>
                <c:pt idx="597">
                  <c:v>12.760000228881839</c:v>
                </c:pt>
                <c:pt idx="598">
                  <c:v>13.30000019073486</c:v>
                </c:pt>
                <c:pt idx="599">
                  <c:v>13.060000419616699</c:v>
                </c:pt>
                <c:pt idx="600">
                  <c:v>13.239999771118161</c:v>
                </c:pt>
                <c:pt idx="601">
                  <c:v>14.079999923706049</c:v>
                </c:pt>
                <c:pt idx="602">
                  <c:v>13.340000152587891</c:v>
                </c:pt>
                <c:pt idx="603">
                  <c:v>13.52999973297119</c:v>
                </c:pt>
                <c:pt idx="604">
                  <c:v>12.829999923706049</c:v>
                </c:pt>
                <c:pt idx="605">
                  <c:v>13.05000019073486</c:v>
                </c:pt>
                <c:pt idx="606">
                  <c:v>12.77999973297119</c:v>
                </c:pt>
                <c:pt idx="607">
                  <c:v>13.289999961853029</c:v>
                </c:pt>
                <c:pt idx="608">
                  <c:v>13.63000011444092</c:v>
                </c:pt>
                <c:pt idx="609">
                  <c:v>14.86999988555908</c:v>
                </c:pt>
                <c:pt idx="610">
                  <c:v>17.059999465942379</c:v>
                </c:pt>
                <c:pt idx="611">
                  <c:v>14.840000152587891</c:v>
                </c:pt>
                <c:pt idx="612">
                  <c:v>14.710000038146971</c:v>
                </c:pt>
                <c:pt idx="613">
                  <c:v>16.670000076293949</c:v>
                </c:pt>
                <c:pt idx="614">
                  <c:v>14.72999954223633</c:v>
                </c:pt>
                <c:pt idx="615">
                  <c:v>13.64000034332275</c:v>
                </c:pt>
                <c:pt idx="616">
                  <c:v>13.939999580383301</c:v>
                </c:pt>
                <c:pt idx="617">
                  <c:v>13.420000076293951</c:v>
                </c:pt>
                <c:pt idx="618">
                  <c:v>12.85000038146973</c:v>
                </c:pt>
                <c:pt idx="619">
                  <c:v>14.670000076293951</c:v>
                </c:pt>
                <c:pt idx="620">
                  <c:v>14.210000038146971</c:v>
                </c:pt>
                <c:pt idx="621">
                  <c:v>15.75</c:v>
                </c:pt>
                <c:pt idx="622">
                  <c:v>16.64999961853027</c:v>
                </c:pt>
                <c:pt idx="623">
                  <c:v>18.889999389648441</c:v>
                </c:pt>
                <c:pt idx="624">
                  <c:v>15.52999973297119</c:v>
                </c:pt>
                <c:pt idx="625">
                  <c:v>15.539999961853029</c:v>
                </c:pt>
                <c:pt idx="626">
                  <c:v>16.229999542236332</c:v>
                </c:pt>
                <c:pt idx="627">
                  <c:v>15.39999961853027</c:v>
                </c:pt>
                <c:pt idx="628">
                  <c:v>14.920000076293951</c:v>
                </c:pt>
                <c:pt idx="629">
                  <c:v>15.47999954223633</c:v>
                </c:pt>
                <c:pt idx="630">
                  <c:v>14.72000026702881</c:v>
                </c:pt>
                <c:pt idx="631">
                  <c:v>15.159999847412109</c:v>
                </c:pt>
                <c:pt idx="632">
                  <c:v>17.569999694824219</c:v>
                </c:pt>
                <c:pt idx="633">
                  <c:v>16.639999389648441</c:v>
                </c:pt>
                <c:pt idx="634">
                  <c:v>15.539999961853029</c:v>
                </c:pt>
                <c:pt idx="635">
                  <c:v>15.14999961853027</c:v>
                </c:pt>
                <c:pt idx="636">
                  <c:v>15.590000152587891</c:v>
                </c:pt>
                <c:pt idx="637">
                  <c:v>15.63000011444092</c:v>
                </c:pt>
                <c:pt idx="638">
                  <c:v>16</c:v>
                </c:pt>
                <c:pt idx="639">
                  <c:v>15.22999954223633</c:v>
                </c:pt>
                <c:pt idx="640">
                  <c:v>16.95000076293945</c:v>
                </c:pt>
                <c:pt idx="641">
                  <c:v>16.809999465942379</c:v>
                </c:pt>
                <c:pt idx="642">
                  <c:v>18.54999923706055</c:v>
                </c:pt>
                <c:pt idx="643">
                  <c:v>18.10000038146973</c:v>
                </c:pt>
                <c:pt idx="644">
                  <c:v>20.739999771118161</c:v>
                </c:pt>
                <c:pt idx="645">
                  <c:v>24.170000076293949</c:v>
                </c:pt>
                <c:pt idx="646">
                  <c:v>20.870000839233398</c:v>
                </c:pt>
                <c:pt idx="647">
                  <c:v>23.520000457763668</c:v>
                </c:pt>
                <c:pt idx="648">
                  <c:v>23.670000076293949</c:v>
                </c:pt>
                <c:pt idx="649">
                  <c:v>21.219999313354489</c:v>
                </c:pt>
                <c:pt idx="650">
                  <c:v>25.159999847412109</c:v>
                </c:pt>
                <c:pt idx="651">
                  <c:v>22.940000534057621</c:v>
                </c:pt>
                <c:pt idx="652">
                  <c:v>21.559999465942379</c:v>
                </c:pt>
                <c:pt idx="653">
                  <c:v>21.45000076293945</c:v>
                </c:pt>
                <c:pt idx="654">
                  <c:v>26.479999542236332</c:v>
                </c:pt>
                <c:pt idx="655">
                  <c:v>28.29999923706055</c:v>
                </c:pt>
                <c:pt idx="656">
                  <c:v>26.569999694824219</c:v>
                </c:pt>
                <c:pt idx="657">
                  <c:v>27.680000305175781</c:v>
                </c:pt>
                <c:pt idx="658">
                  <c:v>30.670000076293949</c:v>
                </c:pt>
                <c:pt idx="659">
                  <c:v>30.829999923706051</c:v>
                </c:pt>
                <c:pt idx="660">
                  <c:v>29.989999771118161</c:v>
                </c:pt>
                <c:pt idx="661">
                  <c:v>26.329999923706051</c:v>
                </c:pt>
                <c:pt idx="662">
                  <c:v>25.25</c:v>
                </c:pt>
                <c:pt idx="663">
                  <c:v>22.889999389648441</c:v>
                </c:pt>
                <c:pt idx="664">
                  <c:v>22.620000839233398</c:v>
                </c:pt>
                <c:pt idx="665">
                  <c:v>20.719999313354489</c:v>
                </c:pt>
                <c:pt idx="666">
                  <c:v>22.719999313354489</c:v>
                </c:pt>
                <c:pt idx="667">
                  <c:v>26.29999923706055</c:v>
                </c:pt>
                <c:pt idx="668">
                  <c:v>23.809999465942379</c:v>
                </c:pt>
                <c:pt idx="669">
                  <c:v>25.059999465942379</c:v>
                </c:pt>
                <c:pt idx="670">
                  <c:v>23.379999160766602</c:v>
                </c:pt>
                <c:pt idx="671">
                  <c:v>22.780000686645511</c:v>
                </c:pt>
                <c:pt idx="672">
                  <c:v>24.579999923706051</c:v>
                </c:pt>
                <c:pt idx="673">
                  <c:v>23.989999771118161</c:v>
                </c:pt>
                <c:pt idx="674">
                  <c:v>26.229999542236332</c:v>
                </c:pt>
                <c:pt idx="675">
                  <c:v>27.379999160766602</c:v>
                </c:pt>
                <c:pt idx="676">
                  <c:v>25.270000457763668</c:v>
                </c:pt>
                <c:pt idx="677">
                  <c:v>24.95999908447266</c:v>
                </c:pt>
                <c:pt idx="678">
                  <c:v>24.760000228881839</c:v>
                </c:pt>
                <c:pt idx="679">
                  <c:v>24.920000076293949</c:v>
                </c:pt>
                <c:pt idx="680">
                  <c:v>26.479999542236332</c:v>
                </c:pt>
                <c:pt idx="681">
                  <c:v>20.35000038146973</c:v>
                </c:pt>
                <c:pt idx="682">
                  <c:v>20.030000686645511</c:v>
                </c:pt>
                <c:pt idx="683">
                  <c:v>20.45000076293945</c:v>
                </c:pt>
                <c:pt idx="684">
                  <c:v>19</c:v>
                </c:pt>
                <c:pt idx="685">
                  <c:v>19.370000839233398</c:v>
                </c:pt>
                <c:pt idx="686">
                  <c:v>18.60000038146973</c:v>
                </c:pt>
                <c:pt idx="687">
                  <c:v>17.629999160766602</c:v>
                </c:pt>
                <c:pt idx="688">
                  <c:v>17</c:v>
                </c:pt>
                <c:pt idx="689">
                  <c:v>18</c:v>
                </c:pt>
                <c:pt idx="690">
                  <c:v>17.840000152587891</c:v>
                </c:pt>
                <c:pt idx="691">
                  <c:v>18.489999771118161</c:v>
                </c:pt>
                <c:pt idx="692">
                  <c:v>18.79999923706055</c:v>
                </c:pt>
                <c:pt idx="693">
                  <c:v>18.440000534057621</c:v>
                </c:pt>
                <c:pt idx="694">
                  <c:v>16.909999847412109</c:v>
                </c:pt>
                <c:pt idx="695">
                  <c:v>17.45999908447266</c:v>
                </c:pt>
                <c:pt idx="696">
                  <c:v>16.120000839233398</c:v>
                </c:pt>
                <c:pt idx="697">
                  <c:v>16.670000076293949</c:v>
                </c:pt>
                <c:pt idx="698">
                  <c:v>18.879999160766602</c:v>
                </c:pt>
                <c:pt idx="699">
                  <c:v>17.729999542236332</c:v>
                </c:pt>
                <c:pt idx="700">
                  <c:v>19.25</c:v>
                </c:pt>
                <c:pt idx="701">
                  <c:v>20.020000457763668</c:v>
                </c:pt>
                <c:pt idx="702">
                  <c:v>18.54000091552734</c:v>
                </c:pt>
                <c:pt idx="703">
                  <c:v>18.5</c:v>
                </c:pt>
                <c:pt idx="704">
                  <c:v>22.95999908447266</c:v>
                </c:pt>
                <c:pt idx="705">
                  <c:v>21.639999389648441</c:v>
                </c:pt>
                <c:pt idx="706">
                  <c:v>20.409999847412109</c:v>
                </c:pt>
                <c:pt idx="707">
                  <c:v>20.79999923706055</c:v>
                </c:pt>
                <c:pt idx="708">
                  <c:v>21.170000076293949</c:v>
                </c:pt>
                <c:pt idx="709">
                  <c:v>19.559999465942379</c:v>
                </c:pt>
                <c:pt idx="710">
                  <c:v>19.870000839233398</c:v>
                </c:pt>
                <c:pt idx="711">
                  <c:v>21.069999694824219</c:v>
                </c:pt>
                <c:pt idx="712">
                  <c:v>18.530000686645511</c:v>
                </c:pt>
                <c:pt idx="713">
                  <c:v>23.20999908447266</c:v>
                </c:pt>
                <c:pt idx="714">
                  <c:v>23.010000228881839</c:v>
                </c:pt>
                <c:pt idx="715">
                  <c:v>24.309999465942379</c:v>
                </c:pt>
                <c:pt idx="716">
                  <c:v>21.389999389648441</c:v>
                </c:pt>
                <c:pt idx="717">
                  <c:v>26.489999771118161</c:v>
                </c:pt>
                <c:pt idx="718">
                  <c:v>26.159999847412109</c:v>
                </c:pt>
                <c:pt idx="719">
                  <c:v>28.5</c:v>
                </c:pt>
                <c:pt idx="720">
                  <c:v>31.090000152587891</c:v>
                </c:pt>
                <c:pt idx="721">
                  <c:v>24.10000038146973</c:v>
                </c:pt>
                <c:pt idx="722">
                  <c:v>25.940000534057621</c:v>
                </c:pt>
                <c:pt idx="723">
                  <c:v>28.059999465942379</c:v>
                </c:pt>
                <c:pt idx="724">
                  <c:v>25.489999771118161</c:v>
                </c:pt>
                <c:pt idx="725">
                  <c:v>26.010000228881839</c:v>
                </c:pt>
                <c:pt idx="726">
                  <c:v>24.879999160766602</c:v>
                </c:pt>
                <c:pt idx="727">
                  <c:v>26.840000152587891</c:v>
                </c:pt>
                <c:pt idx="728">
                  <c:v>25.610000610351559</c:v>
                </c:pt>
                <c:pt idx="729">
                  <c:v>28.909999847412109</c:v>
                </c:pt>
                <c:pt idx="730">
                  <c:v>26.280000686645511</c:v>
                </c:pt>
                <c:pt idx="731">
                  <c:v>24.110000610351559</c:v>
                </c:pt>
                <c:pt idx="732">
                  <c:v>23.969999313354489</c:v>
                </c:pt>
                <c:pt idx="733">
                  <c:v>22.870000839233398</c:v>
                </c:pt>
                <c:pt idx="734">
                  <c:v>23.610000610351559</c:v>
                </c:pt>
                <c:pt idx="735">
                  <c:v>23.79000091552734</c:v>
                </c:pt>
                <c:pt idx="736">
                  <c:v>22.530000686645511</c:v>
                </c:pt>
                <c:pt idx="737">
                  <c:v>20.95999908447266</c:v>
                </c:pt>
                <c:pt idx="738">
                  <c:v>20.85000038146973</c:v>
                </c:pt>
                <c:pt idx="739">
                  <c:v>20.739999771118161</c:v>
                </c:pt>
                <c:pt idx="740">
                  <c:v>23.590000152587891</c:v>
                </c:pt>
                <c:pt idx="741">
                  <c:v>22.469999313354489</c:v>
                </c:pt>
                <c:pt idx="742">
                  <c:v>22.559999465942379</c:v>
                </c:pt>
                <c:pt idx="743">
                  <c:v>23.270000457763668</c:v>
                </c:pt>
                <c:pt idx="744">
                  <c:v>24.520000457763668</c:v>
                </c:pt>
                <c:pt idx="745">
                  <c:v>22.639999389648441</c:v>
                </c:pt>
                <c:pt idx="746">
                  <c:v>21.680000305175781</c:v>
                </c:pt>
                <c:pt idx="747">
                  <c:v>20.579999923706051</c:v>
                </c:pt>
                <c:pt idx="748">
                  <c:v>18.469999313354489</c:v>
                </c:pt>
                <c:pt idx="749">
                  <c:v>18.60000038146973</c:v>
                </c:pt>
                <c:pt idx="750">
                  <c:v>18.659999847412109</c:v>
                </c:pt>
                <c:pt idx="751">
                  <c:v>20.260000228881839</c:v>
                </c:pt>
                <c:pt idx="752">
                  <c:v>20.739999771118161</c:v>
                </c:pt>
                <c:pt idx="753">
                  <c:v>22.5</c:v>
                </c:pt>
                <c:pt idx="754">
                  <c:v>23.170000076293949</c:v>
                </c:pt>
                <c:pt idx="755">
                  <c:v>22.489999771118161</c:v>
                </c:pt>
                <c:pt idx="756">
                  <c:v>23.940000534057621</c:v>
                </c:pt>
                <c:pt idx="757">
                  <c:v>23.79000091552734</c:v>
                </c:pt>
                <c:pt idx="758">
                  <c:v>25.430000305175781</c:v>
                </c:pt>
                <c:pt idx="759">
                  <c:v>24.120000839233398</c:v>
                </c:pt>
                <c:pt idx="760">
                  <c:v>23.45000076293945</c:v>
                </c:pt>
                <c:pt idx="761">
                  <c:v>23.680000305175781</c:v>
                </c:pt>
                <c:pt idx="762">
                  <c:v>22.89999961853027</c:v>
                </c:pt>
                <c:pt idx="763">
                  <c:v>23.340000152587891</c:v>
                </c:pt>
                <c:pt idx="764">
                  <c:v>24.379999160766602</c:v>
                </c:pt>
                <c:pt idx="765">
                  <c:v>28.45999908447266</c:v>
                </c:pt>
                <c:pt idx="766">
                  <c:v>27.180000305175781</c:v>
                </c:pt>
                <c:pt idx="767">
                  <c:v>31.010000228881839</c:v>
                </c:pt>
                <c:pt idx="768">
                  <c:v>29.020000457763668</c:v>
                </c:pt>
                <c:pt idx="769">
                  <c:v>27.780000686645511</c:v>
                </c:pt>
                <c:pt idx="770">
                  <c:v>29.079999923706051</c:v>
                </c:pt>
                <c:pt idx="771">
                  <c:v>27.780000686645511</c:v>
                </c:pt>
                <c:pt idx="772">
                  <c:v>27.319999694824219</c:v>
                </c:pt>
                <c:pt idx="773">
                  <c:v>27.620000839233398</c:v>
                </c:pt>
                <c:pt idx="774">
                  <c:v>26.20000076293945</c:v>
                </c:pt>
                <c:pt idx="775">
                  <c:v>24.020000457763668</c:v>
                </c:pt>
                <c:pt idx="776">
                  <c:v>25.989999771118161</c:v>
                </c:pt>
                <c:pt idx="777">
                  <c:v>28.239999771118161</c:v>
                </c:pt>
                <c:pt idx="778">
                  <c:v>28.969999313354489</c:v>
                </c:pt>
                <c:pt idx="779">
                  <c:v>27.659999847412109</c:v>
                </c:pt>
                <c:pt idx="780">
                  <c:v>28.010000228881839</c:v>
                </c:pt>
                <c:pt idx="781">
                  <c:v>27.60000038146973</c:v>
                </c:pt>
                <c:pt idx="782">
                  <c:v>26.329999923706051</c:v>
                </c:pt>
                <c:pt idx="783">
                  <c:v>24.879999160766602</c:v>
                </c:pt>
                <c:pt idx="784">
                  <c:v>25.54000091552734</c:v>
                </c:pt>
                <c:pt idx="785">
                  <c:v>25.020000457763668</c:v>
                </c:pt>
                <c:pt idx="786">
                  <c:v>25.590000152587891</c:v>
                </c:pt>
                <c:pt idx="787">
                  <c:v>24.39999961853027</c:v>
                </c:pt>
                <c:pt idx="788">
                  <c:v>25.120000839233398</c:v>
                </c:pt>
                <c:pt idx="789">
                  <c:v>24.059999465942379</c:v>
                </c:pt>
                <c:pt idx="790">
                  <c:v>23.030000686645511</c:v>
                </c:pt>
                <c:pt idx="791">
                  <c:v>21.89999961853027</c:v>
                </c:pt>
                <c:pt idx="792">
                  <c:v>22.690000534057621</c:v>
                </c:pt>
                <c:pt idx="793">
                  <c:v>23.530000686645511</c:v>
                </c:pt>
                <c:pt idx="794">
                  <c:v>26.54000091552734</c:v>
                </c:pt>
                <c:pt idx="795">
                  <c:v>26.280000686645511</c:v>
                </c:pt>
                <c:pt idx="796">
                  <c:v>25.520000457763668</c:v>
                </c:pt>
                <c:pt idx="797">
                  <c:v>24.60000038146973</c:v>
                </c:pt>
                <c:pt idx="798">
                  <c:v>27.54999923706055</c:v>
                </c:pt>
                <c:pt idx="799">
                  <c:v>27.489999771118161</c:v>
                </c:pt>
                <c:pt idx="800">
                  <c:v>29.379999160766602</c:v>
                </c:pt>
                <c:pt idx="801">
                  <c:v>26.360000610351559</c:v>
                </c:pt>
                <c:pt idx="802">
                  <c:v>27.219999313354489</c:v>
                </c:pt>
                <c:pt idx="803">
                  <c:v>27.29000091552734</c:v>
                </c:pt>
                <c:pt idx="804">
                  <c:v>31.159999847412109</c:v>
                </c:pt>
                <c:pt idx="805">
                  <c:v>32.240001678466797</c:v>
                </c:pt>
                <c:pt idx="806">
                  <c:v>25.79000091552734</c:v>
                </c:pt>
                <c:pt idx="807">
                  <c:v>29.840000152587891</c:v>
                </c:pt>
                <c:pt idx="808">
                  <c:v>26.620000839233398</c:v>
                </c:pt>
                <c:pt idx="809">
                  <c:v>25.729999542236332</c:v>
                </c:pt>
                <c:pt idx="810">
                  <c:v>25.719999313354489</c:v>
                </c:pt>
                <c:pt idx="811">
                  <c:v>26.079999923706051</c:v>
                </c:pt>
                <c:pt idx="812">
                  <c:v>25.879999160766602</c:v>
                </c:pt>
                <c:pt idx="813">
                  <c:v>25.70999908447266</c:v>
                </c:pt>
                <c:pt idx="814">
                  <c:v>25.610000610351559</c:v>
                </c:pt>
                <c:pt idx="815">
                  <c:v>22.680000305175781</c:v>
                </c:pt>
                <c:pt idx="816">
                  <c:v>23.430000305175781</c:v>
                </c:pt>
                <c:pt idx="817">
                  <c:v>23.20999908447266</c:v>
                </c:pt>
                <c:pt idx="818">
                  <c:v>22.45000076293945</c:v>
                </c:pt>
                <c:pt idx="819">
                  <c:v>22.420000076293949</c:v>
                </c:pt>
                <c:pt idx="820">
                  <c:v>22.360000610351559</c:v>
                </c:pt>
                <c:pt idx="821">
                  <c:v>22.809999465942379</c:v>
                </c:pt>
                <c:pt idx="822">
                  <c:v>21.979999542236332</c:v>
                </c:pt>
                <c:pt idx="823">
                  <c:v>23.45999908447266</c:v>
                </c:pt>
                <c:pt idx="824">
                  <c:v>23.819999694824219</c:v>
                </c:pt>
                <c:pt idx="825">
                  <c:v>22.780000686645511</c:v>
                </c:pt>
                <c:pt idx="826">
                  <c:v>20.530000686645511</c:v>
                </c:pt>
                <c:pt idx="827">
                  <c:v>20.370000839233398</c:v>
                </c:pt>
                <c:pt idx="828">
                  <c:v>20.129999160766602</c:v>
                </c:pt>
                <c:pt idx="829">
                  <c:v>20.5</c:v>
                </c:pt>
                <c:pt idx="830">
                  <c:v>20.870000839233398</c:v>
                </c:pt>
                <c:pt idx="831">
                  <c:v>20.260000228881839</c:v>
                </c:pt>
                <c:pt idx="832">
                  <c:v>20.059999465942379</c:v>
                </c:pt>
                <c:pt idx="833">
                  <c:v>19.590000152587891</c:v>
                </c:pt>
                <c:pt idx="834">
                  <c:v>19.639999389648441</c:v>
                </c:pt>
                <c:pt idx="835">
                  <c:v>20.239999771118161</c:v>
                </c:pt>
                <c:pt idx="836">
                  <c:v>20.79000091552734</c:v>
                </c:pt>
                <c:pt idx="837">
                  <c:v>18.879999160766602</c:v>
                </c:pt>
                <c:pt idx="838">
                  <c:v>18.180000305175781</c:v>
                </c:pt>
                <c:pt idx="839">
                  <c:v>18.89999961853027</c:v>
                </c:pt>
                <c:pt idx="840">
                  <c:v>18.20999908447266</c:v>
                </c:pt>
                <c:pt idx="841">
                  <c:v>19.729999542236332</c:v>
                </c:pt>
                <c:pt idx="842">
                  <c:v>19.39999961853027</c:v>
                </c:pt>
                <c:pt idx="843">
                  <c:v>19.409999847412109</c:v>
                </c:pt>
                <c:pt idx="844">
                  <c:v>17.79000091552734</c:v>
                </c:pt>
                <c:pt idx="845">
                  <c:v>17.979999542236332</c:v>
                </c:pt>
                <c:pt idx="846">
                  <c:v>17.659999847412109</c:v>
                </c:pt>
                <c:pt idx="847">
                  <c:v>16.29999923706055</c:v>
                </c:pt>
                <c:pt idx="848">
                  <c:v>16.469999313354489</c:v>
                </c:pt>
                <c:pt idx="849">
                  <c:v>17.010000228881839</c:v>
                </c:pt>
                <c:pt idx="850">
                  <c:v>17.579999923706051</c:v>
                </c:pt>
                <c:pt idx="851">
                  <c:v>18.590000152587891</c:v>
                </c:pt>
                <c:pt idx="852">
                  <c:v>18.04999923706055</c:v>
                </c:pt>
                <c:pt idx="853">
                  <c:v>19.54999923706055</c:v>
                </c:pt>
                <c:pt idx="854">
                  <c:v>19.639999389648441</c:v>
                </c:pt>
                <c:pt idx="855">
                  <c:v>19.069999694824219</c:v>
                </c:pt>
                <c:pt idx="856">
                  <c:v>18.139999389648441</c:v>
                </c:pt>
                <c:pt idx="857">
                  <c:v>17.829999923706051</c:v>
                </c:pt>
                <c:pt idx="858">
                  <c:v>19.829999923706051</c:v>
                </c:pt>
                <c:pt idx="859">
                  <c:v>20.239999771118161</c:v>
                </c:pt>
                <c:pt idx="860">
                  <c:v>20.79999923706055</c:v>
                </c:pt>
                <c:pt idx="861">
                  <c:v>18.629999160766602</c:v>
                </c:pt>
                <c:pt idx="862">
                  <c:v>23.559999465942379</c:v>
                </c:pt>
                <c:pt idx="863">
                  <c:v>23.120000839233398</c:v>
                </c:pt>
                <c:pt idx="864">
                  <c:v>23.180000305175781</c:v>
                </c:pt>
                <c:pt idx="865">
                  <c:v>24.120000839233398</c:v>
                </c:pt>
                <c:pt idx="866">
                  <c:v>23.329999923706051</c:v>
                </c:pt>
                <c:pt idx="867">
                  <c:v>21.219999313354489</c:v>
                </c:pt>
                <c:pt idx="868">
                  <c:v>20.95000076293945</c:v>
                </c:pt>
                <c:pt idx="869">
                  <c:v>21.129999160766602</c:v>
                </c:pt>
                <c:pt idx="870">
                  <c:v>22.239999771118161</c:v>
                </c:pt>
                <c:pt idx="871">
                  <c:v>21.579999923706051</c:v>
                </c:pt>
                <c:pt idx="872">
                  <c:v>22.870000839233398</c:v>
                </c:pt>
                <c:pt idx="873">
                  <c:v>22.639999389648441</c:v>
                </c:pt>
                <c:pt idx="874">
                  <c:v>22.420000076293949</c:v>
                </c:pt>
                <c:pt idx="875">
                  <c:v>21.139999389648441</c:v>
                </c:pt>
                <c:pt idx="876">
                  <c:v>23.930000305175781</c:v>
                </c:pt>
                <c:pt idx="877">
                  <c:v>23.440000534057621</c:v>
                </c:pt>
                <c:pt idx="878">
                  <c:v>23.95000076293945</c:v>
                </c:pt>
                <c:pt idx="879">
                  <c:v>23.64999961853027</c:v>
                </c:pt>
                <c:pt idx="880">
                  <c:v>25.920000076293949</c:v>
                </c:pt>
                <c:pt idx="881">
                  <c:v>24.780000686645511</c:v>
                </c:pt>
                <c:pt idx="882">
                  <c:v>25.780000686645511</c:v>
                </c:pt>
                <c:pt idx="883">
                  <c:v>23.14999961853027</c:v>
                </c:pt>
                <c:pt idx="884">
                  <c:v>25.229999542236332</c:v>
                </c:pt>
                <c:pt idx="885">
                  <c:v>25.590000152587891</c:v>
                </c:pt>
                <c:pt idx="886">
                  <c:v>27.489999771118161</c:v>
                </c:pt>
                <c:pt idx="887">
                  <c:v>28.479999542236332</c:v>
                </c:pt>
                <c:pt idx="888">
                  <c:v>28.54000091552734</c:v>
                </c:pt>
                <c:pt idx="889">
                  <c:v>25.10000038146973</c:v>
                </c:pt>
                <c:pt idx="890">
                  <c:v>25.010000228881839</c:v>
                </c:pt>
                <c:pt idx="891">
                  <c:v>24.04999923706055</c:v>
                </c:pt>
                <c:pt idx="892">
                  <c:v>23.04999923706055</c:v>
                </c:pt>
                <c:pt idx="893">
                  <c:v>21.180000305175781</c:v>
                </c:pt>
                <c:pt idx="894">
                  <c:v>21.309999465942379</c:v>
                </c:pt>
                <c:pt idx="895">
                  <c:v>23.440000534057621</c:v>
                </c:pt>
                <c:pt idx="896">
                  <c:v>22.909999847412109</c:v>
                </c:pt>
                <c:pt idx="897">
                  <c:v>24.229999542236332</c:v>
                </c:pt>
                <c:pt idx="898">
                  <c:v>22.030000686645511</c:v>
                </c:pt>
                <c:pt idx="899">
                  <c:v>21.20999908447266</c:v>
                </c:pt>
                <c:pt idx="900">
                  <c:v>22.940000534057621</c:v>
                </c:pt>
                <c:pt idx="901">
                  <c:v>22.569999694824219</c:v>
                </c:pt>
                <c:pt idx="902">
                  <c:v>23.489999771118161</c:v>
                </c:pt>
                <c:pt idx="903">
                  <c:v>21.139999389648441</c:v>
                </c:pt>
                <c:pt idx="904">
                  <c:v>20.229999542236332</c:v>
                </c:pt>
                <c:pt idx="905">
                  <c:v>21.14999961853027</c:v>
                </c:pt>
                <c:pt idx="906">
                  <c:v>20.659999847412109</c:v>
                </c:pt>
                <c:pt idx="907">
                  <c:v>20.120000839233398</c:v>
                </c:pt>
                <c:pt idx="908">
                  <c:v>21.170000076293949</c:v>
                </c:pt>
                <c:pt idx="909">
                  <c:v>21.54999923706055</c:v>
                </c:pt>
                <c:pt idx="910">
                  <c:v>20.340000152587891</c:v>
                </c:pt>
                <c:pt idx="911">
                  <c:v>19.579999923706051</c:v>
                </c:pt>
                <c:pt idx="912">
                  <c:v>20.979999542236332</c:v>
                </c:pt>
                <c:pt idx="913">
                  <c:v>21.280000686645511</c:v>
                </c:pt>
                <c:pt idx="914">
                  <c:v>20.420000076293949</c:v>
                </c:pt>
                <c:pt idx="915">
                  <c:v>19.819999694824219</c:v>
                </c:pt>
                <c:pt idx="916">
                  <c:v>18.809999465942379</c:v>
                </c:pt>
                <c:pt idx="917">
                  <c:v>20.969999313354489</c:v>
                </c:pt>
                <c:pt idx="918">
                  <c:v>20.489999771118161</c:v>
                </c:pt>
                <c:pt idx="919">
                  <c:v>19.760000228881839</c:v>
                </c:pt>
                <c:pt idx="920">
                  <c:v>19.430000305175781</c:v>
                </c:pt>
                <c:pt idx="921">
                  <c:v>20.64999961853027</c:v>
                </c:pt>
                <c:pt idx="922">
                  <c:v>21.989999771118161</c:v>
                </c:pt>
                <c:pt idx="923">
                  <c:v>21.430000305175781</c:v>
                </c:pt>
                <c:pt idx="924">
                  <c:v>24.030000686645511</c:v>
                </c:pt>
                <c:pt idx="925">
                  <c:v>23.059999465942379</c:v>
                </c:pt>
                <c:pt idx="926">
                  <c:v>22.639999389648441</c:v>
                </c:pt>
                <c:pt idx="927">
                  <c:v>25.469999313354489</c:v>
                </c:pt>
                <c:pt idx="928">
                  <c:v>24.520000457763668</c:v>
                </c:pt>
                <c:pt idx="929">
                  <c:v>24.389999389648441</c:v>
                </c:pt>
                <c:pt idx="930">
                  <c:v>25.659999847412109</c:v>
                </c:pt>
                <c:pt idx="931">
                  <c:v>31.70000076293945</c:v>
                </c:pt>
                <c:pt idx="932">
                  <c:v>30.29999923706055</c:v>
                </c:pt>
                <c:pt idx="933">
                  <c:v>36.220001220703118</c:v>
                </c:pt>
                <c:pt idx="934">
                  <c:v>33.099998474121087</c:v>
                </c:pt>
                <c:pt idx="935">
                  <c:v>32.069999694824219</c:v>
                </c:pt>
                <c:pt idx="936">
                  <c:v>33.849998474121087</c:v>
                </c:pt>
                <c:pt idx="937">
                  <c:v>35.720001220703118</c:v>
                </c:pt>
                <c:pt idx="938">
                  <c:v>35.189998626708977</c:v>
                </c:pt>
                <c:pt idx="939">
                  <c:v>32.819999694824219</c:v>
                </c:pt>
                <c:pt idx="940">
                  <c:v>34.740001678466797</c:v>
                </c:pt>
                <c:pt idx="941">
                  <c:v>46.720001220703118</c:v>
                </c:pt>
                <c:pt idx="942">
                  <c:v>39.389999389648438</c:v>
                </c:pt>
                <c:pt idx="943">
                  <c:v>39.810001373291023</c:v>
                </c:pt>
                <c:pt idx="944">
                  <c:v>45.259998321533203</c:v>
                </c:pt>
                <c:pt idx="945">
                  <c:v>45.139999389648438</c:v>
                </c:pt>
                <c:pt idx="946">
                  <c:v>52.049999237060547</c:v>
                </c:pt>
                <c:pt idx="947">
                  <c:v>53.680000305175781</c:v>
                </c:pt>
                <c:pt idx="948">
                  <c:v>57.529998779296882</c:v>
                </c:pt>
                <c:pt idx="949">
                  <c:v>63.919998168945313</c:v>
                </c:pt>
                <c:pt idx="950">
                  <c:v>69.949996948242188</c:v>
                </c:pt>
                <c:pt idx="951">
                  <c:v>54.990001678466797</c:v>
                </c:pt>
                <c:pt idx="952">
                  <c:v>55.130001068115227</c:v>
                </c:pt>
                <c:pt idx="953">
                  <c:v>69.25</c:v>
                </c:pt>
                <c:pt idx="954">
                  <c:v>67.610000610351563</c:v>
                </c:pt>
                <c:pt idx="955">
                  <c:v>70.330001831054688</c:v>
                </c:pt>
                <c:pt idx="956">
                  <c:v>52.970001220703118</c:v>
                </c:pt>
                <c:pt idx="957">
                  <c:v>53.110000610351563</c:v>
                </c:pt>
                <c:pt idx="958">
                  <c:v>69.650001525878906</c:v>
                </c:pt>
                <c:pt idx="959">
                  <c:v>67.800003051757813</c:v>
                </c:pt>
                <c:pt idx="960">
                  <c:v>79.129997253417969</c:v>
                </c:pt>
                <c:pt idx="961">
                  <c:v>80.05999755859375</c:v>
                </c:pt>
                <c:pt idx="962">
                  <c:v>66.959999084472656</c:v>
                </c:pt>
                <c:pt idx="963">
                  <c:v>69.959999084472656</c:v>
                </c:pt>
                <c:pt idx="964">
                  <c:v>62.900001525878913</c:v>
                </c:pt>
                <c:pt idx="965">
                  <c:v>59.889999389648438</c:v>
                </c:pt>
                <c:pt idx="966">
                  <c:v>53.680000305175781</c:v>
                </c:pt>
                <c:pt idx="967">
                  <c:v>47.729999542236328</c:v>
                </c:pt>
                <c:pt idx="968">
                  <c:v>54.560001373291023</c:v>
                </c:pt>
                <c:pt idx="969">
                  <c:v>63.680000305175781</c:v>
                </c:pt>
                <c:pt idx="970">
                  <c:v>56.099998474121087</c:v>
                </c:pt>
                <c:pt idx="971">
                  <c:v>59.979999542236328</c:v>
                </c:pt>
                <c:pt idx="972">
                  <c:v>61.439998626708977</c:v>
                </c:pt>
                <c:pt idx="973">
                  <c:v>66.459999084472656</c:v>
                </c:pt>
                <c:pt idx="974">
                  <c:v>59.830001831054688</c:v>
                </c:pt>
                <c:pt idx="975">
                  <c:v>66.30999755859375</c:v>
                </c:pt>
                <c:pt idx="976">
                  <c:v>69.150001525878906</c:v>
                </c:pt>
                <c:pt idx="977">
                  <c:v>67.639999389648438</c:v>
                </c:pt>
                <c:pt idx="978">
                  <c:v>74.260002136230469</c:v>
                </c:pt>
                <c:pt idx="979">
                  <c:v>80.860000610351563</c:v>
                </c:pt>
                <c:pt idx="980">
                  <c:v>72.669998168945313</c:v>
                </c:pt>
                <c:pt idx="981">
                  <c:v>64.699996948242188</c:v>
                </c:pt>
                <c:pt idx="982">
                  <c:v>60.900001525878913</c:v>
                </c:pt>
                <c:pt idx="983">
                  <c:v>54.919998168945313</c:v>
                </c:pt>
                <c:pt idx="984">
                  <c:v>55.279998779296882</c:v>
                </c:pt>
                <c:pt idx="985">
                  <c:v>68.510002136230469</c:v>
                </c:pt>
                <c:pt idx="986">
                  <c:v>62.979999542236328</c:v>
                </c:pt>
                <c:pt idx="987">
                  <c:v>60.720001220703118</c:v>
                </c:pt>
                <c:pt idx="988">
                  <c:v>63.639999389648438</c:v>
                </c:pt>
                <c:pt idx="989">
                  <c:v>59.930000305175781</c:v>
                </c:pt>
                <c:pt idx="990">
                  <c:v>58.490001678466797</c:v>
                </c:pt>
                <c:pt idx="991">
                  <c:v>58.909999847412109</c:v>
                </c:pt>
                <c:pt idx="992">
                  <c:v>55.729999542236328</c:v>
                </c:pt>
                <c:pt idx="993">
                  <c:v>55.779998779296882</c:v>
                </c:pt>
                <c:pt idx="994">
                  <c:v>54.279998779296882</c:v>
                </c:pt>
                <c:pt idx="995">
                  <c:v>56.759998321533203</c:v>
                </c:pt>
                <c:pt idx="996">
                  <c:v>52.369998931884773</c:v>
                </c:pt>
                <c:pt idx="997">
                  <c:v>49.840000152587891</c:v>
                </c:pt>
                <c:pt idx="998">
                  <c:v>47.340000152587891</c:v>
                </c:pt>
                <c:pt idx="999">
                  <c:v>44.930000305175781</c:v>
                </c:pt>
                <c:pt idx="1000">
                  <c:v>44.560001373291023</c:v>
                </c:pt>
                <c:pt idx="1001">
                  <c:v>45.020000457763672</c:v>
                </c:pt>
                <c:pt idx="1002">
                  <c:v>44.209999084472663</c:v>
                </c:pt>
                <c:pt idx="1003">
                  <c:v>43.380001068115227</c:v>
                </c:pt>
                <c:pt idx="1004">
                  <c:v>43.900001525878913</c:v>
                </c:pt>
                <c:pt idx="1005">
                  <c:v>41.630001068115227</c:v>
                </c:pt>
                <c:pt idx="1006">
                  <c:v>40</c:v>
                </c:pt>
                <c:pt idx="1007">
                  <c:v>39.189998626708977</c:v>
                </c:pt>
                <c:pt idx="1008">
                  <c:v>39.080001831054688</c:v>
                </c:pt>
                <c:pt idx="1009">
                  <c:v>38.560001373291023</c:v>
                </c:pt>
                <c:pt idx="1010">
                  <c:v>43.389999389648438</c:v>
                </c:pt>
                <c:pt idx="1011">
                  <c:v>42.560001373291023</c:v>
                </c:pt>
                <c:pt idx="1012">
                  <c:v>42.819999694824219</c:v>
                </c:pt>
                <c:pt idx="1013">
                  <c:v>45.840000152587891</c:v>
                </c:pt>
                <c:pt idx="1014">
                  <c:v>43.270000457763672</c:v>
                </c:pt>
                <c:pt idx="1015">
                  <c:v>49.139999389648438</c:v>
                </c:pt>
                <c:pt idx="1016">
                  <c:v>51</c:v>
                </c:pt>
                <c:pt idx="1017">
                  <c:v>46.110000610351563</c:v>
                </c:pt>
                <c:pt idx="1018">
                  <c:v>56.650001525878913</c:v>
                </c:pt>
                <c:pt idx="1019">
                  <c:v>46.419998168945313</c:v>
                </c:pt>
                <c:pt idx="1020">
                  <c:v>47.290000915527337</c:v>
                </c:pt>
                <c:pt idx="1021">
                  <c:v>47.270000457763672</c:v>
                </c:pt>
                <c:pt idx="1022">
                  <c:v>45.689998626708977</c:v>
                </c:pt>
                <c:pt idx="1023">
                  <c:v>42.25</c:v>
                </c:pt>
                <c:pt idx="1024">
                  <c:v>39.659999847412109</c:v>
                </c:pt>
                <c:pt idx="1025">
                  <c:v>42.630001068115227</c:v>
                </c:pt>
                <c:pt idx="1026">
                  <c:v>44.840000152587891</c:v>
                </c:pt>
                <c:pt idx="1027">
                  <c:v>45.520000457763672</c:v>
                </c:pt>
                <c:pt idx="1028">
                  <c:v>43.060001373291023</c:v>
                </c:pt>
                <c:pt idx="1029">
                  <c:v>43.849998474121087</c:v>
                </c:pt>
                <c:pt idx="1030">
                  <c:v>43.729999542236328</c:v>
                </c:pt>
                <c:pt idx="1031">
                  <c:v>43.369998931884773</c:v>
                </c:pt>
                <c:pt idx="1032">
                  <c:v>43.639999389648438</c:v>
                </c:pt>
                <c:pt idx="1033">
                  <c:v>46.669998168945313</c:v>
                </c:pt>
                <c:pt idx="1034">
                  <c:v>44.529998779296882</c:v>
                </c:pt>
                <c:pt idx="1035">
                  <c:v>41.25</c:v>
                </c:pt>
                <c:pt idx="1036">
                  <c:v>42.930000305175781</c:v>
                </c:pt>
                <c:pt idx="1037">
                  <c:v>48.659999847412109</c:v>
                </c:pt>
                <c:pt idx="1038">
                  <c:v>48.459999084472663</c:v>
                </c:pt>
                <c:pt idx="1039">
                  <c:v>47.080001831054688</c:v>
                </c:pt>
                <c:pt idx="1040">
                  <c:v>49.299999237060547</c:v>
                </c:pt>
                <c:pt idx="1041">
                  <c:v>52.619998931884773</c:v>
                </c:pt>
                <c:pt idx="1042">
                  <c:v>45.490001678466797</c:v>
                </c:pt>
                <c:pt idx="1043">
                  <c:v>44.669998168945313</c:v>
                </c:pt>
                <c:pt idx="1044">
                  <c:v>44.659999847412109</c:v>
                </c:pt>
                <c:pt idx="1045">
                  <c:v>46.349998474121087</c:v>
                </c:pt>
                <c:pt idx="1046">
                  <c:v>52.650001525878913</c:v>
                </c:pt>
                <c:pt idx="1047">
                  <c:v>50.930000305175781</c:v>
                </c:pt>
                <c:pt idx="1048">
                  <c:v>47.560001373291023</c:v>
                </c:pt>
                <c:pt idx="1049">
                  <c:v>50.169998168945313</c:v>
                </c:pt>
                <c:pt idx="1050">
                  <c:v>49.330001831054688</c:v>
                </c:pt>
                <c:pt idx="1051">
                  <c:v>49.680000305175781</c:v>
                </c:pt>
                <c:pt idx="1052">
                  <c:v>44.369998931884773</c:v>
                </c:pt>
                <c:pt idx="1053">
                  <c:v>43.610000610351563</c:v>
                </c:pt>
                <c:pt idx="1054">
                  <c:v>41.180000305175781</c:v>
                </c:pt>
                <c:pt idx="1055">
                  <c:v>42.360000610351563</c:v>
                </c:pt>
                <c:pt idx="1056">
                  <c:v>43.740001678466797</c:v>
                </c:pt>
                <c:pt idx="1057">
                  <c:v>40.799999237060547</c:v>
                </c:pt>
                <c:pt idx="1058">
                  <c:v>40.060001373291023</c:v>
                </c:pt>
                <c:pt idx="1059">
                  <c:v>43.680000305175781</c:v>
                </c:pt>
                <c:pt idx="1060">
                  <c:v>45.889999389648438</c:v>
                </c:pt>
                <c:pt idx="1061">
                  <c:v>43.229999542236328</c:v>
                </c:pt>
                <c:pt idx="1062">
                  <c:v>42.930000305175781</c:v>
                </c:pt>
                <c:pt idx="1063">
                  <c:v>42.25</c:v>
                </c:pt>
                <c:pt idx="1064">
                  <c:v>40.360000610351563</c:v>
                </c:pt>
                <c:pt idx="1065">
                  <c:v>41.040000915527337</c:v>
                </c:pt>
                <c:pt idx="1066">
                  <c:v>45.540000915527337</c:v>
                </c:pt>
                <c:pt idx="1067">
                  <c:v>44.139999389648438</c:v>
                </c:pt>
                <c:pt idx="1068">
                  <c:v>42.279998779296882</c:v>
                </c:pt>
                <c:pt idx="1069">
                  <c:v>42.040000915527337</c:v>
                </c:pt>
                <c:pt idx="1070">
                  <c:v>39.700000762939453</c:v>
                </c:pt>
                <c:pt idx="1071">
                  <c:v>40.930000305175781</c:v>
                </c:pt>
                <c:pt idx="1072">
                  <c:v>40.389999389648438</c:v>
                </c:pt>
                <c:pt idx="1073">
                  <c:v>38.849998474121087</c:v>
                </c:pt>
                <c:pt idx="1074">
                  <c:v>36.529998779296882</c:v>
                </c:pt>
                <c:pt idx="1075">
                  <c:v>37.810001373291023</c:v>
                </c:pt>
                <c:pt idx="1076">
                  <c:v>37.669998168945313</c:v>
                </c:pt>
                <c:pt idx="1077">
                  <c:v>36.169998168945313</c:v>
                </c:pt>
                <c:pt idx="1078">
                  <c:v>35.790000915527337</c:v>
                </c:pt>
                <c:pt idx="1079">
                  <c:v>33.939998626708977</c:v>
                </c:pt>
                <c:pt idx="1080">
                  <c:v>39.180000305175781</c:v>
                </c:pt>
                <c:pt idx="1081">
                  <c:v>37.139999389648438</c:v>
                </c:pt>
                <c:pt idx="1082">
                  <c:v>38.099998474121087</c:v>
                </c:pt>
                <c:pt idx="1083">
                  <c:v>37.150001525878913</c:v>
                </c:pt>
                <c:pt idx="1084">
                  <c:v>36.819999694824219</c:v>
                </c:pt>
                <c:pt idx="1085">
                  <c:v>38.319999694824219</c:v>
                </c:pt>
                <c:pt idx="1086">
                  <c:v>37.950000762939453</c:v>
                </c:pt>
                <c:pt idx="1087">
                  <c:v>36.080001831054688</c:v>
                </c:pt>
                <c:pt idx="1088">
                  <c:v>36.5</c:v>
                </c:pt>
                <c:pt idx="1089">
                  <c:v>35.299999237060547</c:v>
                </c:pt>
                <c:pt idx="1090">
                  <c:v>34.529998779296882</c:v>
                </c:pt>
                <c:pt idx="1091">
                  <c:v>33.360000610351563</c:v>
                </c:pt>
                <c:pt idx="1092">
                  <c:v>32.450000762939453</c:v>
                </c:pt>
                <c:pt idx="1093">
                  <c:v>33.439998626708977</c:v>
                </c:pt>
                <c:pt idx="1094">
                  <c:v>32.049999237060547</c:v>
                </c:pt>
                <c:pt idx="1095">
                  <c:v>32.869998931884773</c:v>
                </c:pt>
                <c:pt idx="1096">
                  <c:v>31.79999923706055</c:v>
                </c:pt>
                <c:pt idx="1097">
                  <c:v>33.650001525878913</c:v>
                </c:pt>
                <c:pt idx="1098">
                  <c:v>31.370000839233398</c:v>
                </c:pt>
                <c:pt idx="1099">
                  <c:v>33.119998931884773</c:v>
                </c:pt>
                <c:pt idx="1100">
                  <c:v>30.239999771118161</c:v>
                </c:pt>
                <c:pt idx="1101">
                  <c:v>28.79999923706055</c:v>
                </c:pt>
                <c:pt idx="1102">
                  <c:v>29.030000686645511</c:v>
                </c:pt>
                <c:pt idx="1103">
                  <c:v>31.35000038146973</c:v>
                </c:pt>
                <c:pt idx="1104">
                  <c:v>32.630001068115227</c:v>
                </c:pt>
                <c:pt idx="1105">
                  <c:v>30.620000839233398</c:v>
                </c:pt>
                <c:pt idx="1106">
                  <c:v>32.360000610351563</c:v>
                </c:pt>
                <c:pt idx="1107">
                  <c:v>31.670000076293949</c:v>
                </c:pt>
                <c:pt idx="1108">
                  <c:v>28.920000076293949</c:v>
                </c:pt>
                <c:pt idx="1109">
                  <c:v>30.04000091552734</c:v>
                </c:pt>
                <c:pt idx="1110">
                  <c:v>29.629999160766602</c:v>
                </c:pt>
                <c:pt idx="1111">
                  <c:v>31.020000457763668</c:v>
                </c:pt>
                <c:pt idx="1112">
                  <c:v>30.180000305175781</c:v>
                </c:pt>
                <c:pt idx="1113">
                  <c:v>29.620000839233398</c:v>
                </c:pt>
                <c:pt idx="1114">
                  <c:v>29.770000457763668</c:v>
                </c:pt>
                <c:pt idx="1115">
                  <c:v>28.270000457763668</c:v>
                </c:pt>
                <c:pt idx="1116">
                  <c:v>28.45999908447266</c:v>
                </c:pt>
                <c:pt idx="1117">
                  <c:v>28.110000610351559</c:v>
                </c:pt>
                <c:pt idx="1118">
                  <c:v>28.14999961853027</c:v>
                </c:pt>
                <c:pt idx="1119">
                  <c:v>30.809999465942379</c:v>
                </c:pt>
                <c:pt idx="1120">
                  <c:v>32.680000305175781</c:v>
                </c:pt>
                <c:pt idx="1121">
                  <c:v>31.54000091552734</c:v>
                </c:pt>
                <c:pt idx="1122">
                  <c:v>30.030000686645511</c:v>
                </c:pt>
                <c:pt idx="1123">
                  <c:v>27.989999771118161</c:v>
                </c:pt>
                <c:pt idx="1124">
                  <c:v>31.170000076293949</c:v>
                </c:pt>
                <c:pt idx="1125">
                  <c:v>30.579999923706051</c:v>
                </c:pt>
                <c:pt idx="1126">
                  <c:v>29.04999923706055</c:v>
                </c:pt>
                <c:pt idx="1127">
                  <c:v>26.360000610351559</c:v>
                </c:pt>
                <c:pt idx="1128">
                  <c:v>25.930000305175781</c:v>
                </c:pt>
                <c:pt idx="1129">
                  <c:v>25.35000038146973</c:v>
                </c:pt>
                <c:pt idx="1130">
                  <c:v>26.35000038146973</c:v>
                </c:pt>
                <c:pt idx="1131">
                  <c:v>26.219999313354489</c:v>
                </c:pt>
                <c:pt idx="1132">
                  <c:v>27.95000076293945</c:v>
                </c:pt>
                <c:pt idx="1133">
                  <c:v>29</c:v>
                </c:pt>
                <c:pt idx="1134">
                  <c:v>30.85000038146973</c:v>
                </c:pt>
                <c:pt idx="1135">
                  <c:v>31.29999923706055</c:v>
                </c:pt>
                <c:pt idx="1136">
                  <c:v>29.780000686645511</c:v>
                </c:pt>
                <c:pt idx="1137">
                  <c:v>29.020000457763668</c:v>
                </c:pt>
                <c:pt idx="1138">
                  <c:v>26.309999465942379</c:v>
                </c:pt>
                <c:pt idx="1139">
                  <c:v>25.020000457763668</c:v>
                </c:pt>
                <c:pt idx="1140">
                  <c:v>25.889999389648441</c:v>
                </c:pt>
                <c:pt idx="1141">
                  <c:v>25.420000076293949</c:v>
                </c:pt>
                <c:pt idx="1142">
                  <c:v>24.340000152587891</c:v>
                </c:pt>
                <c:pt idx="1143">
                  <c:v>24.39999961853027</c:v>
                </c:pt>
                <c:pt idx="1144">
                  <c:v>23.870000839233398</c:v>
                </c:pt>
                <c:pt idx="1145">
                  <c:v>23.469999313354489</c:v>
                </c:pt>
                <c:pt idx="1146">
                  <c:v>23.430000305175781</c:v>
                </c:pt>
                <c:pt idx="1147">
                  <c:v>23.090000152587891</c:v>
                </c:pt>
                <c:pt idx="1148">
                  <c:v>24.280000686645511</c:v>
                </c:pt>
                <c:pt idx="1149">
                  <c:v>25.010000228881839</c:v>
                </c:pt>
                <c:pt idx="1150">
                  <c:v>25.610000610351559</c:v>
                </c:pt>
                <c:pt idx="1151">
                  <c:v>25.39999961853027</c:v>
                </c:pt>
                <c:pt idx="1152">
                  <c:v>25.920000076293949</c:v>
                </c:pt>
                <c:pt idx="1153">
                  <c:v>25.559999465942379</c:v>
                </c:pt>
                <c:pt idx="1154">
                  <c:v>24.889999389648441</c:v>
                </c:pt>
                <c:pt idx="1155">
                  <c:v>24.89999961853027</c:v>
                </c:pt>
                <c:pt idx="1156">
                  <c:v>25.670000076293949</c:v>
                </c:pt>
                <c:pt idx="1157">
                  <c:v>24.760000228881839</c:v>
                </c:pt>
                <c:pt idx="1158">
                  <c:v>24.989999771118161</c:v>
                </c:pt>
                <c:pt idx="1159">
                  <c:v>25.989999771118161</c:v>
                </c:pt>
                <c:pt idx="1160">
                  <c:v>25.45000076293945</c:v>
                </c:pt>
                <c:pt idx="1161">
                  <c:v>24.70999908447266</c:v>
                </c:pt>
                <c:pt idx="1162">
                  <c:v>24.270000457763668</c:v>
                </c:pt>
                <c:pt idx="1163">
                  <c:v>27.889999389648441</c:v>
                </c:pt>
                <c:pt idx="1164">
                  <c:v>26.180000305175781</c:v>
                </c:pt>
                <c:pt idx="1165">
                  <c:v>26.260000228881839</c:v>
                </c:pt>
                <c:pt idx="1166">
                  <c:v>25.090000152587891</c:v>
                </c:pt>
                <c:pt idx="1167">
                  <c:v>25.010000228881839</c:v>
                </c:pt>
                <c:pt idx="1168">
                  <c:v>25.139999389648441</c:v>
                </c:pt>
                <c:pt idx="1169">
                  <c:v>24.920000076293949</c:v>
                </c:pt>
                <c:pt idx="1170">
                  <c:v>24.95000076293945</c:v>
                </c:pt>
                <c:pt idx="1171">
                  <c:v>24.680000305175781</c:v>
                </c:pt>
                <c:pt idx="1172">
                  <c:v>24.760000228881839</c:v>
                </c:pt>
                <c:pt idx="1173">
                  <c:v>26.010000228881839</c:v>
                </c:pt>
                <c:pt idx="1174">
                  <c:v>29.14999961853027</c:v>
                </c:pt>
                <c:pt idx="1175">
                  <c:v>28.89999961853027</c:v>
                </c:pt>
                <c:pt idx="1176">
                  <c:v>27.10000038146973</c:v>
                </c:pt>
                <c:pt idx="1177">
                  <c:v>25.260000228881839</c:v>
                </c:pt>
                <c:pt idx="1178">
                  <c:v>25.620000839233398</c:v>
                </c:pt>
                <c:pt idx="1179">
                  <c:v>24.319999694824219</c:v>
                </c:pt>
                <c:pt idx="1180">
                  <c:v>23.54999923706055</c:v>
                </c:pt>
                <c:pt idx="1181">
                  <c:v>24.14999961853027</c:v>
                </c:pt>
                <c:pt idx="1182">
                  <c:v>23.860000610351559</c:v>
                </c:pt>
                <c:pt idx="1183">
                  <c:v>23.420000076293949</c:v>
                </c:pt>
                <c:pt idx="1184">
                  <c:v>23.690000534057621</c:v>
                </c:pt>
                <c:pt idx="1185">
                  <c:v>23.64999961853027</c:v>
                </c:pt>
                <c:pt idx="1186">
                  <c:v>23.920000076293949</c:v>
                </c:pt>
                <c:pt idx="1187">
                  <c:v>24.059999465942379</c:v>
                </c:pt>
                <c:pt idx="1188">
                  <c:v>23.079999923706051</c:v>
                </c:pt>
                <c:pt idx="1189">
                  <c:v>23.489999771118161</c:v>
                </c:pt>
                <c:pt idx="1190">
                  <c:v>24.95000076293945</c:v>
                </c:pt>
                <c:pt idx="1191">
                  <c:v>25.610000610351559</c:v>
                </c:pt>
                <c:pt idx="1192">
                  <c:v>24.879999160766602</c:v>
                </c:pt>
                <c:pt idx="1193">
                  <c:v>25.190000534057621</c:v>
                </c:pt>
                <c:pt idx="1194">
                  <c:v>25.610000610351559</c:v>
                </c:pt>
                <c:pt idx="1195">
                  <c:v>28.270000457763668</c:v>
                </c:pt>
                <c:pt idx="1196">
                  <c:v>28.680000305175781</c:v>
                </c:pt>
                <c:pt idx="1197">
                  <c:v>26.840000152587891</c:v>
                </c:pt>
                <c:pt idx="1198">
                  <c:v>25.70000076293945</c:v>
                </c:pt>
                <c:pt idx="1199">
                  <c:v>24.680000305175781</c:v>
                </c:pt>
                <c:pt idx="1200">
                  <c:v>24.180000305175781</c:v>
                </c:pt>
                <c:pt idx="1201">
                  <c:v>23.120000839233398</c:v>
                </c:pt>
                <c:pt idx="1202">
                  <c:v>23.010000228881839</c:v>
                </c:pt>
                <c:pt idx="1203">
                  <c:v>22.989999771118161</c:v>
                </c:pt>
                <c:pt idx="1204">
                  <c:v>22.860000610351559</c:v>
                </c:pt>
                <c:pt idx="1205">
                  <c:v>21.719999313354489</c:v>
                </c:pt>
                <c:pt idx="1206">
                  <c:v>21.430000305175781</c:v>
                </c:pt>
                <c:pt idx="1207">
                  <c:v>21.489999771118161</c:v>
                </c:pt>
                <c:pt idx="1208">
                  <c:v>20.89999961853027</c:v>
                </c:pt>
                <c:pt idx="1209">
                  <c:v>22.219999313354489</c:v>
                </c:pt>
                <c:pt idx="1210">
                  <c:v>20.690000534057621</c:v>
                </c:pt>
                <c:pt idx="1211">
                  <c:v>22.270000457763668</c:v>
                </c:pt>
                <c:pt idx="1212">
                  <c:v>24.309999465942379</c:v>
                </c:pt>
                <c:pt idx="1213">
                  <c:v>24.829999923706051</c:v>
                </c:pt>
                <c:pt idx="1214">
                  <c:v>27.909999847412109</c:v>
                </c:pt>
                <c:pt idx="1215">
                  <c:v>24.760000228881839</c:v>
                </c:pt>
                <c:pt idx="1216">
                  <c:v>30.690000534057621</c:v>
                </c:pt>
                <c:pt idx="1217">
                  <c:v>29.780000686645511</c:v>
                </c:pt>
                <c:pt idx="1218">
                  <c:v>28.809999465942379</c:v>
                </c:pt>
                <c:pt idx="1219">
                  <c:v>27.719999313354489</c:v>
                </c:pt>
                <c:pt idx="1220">
                  <c:v>25.430000305175781</c:v>
                </c:pt>
                <c:pt idx="1221">
                  <c:v>24.190000534057621</c:v>
                </c:pt>
                <c:pt idx="1222">
                  <c:v>23.14999961853027</c:v>
                </c:pt>
                <c:pt idx="1223">
                  <c:v>22.840000152587891</c:v>
                </c:pt>
                <c:pt idx="1224">
                  <c:v>23.04000091552734</c:v>
                </c:pt>
                <c:pt idx="1225">
                  <c:v>24.239999771118161</c:v>
                </c:pt>
                <c:pt idx="1226">
                  <c:v>23.360000610351559</c:v>
                </c:pt>
                <c:pt idx="1227">
                  <c:v>22.889999389648441</c:v>
                </c:pt>
                <c:pt idx="1228">
                  <c:v>22.409999847412109</c:v>
                </c:pt>
                <c:pt idx="1229">
                  <c:v>21.629999160766602</c:v>
                </c:pt>
                <c:pt idx="1230">
                  <c:v>22.629999160766602</c:v>
                </c:pt>
                <c:pt idx="1231">
                  <c:v>22.190000534057621</c:v>
                </c:pt>
                <c:pt idx="1232">
                  <c:v>21.159999847412109</c:v>
                </c:pt>
                <c:pt idx="1233">
                  <c:v>20.469999313354489</c:v>
                </c:pt>
                <c:pt idx="1234">
                  <c:v>20.479999542236332</c:v>
                </c:pt>
                <c:pt idx="1235">
                  <c:v>24.739999771118161</c:v>
                </c:pt>
                <c:pt idx="1236">
                  <c:v>24.510000228881839</c:v>
                </c:pt>
                <c:pt idx="1237">
                  <c:v>21.920000076293949</c:v>
                </c:pt>
                <c:pt idx="1238">
                  <c:v>21.120000839233398</c:v>
                </c:pt>
                <c:pt idx="1239">
                  <c:v>22.45999908447266</c:v>
                </c:pt>
                <c:pt idx="1240">
                  <c:v>21.25</c:v>
                </c:pt>
                <c:pt idx="1241">
                  <c:v>22.10000038146973</c:v>
                </c:pt>
                <c:pt idx="1242">
                  <c:v>23.690000534057621</c:v>
                </c:pt>
                <c:pt idx="1243">
                  <c:v>22.659999847412109</c:v>
                </c:pt>
                <c:pt idx="1244">
                  <c:v>22.319999694824219</c:v>
                </c:pt>
                <c:pt idx="1245">
                  <c:v>21.590000152587891</c:v>
                </c:pt>
                <c:pt idx="1246">
                  <c:v>21.14999961853027</c:v>
                </c:pt>
                <c:pt idx="1247">
                  <c:v>21.489999771118161</c:v>
                </c:pt>
                <c:pt idx="1248">
                  <c:v>20.54000091552734</c:v>
                </c:pt>
                <c:pt idx="1249">
                  <c:v>22.510000228881839</c:v>
                </c:pt>
                <c:pt idx="1250">
                  <c:v>21.680000305175781</c:v>
                </c:pt>
                <c:pt idx="1251">
                  <c:v>20.489999771118161</c:v>
                </c:pt>
                <c:pt idx="1252">
                  <c:v>19.54000091552734</c:v>
                </c:pt>
                <c:pt idx="1253">
                  <c:v>19.70999908447266</c:v>
                </c:pt>
                <c:pt idx="1254">
                  <c:v>19.469999313354489</c:v>
                </c:pt>
                <c:pt idx="1255">
                  <c:v>19.930000305175781</c:v>
                </c:pt>
                <c:pt idx="1256">
                  <c:v>20.010000228881839</c:v>
                </c:pt>
                <c:pt idx="1257">
                  <c:v>19.95999908447266</c:v>
                </c:pt>
                <c:pt idx="1258">
                  <c:v>21.680000305175781</c:v>
                </c:pt>
                <c:pt idx="1259">
                  <c:v>20.04000091552734</c:v>
                </c:pt>
                <c:pt idx="1260">
                  <c:v>19.35000038146973</c:v>
                </c:pt>
                <c:pt idx="1261">
                  <c:v>19.159999847412109</c:v>
                </c:pt>
                <c:pt idx="1262">
                  <c:v>19.059999465942379</c:v>
                </c:pt>
                <c:pt idx="1263">
                  <c:v>18.129999160766602</c:v>
                </c:pt>
                <c:pt idx="1264">
                  <c:v>17.54999923706055</c:v>
                </c:pt>
                <c:pt idx="1265">
                  <c:v>18.25</c:v>
                </c:pt>
                <c:pt idx="1266">
                  <c:v>17.85000038146973</c:v>
                </c:pt>
                <c:pt idx="1267">
                  <c:v>17.629999160766602</c:v>
                </c:pt>
                <c:pt idx="1268">
                  <c:v>17.909999847412109</c:v>
                </c:pt>
                <c:pt idx="1269">
                  <c:v>17.579999923706051</c:v>
                </c:pt>
                <c:pt idx="1270">
                  <c:v>18.680000305175781</c:v>
                </c:pt>
                <c:pt idx="1271">
                  <c:v>22.270000457763668</c:v>
                </c:pt>
                <c:pt idx="1272">
                  <c:v>27.309999465942379</c:v>
                </c:pt>
                <c:pt idx="1273">
                  <c:v>25.409999847412109</c:v>
                </c:pt>
                <c:pt idx="1274">
                  <c:v>24.54999923706055</c:v>
                </c:pt>
                <c:pt idx="1275">
                  <c:v>23.139999389648441</c:v>
                </c:pt>
                <c:pt idx="1276">
                  <c:v>23.729999542236332</c:v>
                </c:pt>
                <c:pt idx="1277">
                  <c:v>24.620000839233398</c:v>
                </c:pt>
                <c:pt idx="1278">
                  <c:v>22.590000152587891</c:v>
                </c:pt>
                <c:pt idx="1279">
                  <c:v>21.479999542236332</c:v>
                </c:pt>
                <c:pt idx="1280">
                  <c:v>21.60000038146973</c:v>
                </c:pt>
                <c:pt idx="1281">
                  <c:v>26.079999923706051</c:v>
                </c:pt>
                <c:pt idx="1282">
                  <c:v>26.110000610351559</c:v>
                </c:pt>
                <c:pt idx="1283">
                  <c:v>26.510000228881839</c:v>
                </c:pt>
                <c:pt idx="1284">
                  <c:v>26</c:v>
                </c:pt>
                <c:pt idx="1285">
                  <c:v>25.39999961853027</c:v>
                </c:pt>
                <c:pt idx="1286">
                  <c:v>23.95999908447266</c:v>
                </c:pt>
                <c:pt idx="1287">
                  <c:v>22.729999542236332</c:v>
                </c:pt>
                <c:pt idx="1288">
                  <c:v>22.25</c:v>
                </c:pt>
                <c:pt idx="1289">
                  <c:v>21.719999313354489</c:v>
                </c:pt>
                <c:pt idx="1290">
                  <c:v>20.629999160766602</c:v>
                </c:pt>
                <c:pt idx="1291">
                  <c:v>20.020000457763668</c:v>
                </c:pt>
                <c:pt idx="1292">
                  <c:v>19.940000534057621</c:v>
                </c:pt>
                <c:pt idx="1293">
                  <c:v>21.370000839233398</c:v>
                </c:pt>
                <c:pt idx="1294">
                  <c:v>20.270000457763668</c:v>
                </c:pt>
                <c:pt idx="1295">
                  <c:v>20.10000038146973</c:v>
                </c:pt>
                <c:pt idx="1296">
                  <c:v>19.5</c:v>
                </c:pt>
                <c:pt idx="1297">
                  <c:v>19.260000228881839</c:v>
                </c:pt>
                <c:pt idx="1298">
                  <c:v>19.059999465942379</c:v>
                </c:pt>
                <c:pt idx="1299">
                  <c:v>18.829999923706051</c:v>
                </c:pt>
                <c:pt idx="1300">
                  <c:v>18.719999313354489</c:v>
                </c:pt>
                <c:pt idx="1301">
                  <c:v>17.420000076293949</c:v>
                </c:pt>
                <c:pt idx="1302">
                  <c:v>17.79000091552734</c:v>
                </c:pt>
                <c:pt idx="1303">
                  <c:v>17.920000076293949</c:v>
                </c:pt>
                <c:pt idx="1304">
                  <c:v>18.569999694824219</c:v>
                </c:pt>
                <c:pt idx="1305">
                  <c:v>18.059999465942379</c:v>
                </c:pt>
                <c:pt idx="1306">
                  <c:v>17.579999923706051</c:v>
                </c:pt>
                <c:pt idx="1307">
                  <c:v>18</c:v>
                </c:pt>
                <c:pt idx="1308">
                  <c:v>17.690000534057621</c:v>
                </c:pt>
                <c:pt idx="1309">
                  <c:v>16.909999847412109</c:v>
                </c:pt>
                <c:pt idx="1310">
                  <c:v>16.620000839233398</c:v>
                </c:pt>
                <c:pt idx="1311">
                  <c:v>16.969999313354489</c:v>
                </c:pt>
                <c:pt idx="1312">
                  <c:v>16.870000839233398</c:v>
                </c:pt>
                <c:pt idx="1313">
                  <c:v>16.35000038146973</c:v>
                </c:pt>
                <c:pt idx="1314">
                  <c:v>17.54999923706055</c:v>
                </c:pt>
                <c:pt idx="1315">
                  <c:v>18.39999961853027</c:v>
                </c:pt>
                <c:pt idx="1316">
                  <c:v>17.770000457763668</c:v>
                </c:pt>
                <c:pt idx="1317">
                  <c:v>17.590000152587891</c:v>
                </c:pt>
                <c:pt idx="1318">
                  <c:v>17.129999160766602</c:v>
                </c:pt>
                <c:pt idx="1319">
                  <c:v>17.590000152587891</c:v>
                </c:pt>
                <c:pt idx="1320">
                  <c:v>17.469999313354489</c:v>
                </c:pt>
                <c:pt idx="1321">
                  <c:v>17.020000457763668</c:v>
                </c:pt>
                <c:pt idx="1322">
                  <c:v>16.229999542236332</c:v>
                </c:pt>
                <c:pt idx="1323">
                  <c:v>16.620000839233398</c:v>
                </c:pt>
                <c:pt idx="1324">
                  <c:v>16.479999542236332</c:v>
                </c:pt>
                <c:pt idx="1325">
                  <c:v>16.139999389648441</c:v>
                </c:pt>
                <c:pt idx="1326">
                  <c:v>15.579999923706049</c:v>
                </c:pt>
                <c:pt idx="1327">
                  <c:v>16.20000076293945</c:v>
                </c:pt>
                <c:pt idx="1328">
                  <c:v>15.590000152587891</c:v>
                </c:pt>
                <c:pt idx="1329">
                  <c:v>15.89000034332275</c:v>
                </c:pt>
                <c:pt idx="1330">
                  <c:v>18.360000610351559</c:v>
                </c:pt>
                <c:pt idx="1331">
                  <c:v>17.340000152587891</c:v>
                </c:pt>
                <c:pt idx="1332">
                  <c:v>15.72999954223633</c:v>
                </c:pt>
                <c:pt idx="1333">
                  <c:v>16.319999694824219</c:v>
                </c:pt>
                <c:pt idx="1334">
                  <c:v>16.469999313354489</c:v>
                </c:pt>
                <c:pt idx="1335">
                  <c:v>16.620000839233398</c:v>
                </c:pt>
                <c:pt idx="1336">
                  <c:v>17.469999313354489</c:v>
                </c:pt>
                <c:pt idx="1337">
                  <c:v>22.809999465942379</c:v>
                </c:pt>
                <c:pt idx="1338">
                  <c:v>21.079999923706051</c:v>
                </c:pt>
                <c:pt idx="1339">
                  <c:v>18.440000534057621</c:v>
                </c:pt>
                <c:pt idx="1340">
                  <c:v>22.04999923706055</c:v>
                </c:pt>
                <c:pt idx="1341">
                  <c:v>20.190000534057621</c:v>
                </c:pt>
                <c:pt idx="1342">
                  <c:v>23.840000152587891</c:v>
                </c:pt>
                <c:pt idx="1343">
                  <c:v>24.909999847412109</c:v>
                </c:pt>
                <c:pt idx="1344">
                  <c:v>32.799999237060547</c:v>
                </c:pt>
                <c:pt idx="1345">
                  <c:v>40.950000762939453</c:v>
                </c:pt>
                <c:pt idx="1346">
                  <c:v>28.840000152587891</c:v>
                </c:pt>
                <c:pt idx="1347">
                  <c:v>28.319999694824219</c:v>
                </c:pt>
                <c:pt idx="1348">
                  <c:v>25.520000457763668</c:v>
                </c:pt>
                <c:pt idx="1349">
                  <c:v>26.680000305175781</c:v>
                </c:pt>
                <c:pt idx="1350">
                  <c:v>31.239999771118161</c:v>
                </c:pt>
                <c:pt idx="1351">
                  <c:v>30.840000152587891</c:v>
                </c:pt>
                <c:pt idx="1352">
                  <c:v>33.549999237060547</c:v>
                </c:pt>
                <c:pt idx="1353">
                  <c:v>35.319999694824219</c:v>
                </c:pt>
                <c:pt idx="1354">
                  <c:v>45.790000915527337</c:v>
                </c:pt>
                <c:pt idx="1355">
                  <c:v>40.099998474121087</c:v>
                </c:pt>
                <c:pt idx="1356">
                  <c:v>38.319999694824219</c:v>
                </c:pt>
                <c:pt idx="1357">
                  <c:v>34.610000610351563</c:v>
                </c:pt>
                <c:pt idx="1358">
                  <c:v>35.020000457763672</c:v>
                </c:pt>
                <c:pt idx="1359">
                  <c:v>29.680000305175781</c:v>
                </c:pt>
                <c:pt idx="1360">
                  <c:v>32.069999694824219</c:v>
                </c:pt>
                <c:pt idx="1361">
                  <c:v>35.540000915527337</c:v>
                </c:pt>
                <c:pt idx="1362">
                  <c:v>30.170000076293949</c:v>
                </c:pt>
                <c:pt idx="1363">
                  <c:v>29.45999908447266</c:v>
                </c:pt>
                <c:pt idx="1364">
                  <c:v>35.479999542236328</c:v>
                </c:pt>
                <c:pt idx="1365">
                  <c:v>36.569999694824219</c:v>
                </c:pt>
                <c:pt idx="1366">
                  <c:v>33.700000762939453</c:v>
                </c:pt>
                <c:pt idx="1367">
                  <c:v>33.729999542236328</c:v>
                </c:pt>
                <c:pt idx="1368">
                  <c:v>30.569999694824219</c:v>
                </c:pt>
                <c:pt idx="1369">
                  <c:v>28.79000091552734</c:v>
                </c:pt>
                <c:pt idx="1370">
                  <c:v>28.579999923706051</c:v>
                </c:pt>
                <c:pt idx="1371">
                  <c:v>25.870000839233398</c:v>
                </c:pt>
                <c:pt idx="1372">
                  <c:v>25.920000076293949</c:v>
                </c:pt>
                <c:pt idx="1373">
                  <c:v>25.04999923706055</c:v>
                </c:pt>
                <c:pt idx="1374">
                  <c:v>23.95000076293945</c:v>
                </c:pt>
                <c:pt idx="1375">
                  <c:v>24.879999160766602</c:v>
                </c:pt>
                <c:pt idx="1376">
                  <c:v>27.04999923706055</c:v>
                </c:pt>
                <c:pt idx="1377">
                  <c:v>26.909999847412109</c:v>
                </c:pt>
                <c:pt idx="1378">
                  <c:v>29.739999771118161</c:v>
                </c:pt>
                <c:pt idx="1379">
                  <c:v>28.530000686645511</c:v>
                </c:pt>
                <c:pt idx="1380">
                  <c:v>29</c:v>
                </c:pt>
                <c:pt idx="1381">
                  <c:v>34.130001068115227</c:v>
                </c:pt>
                <c:pt idx="1382">
                  <c:v>34.540000915527337</c:v>
                </c:pt>
                <c:pt idx="1383">
                  <c:v>32.860000610351563</c:v>
                </c:pt>
                <c:pt idx="1384">
                  <c:v>30.120000839233398</c:v>
                </c:pt>
                <c:pt idx="1385">
                  <c:v>29.64999961853027</c:v>
                </c:pt>
                <c:pt idx="1386">
                  <c:v>26.840000152587891</c:v>
                </c:pt>
                <c:pt idx="1387">
                  <c:v>25.70999908447266</c:v>
                </c:pt>
                <c:pt idx="1388">
                  <c:v>24.979999542236332</c:v>
                </c:pt>
                <c:pt idx="1389">
                  <c:v>24.430000305175781</c:v>
                </c:pt>
                <c:pt idx="1390">
                  <c:v>24.559999465942379</c:v>
                </c:pt>
                <c:pt idx="1391">
                  <c:v>24.889999389648441</c:v>
                </c:pt>
                <c:pt idx="1392">
                  <c:v>25.139999389648441</c:v>
                </c:pt>
                <c:pt idx="1393">
                  <c:v>26.25</c:v>
                </c:pt>
                <c:pt idx="1394">
                  <c:v>25.969999313354489</c:v>
                </c:pt>
                <c:pt idx="1395">
                  <c:v>23.930000305175781</c:v>
                </c:pt>
                <c:pt idx="1396">
                  <c:v>25.639999389648441</c:v>
                </c:pt>
                <c:pt idx="1397">
                  <c:v>24.629999160766602</c:v>
                </c:pt>
                <c:pt idx="1398">
                  <c:v>23.469999313354489</c:v>
                </c:pt>
                <c:pt idx="1399">
                  <c:v>22.729999542236332</c:v>
                </c:pt>
                <c:pt idx="1400">
                  <c:v>23.190000534057621</c:v>
                </c:pt>
                <c:pt idx="1401">
                  <c:v>24.25</c:v>
                </c:pt>
                <c:pt idx="1402">
                  <c:v>24.129999160766602</c:v>
                </c:pt>
                <c:pt idx="1403">
                  <c:v>23.5</c:v>
                </c:pt>
                <c:pt idx="1404">
                  <c:v>22.010000228881839</c:v>
                </c:pt>
                <c:pt idx="1405">
                  <c:v>22.629999160766602</c:v>
                </c:pt>
                <c:pt idx="1406">
                  <c:v>22.20999908447266</c:v>
                </c:pt>
                <c:pt idx="1407">
                  <c:v>22.10000038146973</c:v>
                </c:pt>
                <c:pt idx="1408">
                  <c:v>21.739999771118161</c:v>
                </c:pt>
                <c:pt idx="1409">
                  <c:v>22.139999389648441</c:v>
                </c:pt>
                <c:pt idx="1410">
                  <c:v>22.370000839233398</c:v>
                </c:pt>
                <c:pt idx="1411">
                  <c:v>25.389999389648441</c:v>
                </c:pt>
                <c:pt idx="1412">
                  <c:v>25.729999542236332</c:v>
                </c:pt>
                <c:pt idx="1413">
                  <c:v>26.239999771118161</c:v>
                </c:pt>
                <c:pt idx="1414">
                  <c:v>26.10000038146973</c:v>
                </c:pt>
                <c:pt idx="1415">
                  <c:v>24.329999923706051</c:v>
                </c:pt>
                <c:pt idx="1416">
                  <c:v>24.590000152587891</c:v>
                </c:pt>
                <c:pt idx="1417">
                  <c:v>26.440000534057621</c:v>
                </c:pt>
                <c:pt idx="1418">
                  <c:v>25.489999771118161</c:v>
                </c:pt>
                <c:pt idx="1419">
                  <c:v>25.659999847412109</c:v>
                </c:pt>
                <c:pt idx="1420">
                  <c:v>27.45999908447266</c:v>
                </c:pt>
                <c:pt idx="1421">
                  <c:v>26.70000076293945</c:v>
                </c:pt>
                <c:pt idx="1422">
                  <c:v>27.370000839233398</c:v>
                </c:pt>
                <c:pt idx="1423">
                  <c:v>24.45000076293945</c:v>
                </c:pt>
                <c:pt idx="1424">
                  <c:v>27.20999908447266</c:v>
                </c:pt>
                <c:pt idx="1425">
                  <c:v>26.04999923706055</c:v>
                </c:pt>
                <c:pt idx="1426">
                  <c:v>23.889999389648441</c:v>
                </c:pt>
                <c:pt idx="1427">
                  <c:v>23.190000534057621</c:v>
                </c:pt>
                <c:pt idx="1428">
                  <c:v>21.309999465942379</c:v>
                </c:pt>
                <c:pt idx="1429">
                  <c:v>23.79999923706055</c:v>
                </c:pt>
                <c:pt idx="1430">
                  <c:v>23.25</c:v>
                </c:pt>
                <c:pt idx="1431">
                  <c:v>22.809999465942379</c:v>
                </c:pt>
                <c:pt idx="1432">
                  <c:v>21.989999771118161</c:v>
                </c:pt>
                <c:pt idx="1433">
                  <c:v>21.20999908447266</c:v>
                </c:pt>
                <c:pt idx="1434">
                  <c:v>21.559999465942379</c:v>
                </c:pt>
                <c:pt idx="1435">
                  <c:v>22.10000038146973</c:v>
                </c:pt>
                <c:pt idx="1436">
                  <c:v>21.719999313354489</c:v>
                </c:pt>
                <c:pt idx="1437">
                  <c:v>22.010000228881839</c:v>
                </c:pt>
                <c:pt idx="1438">
                  <c:v>21.5</c:v>
                </c:pt>
                <c:pt idx="1439">
                  <c:v>22.35000038146973</c:v>
                </c:pt>
                <c:pt idx="1440">
                  <c:v>22.510000228881839</c:v>
                </c:pt>
                <c:pt idx="1441">
                  <c:v>23.870000839233398</c:v>
                </c:pt>
                <c:pt idx="1442">
                  <c:v>21.70999908447266</c:v>
                </c:pt>
                <c:pt idx="1443">
                  <c:v>22.54000091552734</c:v>
                </c:pt>
                <c:pt idx="1444">
                  <c:v>22.60000038146973</c:v>
                </c:pt>
                <c:pt idx="1445">
                  <c:v>23.25</c:v>
                </c:pt>
                <c:pt idx="1446">
                  <c:v>23.70000076293945</c:v>
                </c:pt>
                <c:pt idx="1447">
                  <c:v>22.5</c:v>
                </c:pt>
                <c:pt idx="1448">
                  <c:v>23.530000686645511</c:v>
                </c:pt>
                <c:pt idx="1449">
                  <c:v>21.760000228881839</c:v>
                </c:pt>
                <c:pt idx="1450">
                  <c:v>21.489999771118161</c:v>
                </c:pt>
                <c:pt idx="1451">
                  <c:v>21.559999465942379</c:v>
                </c:pt>
                <c:pt idx="1452">
                  <c:v>20.70999908447266</c:v>
                </c:pt>
                <c:pt idx="1453">
                  <c:v>18.95999908447266</c:v>
                </c:pt>
                <c:pt idx="1454">
                  <c:v>18.930000305175781</c:v>
                </c:pt>
                <c:pt idx="1455">
                  <c:v>19.069999694824219</c:v>
                </c:pt>
                <c:pt idx="1456">
                  <c:v>19.879999160766602</c:v>
                </c:pt>
                <c:pt idx="1457">
                  <c:v>19.030000686645511</c:v>
                </c:pt>
                <c:pt idx="1458">
                  <c:v>19.090000152587891</c:v>
                </c:pt>
                <c:pt idx="1459">
                  <c:v>20.629999160766602</c:v>
                </c:pt>
                <c:pt idx="1460">
                  <c:v>19.79000091552734</c:v>
                </c:pt>
                <c:pt idx="1461">
                  <c:v>19.270000457763668</c:v>
                </c:pt>
                <c:pt idx="1462">
                  <c:v>18.780000686645511</c:v>
                </c:pt>
                <c:pt idx="1463">
                  <c:v>19.85000038146973</c:v>
                </c:pt>
                <c:pt idx="1464">
                  <c:v>20.219999313354489</c:v>
                </c:pt>
                <c:pt idx="1465">
                  <c:v>20.70999908447266</c:v>
                </c:pt>
                <c:pt idx="1466">
                  <c:v>20.879999160766602</c:v>
                </c:pt>
                <c:pt idx="1467">
                  <c:v>21.20000076293945</c:v>
                </c:pt>
                <c:pt idx="1468">
                  <c:v>21.829999923706051</c:v>
                </c:pt>
                <c:pt idx="1469">
                  <c:v>21.569999694824219</c:v>
                </c:pt>
                <c:pt idx="1470">
                  <c:v>19.559999465942379</c:v>
                </c:pt>
                <c:pt idx="1471">
                  <c:v>18.520000457763668</c:v>
                </c:pt>
                <c:pt idx="1472">
                  <c:v>18.260000228881839</c:v>
                </c:pt>
                <c:pt idx="1473">
                  <c:v>18.29000091552734</c:v>
                </c:pt>
                <c:pt idx="1474">
                  <c:v>19.079999923706051</c:v>
                </c:pt>
                <c:pt idx="1475">
                  <c:v>18.469999313354489</c:v>
                </c:pt>
                <c:pt idx="1476">
                  <c:v>18.639999389648441</c:v>
                </c:pt>
                <c:pt idx="1477">
                  <c:v>20.610000610351559</c:v>
                </c:pt>
                <c:pt idx="1478">
                  <c:v>20.20000076293945</c:v>
                </c:pt>
                <c:pt idx="1479">
                  <c:v>22.579999923706051</c:v>
                </c:pt>
                <c:pt idx="1480">
                  <c:v>21.760000228881839</c:v>
                </c:pt>
                <c:pt idx="1481">
                  <c:v>18.75</c:v>
                </c:pt>
                <c:pt idx="1482">
                  <c:v>18.04000091552734</c:v>
                </c:pt>
                <c:pt idx="1483">
                  <c:v>18.370000839233398</c:v>
                </c:pt>
                <c:pt idx="1484">
                  <c:v>20.629999160766602</c:v>
                </c:pt>
                <c:pt idx="1485">
                  <c:v>19.559999465942379</c:v>
                </c:pt>
                <c:pt idx="1486">
                  <c:v>22.219999313354489</c:v>
                </c:pt>
                <c:pt idx="1487">
                  <c:v>21.530000686645511</c:v>
                </c:pt>
                <c:pt idx="1488">
                  <c:v>23.54000091552734</c:v>
                </c:pt>
                <c:pt idx="1489">
                  <c:v>21.360000610351559</c:v>
                </c:pt>
                <c:pt idx="1490">
                  <c:v>19.389999389648441</c:v>
                </c:pt>
                <c:pt idx="1491">
                  <c:v>18.010000228881839</c:v>
                </c:pt>
                <c:pt idx="1492">
                  <c:v>18.020000457763668</c:v>
                </c:pt>
                <c:pt idx="1493">
                  <c:v>17.989999771118161</c:v>
                </c:pt>
                <c:pt idx="1494">
                  <c:v>17.739999771118161</c:v>
                </c:pt>
                <c:pt idx="1495">
                  <c:v>17.25</c:v>
                </c:pt>
                <c:pt idx="1496">
                  <c:v>17.610000610351559</c:v>
                </c:pt>
                <c:pt idx="1497">
                  <c:v>17.54999923706055</c:v>
                </c:pt>
                <c:pt idx="1498">
                  <c:v>17.610000610351559</c:v>
                </c:pt>
                <c:pt idx="1499">
                  <c:v>17.940000534057621</c:v>
                </c:pt>
                <c:pt idx="1500">
                  <c:v>17.389999389648441</c:v>
                </c:pt>
                <c:pt idx="1501">
                  <c:v>16.110000610351559</c:v>
                </c:pt>
                <c:pt idx="1502">
                  <c:v>16.409999847412109</c:v>
                </c:pt>
                <c:pt idx="1503">
                  <c:v>16.489999771118161</c:v>
                </c:pt>
                <c:pt idx="1504">
                  <c:v>15.44999980926514</c:v>
                </c:pt>
                <c:pt idx="1505">
                  <c:v>16.469999313354489</c:v>
                </c:pt>
                <c:pt idx="1506">
                  <c:v>17.670000076293949</c:v>
                </c:pt>
                <c:pt idx="1507">
                  <c:v>17.520000457763668</c:v>
                </c:pt>
                <c:pt idx="1508">
                  <c:v>17.280000686645511</c:v>
                </c:pt>
                <c:pt idx="1509">
                  <c:v>17.520000457763668</c:v>
                </c:pt>
                <c:pt idx="1510">
                  <c:v>17.75</c:v>
                </c:pt>
                <c:pt idx="1511">
                  <c:v>17.610000610351559</c:v>
                </c:pt>
                <c:pt idx="1512">
                  <c:v>17.379999160766602</c:v>
                </c:pt>
                <c:pt idx="1513">
                  <c:v>17.020000457763668</c:v>
                </c:pt>
                <c:pt idx="1514">
                  <c:v>17.39999961853027</c:v>
                </c:pt>
                <c:pt idx="1515">
                  <c:v>17.139999389648441</c:v>
                </c:pt>
                <c:pt idx="1516">
                  <c:v>17.54000091552734</c:v>
                </c:pt>
                <c:pt idx="1517">
                  <c:v>16.889999389648441</c:v>
                </c:pt>
                <c:pt idx="1518">
                  <c:v>16.239999771118161</c:v>
                </c:pt>
                <c:pt idx="1519">
                  <c:v>16.389999389648441</c:v>
                </c:pt>
                <c:pt idx="1520">
                  <c:v>15.460000038146971</c:v>
                </c:pt>
                <c:pt idx="1521">
                  <c:v>15.86999988555908</c:v>
                </c:pt>
                <c:pt idx="1522">
                  <c:v>17.309999465942379</c:v>
                </c:pt>
                <c:pt idx="1523">
                  <c:v>17.989999771118161</c:v>
                </c:pt>
                <c:pt idx="1524">
                  <c:v>18.469999313354489</c:v>
                </c:pt>
                <c:pt idx="1525">
                  <c:v>17.64999961853027</c:v>
                </c:pt>
                <c:pt idx="1526">
                  <c:v>17.590000152587891</c:v>
                </c:pt>
                <c:pt idx="1527">
                  <c:v>16.639999389648441</c:v>
                </c:pt>
                <c:pt idx="1528">
                  <c:v>16.14999961853027</c:v>
                </c:pt>
                <c:pt idx="1529">
                  <c:v>20.04000091552734</c:v>
                </c:pt>
                <c:pt idx="1530">
                  <c:v>19.530000686645511</c:v>
                </c:pt>
                <c:pt idx="1531">
                  <c:v>17.629999160766602</c:v>
                </c:pt>
                <c:pt idx="1532">
                  <c:v>17.29999923706055</c:v>
                </c:pt>
                <c:pt idx="1533">
                  <c:v>16.690000534057621</c:v>
                </c:pt>
                <c:pt idx="1534">
                  <c:v>15.930000305175779</c:v>
                </c:pt>
                <c:pt idx="1535">
                  <c:v>16.280000686645511</c:v>
                </c:pt>
                <c:pt idx="1536">
                  <c:v>15.810000419616699</c:v>
                </c:pt>
                <c:pt idx="1537">
                  <c:v>15.86999988555908</c:v>
                </c:pt>
                <c:pt idx="1538">
                  <c:v>16.090000152587891</c:v>
                </c:pt>
                <c:pt idx="1539">
                  <c:v>15.689999580383301</c:v>
                </c:pt>
                <c:pt idx="1540">
                  <c:v>15.94999980926514</c:v>
                </c:pt>
                <c:pt idx="1541">
                  <c:v>16.370000839233398</c:v>
                </c:pt>
                <c:pt idx="1542">
                  <c:v>16.719999313354489</c:v>
                </c:pt>
                <c:pt idx="1543">
                  <c:v>16.590000152587891</c:v>
                </c:pt>
                <c:pt idx="1544">
                  <c:v>16.430000305175781</c:v>
                </c:pt>
                <c:pt idx="1545">
                  <c:v>20.79999923706055</c:v>
                </c:pt>
                <c:pt idx="1546">
                  <c:v>22.129999160766602</c:v>
                </c:pt>
                <c:pt idx="1547">
                  <c:v>21.319999694824219</c:v>
                </c:pt>
                <c:pt idx="1548">
                  <c:v>19.219999313354489</c:v>
                </c:pt>
                <c:pt idx="1549">
                  <c:v>18.35000038146973</c:v>
                </c:pt>
                <c:pt idx="1550">
                  <c:v>21.010000228881839</c:v>
                </c:pt>
                <c:pt idx="1551">
                  <c:v>20.70000076293945</c:v>
                </c:pt>
                <c:pt idx="1552">
                  <c:v>18.60000038146973</c:v>
                </c:pt>
                <c:pt idx="1553">
                  <c:v>19.059999465942379</c:v>
                </c:pt>
                <c:pt idx="1554">
                  <c:v>20.659999847412109</c:v>
                </c:pt>
                <c:pt idx="1555">
                  <c:v>19.819999694824219</c:v>
                </c:pt>
                <c:pt idx="1556">
                  <c:v>20.219999313354489</c:v>
                </c:pt>
                <c:pt idx="1557">
                  <c:v>21.879999160766602</c:v>
                </c:pt>
                <c:pt idx="1558">
                  <c:v>20.079999923706051</c:v>
                </c:pt>
                <c:pt idx="1559">
                  <c:v>21.129999160766602</c:v>
                </c:pt>
                <c:pt idx="1560">
                  <c:v>24.319999694824219</c:v>
                </c:pt>
                <c:pt idx="1561">
                  <c:v>29.39999961853027</c:v>
                </c:pt>
                <c:pt idx="1562">
                  <c:v>26.370000839233398</c:v>
                </c:pt>
                <c:pt idx="1563">
                  <c:v>24.440000534057621</c:v>
                </c:pt>
                <c:pt idx="1564">
                  <c:v>20.610000610351559</c:v>
                </c:pt>
                <c:pt idx="1565">
                  <c:v>20.20999908447266</c:v>
                </c:pt>
                <c:pt idx="1566">
                  <c:v>19.170000076293949</c:v>
                </c:pt>
                <c:pt idx="1567">
                  <c:v>18</c:v>
                </c:pt>
                <c:pt idx="1568">
                  <c:v>17.909999847412109</c:v>
                </c:pt>
                <c:pt idx="1569">
                  <c:v>19.440000534057621</c:v>
                </c:pt>
                <c:pt idx="1570">
                  <c:v>18.159999847412109</c:v>
                </c:pt>
                <c:pt idx="1571">
                  <c:v>17.70999908447266</c:v>
                </c:pt>
                <c:pt idx="1572">
                  <c:v>17.739999771118161</c:v>
                </c:pt>
                <c:pt idx="1573">
                  <c:v>17.39999961853027</c:v>
                </c:pt>
                <c:pt idx="1574">
                  <c:v>17.5</c:v>
                </c:pt>
                <c:pt idx="1575">
                  <c:v>17.25</c:v>
                </c:pt>
                <c:pt idx="1576">
                  <c:v>16.89999961853027</c:v>
                </c:pt>
                <c:pt idx="1577">
                  <c:v>17.110000610351559</c:v>
                </c:pt>
                <c:pt idx="1578">
                  <c:v>17.870000839233398</c:v>
                </c:pt>
                <c:pt idx="1579">
                  <c:v>16.590000152587891</c:v>
                </c:pt>
                <c:pt idx="1580">
                  <c:v>17.090000152587891</c:v>
                </c:pt>
                <c:pt idx="1581">
                  <c:v>16.920000076293949</c:v>
                </c:pt>
                <c:pt idx="1582">
                  <c:v>16.270000457763668</c:v>
                </c:pt>
                <c:pt idx="1583">
                  <c:v>15.319999694824221</c:v>
                </c:pt>
                <c:pt idx="1584">
                  <c:v>16.95999908447266</c:v>
                </c:pt>
                <c:pt idx="1585">
                  <c:v>15.829999923706049</c:v>
                </c:pt>
                <c:pt idx="1586">
                  <c:v>15.069999694824221</c:v>
                </c:pt>
                <c:pt idx="1587">
                  <c:v>14.689999580383301</c:v>
                </c:pt>
                <c:pt idx="1588">
                  <c:v>15.77000045776367</c:v>
                </c:pt>
                <c:pt idx="1589">
                  <c:v>15.61999988555908</c:v>
                </c:pt>
                <c:pt idx="1590">
                  <c:v>15.35000038146973</c:v>
                </c:pt>
                <c:pt idx="1591">
                  <c:v>14.61999988555908</c:v>
                </c:pt>
                <c:pt idx="1592">
                  <c:v>14.75</c:v>
                </c:pt>
                <c:pt idx="1593">
                  <c:v>15.989999771118161</c:v>
                </c:pt>
                <c:pt idx="1594">
                  <c:v>16.70000076293945</c:v>
                </c:pt>
                <c:pt idx="1595">
                  <c:v>17.079999923706051</c:v>
                </c:pt>
                <c:pt idx="1596">
                  <c:v>18.20000076293945</c:v>
                </c:pt>
                <c:pt idx="1597">
                  <c:v>18.39999961853027</c:v>
                </c:pt>
                <c:pt idx="1598">
                  <c:v>17.159999847412109</c:v>
                </c:pt>
                <c:pt idx="1599">
                  <c:v>15.909999847412109</c:v>
                </c:pt>
                <c:pt idx="1600">
                  <c:v>16.95000076293945</c:v>
                </c:pt>
                <c:pt idx="1601">
                  <c:v>16.030000686645511</c:v>
                </c:pt>
                <c:pt idx="1602">
                  <c:v>17.069999694824219</c:v>
                </c:pt>
                <c:pt idx="1603">
                  <c:v>18.239999771118161</c:v>
                </c:pt>
                <c:pt idx="1604">
                  <c:v>17.54999923706055</c:v>
                </c:pt>
                <c:pt idx="1605">
                  <c:v>16.229999542236332</c:v>
                </c:pt>
                <c:pt idx="1606">
                  <c:v>15.52000045776367</c:v>
                </c:pt>
                <c:pt idx="1607">
                  <c:v>17.430000305175781</c:v>
                </c:pt>
                <c:pt idx="1608">
                  <c:v>18.270000457763668</c:v>
                </c:pt>
                <c:pt idx="1609">
                  <c:v>17.819999694824219</c:v>
                </c:pt>
                <c:pt idx="1610">
                  <c:v>17.069999694824219</c:v>
                </c:pt>
                <c:pt idx="1611">
                  <c:v>16.090000152587891</c:v>
                </c:pt>
                <c:pt idx="1612">
                  <c:v>15.97999954223633</c:v>
                </c:pt>
                <c:pt idx="1613">
                  <c:v>15.44999980926514</c:v>
                </c:pt>
                <c:pt idx="1614">
                  <c:v>18.29999923706055</c:v>
                </c:pt>
                <c:pt idx="1615">
                  <c:v>18.090000152587891</c:v>
                </c:pt>
                <c:pt idx="1616">
                  <c:v>17.95000076293945</c:v>
                </c:pt>
                <c:pt idx="1617">
                  <c:v>18.489999771118161</c:v>
                </c:pt>
                <c:pt idx="1618">
                  <c:v>18.069999694824219</c:v>
                </c:pt>
                <c:pt idx="1619">
                  <c:v>18.79000091552734</c:v>
                </c:pt>
                <c:pt idx="1620">
                  <c:v>17.770000457763668</c:v>
                </c:pt>
                <c:pt idx="1621">
                  <c:v>18.860000610351559</c:v>
                </c:pt>
                <c:pt idx="1622">
                  <c:v>19.610000610351559</c:v>
                </c:pt>
                <c:pt idx="1623">
                  <c:v>18.260000228881839</c:v>
                </c:pt>
                <c:pt idx="1624">
                  <c:v>21.319999694824219</c:v>
                </c:pt>
                <c:pt idx="1625">
                  <c:v>22.729999542236332</c:v>
                </c:pt>
                <c:pt idx="1626">
                  <c:v>21.85000038146973</c:v>
                </c:pt>
                <c:pt idx="1627">
                  <c:v>19.989999771118161</c:v>
                </c:pt>
                <c:pt idx="1628">
                  <c:v>18.860000610351559</c:v>
                </c:pt>
                <c:pt idx="1629">
                  <c:v>18.520000457763668</c:v>
                </c:pt>
                <c:pt idx="1630">
                  <c:v>19.29000091552734</c:v>
                </c:pt>
                <c:pt idx="1631">
                  <c:v>21.10000038146973</c:v>
                </c:pt>
                <c:pt idx="1632">
                  <c:v>20.559999465942379</c:v>
                </c:pt>
                <c:pt idx="1633">
                  <c:v>19.170000076293949</c:v>
                </c:pt>
                <c:pt idx="1634">
                  <c:v>17.270000457763668</c:v>
                </c:pt>
                <c:pt idx="1635">
                  <c:v>16.520000457763668</c:v>
                </c:pt>
                <c:pt idx="1636">
                  <c:v>15.86999988555908</c:v>
                </c:pt>
                <c:pt idx="1637">
                  <c:v>16.059999465942379</c:v>
                </c:pt>
                <c:pt idx="1638">
                  <c:v>16.340000152587891</c:v>
                </c:pt>
                <c:pt idx="1639">
                  <c:v>15.94999980926514</c:v>
                </c:pt>
                <c:pt idx="1640">
                  <c:v>15.94999980926514</c:v>
                </c:pt>
                <c:pt idx="1641">
                  <c:v>18.389999389648441</c:v>
                </c:pt>
                <c:pt idx="1642">
                  <c:v>19.870000839233398</c:v>
                </c:pt>
                <c:pt idx="1643">
                  <c:v>19.909999847412109</c:v>
                </c:pt>
                <c:pt idx="1644">
                  <c:v>20.79999923706055</c:v>
                </c:pt>
                <c:pt idx="1645">
                  <c:v>19.530000686645511</c:v>
                </c:pt>
                <c:pt idx="1646">
                  <c:v>20.95000076293945</c:v>
                </c:pt>
                <c:pt idx="1647">
                  <c:v>19.20999908447266</c:v>
                </c:pt>
                <c:pt idx="1648">
                  <c:v>19.090000152587891</c:v>
                </c:pt>
                <c:pt idx="1649">
                  <c:v>17.559999465942379</c:v>
                </c:pt>
                <c:pt idx="1650">
                  <c:v>17.520000457763668</c:v>
                </c:pt>
                <c:pt idx="1651">
                  <c:v>19.35000038146973</c:v>
                </c:pt>
                <c:pt idx="1652">
                  <c:v>20.229999542236332</c:v>
                </c:pt>
                <c:pt idx="1653">
                  <c:v>22.979999542236332</c:v>
                </c:pt>
                <c:pt idx="1654">
                  <c:v>23.739999771118161</c:v>
                </c:pt>
                <c:pt idx="1655">
                  <c:v>25.25</c:v>
                </c:pt>
                <c:pt idx="1656">
                  <c:v>23.659999847412109</c:v>
                </c:pt>
                <c:pt idx="1657">
                  <c:v>24.79000091552734</c:v>
                </c:pt>
                <c:pt idx="1658">
                  <c:v>23.379999160766602</c:v>
                </c:pt>
                <c:pt idx="1659">
                  <c:v>31.659999847412109</c:v>
                </c:pt>
                <c:pt idx="1660">
                  <c:v>32</c:v>
                </c:pt>
                <c:pt idx="1661">
                  <c:v>48</c:v>
                </c:pt>
                <c:pt idx="1662">
                  <c:v>35.060001373291023</c:v>
                </c:pt>
                <c:pt idx="1663">
                  <c:v>42.990001678466797</c:v>
                </c:pt>
                <c:pt idx="1664">
                  <c:v>39</c:v>
                </c:pt>
                <c:pt idx="1665">
                  <c:v>36.360000610351563</c:v>
                </c:pt>
                <c:pt idx="1666">
                  <c:v>31.870000839233398</c:v>
                </c:pt>
                <c:pt idx="1667">
                  <c:v>32.849998474121087</c:v>
                </c:pt>
                <c:pt idx="1668">
                  <c:v>31.579999923706051</c:v>
                </c:pt>
                <c:pt idx="1669">
                  <c:v>42.669998168945313</c:v>
                </c:pt>
                <c:pt idx="1670">
                  <c:v>43.049999237060547</c:v>
                </c:pt>
                <c:pt idx="1671">
                  <c:v>42.439998626708977</c:v>
                </c:pt>
                <c:pt idx="1672">
                  <c:v>36.270000457763672</c:v>
                </c:pt>
                <c:pt idx="1673">
                  <c:v>35.900001525878913</c:v>
                </c:pt>
                <c:pt idx="1674">
                  <c:v>39.759998321533203</c:v>
                </c:pt>
                <c:pt idx="1675">
                  <c:v>35.590000152587891</c:v>
                </c:pt>
                <c:pt idx="1676">
                  <c:v>32.279998779296882</c:v>
                </c:pt>
                <c:pt idx="1677">
                  <c:v>32.889999389648438</c:v>
                </c:pt>
                <c:pt idx="1678">
                  <c:v>31.620000839233398</c:v>
                </c:pt>
                <c:pt idx="1679">
                  <c:v>31.819999694824219</c:v>
                </c:pt>
                <c:pt idx="1680">
                  <c:v>33.919998168945313</c:v>
                </c:pt>
                <c:pt idx="1681">
                  <c:v>37</c:v>
                </c:pt>
                <c:pt idx="1682">
                  <c:v>33.380001068115227</c:v>
                </c:pt>
                <c:pt idx="1683">
                  <c:v>34.319999694824219</c:v>
                </c:pt>
                <c:pt idx="1684">
                  <c:v>38.520000457763672</c:v>
                </c:pt>
                <c:pt idx="1685">
                  <c:v>38.590000152587891</c:v>
                </c:pt>
                <c:pt idx="1686">
                  <c:v>36.909999847412109</c:v>
                </c:pt>
                <c:pt idx="1687">
                  <c:v>34.599998474121087</c:v>
                </c:pt>
                <c:pt idx="1688">
                  <c:v>31.969999313354489</c:v>
                </c:pt>
                <c:pt idx="1689">
                  <c:v>30.979999542236332</c:v>
                </c:pt>
                <c:pt idx="1690">
                  <c:v>32.729999542236328</c:v>
                </c:pt>
                <c:pt idx="1691">
                  <c:v>32.860000610351563</c:v>
                </c:pt>
                <c:pt idx="1692">
                  <c:v>37.319999694824219</c:v>
                </c:pt>
                <c:pt idx="1693">
                  <c:v>41.349998474121087</c:v>
                </c:pt>
                <c:pt idx="1694">
                  <c:v>41.25</c:v>
                </c:pt>
                <c:pt idx="1695">
                  <c:v>39.020000457763672</c:v>
                </c:pt>
                <c:pt idx="1696">
                  <c:v>37.709999084472663</c:v>
                </c:pt>
                <c:pt idx="1697">
                  <c:v>41.080001831054688</c:v>
                </c:pt>
                <c:pt idx="1698">
                  <c:v>38.840000152587891</c:v>
                </c:pt>
                <c:pt idx="1699">
                  <c:v>42.959999084472663</c:v>
                </c:pt>
                <c:pt idx="1700">
                  <c:v>45.450000762939453</c:v>
                </c:pt>
                <c:pt idx="1701">
                  <c:v>40.819999694824219</c:v>
                </c:pt>
                <c:pt idx="1702">
                  <c:v>37.810001373291023</c:v>
                </c:pt>
                <c:pt idx="1703">
                  <c:v>36.270000457763672</c:v>
                </c:pt>
                <c:pt idx="1704">
                  <c:v>36.200000762939453</c:v>
                </c:pt>
                <c:pt idx="1705">
                  <c:v>33.020000457763672</c:v>
                </c:pt>
                <c:pt idx="1706">
                  <c:v>32.860000610351563</c:v>
                </c:pt>
                <c:pt idx="1707">
                  <c:v>31.260000228881839</c:v>
                </c:pt>
                <c:pt idx="1708">
                  <c:v>30.70000076293945</c:v>
                </c:pt>
                <c:pt idx="1709">
                  <c:v>28.239999771118161</c:v>
                </c:pt>
                <c:pt idx="1710">
                  <c:v>33.389999389648438</c:v>
                </c:pt>
                <c:pt idx="1711">
                  <c:v>31.559999465942379</c:v>
                </c:pt>
                <c:pt idx="1712">
                  <c:v>34.439998626708977</c:v>
                </c:pt>
                <c:pt idx="1713">
                  <c:v>34.779998779296882</c:v>
                </c:pt>
                <c:pt idx="1714">
                  <c:v>31.319999694824219</c:v>
                </c:pt>
                <c:pt idx="1715">
                  <c:v>29.260000228881839</c:v>
                </c:pt>
                <c:pt idx="1716">
                  <c:v>32.220001220703118</c:v>
                </c:pt>
                <c:pt idx="1717">
                  <c:v>29.860000610351559</c:v>
                </c:pt>
                <c:pt idx="1718">
                  <c:v>25.45999908447266</c:v>
                </c:pt>
                <c:pt idx="1719">
                  <c:v>24.530000686645511</c:v>
                </c:pt>
                <c:pt idx="1720">
                  <c:v>29.95999908447266</c:v>
                </c:pt>
                <c:pt idx="1721">
                  <c:v>34.770000457763672</c:v>
                </c:pt>
                <c:pt idx="1722">
                  <c:v>32.740001678466797</c:v>
                </c:pt>
                <c:pt idx="1723">
                  <c:v>30.5</c:v>
                </c:pt>
                <c:pt idx="1724">
                  <c:v>30.159999847412109</c:v>
                </c:pt>
                <c:pt idx="1725">
                  <c:v>29.85000038146973</c:v>
                </c:pt>
                <c:pt idx="1726">
                  <c:v>27.479999542236332</c:v>
                </c:pt>
                <c:pt idx="1727">
                  <c:v>36.159999847412109</c:v>
                </c:pt>
                <c:pt idx="1728">
                  <c:v>32.810001373291023</c:v>
                </c:pt>
                <c:pt idx="1729">
                  <c:v>30.04000091552734</c:v>
                </c:pt>
                <c:pt idx="1730">
                  <c:v>31.129999160766602</c:v>
                </c:pt>
                <c:pt idx="1731">
                  <c:v>31.219999313354489</c:v>
                </c:pt>
                <c:pt idx="1732">
                  <c:v>33.509998321533203</c:v>
                </c:pt>
                <c:pt idx="1733">
                  <c:v>34.509998321533203</c:v>
                </c:pt>
                <c:pt idx="1734">
                  <c:v>32</c:v>
                </c:pt>
                <c:pt idx="1735">
                  <c:v>32.909999847412109</c:v>
                </c:pt>
                <c:pt idx="1736">
                  <c:v>31.969999313354489</c:v>
                </c:pt>
                <c:pt idx="1737">
                  <c:v>33.979999542236328</c:v>
                </c:pt>
                <c:pt idx="1738">
                  <c:v>34.470001220703118</c:v>
                </c:pt>
                <c:pt idx="1739">
                  <c:v>32.130001068115227</c:v>
                </c:pt>
                <c:pt idx="1740">
                  <c:v>30.639999389648441</c:v>
                </c:pt>
                <c:pt idx="1741">
                  <c:v>27.79999923706055</c:v>
                </c:pt>
                <c:pt idx="1742">
                  <c:v>27.409999847412109</c:v>
                </c:pt>
                <c:pt idx="1743">
                  <c:v>27.520000457763668</c:v>
                </c:pt>
                <c:pt idx="1744">
                  <c:v>27.840000152587891</c:v>
                </c:pt>
                <c:pt idx="1745">
                  <c:v>28.129999160766602</c:v>
                </c:pt>
                <c:pt idx="1746">
                  <c:v>28.670000076293949</c:v>
                </c:pt>
                <c:pt idx="1747">
                  <c:v>30.590000152587891</c:v>
                </c:pt>
                <c:pt idx="1748">
                  <c:v>26.379999160766602</c:v>
                </c:pt>
                <c:pt idx="1749">
                  <c:v>25.670000076293949</c:v>
                </c:pt>
                <c:pt idx="1750">
                  <c:v>25.409999847412109</c:v>
                </c:pt>
                <c:pt idx="1751">
                  <c:v>26.04000091552734</c:v>
                </c:pt>
                <c:pt idx="1752">
                  <c:v>25.110000610351559</c:v>
                </c:pt>
                <c:pt idx="1753">
                  <c:v>24.29000091552734</c:v>
                </c:pt>
                <c:pt idx="1754">
                  <c:v>24.920000076293949</c:v>
                </c:pt>
                <c:pt idx="1755">
                  <c:v>23.219999313354489</c:v>
                </c:pt>
                <c:pt idx="1756">
                  <c:v>21.430000305175781</c:v>
                </c:pt>
                <c:pt idx="1757">
                  <c:v>21.159999847412109</c:v>
                </c:pt>
                <c:pt idx="1758">
                  <c:v>20.729999542236332</c:v>
                </c:pt>
                <c:pt idx="1759">
                  <c:v>21.909999847412109</c:v>
                </c:pt>
                <c:pt idx="1760">
                  <c:v>23.520000457763668</c:v>
                </c:pt>
                <c:pt idx="1761">
                  <c:v>22.64999961853027</c:v>
                </c:pt>
                <c:pt idx="1762">
                  <c:v>23.39999961853027</c:v>
                </c:pt>
                <c:pt idx="1763">
                  <c:v>22.969999313354489</c:v>
                </c:pt>
                <c:pt idx="1764">
                  <c:v>22.219999313354489</c:v>
                </c:pt>
                <c:pt idx="1765">
                  <c:v>21.479999542236332</c:v>
                </c:pt>
                <c:pt idx="1766">
                  <c:v>20.629999160766602</c:v>
                </c:pt>
                <c:pt idx="1767">
                  <c:v>21.069999694824219</c:v>
                </c:pt>
                <c:pt idx="1768">
                  <c:v>20.690000534057621</c:v>
                </c:pt>
                <c:pt idx="1769">
                  <c:v>21.04999923706055</c:v>
                </c:pt>
                <c:pt idx="1770">
                  <c:v>20.469999313354489</c:v>
                </c:pt>
                <c:pt idx="1771">
                  <c:v>20.909999847412109</c:v>
                </c:pt>
                <c:pt idx="1772">
                  <c:v>22.20000076293945</c:v>
                </c:pt>
                <c:pt idx="1773">
                  <c:v>20.889999389648441</c:v>
                </c:pt>
                <c:pt idx="1774">
                  <c:v>19.870000839233398</c:v>
                </c:pt>
                <c:pt idx="1775">
                  <c:v>18.280000686645511</c:v>
                </c:pt>
                <c:pt idx="1776">
                  <c:v>18.670000076293949</c:v>
                </c:pt>
                <c:pt idx="1777">
                  <c:v>18.909999847412109</c:v>
                </c:pt>
                <c:pt idx="1778">
                  <c:v>18.309999465942379</c:v>
                </c:pt>
                <c:pt idx="1779">
                  <c:v>18.569999694824219</c:v>
                </c:pt>
                <c:pt idx="1780">
                  <c:v>18.530000686645511</c:v>
                </c:pt>
                <c:pt idx="1781">
                  <c:v>19.39999961853027</c:v>
                </c:pt>
                <c:pt idx="1782">
                  <c:v>19.440000534057621</c:v>
                </c:pt>
                <c:pt idx="1783">
                  <c:v>18.54999923706055</c:v>
                </c:pt>
                <c:pt idx="1784">
                  <c:v>17.979999542236332</c:v>
                </c:pt>
                <c:pt idx="1785">
                  <c:v>17.10000038146973</c:v>
                </c:pt>
                <c:pt idx="1786">
                  <c:v>17.760000228881839</c:v>
                </c:pt>
                <c:pt idx="1787">
                  <c:v>17.64999961853027</c:v>
                </c:pt>
                <c:pt idx="1788">
                  <c:v>18.159999847412109</c:v>
                </c:pt>
                <c:pt idx="1789">
                  <c:v>18.629999160766602</c:v>
                </c:pt>
                <c:pt idx="1790">
                  <c:v>20.79000091552734</c:v>
                </c:pt>
                <c:pt idx="1791">
                  <c:v>19.04000091552734</c:v>
                </c:pt>
                <c:pt idx="1792">
                  <c:v>19.54000091552734</c:v>
                </c:pt>
                <c:pt idx="1793">
                  <c:v>21.139999389648441</c:v>
                </c:pt>
                <c:pt idx="1794">
                  <c:v>19.219999313354489</c:v>
                </c:pt>
                <c:pt idx="1795">
                  <c:v>17.780000686645511</c:v>
                </c:pt>
                <c:pt idx="1796">
                  <c:v>18.190000534057621</c:v>
                </c:pt>
                <c:pt idx="1797">
                  <c:v>18.190000534057621</c:v>
                </c:pt>
                <c:pt idx="1798">
                  <c:v>16.79999923706055</c:v>
                </c:pt>
                <c:pt idx="1799">
                  <c:v>17.309999465942379</c:v>
                </c:pt>
                <c:pt idx="1800">
                  <c:v>18.190000534057621</c:v>
                </c:pt>
                <c:pt idx="1801">
                  <c:v>17.95999908447266</c:v>
                </c:pt>
                <c:pt idx="1802">
                  <c:v>18.430000305175781</c:v>
                </c:pt>
                <c:pt idx="1803">
                  <c:v>17.260000228881839</c:v>
                </c:pt>
                <c:pt idx="1804">
                  <c:v>17.29000091552734</c:v>
                </c:pt>
                <c:pt idx="1805">
                  <c:v>18.04999923706055</c:v>
                </c:pt>
                <c:pt idx="1806">
                  <c:v>20.870000839233398</c:v>
                </c:pt>
                <c:pt idx="1807">
                  <c:v>19.069999694824219</c:v>
                </c:pt>
                <c:pt idx="1808">
                  <c:v>17.95000076293945</c:v>
                </c:pt>
                <c:pt idx="1809">
                  <c:v>17.110000610351559</c:v>
                </c:pt>
                <c:pt idx="1810">
                  <c:v>15.64000034332275</c:v>
                </c:pt>
                <c:pt idx="1811">
                  <c:v>14.80000019073486</c:v>
                </c:pt>
                <c:pt idx="1812">
                  <c:v>15.310000419616699</c:v>
                </c:pt>
                <c:pt idx="1813">
                  <c:v>15.420000076293951</c:v>
                </c:pt>
                <c:pt idx="1814">
                  <c:v>14.47000026702881</c:v>
                </c:pt>
                <c:pt idx="1815">
                  <c:v>15.039999961853029</c:v>
                </c:pt>
                <c:pt idx="1816">
                  <c:v>15.579999923706049</c:v>
                </c:pt>
                <c:pt idx="1817">
                  <c:v>15.13000011444092</c:v>
                </c:pt>
                <c:pt idx="1818">
                  <c:v>15.569999694824221</c:v>
                </c:pt>
                <c:pt idx="1819">
                  <c:v>14.819999694824221</c:v>
                </c:pt>
                <c:pt idx="1820">
                  <c:v>14.260000228881839</c:v>
                </c:pt>
                <c:pt idx="1821">
                  <c:v>15.590000152587891</c:v>
                </c:pt>
                <c:pt idx="1822">
                  <c:v>15.47000026702881</c:v>
                </c:pt>
                <c:pt idx="1823">
                  <c:v>15.47999954223633</c:v>
                </c:pt>
                <c:pt idx="1824">
                  <c:v>15.5</c:v>
                </c:pt>
                <c:pt idx="1825">
                  <c:v>15.64000034332275</c:v>
                </c:pt>
                <c:pt idx="1826">
                  <c:v>15.659999847412109</c:v>
                </c:pt>
                <c:pt idx="1827">
                  <c:v>16.440000534057621</c:v>
                </c:pt>
                <c:pt idx="1828">
                  <c:v>16.70000076293945</c:v>
                </c:pt>
                <c:pt idx="1829">
                  <c:v>18.809999465942379</c:v>
                </c:pt>
                <c:pt idx="1830">
                  <c:v>20.389999389648441</c:v>
                </c:pt>
                <c:pt idx="1831">
                  <c:v>20.020000457763668</c:v>
                </c:pt>
                <c:pt idx="1832">
                  <c:v>17.20000076293945</c:v>
                </c:pt>
                <c:pt idx="1833">
                  <c:v>19.54999923706055</c:v>
                </c:pt>
                <c:pt idx="1834">
                  <c:v>19.54999923706055</c:v>
                </c:pt>
                <c:pt idx="1835">
                  <c:v>18.45999908447266</c:v>
                </c:pt>
                <c:pt idx="1836">
                  <c:v>18.639999389648441</c:v>
                </c:pt>
                <c:pt idx="1837">
                  <c:v>18.360000610351559</c:v>
                </c:pt>
                <c:pt idx="1838">
                  <c:v>17.440000534057621</c:v>
                </c:pt>
                <c:pt idx="1839">
                  <c:v>18.969999313354489</c:v>
                </c:pt>
                <c:pt idx="1840">
                  <c:v>18.10000038146973</c:v>
                </c:pt>
                <c:pt idx="1841">
                  <c:v>16.819999694824219</c:v>
                </c:pt>
                <c:pt idx="1842">
                  <c:v>16.239999771118161</c:v>
                </c:pt>
                <c:pt idx="1843">
                  <c:v>16.319999694824219</c:v>
                </c:pt>
                <c:pt idx="1844">
                  <c:v>17.14999961853027</c:v>
                </c:pt>
                <c:pt idx="1845">
                  <c:v>16.60000038146973</c:v>
                </c:pt>
                <c:pt idx="1846">
                  <c:v>16.879999160766602</c:v>
                </c:pt>
                <c:pt idx="1847">
                  <c:v>17.559999465942379</c:v>
                </c:pt>
                <c:pt idx="1848">
                  <c:v>19.159999847412109</c:v>
                </c:pt>
                <c:pt idx="1849">
                  <c:v>18.940000534057621</c:v>
                </c:pt>
                <c:pt idx="1850">
                  <c:v>19.04999923706055</c:v>
                </c:pt>
                <c:pt idx="1851">
                  <c:v>20.079999923706051</c:v>
                </c:pt>
                <c:pt idx="1852">
                  <c:v>18.829999923706051</c:v>
                </c:pt>
                <c:pt idx="1853">
                  <c:v>19.889999389648441</c:v>
                </c:pt>
                <c:pt idx="1854">
                  <c:v>21.870000839233398</c:v>
                </c:pt>
                <c:pt idx="1855">
                  <c:v>21.969999313354489</c:v>
                </c:pt>
                <c:pt idx="1856">
                  <c:v>22.270000457763668</c:v>
                </c:pt>
                <c:pt idx="1857">
                  <c:v>24.489999771118161</c:v>
                </c:pt>
                <c:pt idx="1858">
                  <c:v>25.10000038146973</c:v>
                </c:pt>
                <c:pt idx="1859">
                  <c:v>22.010000228881839</c:v>
                </c:pt>
                <c:pt idx="1860">
                  <c:v>22.479999542236332</c:v>
                </c:pt>
                <c:pt idx="1861">
                  <c:v>22.329999923706051</c:v>
                </c:pt>
                <c:pt idx="1862">
                  <c:v>21.54000091552734</c:v>
                </c:pt>
                <c:pt idx="1863">
                  <c:v>21.760000228881839</c:v>
                </c:pt>
                <c:pt idx="1864">
                  <c:v>21.030000686645511</c:v>
                </c:pt>
                <c:pt idx="1865">
                  <c:v>24.139999389648441</c:v>
                </c:pt>
                <c:pt idx="1866">
                  <c:v>24.059999465942379</c:v>
                </c:pt>
                <c:pt idx="1867">
                  <c:v>26.659999847412109</c:v>
                </c:pt>
                <c:pt idx="1868">
                  <c:v>26.120000839233398</c:v>
                </c:pt>
                <c:pt idx="1869">
                  <c:v>24.680000305175781</c:v>
                </c:pt>
                <c:pt idx="1870">
                  <c:v>22.159999847412109</c:v>
                </c:pt>
                <c:pt idx="1871">
                  <c:v>21.719999313354489</c:v>
                </c:pt>
                <c:pt idx="1872">
                  <c:v>21.229999542236332</c:v>
                </c:pt>
                <c:pt idx="1873">
                  <c:v>23.559999465942379</c:v>
                </c:pt>
                <c:pt idx="1874">
                  <c:v>22.090000152587891</c:v>
                </c:pt>
                <c:pt idx="1875">
                  <c:v>24.270000457763668</c:v>
                </c:pt>
                <c:pt idx="1876">
                  <c:v>21.680000305175781</c:v>
                </c:pt>
                <c:pt idx="1877">
                  <c:v>21.110000610351559</c:v>
                </c:pt>
                <c:pt idx="1878">
                  <c:v>18.319999694824219</c:v>
                </c:pt>
                <c:pt idx="1879">
                  <c:v>18.379999160766602</c:v>
                </c:pt>
                <c:pt idx="1880">
                  <c:v>17.239999771118161</c:v>
                </c:pt>
                <c:pt idx="1881">
                  <c:v>20.079999923706051</c:v>
                </c:pt>
                <c:pt idx="1882">
                  <c:v>18.110000610351559</c:v>
                </c:pt>
                <c:pt idx="1883">
                  <c:v>20.379999160766602</c:v>
                </c:pt>
                <c:pt idx="1884">
                  <c:v>19.719999313354489</c:v>
                </c:pt>
                <c:pt idx="1885">
                  <c:v>19.45000076293945</c:v>
                </c:pt>
                <c:pt idx="1886">
                  <c:v>19.70999908447266</c:v>
                </c:pt>
                <c:pt idx="1887">
                  <c:v>17.079999923706051</c:v>
                </c:pt>
                <c:pt idx="1888">
                  <c:v>16.79999923706055</c:v>
                </c:pt>
                <c:pt idx="1889">
                  <c:v>16.659999847412109</c:v>
                </c:pt>
                <c:pt idx="1890">
                  <c:v>17.5</c:v>
                </c:pt>
                <c:pt idx="1891">
                  <c:v>17.10000038146973</c:v>
                </c:pt>
                <c:pt idx="1892">
                  <c:v>17.979999542236332</c:v>
                </c:pt>
                <c:pt idx="1893">
                  <c:v>18.719999313354489</c:v>
                </c:pt>
                <c:pt idx="1894">
                  <c:v>17.95000076293945</c:v>
                </c:pt>
                <c:pt idx="1895">
                  <c:v>18.329999923706051</c:v>
                </c:pt>
                <c:pt idx="1896">
                  <c:v>16.739999771118161</c:v>
                </c:pt>
                <c:pt idx="1897">
                  <c:v>17.110000610351559</c:v>
                </c:pt>
                <c:pt idx="1898">
                  <c:v>16.479999542236332</c:v>
                </c:pt>
                <c:pt idx="1899">
                  <c:v>16.159999847412109</c:v>
                </c:pt>
                <c:pt idx="1900">
                  <c:v>15.44999980926514</c:v>
                </c:pt>
                <c:pt idx="1901">
                  <c:v>16.270000457763668</c:v>
                </c:pt>
                <c:pt idx="1902">
                  <c:v>18.620000839233398</c:v>
                </c:pt>
                <c:pt idx="1903">
                  <c:v>20.469999313354489</c:v>
                </c:pt>
                <c:pt idx="1904">
                  <c:v>19.340000152587891</c:v>
                </c:pt>
                <c:pt idx="1905">
                  <c:v>17.530000686645511</c:v>
                </c:pt>
                <c:pt idx="1906">
                  <c:v>16.70000076293945</c:v>
                </c:pt>
                <c:pt idx="1907">
                  <c:v>18.030000686645511</c:v>
                </c:pt>
                <c:pt idx="1908">
                  <c:v>18.930000305175781</c:v>
                </c:pt>
                <c:pt idx="1909">
                  <c:v>18.95999908447266</c:v>
                </c:pt>
                <c:pt idx="1910">
                  <c:v>17.569999694824219</c:v>
                </c:pt>
                <c:pt idx="1911">
                  <c:v>15.64000034332275</c:v>
                </c:pt>
                <c:pt idx="1912">
                  <c:v>15.94999980926514</c:v>
                </c:pt>
                <c:pt idx="1913">
                  <c:v>15.989999771118161</c:v>
                </c:pt>
                <c:pt idx="1914">
                  <c:v>15.319999694824221</c:v>
                </c:pt>
                <c:pt idx="1915">
                  <c:v>15.27999973297119</c:v>
                </c:pt>
                <c:pt idx="1916">
                  <c:v>14.739999771118161</c:v>
                </c:pt>
                <c:pt idx="1917">
                  <c:v>13.69999980926514</c:v>
                </c:pt>
                <c:pt idx="1918">
                  <c:v>14.85000038146973</c:v>
                </c:pt>
                <c:pt idx="1919">
                  <c:v>14.63000011444092</c:v>
                </c:pt>
                <c:pt idx="1920">
                  <c:v>14.289999961853029</c:v>
                </c:pt>
                <c:pt idx="1921">
                  <c:v>13.44999980926514</c:v>
                </c:pt>
                <c:pt idx="1922">
                  <c:v>14.02000045776367</c:v>
                </c:pt>
                <c:pt idx="1923">
                  <c:v>15.02000045776367</c:v>
                </c:pt>
                <c:pt idx="1924">
                  <c:v>15.10999965667725</c:v>
                </c:pt>
                <c:pt idx="1925">
                  <c:v>15.960000038146971</c:v>
                </c:pt>
                <c:pt idx="1926">
                  <c:v>15.180000305175779</c:v>
                </c:pt>
                <c:pt idx="1927">
                  <c:v>16.35000038146973</c:v>
                </c:pt>
                <c:pt idx="1928">
                  <c:v>16.489999771118161</c:v>
                </c:pt>
                <c:pt idx="1929">
                  <c:v>17.059999465942379</c:v>
                </c:pt>
                <c:pt idx="1930">
                  <c:v>17.829999923706051</c:v>
                </c:pt>
                <c:pt idx="1931">
                  <c:v>17.469999313354489</c:v>
                </c:pt>
                <c:pt idx="1932">
                  <c:v>17.979999542236332</c:v>
                </c:pt>
                <c:pt idx="1933">
                  <c:v>17.739999771118161</c:v>
                </c:pt>
                <c:pt idx="1934">
                  <c:v>15.60000038146973</c:v>
                </c:pt>
                <c:pt idx="1935">
                  <c:v>14.38000011444092</c:v>
                </c:pt>
                <c:pt idx="1936">
                  <c:v>16.280000686645511</c:v>
                </c:pt>
                <c:pt idx="1937">
                  <c:v>16.409999847412109</c:v>
                </c:pt>
                <c:pt idx="1938">
                  <c:v>15.80000019073486</c:v>
                </c:pt>
                <c:pt idx="1939">
                  <c:v>14.05000019073486</c:v>
                </c:pt>
                <c:pt idx="1940">
                  <c:v>14.510000228881839</c:v>
                </c:pt>
                <c:pt idx="1941">
                  <c:v>14.590000152587891</c:v>
                </c:pt>
                <c:pt idx="1942">
                  <c:v>14.180000305175779</c:v>
                </c:pt>
                <c:pt idx="1943">
                  <c:v>13.88000011444092</c:v>
                </c:pt>
                <c:pt idx="1944">
                  <c:v>14.069999694824221</c:v>
                </c:pt>
                <c:pt idx="1945">
                  <c:v>13.97999954223633</c:v>
                </c:pt>
                <c:pt idx="1946">
                  <c:v>14.14999961853027</c:v>
                </c:pt>
                <c:pt idx="1947">
                  <c:v>15.430000305175779</c:v>
                </c:pt>
                <c:pt idx="1948">
                  <c:v>16.809999465942379</c:v>
                </c:pt>
                <c:pt idx="1949">
                  <c:v>14.840000152587891</c:v>
                </c:pt>
                <c:pt idx="1950">
                  <c:v>15.72999954223633</c:v>
                </c:pt>
                <c:pt idx="1951">
                  <c:v>16.319999694824219</c:v>
                </c:pt>
                <c:pt idx="1952">
                  <c:v>15.710000038146971</c:v>
                </c:pt>
                <c:pt idx="1953">
                  <c:v>15.430000305175779</c:v>
                </c:pt>
                <c:pt idx="1954">
                  <c:v>14.55000019073486</c:v>
                </c:pt>
                <c:pt idx="1955">
                  <c:v>14.329999923706049</c:v>
                </c:pt>
                <c:pt idx="1956">
                  <c:v>15.10999965667725</c:v>
                </c:pt>
                <c:pt idx="1957">
                  <c:v>16.370000839233398</c:v>
                </c:pt>
                <c:pt idx="1958">
                  <c:v>16.29000091552734</c:v>
                </c:pt>
                <c:pt idx="1959">
                  <c:v>15.590000152587891</c:v>
                </c:pt>
                <c:pt idx="1960">
                  <c:v>16.139999389648441</c:v>
                </c:pt>
                <c:pt idx="1961">
                  <c:v>15.27000045776367</c:v>
                </c:pt>
                <c:pt idx="1962">
                  <c:v>15.22000026702881</c:v>
                </c:pt>
                <c:pt idx="1963">
                  <c:v>15.069999694824221</c:v>
                </c:pt>
                <c:pt idx="1964">
                  <c:v>15.02999973297119</c:v>
                </c:pt>
                <c:pt idx="1965">
                  <c:v>17.059999465942379</c:v>
                </c:pt>
                <c:pt idx="1966">
                  <c:v>16.620000839233398</c:v>
                </c:pt>
                <c:pt idx="1967">
                  <c:v>18.829999923706051</c:v>
                </c:pt>
                <c:pt idx="1968">
                  <c:v>18.329999923706051</c:v>
                </c:pt>
                <c:pt idx="1969">
                  <c:v>18.120000839233398</c:v>
                </c:pt>
                <c:pt idx="1970">
                  <c:v>17.809999465942379</c:v>
                </c:pt>
                <c:pt idx="1971">
                  <c:v>18.60000038146973</c:v>
                </c:pt>
                <c:pt idx="1972">
                  <c:v>16.690000534057621</c:v>
                </c:pt>
                <c:pt idx="1973">
                  <c:v>17.590000152587891</c:v>
                </c:pt>
                <c:pt idx="1974">
                  <c:v>18.420000076293949</c:v>
                </c:pt>
                <c:pt idx="1975">
                  <c:v>17.579999923706051</c:v>
                </c:pt>
                <c:pt idx="1976">
                  <c:v>19.079999923706051</c:v>
                </c:pt>
                <c:pt idx="1977">
                  <c:v>18.489999771118161</c:v>
                </c:pt>
                <c:pt idx="1978">
                  <c:v>18.610000610351559</c:v>
                </c:pt>
                <c:pt idx="1979">
                  <c:v>16.680000305175781</c:v>
                </c:pt>
                <c:pt idx="1980">
                  <c:v>16.64999961853027</c:v>
                </c:pt>
                <c:pt idx="1981">
                  <c:v>17.920000076293949</c:v>
                </c:pt>
                <c:pt idx="1982">
                  <c:v>17.989999771118161</c:v>
                </c:pt>
                <c:pt idx="1983">
                  <c:v>16.409999847412109</c:v>
                </c:pt>
                <c:pt idx="1984">
                  <c:v>15.239999771118161</c:v>
                </c:pt>
                <c:pt idx="1985">
                  <c:v>15.079999923706049</c:v>
                </c:pt>
                <c:pt idx="1986">
                  <c:v>15.310000419616699</c:v>
                </c:pt>
                <c:pt idx="1987">
                  <c:v>15.14000034332275</c:v>
                </c:pt>
                <c:pt idx="1988">
                  <c:v>15.5</c:v>
                </c:pt>
                <c:pt idx="1989">
                  <c:v>15.920000076293951</c:v>
                </c:pt>
                <c:pt idx="1990">
                  <c:v>15.510000228881839</c:v>
                </c:pt>
                <c:pt idx="1991">
                  <c:v>15.060000419616699</c:v>
                </c:pt>
                <c:pt idx="1992">
                  <c:v>15.86999988555908</c:v>
                </c:pt>
                <c:pt idx="1993">
                  <c:v>16.639999389648441</c:v>
                </c:pt>
                <c:pt idx="1994">
                  <c:v>17.120000839233398</c:v>
                </c:pt>
                <c:pt idx="1995">
                  <c:v>16.45999908447266</c:v>
                </c:pt>
                <c:pt idx="1996">
                  <c:v>16.579999923706051</c:v>
                </c:pt>
                <c:pt idx="1997">
                  <c:v>15.89999961853027</c:v>
                </c:pt>
                <c:pt idx="1998">
                  <c:v>16.04999923706055</c:v>
                </c:pt>
                <c:pt idx="1999">
                  <c:v>15.569999694824221</c:v>
                </c:pt>
                <c:pt idx="2000">
                  <c:v>15.94999980926514</c:v>
                </c:pt>
                <c:pt idx="2001">
                  <c:v>16.559999465942379</c:v>
                </c:pt>
                <c:pt idx="2002">
                  <c:v>17</c:v>
                </c:pt>
                <c:pt idx="2003">
                  <c:v>16.340000152587891</c:v>
                </c:pt>
                <c:pt idx="2004">
                  <c:v>15.569999694824221</c:v>
                </c:pt>
                <c:pt idx="2005">
                  <c:v>17.360000610351559</c:v>
                </c:pt>
                <c:pt idx="2006">
                  <c:v>17.670000076293949</c:v>
                </c:pt>
                <c:pt idx="2007">
                  <c:v>17.840000152587891</c:v>
                </c:pt>
                <c:pt idx="2008">
                  <c:v>17.840000152587891</c:v>
                </c:pt>
                <c:pt idx="2009">
                  <c:v>19.479999542236332</c:v>
                </c:pt>
                <c:pt idx="2010">
                  <c:v>19.469999313354489</c:v>
                </c:pt>
                <c:pt idx="2011">
                  <c:v>22.719999313354489</c:v>
                </c:pt>
                <c:pt idx="2012">
                  <c:v>18.020000457763668</c:v>
                </c:pt>
                <c:pt idx="2013">
                  <c:v>14.680000305175779</c:v>
                </c:pt>
                <c:pt idx="2014">
                  <c:v>14.560000419616699</c:v>
                </c:pt>
                <c:pt idx="2015">
                  <c:v>13.829999923706049</c:v>
                </c:pt>
                <c:pt idx="2016">
                  <c:v>13.789999961853029</c:v>
                </c:pt>
                <c:pt idx="2017">
                  <c:v>13.61999988555908</c:v>
                </c:pt>
                <c:pt idx="2018">
                  <c:v>13.810000419616699</c:v>
                </c:pt>
                <c:pt idx="2019">
                  <c:v>13.489999771118161</c:v>
                </c:pt>
                <c:pt idx="2020">
                  <c:v>13.35999965667725</c:v>
                </c:pt>
                <c:pt idx="2021">
                  <c:v>13.52000045776367</c:v>
                </c:pt>
                <c:pt idx="2022">
                  <c:v>13.55000019073486</c:v>
                </c:pt>
                <c:pt idx="2023">
                  <c:v>13.420000076293951</c:v>
                </c:pt>
                <c:pt idx="2024">
                  <c:v>13.569999694824221</c:v>
                </c:pt>
                <c:pt idx="2025">
                  <c:v>12.460000038146971</c:v>
                </c:pt>
                <c:pt idx="2026">
                  <c:v>12.430000305175779</c:v>
                </c:pt>
                <c:pt idx="2027">
                  <c:v>12.460000038146971</c:v>
                </c:pt>
                <c:pt idx="2028">
                  <c:v>12.689999580383301</c:v>
                </c:pt>
                <c:pt idx="2029">
                  <c:v>12.89000034332275</c:v>
                </c:pt>
                <c:pt idx="2030">
                  <c:v>13.569999694824221</c:v>
                </c:pt>
                <c:pt idx="2031">
                  <c:v>13.310000419616699</c:v>
                </c:pt>
                <c:pt idx="2032">
                  <c:v>14.319999694824221</c:v>
                </c:pt>
                <c:pt idx="2033">
                  <c:v>14.27999973297119</c:v>
                </c:pt>
                <c:pt idx="2034">
                  <c:v>12.89999961853027</c:v>
                </c:pt>
                <c:pt idx="2035">
                  <c:v>14.670000076293951</c:v>
                </c:pt>
                <c:pt idx="2036">
                  <c:v>13.72000026702881</c:v>
                </c:pt>
                <c:pt idx="2037">
                  <c:v>13.409999847412109</c:v>
                </c:pt>
                <c:pt idx="2038">
                  <c:v>13.5</c:v>
                </c:pt>
                <c:pt idx="2039">
                  <c:v>13.02000045776367</c:v>
                </c:pt>
                <c:pt idx="2040">
                  <c:v>12.939999580383301</c:v>
                </c:pt>
                <c:pt idx="2041">
                  <c:v>12.64000034332275</c:v>
                </c:pt>
                <c:pt idx="2042">
                  <c:v>12.97999954223633</c:v>
                </c:pt>
                <c:pt idx="2043">
                  <c:v>12.659999847412109</c:v>
                </c:pt>
                <c:pt idx="2044">
                  <c:v>12.460000038146971</c:v>
                </c:pt>
                <c:pt idx="2045">
                  <c:v>12.310000419616699</c:v>
                </c:pt>
                <c:pt idx="2046">
                  <c:v>14.680000305175779</c:v>
                </c:pt>
                <c:pt idx="2047">
                  <c:v>15.22000026702881</c:v>
                </c:pt>
                <c:pt idx="2048">
                  <c:v>14.170000076293951</c:v>
                </c:pt>
                <c:pt idx="2049">
                  <c:v>18.989999771118161</c:v>
                </c:pt>
                <c:pt idx="2050">
                  <c:v>16.870000839233398</c:v>
                </c:pt>
                <c:pt idx="2051">
                  <c:v>14.72999954223633</c:v>
                </c:pt>
                <c:pt idx="2052">
                  <c:v>15.510000228881839</c:v>
                </c:pt>
                <c:pt idx="2053">
                  <c:v>15.35999965667725</c:v>
                </c:pt>
                <c:pt idx="2054">
                  <c:v>14.010000228881839</c:v>
                </c:pt>
                <c:pt idx="2055">
                  <c:v>13.47999954223633</c:v>
                </c:pt>
                <c:pt idx="2056">
                  <c:v>13.52999973297119</c:v>
                </c:pt>
                <c:pt idx="2057">
                  <c:v>13.060000419616699</c:v>
                </c:pt>
                <c:pt idx="2058">
                  <c:v>12.590000152587891</c:v>
                </c:pt>
                <c:pt idx="2059">
                  <c:v>11.560000419616699</c:v>
                </c:pt>
                <c:pt idx="2060">
                  <c:v>12.27000045776367</c:v>
                </c:pt>
                <c:pt idx="2061">
                  <c:v>11.829999923706049</c:v>
                </c:pt>
                <c:pt idx="2062">
                  <c:v>11.30000019073486</c:v>
                </c:pt>
                <c:pt idx="2063">
                  <c:v>11.30000019073486</c:v>
                </c:pt>
                <c:pt idx="2064">
                  <c:v>13.35999965667725</c:v>
                </c:pt>
                <c:pt idx="2065">
                  <c:v>14.39000034332275</c:v>
                </c:pt>
                <c:pt idx="2066">
                  <c:v>12.670000076293951</c:v>
                </c:pt>
                <c:pt idx="2067">
                  <c:v>13.989999771118161</c:v>
                </c:pt>
                <c:pt idx="2068">
                  <c:v>13.569999694824221</c:v>
                </c:pt>
                <c:pt idx="2069">
                  <c:v>13.739999771118161</c:v>
                </c:pt>
                <c:pt idx="2070">
                  <c:v>12.77000045776367</c:v>
                </c:pt>
                <c:pt idx="2071">
                  <c:v>13.14999961853027</c:v>
                </c:pt>
                <c:pt idx="2072">
                  <c:v>12.69999980926514</c:v>
                </c:pt>
                <c:pt idx="2073">
                  <c:v>13.579999923706049</c:v>
                </c:pt>
                <c:pt idx="2074">
                  <c:v>12.77999973297119</c:v>
                </c:pt>
                <c:pt idx="2075">
                  <c:v>14.210000038146971</c:v>
                </c:pt>
                <c:pt idx="2076">
                  <c:v>13.89000034332275</c:v>
                </c:pt>
                <c:pt idx="2077">
                  <c:v>13.920000076293951</c:v>
                </c:pt>
                <c:pt idx="2078">
                  <c:v>13.189999580383301</c:v>
                </c:pt>
                <c:pt idx="2079">
                  <c:v>12.840000152587891</c:v>
                </c:pt>
                <c:pt idx="2080">
                  <c:v>12.35999965667725</c:v>
                </c:pt>
                <c:pt idx="2081">
                  <c:v>12.239999771118161</c:v>
                </c:pt>
                <c:pt idx="2082">
                  <c:v>12.060000419616699</c:v>
                </c:pt>
                <c:pt idx="2083">
                  <c:v>17.270000457763668</c:v>
                </c:pt>
                <c:pt idx="2084">
                  <c:v>13.960000038146971</c:v>
                </c:pt>
                <c:pt idx="2085">
                  <c:v>16.510000228881839</c:v>
                </c:pt>
                <c:pt idx="2086">
                  <c:v>17.559999465942379</c:v>
                </c:pt>
                <c:pt idx="2087">
                  <c:v>14.97000026702881</c:v>
                </c:pt>
                <c:pt idx="2088">
                  <c:v>14.39000034332275</c:v>
                </c:pt>
                <c:pt idx="2089">
                  <c:v>13.47999954223633</c:v>
                </c:pt>
                <c:pt idx="2090">
                  <c:v>13.60999965667725</c:v>
                </c:pt>
                <c:pt idx="2091">
                  <c:v>13.61999988555908</c:v>
                </c:pt>
                <c:pt idx="2092">
                  <c:v>13.60999965667725</c:v>
                </c:pt>
                <c:pt idx="2093">
                  <c:v>13.710000038146971</c:v>
                </c:pt>
                <c:pt idx="2094">
                  <c:v>13.52000045776367</c:v>
                </c:pt>
                <c:pt idx="2095">
                  <c:v>14.489999771118161</c:v>
                </c:pt>
                <c:pt idx="2096">
                  <c:v>13.590000152587891</c:v>
                </c:pt>
                <c:pt idx="2097">
                  <c:v>12.85000038146973</c:v>
                </c:pt>
                <c:pt idx="2098">
                  <c:v>12.659999847412109</c:v>
                </c:pt>
                <c:pt idx="2099">
                  <c:v>12.829999923706049</c:v>
                </c:pt>
                <c:pt idx="2100">
                  <c:v>12.659999847412109</c:v>
                </c:pt>
                <c:pt idx="2101">
                  <c:v>13.13000011444092</c:v>
                </c:pt>
                <c:pt idx="2102">
                  <c:v>12.590000152587891</c:v>
                </c:pt>
                <c:pt idx="2103">
                  <c:v>12.55000019073486</c:v>
                </c:pt>
                <c:pt idx="2104">
                  <c:v>12.77000045776367</c:v>
                </c:pt>
                <c:pt idx="2105">
                  <c:v>12.810000419616699</c:v>
                </c:pt>
                <c:pt idx="2106">
                  <c:v>13.069999694824221</c:v>
                </c:pt>
                <c:pt idx="2107">
                  <c:v>12.44999980926514</c:v>
                </c:pt>
                <c:pt idx="2108">
                  <c:v>13.02000045776367</c:v>
                </c:pt>
                <c:pt idx="2109">
                  <c:v>13.36999988555908</c:v>
                </c:pt>
                <c:pt idx="2110">
                  <c:v>13.819999694824221</c:v>
                </c:pt>
                <c:pt idx="2111">
                  <c:v>14.069999694824221</c:v>
                </c:pt>
                <c:pt idx="2112">
                  <c:v>13.989999771118161</c:v>
                </c:pt>
                <c:pt idx="2113">
                  <c:v>14.47999954223633</c:v>
                </c:pt>
                <c:pt idx="2114">
                  <c:v>14.829999923706049</c:v>
                </c:pt>
                <c:pt idx="2115">
                  <c:v>14.52999973297119</c:v>
                </c:pt>
                <c:pt idx="2116">
                  <c:v>16.29999923706055</c:v>
                </c:pt>
                <c:pt idx="2117">
                  <c:v>16.280000686645511</c:v>
                </c:pt>
                <c:pt idx="2118">
                  <c:v>16.270000457763668</c:v>
                </c:pt>
                <c:pt idx="2119">
                  <c:v>17.5</c:v>
                </c:pt>
                <c:pt idx="2120">
                  <c:v>16.629999160766602</c:v>
                </c:pt>
                <c:pt idx="2121">
                  <c:v>15.14000034332275</c:v>
                </c:pt>
                <c:pt idx="2122">
                  <c:v>15.439999580383301</c:v>
                </c:pt>
                <c:pt idx="2123">
                  <c:v>17.069999694824219</c:v>
                </c:pt>
                <c:pt idx="2124">
                  <c:v>18.590000152587891</c:v>
                </c:pt>
                <c:pt idx="2125">
                  <c:v>16.409999847412109</c:v>
                </c:pt>
                <c:pt idx="2126">
                  <c:v>17.14999961853027</c:v>
                </c:pt>
                <c:pt idx="2127">
                  <c:v>16.79999923706055</c:v>
                </c:pt>
                <c:pt idx="2128">
                  <c:v>16.610000610351559</c:v>
                </c:pt>
                <c:pt idx="2129">
                  <c:v>16.639999389648441</c:v>
                </c:pt>
                <c:pt idx="2130">
                  <c:v>20.489999771118161</c:v>
                </c:pt>
                <c:pt idx="2131">
                  <c:v>18.89999961853027</c:v>
                </c:pt>
                <c:pt idx="2132">
                  <c:v>20.110000610351559</c:v>
                </c:pt>
                <c:pt idx="2133">
                  <c:v>18.469999313354489</c:v>
                </c:pt>
                <c:pt idx="2134">
                  <c:v>17.20999908447266</c:v>
                </c:pt>
                <c:pt idx="2135">
                  <c:v>16.860000610351559</c:v>
                </c:pt>
                <c:pt idx="2136">
                  <c:v>16.860000610351559</c:v>
                </c:pt>
                <c:pt idx="2137">
                  <c:v>16.370000839233398</c:v>
                </c:pt>
                <c:pt idx="2138">
                  <c:v>16.440000534057621</c:v>
                </c:pt>
                <c:pt idx="2139">
                  <c:v>16.20000076293945</c:v>
                </c:pt>
                <c:pt idx="2140">
                  <c:v>14.89000034332275</c:v>
                </c:pt>
                <c:pt idx="2141">
                  <c:v>14.77999973297119</c:v>
                </c:pt>
                <c:pt idx="2142">
                  <c:v>14.35000038146973</c:v>
                </c:pt>
                <c:pt idx="2143">
                  <c:v>14.210000038146971</c:v>
                </c:pt>
                <c:pt idx="2144">
                  <c:v>14.010000228881839</c:v>
                </c:pt>
                <c:pt idx="2145">
                  <c:v>13.840000152587891</c:v>
                </c:pt>
                <c:pt idx="2146">
                  <c:v>13.789999961853029</c:v>
                </c:pt>
                <c:pt idx="2147">
                  <c:v>14.420000076293951</c:v>
                </c:pt>
                <c:pt idx="2148">
                  <c:v>13.77999973297119</c:v>
                </c:pt>
                <c:pt idx="2149">
                  <c:v>13.77000045776367</c:v>
                </c:pt>
                <c:pt idx="2150">
                  <c:v>12.539999961853029</c:v>
                </c:pt>
                <c:pt idx="2151">
                  <c:v>12.289999961853029</c:v>
                </c:pt>
                <c:pt idx="2152">
                  <c:v>12.659999847412109</c:v>
                </c:pt>
                <c:pt idx="2153">
                  <c:v>13.180000305175779</c:v>
                </c:pt>
                <c:pt idx="2154">
                  <c:v>12.97000026702881</c:v>
                </c:pt>
                <c:pt idx="2155">
                  <c:v>12.72000026702881</c:v>
                </c:pt>
                <c:pt idx="2156">
                  <c:v>13.39000034332275</c:v>
                </c:pt>
                <c:pt idx="2157">
                  <c:v>13.39000034332275</c:v>
                </c:pt>
                <c:pt idx="2158">
                  <c:v>13.44999980926514</c:v>
                </c:pt>
                <c:pt idx="2159">
                  <c:v>12.939999580383301</c:v>
                </c:pt>
                <c:pt idx="2160">
                  <c:v>11.97999954223633</c:v>
                </c:pt>
                <c:pt idx="2161">
                  <c:v>11.840000152587891</c:v>
                </c:pt>
                <c:pt idx="2162">
                  <c:v>12.72000026702881</c:v>
                </c:pt>
                <c:pt idx="2163">
                  <c:v>12.97999954223633</c:v>
                </c:pt>
                <c:pt idx="2164">
                  <c:v>12.72999954223633</c:v>
                </c:pt>
                <c:pt idx="2165">
                  <c:v>13.409999847412109</c:v>
                </c:pt>
                <c:pt idx="2166">
                  <c:v>12.810000419616699</c:v>
                </c:pt>
                <c:pt idx="2167">
                  <c:v>12.310000419616699</c:v>
                </c:pt>
                <c:pt idx="2168">
                  <c:v>13.039999961853029</c:v>
                </c:pt>
                <c:pt idx="2169">
                  <c:v>14.72999954223633</c:v>
                </c:pt>
                <c:pt idx="2170">
                  <c:v>14.36999988555908</c:v>
                </c:pt>
                <c:pt idx="2171">
                  <c:v>15.10000038146973</c:v>
                </c:pt>
                <c:pt idx="2172">
                  <c:v>14.909999847412109</c:v>
                </c:pt>
                <c:pt idx="2173">
                  <c:v>15.939999580383301</c:v>
                </c:pt>
                <c:pt idx="2174">
                  <c:v>14.760000228881839</c:v>
                </c:pt>
                <c:pt idx="2175">
                  <c:v>13.97999954223633</c:v>
                </c:pt>
                <c:pt idx="2176">
                  <c:v>14.989999771118161</c:v>
                </c:pt>
                <c:pt idx="2177">
                  <c:v>16.770000457763668</c:v>
                </c:pt>
                <c:pt idx="2178">
                  <c:v>16.489999771118161</c:v>
                </c:pt>
                <c:pt idx="2179">
                  <c:v>16.809999465942379</c:v>
                </c:pt>
                <c:pt idx="2180">
                  <c:v>17.010000228881839</c:v>
                </c:pt>
                <c:pt idx="2181">
                  <c:v>16.610000610351559</c:v>
                </c:pt>
                <c:pt idx="2182">
                  <c:v>15.88000011444092</c:v>
                </c:pt>
                <c:pt idx="2183">
                  <c:v>15.77000045776367</c:v>
                </c:pt>
                <c:pt idx="2184">
                  <c:v>15.85000038146973</c:v>
                </c:pt>
                <c:pt idx="2185">
                  <c:v>15.63000011444092</c:v>
                </c:pt>
                <c:pt idx="2186">
                  <c:v>14.52999973297119</c:v>
                </c:pt>
                <c:pt idx="2187">
                  <c:v>13.819999694824221</c:v>
                </c:pt>
                <c:pt idx="2188">
                  <c:v>14.289999961853029</c:v>
                </c:pt>
                <c:pt idx="2189">
                  <c:v>14.159999847412109</c:v>
                </c:pt>
                <c:pt idx="2190">
                  <c:v>14.38000011444092</c:v>
                </c:pt>
                <c:pt idx="2191">
                  <c:v>14.52999973297119</c:v>
                </c:pt>
                <c:pt idx="2192">
                  <c:v>13.590000152587891</c:v>
                </c:pt>
                <c:pt idx="2193">
                  <c:v>13.159999847412109</c:v>
                </c:pt>
                <c:pt idx="2194">
                  <c:v>13.11999988555908</c:v>
                </c:pt>
                <c:pt idx="2195">
                  <c:v>14.310000419616699</c:v>
                </c:pt>
                <c:pt idx="2196">
                  <c:v>14.079999923706049</c:v>
                </c:pt>
                <c:pt idx="2197">
                  <c:v>14.010000228881839</c:v>
                </c:pt>
                <c:pt idx="2198">
                  <c:v>14.060000419616699</c:v>
                </c:pt>
                <c:pt idx="2199">
                  <c:v>15.460000038146971</c:v>
                </c:pt>
                <c:pt idx="2200">
                  <c:v>16.60000038146973</c:v>
                </c:pt>
                <c:pt idx="2201">
                  <c:v>15.539999961853029</c:v>
                </c:pt>
                <c:pt idx="2202">
                  <c:v>16.60000038146973</c:v>
                </c:pt>
                <c:pt idx="2203">
                  <c:v>17.670000076293949</c:v>
                </c:pt>
                <c:pt idx="2204">
                  <c:v>16.739999771118161</c:v>
                </c:pt>
                <c:pt idx="2205">
                  <c:v>19.409999847412109</c:v>
                </c:pt>
                <c:pt idx="2206">
                  <c:v>20.340000152587891</c:v>
                </c:pt>
                <c:pt idx="2207">
                  <c:v>19.60000038146973</c:v>
                </c:pt>
                <c:pt idx="2208">
                  <c:v>16.479999542236332</c:v>
                </c:pt>
                <c:pt idx="2209">
                  <c:v>15.72000026702881</c:v>
                </c:pt>
                <c:pt idx="2210">
                  <c:v>16.069999694824219</c:v>
                </c:pt>
                <c:pt idx="2211">
                  <c:v>18.659999847412109</c:v>
                </c:pt>
                <c:pt idx="2212">
                  <c:v>14.710000038146971</c:v>
                </c:pt>
                <c:pt idx="2213">
                  <c:v>13.47999954223633</c:v>
                </c:pt>
                <c:pt idx="2214">
                  <c:v>13.039999961853029</c:v>
                </c:pt>
                <c:pt idx="2215">
                  <c:v>13.159999847412109</c:v>
                </c:pt>
                <c:pt idx="2216">
                  <c:v>13.329999923706049</c:v>
                </c:pt>
                <c:pt idx="2217">
                  <c:v>13.420000076293951</c:v>
                </c:pt>
                <c:pt idx="2218">
                  <c:v>13.19999980926514</c:v>
                </c:pt>
                <c:pt idx="2219">
                  <c:v>13.090000152587891</c:v>
                </c:pt>
                <c:pt idx="2220">
                  <c:v>13.310000419616699</c:v>
                </c:pt>
                <c:pt idx="2221">
                  <c:v>13.409999847412109</c:v>
                </c:pt>
                <c:pt idx="2222">
                  <c:v>13.64999961853027</c:v>
                </c:pt>
                <c:pt idx="2223">
                  <c:v>13.75</c:v>
                </c:pt>
                <c:pt idx="2224">
                  <c:v>13.27999973297119</c:v>
                </c:pt>
                <c:pt idx="2225">
                  <c:v>12.930000305175779</c:v>
                </c:pt>
                <c:pt idx="2226">
                  <c:v>13.27000045776367</c:v>
                </c:pt>
                <c:pt idx="2227">
                  <c:v>12.670000076293951</c:v>
                </c:pt>
                <c:pt idx="2228">
                  <c:v>13.909999847412109</c:v>
                </c:pt>
                <c:pt idx="2229">
                  <c:v>12.89999961853027</c:v>
                </c:pt>
                <c:pt idx="2230">
                  <c:v>12.52999973297119</c:v>
                </c:pt>
                <c:pt idx="2231">
                  <c:v>12.819999694824221</c:v>
                </c:pt>
                <c:pt idx="2232">
                  <c:v>12.52000045776367</c:v>
                </c:pt>
                <c:pt idx="2233">
                  <c:v>12.36999988555908</c:v>
                </c:pt>
                <c:pt idx="2234">
                  <c:v>12.189999580383301</c:v>
                </c:pt>
                <c:pt idx="2235">
                  <c:v>13.10000038146973</c:v>
                </c:pt>
                <c:pt idx="2236">
                  <c:v>13.39000034332275</c:v>
                </c:pt>
                <c:pt idx="2237">
                  <c:v>13.39999961853027</c:v>
                </c:pt>
                <c:pt idx="2238">
                  <c:v>12.659999847412109</c:v>
                </c:pt>
                <c:pt idx="2239">
                  <c:v>12.260000228881839</c:v>
                </c:pt>
                <c:pt idx="2240">
                  <c:v>12.789999961853029</c:v>
                </c:pt>
                <c:pt idx="2241">
                  <c:v>12.810000419616699</c:v>
                </c:pt>
                <c:pt idx="2242">
                  <c:v>12.97999954223633</c:v>
                </c:pt>
                <c:pt idx="2243">
                  <c:v>13.69999980926514</c:v>
                </c:pt>
                <c:pt idx="2244">
                  <c:v>14.22999954223633</c:v>
                </c:pt>
                <c:pt idx="2245">
                  <c:v>14.55000019073486</c:v>
                </c:pt>
                <c:pt idx="2246">
                  <c:v>14.69999980926514</c:v>
                </c:pt>
                <c:pt idx="2247">
                  <c:v>15.079999923706049</c:v>
                </c:pt>
                <c:pt idx="2248">
                  <c:v>13.789999961853029</c:v>
                </c:pt>
                <c:pt idx="2249">
                  <c:v>13.489999771118161</c:v>
                </c:pt>
                <c:pt idx="2250">
                  <c:v>13.909999847412109</c:v>
                </c:pt>
                <c:pt idx="2251">
                  <c:v>15.420000076293951</c:v>
                </c:pt>
                <c:pt idx="2252">
                  <c:v>15.539999961853029</c:v>
                </c:pt>
                <c:pt idx="2253">
                  <c:v>15.760000228881839</c:v>
                </c:pt>
                <c:pt idx="2254">
                  <c:v>16.030000686645511</c:v>
                </c:pt>
                <c:pt idx="2255">
                  <c:v>16.20999908447266</c:v>
                </c:pt>
                <c:pt idx="2256">
                  <c:v>13.80000019073486</c:v>
                </c:pt>
                <c:pt idx="2257">
                  <c:v>14.14999961853027</c:v>
                </c:pt>
                <c:pt idx="2258">
                  <c:v>13.789999961853029</c:v>
                </c:pt>
                <c:pt idx="2259">
                  <c:v>13.039999961853029</c:v>
                </c:pt>
                <c:pt idx="2260">
                  <c:v>12.47999954223633</c:v>
                </c:pt>
                <c:pt idx="2261">
                  <c:v>12.329999923706049</c:v>
                </c:pt>
                <c:pt idx="2262">
                  <c:v>12.460000038146971</c:v>
                </c:pt>
                <c:pt idx="2263">
                  <c:v>13.560000419616699</c:v>
                </c:pt>
                <c:pt idx="2264">
                  <c:v>13.72000026702881</c:v>
                </c:pt>
                <c:pt idx="2265">
                  <c:v>14.22999954223633</c:v>
                </c:pt>
                <c:pt idx="2266">
                  <c:v>13.760000228881839</c:v>
                </c:pt>
                <c:pt idx="2267">
                  <c:v>13.55000019073486</c:v>
                </c:pt>
                <c:pt idx="2268">
                  <c:v>12.920000076293951</c:v>
                </c:pt>
                <c:pt idx="2269">
                  <c:v>12.86999988555908</c:v>
                </c:pt>
                <c:pt idx="2270">
                  <c:v>12.89000034332275</c:v>
                </c:pt>
                <c:pt idx="2271">
                  <c:v>12.14000034332275</c:v>
                </c:pt>
                <c:pt idx="2272">
                  <c:v>13.27999973297119</c:v>
                </c:pt>
                <c:pt idx="2273">
                  <c:v>12.27999973297119</c:v>
                </c:pt>
                <c:pt idx="2274">
                  <c:v>12.27999973297119</c:v>
                </c:pt>
                <c:pt idx="2275">
                  <c:v>12.52999973297119</c:v>
                </c:pt>
                <c:pt idx="2276">
                  <c:v>12.439999580383301</c:v>
                </c:pt>
                <c:pt idx="2277">
                  <c:v>12.86999988555908</c:v>
                </c:pt>
                <c:pt idx="2278">
                  <c:v>12.840000152587891</c:v>
                </c:pt>
                <c:pt idx="2279">
                  <c:v>13.77000045776367</c:v>
                </c:pt>
                <c:pt idx="2280">
                  <c:v>18.139999389648441</c:v>
                </c:pt>
                <c:pt idx="2281">
                  <c:v>17.420000076293949</c:v>
                </c:pt>
                <c:pt idx="2282">
                  <c:v>15.80000019073486</c:v>
                </c:pt>
                <c:pt idx="2283">
                  <c:v>17.35000038146973</c:v>
                </c:pt>
                <c:pt idx="2284">
                  <c:v>17.29000091552734</c:v>
                </c:pt>
                <c:pt idx="2285">
                  <c:v>18.409999847412109</c:v>
                </c:pt>
                <c:pt idx="2286">
                  <c:v>21.440000534057621</c:v>
                </c:pt>
                <c:pt idx="2287">
                  <c:v>19.110000610351559</c:v>
                </c:pt>
                <c:pt idx="2288">
                  <c:v>19.95000076293945</c:v>
                </c:pt>
                <c:pt idx="2289">
                  <c:v>17.229999542236332</c:v>
                </c:pt>
                <c:pt idx="2290">
                  <c:v>15.289999961853029</c:v>
                </c:pt>
                <c:pt idx="2291">
                  <c:v>15.260000228881839</c:v>
                </c:pt>
                <c:pt idx="2292">
                  <c:v>14.510000228881839</c:v>
                </c:pt>
                <c:pt idx="2293">
                  <c:v>14.30000019073486</c:v>
                </c:pt>
                <c:pt idx="2294">
                  <c:v>14.14000034332275</c:v>
                </c:pt>
                <c:pt idx="2295">
                  <c:v>13.569999694824221</c:v>
                </c:pt>
                <c:pt idx="2296">
                  <c:v>13.86999988555908</c:v>
                </c:pt>
                <c:pt idx="2297">
                  <c:v>15.5</c:v>
                </c:pt>
                <c:pt idx="2298">
                  <c:v>14.789999961853029</c:v>
                </c:pt>
                <c:pt idx="2299">
                  <c:v>14.680000305175779</c:v>
                </c:pt>
                <c:pt idx="2300">
                  <c:v>14.22999954223633</c:v>
                </c:pt>
                <c:pt idx="2301">
                  <c:v>13.670000076293951</c:v>
                </c:pt>
                <c:pt idx="2302">
                  <c:v>14.35000038146973</c:v>
                </c:pt>
                <c:pt idx="2303">
                  <c:v>14.039999961853029</c:v>
                </c:pt>
                <c:pt idx="2304">
                  <c:v>14</c:v>
                </c:pt>
                <c:pt idx="2305">
                  <c:v>16</c:v>
                </c:pt>
                <c:pt idx="2306">
                  <c:v>14.10000038146973</c:v>
                </c:pt>
                <c:pt idx="2307">
                  <c:v>13.89000034332275</c:v>
                </c:pt>
                <c:pt idx="2308">
                  <c:v>14.210000038146971</c:v>
                </c:pt>
                <c:pt idx="2309">
                  <c:v>14.10999965667725</c:v>
                </c:pt>
                <c:pt idx="2310">
                  <c:v>14.19999980926514</c:v>
                </c:pt>
                <c:pt idx="2311">
                  <c:v>14.80000019073486</c:v>
                </c:pt>
                <c:pt idx="2312">
                  <c:v>14.47000026702881</c:v>
                </c:pt>
                <c:pt idx="2313">
                  <c:v>16.219999313354489</c:v>
                </c:pt>
                <c:pt idx="2314">
                  <c:v>17.819999694824219</c:v>
                </c:pt>
                <c:pt idx="2315">
                  <c:v>15.64000034332275</c:v>
                </c:pt>
                <c:pt idx="2316">
                  <c:v>14.52000045776367</c:v>
                </c:pt>
                <c:pt idx="2317">
                  <c:v>15.11999988555908</c:v>
                </c:pt>
                <c:pt idx="2318">
                  <c:v>14.52000045776367</c:v>
                </c:pt>
                <c:pt idx="2319">
                  <c:v>15</c:v>
                </c:pt>
                <c:pt idx="2320">
                  <c:v>15.090000152587891</c:v>
                </c:pt>
                <c:pt idx="2321">
                  <c:v>14.02000045776367</c:v>
                </c:pt>
                <c:pt idx="2322">
                  <c:v>14.930000305175779</c:v>
                </c:pt>
                <c:pt idx="2323">
                  <c:v>14.61999988555908</c:v>
                </c:pt>
                <c:pt idx="2324">
                  <c:v>14.409999847412109</c:v>
                </c:pt>
                <c:pt idx="2325">
                  <c:v>13.88000011444092</c:v>
                </c:pt>
                <c:pt idx="2326">
                  <c:v>13.10000038146973</c:v>
                </c:pt>
                <c:pt idx="2327">
                  <c:v>13.090000152587891</c:v>
                </c:pt>
                <c:pt idx="2328">
                  <c:v>13.36999988555908</c:v>
                </c:pt>
                <c:pt idx="2329">
                  <c:v>13.960000038146971</c:v>
                </c:pt>
                <c:pt idx="2330">
                  <c:v>15.569999694824221</c:v>
                </c:pt>
                <c:pt idx="2331">
                  <c:v>14.89000034332275</c:v>
                </c:pt>
                <c:pt idx="2332">
                  <c:v>13.819999694824221</c:v>
                </c:pt>
                <c:pt idx="2333">
                  <c:v>15.89000034332275</c:v>
                </c:pt>
                <c:pt idx="2334">
                  <c:v>17.030000686645511</c:v>
                </c:pt>
                <c:pt idx="2335">
                  <c:v>16.110000610351559</c:v>
                </c:pt>
                <c:pt idx="2336">
                  <c:v>15.60999965667725</c:v>
                </c:pt>
                <c:pt idx="2337">
                  <c:v>14.180000305175779</c:v>
                </c:pt>
                <c:pt idx="2338">
                  <c:v>13.35999965667725</c:v>
                </c:pt>
                <c:pt idx="2339">
                  <c:v>13.25</c:v>
                </c:pt>
                <c:pt idx="2340">
                  <c:v>13.189999580383301</c:v>
                </c:pt>
                <c:pt idx="2341">
                  <c:v>13.27000045776367</c:v>
                </c:pt>
                <c:pt idx="2342">
                  <c:v>13.319999694824221</c:v>
                </c:pt>
                <c:pt idx="2343">
                  <c:v>14.060000419616699</c:v>
                </c:pt>
                <c:pt idx="2344">
                  <c:v>13.97000026702881</c:v>
                </c:pt>
                <c:pt idx="2345">
                  <c:v>13.710000038146971</c:v>
                </c:pt>
                <c:pt idx="2346">
                  <c:v>13.409999847412109</c:v>
                </c:pt>
                <c:pt idx="2347">
                  <c:v>13.25</c:v>
                </c:pt>
                <c:pt idx="2348">
                  <c:v>12.909999847412109</c:v>
                </c:pt>
                <c:pt idx="2349">
                  <c:v>13.289999961853029</c:v>
                </c:pt>
                <c:pt idx="2350">
                  <c:v>13.80000019073486</c:v>
                </c:pt>
                <c:pt idx="2351">
                  <c:v>13.39999961853027</c:v>
                </c:pt>
                <c:pt idx="2352">
                  <c:v>13.430000305175779</c:v>
                </c:pt>
                <c:pt idx="2353">
                  <c:v>12.920000076293951</c:v>
                </c:pt>
                <c:pt idx="2354">
                  <c:v>12.22999954223633</c:v>
                </c:pt>
                <c:pt idx="2355">
                  <c:v>12.13000011444092</c:v>
                </c:pt>
                <c:pt idx="2356">
                  <c:v>12.170000076293951</c:v>
                </c:pt>
                <c:pt idx="2357">
                  <c:v>13.170000076293951</c:v>
                </c:pt>
                <c:pt idx="2358">
                  <c:v>12.439999580383301</c:v>
                </c:pt>
                <c:pt idx="2359">
                  <c:v>12.420000076293951</c:v>
                </c:pt>
                <c:pt idx="2360">
                  <c:v>12.960000038146971</c:v>
                </c:pt>
                <c:pt idx="2361">
                  <c:v>11.909999847412109</c:v>
                </c:pt>
                <c:pt idx="2362">
                  <c:v>12.02999973297119</c:v>
                </c:pt>
                <c:pt idx="2363">
                  <c:v>11.35999965667725</c:v>
                </c:pt>
                <c:pt idx="2364">
                  <c:v>11.510000228881839</c:v>
                </c:pt>
                <c:pt idx="2365">
                  <c:v>11.680000305175779</c:v>
                </c:pt>
                <c:pt idx="2366">
                  <c:v>11.569999694824221</c:v>
                </c:pt>
                <c:pt idx="2367">
                  <c:v>11.39999961853027</c:v>
                </c:pt>
                <c:pt idx="2368">
                  <c:v>11.579999923706049</c:v>
                </c:pt>
                <c:pt idx="2369">
                  <c:v>11.86999988555908</c:v>
                </c:pt>
                <c:pt idx="2370">
                  <c:v>12.079999923706049</c:v>
                </c:pt>
                <c:pt idx="2371">
                  <c:v>11.680000305175779</c:v>
                </c:pt>
                <c:pt idx="2372">
                  <c:v>10.72999954223633</c:v>
                </c:pt>
                <c:pt idx="2373">
                  <c:v>11.14999961853027</c:v>
                </c:pt>
                <c:pt idx="2374">
                  <c:v>10.989999771118161</c:v>
                </c:pt>
                <c:pt idx="2375">
                  <c:v>11.60000038146973</c:v>
                </c:pt>
                <c:pt idx="2376">
                  <c:v>12.560000419616699</c:v>
                </c:pt>
                <c:pt idx="2377">
                  <c:v>12.180000305175779</c:v>
                </c:pt>
                <c:pt idx="2378">
                  <c:v>12.64999961853027</c:v>
                </c:pt>
                <c:pt idx="2379">
                  <c:v>12.060000419616699</c:v>
                </c:pt>
                <c:pt idx="2380">
                  <c:v>10.60999965667725</c:v>
                </c:pt>
                <c:pt idx="2381">
                  <c:v>10.61999988555908</c:v>
                </c:pt>
                <c:pt idx="2382">
                  <c:v>10.85000038146973</c:v>
                </c:pt>
                <c:pt idx="2383">
                  <c:v>10.97999954223633</c:v>
                </c:pt>
                <c:pt idx="2384">
                  <c:v>12.13000011444092</c:v>
                </c:pt>
                <c:pt idx="2385">
                  <c:v>11.590000152587891</c:v>
                </c:pt>
                <c:pt idx="2386">
                  <c:v>11.63000011444092</c:v>
                </c:pt>
                <c:pt idx="2387">
                  <c:v>11.260000228881839</c:v>
                </c:pt>
                <c:pt idx="2388">
                  <c:v>11.569999694824221</c:v>
                </c:pt>
                <c:pt idx="2389">
                  <c:v>11.14999961853027</c:v>
                </c:pt>
                <c:pt idx="2390">
                  <c:v>10.819999694824221</c:v>
                </c:pt>
                <c:pt idx="2391">
                  <c:v>10.319999694824221</c:v>
                </c:pt>
                <c:pt idx="2392">
                  <c:v>11.329999923706049</c:v>
                </c:pt>
                <c:pt idx="2393">
                  <c:v>11.97999954223633</c:v>
                </c:pt>
                <c:pt idx="2394">
                  <c:v>11.64999961853027</c:v>
                </c:pt>
                <c:pt idx="2395">
                  <c:v>12.590000152587891</c:v>
                </c:pt>
                <c:pt idx="2396">
                  <c:v>12.079999923706049</c:v>
                </c:pt>
                <c:pt idx="2397">
                  <c:v>11.819999694824221</c:v>
                </c:pt>
                <c:pt idx="2398">
                  <c:v>11.960000038146971</c:v>
                </c:pt>
                <c:pt idx="2399">
                  <c:v>11</c:v>
                </c:pt>
                <c:pt idx="2400">
                  <c:v>14.539999961853029</c:v>
                </c:pt>
                <c:pt idx="2401">
                  <c:v>12.060000419616699</c:v>
                </c:pt>
                <c:pt idx="2402">
                  <c:v>12.810000419616699</c:v>
                </c:pt>
                <c:pt idx="2403">
                  <c:v>12.239999771118161</c:v>
                </c:pt>
                <c:pt idx="2404">
                  <c:v>11.52000045776367</c:v>
                </c:pt>
                <c:pt idx="2405">
                  <c:v>11.840000152587891</c:v>
                </c:pt>
                <c:pt idx="2406">
                  <c:v>12.689999580383301</c:v>
                </c:pt>
                <c:pt idx="2407">
                  <c:v>12.560000419616699</c:v>
                </c:pt>
                <c:pt idx="2408">
                  <c:v>13.27999973297119</c:v>
                </c:pt>
                <c:pt idx="2409">
                  <c:v>13.329999923706049</c:v>
                </c:pt>
                <c:pt idx="2410">
                  <c:v>16.95000076293945</c:v>
                </c:pt>
                <c:pt idx="2411">
                  <c:v>17.030000686645511</c:v>
                </c:pt>
                <c:pt idx="2412">
                  <c:v>15.11999988555908</c:v>
                </c:pt>
                <c:pt idx="2413">
                  <c:v>16.870000839233398</c:v>
                </c:pt>
                <c:pt idx="2414">
                  <c:v>16.370000839233398</c:v>
                </c:pt>
                <c:pt idx="2415">
                  <c:v>16.659999847412109</c:v>
                </c:pt>
                <c:pt idx="2416">
                  <c:v>15.77000045776367</c:v>
                </c:pt>
                <c:pt idx="2417">
                  <c:v>14.22999954223633</c:v>
                </c:pt>
                <c:pt idx="2418">
                  <c:v>14.13000011444092</c:v>
                </c:pt>
                <c:pt idx="2419">
                  <c:v>12.89999961853027</c:v>
                </c:pt>
                <c:pt idx="2420">
                  <c:v>12.420000076293951</c:v>
                </c:pt>
                <c:pt idx="2421">
                  <c:v>13.14999961853027</c:v>
                </c:pt>
                <c:pt idx="2422">
                  <c:v>12.319999694824221</c:v>
                </c:pt>
                <c:pt idx="2423">
                  <c:v>12.210000038146971</c:v>
                </c:pt>
                <c:pt idx="2424">
                  <c:v>11.77999973297119</c:v>
                </c:pt>
                <c:pt idx="2425">
                  <c:v>11.760000228881839</c:v>
                </c:pt>
                <c:pt idx="2426">
                  <c:v>11.47000026702881</c:v>
                </c:pt>
                <c:pt idx="2427">
                  <c:v>11.69999980926514</c:v>
                </c:pt>
                <c:pt idx="2428">
                  <c:v>11.63000011444092</c:v>
                </c:pt>
                <c:pt idx="2429">
                  <c:v>11.77999973297119</c:v>
                </c:pt>
                <c:pt idx="2430">
                  <c:v>12.05000019073486</c:v>
                </c:pt>
                <c:pt idx="2431">
                  <c:v>12.090000152587891</c:v>
                </c:pt>
                <c:pt idx="2432">
                  <c:v>12.25</c:v>
                </c:pt>
                <c:pt idx="2433">
                  <c:v>12.35999965667725</c:v>
                </c:pt>
                <c:pt idx="2434">
                  <c:v>12.64000034332275</c:v>
                </c:pt>
                <c:pt idx="2435">
                  <c:v>12.090000152587891</c:v>
                </c:pt>
                <c:pt idx="2436">
                  <c:v>12.659999847412109</c:v>
                </c:pt>
                <c:pt idx="2437">
                  <c:v>13.5</c:v>
                </c:pt>
                <c:pt idx="2438">
                  <c:v>12.88000011444092</c:v>
                </c:pt>
                <c:pt idx="2439">
                  <c:v>12.80000019073486</c:v>
                </c:pt>
                <c:pt idx="2440">
                  <c:v>13.310000419616699</c:v>
                </c:pt>
                <c:pt idx="2441">
                  <c:v>14.11999988555908</c:v>
                </c:pt>
                <c:pt idx="2442">
                  <c:v>12.72999954223633</c:v>
                </c:pt>
                <c:pt idx="2443">
                  <c:v>12.64999961853027</c:v>
                </c:pt>
                <c:pt idx="2444">
                  <c:v>12.02999973297119</c:v>
                </c:pt>
                <c:pt idx="2445">
                  <c:v>12.10999965667725</c:v>
                </c:pt>
                <c:pt idx="2446">
                  <c:v>13.689999580383301</c:v>
                </c:pt>
                <c:pt idx="2447">
                  <c:v>14.930000305175779</c:v>
                </c:pt>
                <c:pt idx="2448">
                  <c:v>13.27000045776367</c:v>
                </c:pt>
                <c:pt idx="2449">
                  <c:v>15.64000034332275</c:v>
                </c:pt>
                <c:pt idx="2450">
                  <c:v>14.85000038146973</c:v>
                </c:pt>
                <c:pt idx="2451">
                  <c:v>15.97999954223633</c:v>
                </c:pt>
                <c:pt idx="2452">
                  <c:v>16.309999465942379</c:v>
                </c:pt>
                <c:pt idx="2453">
                  <c:v>16.70999908447266</c:v>
                </c:pt>
                <c:pt idx="2454">
                  <c:v>16.159999847412109</c:v>
                </c:pt>
                <c:pt idx="2455">
                  <c:v>14.55000019073486</c:v>
                </c:pt>
                <c:pt idx="2456">
                  <c:v>15.460000038146971</c:v>
                </c:pt>
                <c:pt idx="2457">
                  <c:v>17.20000076293945</c:v>
                </c:pt>
                <c:pt idx="2458">
                  <c:v>15.10999965667725</c:v>
                </c:pt>
                <c:pt idx="2459">
                  <c:v>18.760000228881839</c:v>
                </c:pt>
                <c:pt idx="2460">
                  <c:v>21.239999771118161</c:v>
                </c:pt>
                <c:pt idx="2461">
                  <c:v>24.639999389648441</c:v>
                </c:pt>
                <c:pt idx="2462">
                  <c:v>22.79000091552734</c:v>
                </c:pt>
                <c:pt idx="2463">
                  <c:v>25.270000457763668</c:v>
                </c:pt>
                <c:pt idx="2464">
                  <c:v>25.20000076293945</c:v>
                </c:pt>
                <c:pt idx="2465">
                  <c:v>21.989999771118161</c:v>
                </c:pt>
                <c:pt idx="2466">
                  <c:v>18.569999694824219</c:v>
                </c:pt>
                <c:pt idx="2467">
                  <c:v>16.079999923706051</c:v>
                </c:pt>
                <c:pt idx="2468">
                  <c:v>17.870000839233398</c:v>
                </c:pt>
                <c:pt idx="2469">
                  <c:v>16.530000686645511</c:v>
                </c:pt>
                <c:pt idx="2470">
                  <c:v>16.110000610351559</c:v>
                </c:pt>
                <c:pt idx="2471">
                  <c:v>16.04000091552734</c:v>
                </c:pt>
                <c:pt idx="2472">
                  <c:v>14.39000034332275</c:v>
                </c:pt>
                <c:pt idx="2473">
                  <c:v>15.14999961853027</c:v>
                </c:pt>
                <c:pt idx="2474">
                  <c:v>14.52000045776367</c:v>
                </c:pt>
                <c:pt idx="2475">
                  <c:v>14.02999973297119</c:v>
                </c:pt>
                <c:pt idx="2476">
                  <c:v>14.72999954223633</c:v>
                </c:pt>
                <c:pt idx="2477">
                  <c:v>14.89000034332275</c:v>
                </c:pt>
                <c:pt idx="2478">
                  <c:v>14.170000076293951</c:v>
                </c:pt>
                <c:pt idx="2479">
                  <c:v>13.670000076293951</c:v>
                </c:pt>
                <c:pt idx="2480">
                  <c:v>13.11999988555908</c:v>
                </c:pt>
                <c:pt idx="2481">
                  <c:v>12.670000076293951</c:v>
                </c:pt>
                <c:pt idx="2482">
                  <c:v>12.920000076293951</c:v>
                </c:pt>
                <c:pt idx="2483">
                  <c:v>13.02000045776367</c:v>
                </c:pt>
                <c:pt idx="2484">
                  <c:v>13.789999961853029</c:v>
                </c:pt>
                <c:pt idx="2485">
                  <c:v>13.310000419616699</c:v>
                </c:pt>
                <c:pt idx="2486">
                  <c:v>13.989999771118161</c:v>
                </c:pt>
                <c:pt idx="2487">
                  <c:v>13.85999965667725</c:v>
                </c:pt>
                <c:pt idx="2488">
                  <c:v>13.960000038146971</c:v>
                </c:pt>
                <c:pt idx="2489">
                  <c:v>13.579999923706049</c:v>
                </c:pt>
                <c:pt idx="2490">
                  <c:v>12.89999961853027</c:v>
                </c:pt>
                <c:pt idx="2491">
                  <c:v>12.61999988555908</c:v>
                </c:pt>
                <c:pt idx="2492">
                  <c:v>12.25</c:v>
                </c:pt>
                <c:pt idx="2493">
                  <c:v>12.069999694824221</c:v>
                </c:pt>
                <c:pt idx="2494">
                  <c:v>13.329999923706049</c:v>
                </c:pt>
                <c:pt idx="2495">
                  <c:v>14.159999847412109</c:v>
                </c:pt>
                <c:pt idx="2496">
                  <c:v>12.85000038146973</c:v>
                </c:pt>
                <c:pt idx="2497">
                  <c:v>12.5</c:v>
                </c:pt>
                <c:pt idx="2498">
                  <c:v>12.38000011444092</c:v>
                </c:pt>
                <c:pt idx="2499">
                  <c:v>11.89000034332275</c:v>
                </c:pt>
                <c:pt idx="2500">
                  <c:v>14.210000038146971</c:v>
                </c:pt>
                <c:pt idx="2501">
                  <c:v>15.35000038146973</c:v>
                </c:pt>
                <c:pt idx="2502">
                  <c:v>18.530000686645511</c:v>
                </c:pt>
                <c:pt idx="2503">
                  <c:v>20.079999923706051</c:v>
                </c:pt>
                <c:pt idx="2504">
                  <c:v>21.079999923706051</c:v>
                </c:pt>
                <c:pt idx="2505">
                  <c:v>20.420000076293949</c:v>
                </c:pt>
                <c:pt idx="2506">
                  <c:v>23.569999694824219</c:v>
                </c:pt>
                <c:pt idx="2507">
                  <c:v>19.440000534057621</c:v>
                </c:pt>
                <c:pt idx="2508">
                  <c:v>16.809999465942379</c:v>
                </c:pt>
                <c:pt idx="2509">
                  <c:v>16.489999771118161</c:v>
                </c:pt>
                <c:pt idx="2510">
                  <c:v>15.25</c:v>
                </c:pt>
                <c:pt idx="2511">
                  <c:v>14.80000019073486</c:v>
                </c:pt>
                <c:pt idx="2512">
                  <c:v>14.36999988555908</c:v>
                </c:pt>
                <c:pt idx="2513">
                  <c:v>14.5</c:v>
                </c:pt>
                <c:pt idx="2514">
                  <c:v>15.060000419616699</c:v>
                </c:pt>
                <c:pt idx="2515">
                  <c:v>15.920000076293951</c:v>
                </c:pt>
                <c:pt idx="2516">
                  <c:v>19.20000076293945</c:v>
                </c:pt>
                <c:pt idx="2517">
                  <c:v>17.79000091552734</c:v>
                </c:pt>
                <c:pt idx="2518">
                  <c:v>19.920000076293949</c:v>
                </c:pt>
                <c:pt idx="2519">
                  <c:v>21.120000839233398</c:v>
                </c:pt>
                <c:pt idx="2520">
                  <c:v>19.309999465942379</c:v>
                </c:pt>
                <c:pt idx="2521">
                  <c:v>17.010000228881839</c:v>
                </c:pt>
                <c:pt idx="2522">
                  <c:v>17.54999923706055</c:v>
                </c:pt>
                <c:pt idx="2523">
                  <c:v>19.60000038146973</c:v>
                </c:pt>
                <c:pt idx="2524">
                  <c:v>20.559999465942379</c:v>
                </c:pt>
                <c:pt idx="2525">
                  <c:v>21.479999542236332</c:v>
                </c:pt>
                <c:pt idx="2526">
                  <c:v>22.389999389648441</c:v>
                </c:pt>
                <c:pt idx="2527">
                  <c:v>20.95000076293945</c:v>
                </c:pt>
                <c:pt idx="2528">
                  <c:v>19.889999389648441</c:v>
                </c:pt>
                <c:pt idx="2529">
                  <c:v>18.85000038146973</c:v>
                </c:pt>
                <c:pt idx="2530">
                  <c:v>16.39999961853027</c:v>
                </c:pt>
                <c:pt idx="2531">
                  <c:v>16.659999847412109</c:v>
                </c:pt>
                <c:pt idx="2532">
                  <c:v>15.52000045776367</c:v>
                </c:pt>
                <c:pt idx="2533">
                  <c:v>17.219999313354489</c:v>
                </c:pt>
                <c:pt idx="2534">
                  <c:v>20.440000534057621</c:v>
                </c:pt>
                <c:pt idx="2535">
                  <c:v>18.760000228881839</c:v>
                </c:pt>
                <c:pt idx="2536">
                  <c:v>20.969999313354489</c:v>
                </c:pt>
                <c:pt idx="2537">
                  <c:v>19.430000305175781</c:v>
                </c:pt>
                <c:pt idx="2538">
                  <c:v>17.329999923706051</c:v>
                </c:pt>
                <c:pt idx="2539">
                  <c:v>18.329999923706051</c:v>
                </c:pt>
                <c:pt idx="2540">
                  <c:v>16.85000038146973</c:v>
                </c:pt>
                <c:pt idx="2541">
                  <c:v>17.29000091552734</c:v>
                </c:pt>
                <c:pt idx="2542">
                  <c:v>18.54999923706055</c:v>
                </c:pt>
                <c:pt idx="2543">
                  <c:v>17.229999542236332</c:v>
                </c:pt>
                <c:pt idx="2544">
                  <c:v>16.95999908447266</c:v>
                </c:pt>
                <c:pt idx="2545">
                  <c:v>15.340000152587891</c:v>
                </c:pt>
                <c:pt idx="2546">
                  <c:v>14.689999580383301</c:v>
                </c:pt>
                <c:pt idx="2547">
                  <c:v>15.80000019073486</c:v>
                </c:pt>
                <c:pt idx="2548">
                  <c:v>15.44999980926514</c:v>
                </c:pt>
                <c:pt idx="2549">
                  <c:v>15.289999961853029</c:v>
                </c:pt>
                <c:pt idx="2550">
                  <c:v>14.30000019073486</c:v>
                </c:pt>
                <c:pt idx="2551">
                  <c:v>14.560000419616699</c:v>
                </c:pt>
                <c:pt idx="2552">
                  <c:v>13.689999580383301</c:v>
                </c:pt>
                <c:pt idx="2553">
                  <c:v>13.840000152587891</c:v>
                </c:pt>
                <c:pt idx="2554">
                  <c:v>13.909999847412109</c:v>
                </c:pt>
                <c:pt idx="2555">
                  <c:v>13.340000152587891</c:v>
                </c:pt>
                <c:pt idx="2556">
                  <c:v>13.039999961853029</c:v>
                </c:pt>
                <c:pt idx="2557">
                  <c:v>13.85999965667725</c:v>
                </c:pt>
                <c:pt idx="2558">
                  <c:v>14.22999954223633</c:v>
                </c:pt>
                <c:pt idx="2559">
                  <c:v>14.039999961853029</c:v>
                </c:pt>
                <c:pt idx="2560">
                  <c:v>15.19999980926514</c:v>
                </c:pt>
                <c:pt idx="2561">
                  <c:v>15.060000419616699</c:v>
                </c:pt>
                <c:pt idx="2562">
                  <c:v>16.690000534057621</c:v>
                </c:pt>
                <c:pt idx="2563">
                  <c:v>16.870000839233398</c:v>
                </c:pt>
                <c:pt idx="2564">
                  <c:v>15.420000076293951</c:v>
                </c:pt>
                <c:pt idx="2565">
                  <c:v>16</c:v>
                </c:pt>
                <c:pt idx="2566">
                  <c:v>15.60999965667725</c:v>
                </c:pt>
                <c:pt idx="2567">
                  <c:v>15.659999847412109</c:v>
                </c:pt>
                <c:pt idx="2568">
                  <c:v>13.97000026702881</c:v>
                </c:pt>
                <c:pt idx="2569">
                  <c:v>14.069999694824221</c:v>
                </c:pt>
                <c:pt idx="2570">
                  <c:v>13.02000045776367</c:v>
                </c:pt>
                <c:pt idx="2571">
                  <c:v>13.409999847412109</c:v>
                </c:pt>
                <c:pt idx="2572">
                  <c:v>13.61999988555908</c:v>
                </c:pt>
                <c:pt idx="2573">
                  <c:v>15.439999580383301</c:v>
                </c:pt>
                <c:pt idx="2574">
                  <c:v>15.80000019073486</c:v>
                </c:pt>
                <c:pt idx="2575">
                  <c:v>15.069999694824221</c:v>
                </c:pt>
                <c:pt idx="2576">
                  <c:v>14.510000228881839</c:v>
                </c:pt>
                <c:pt idx="2577">
                  <c:v>15.289999961853029</c:v>
                </c:pt>
                <c:pt idx="2578">
                  <c:v>15.10999965667725</c:v>
                </c:pt>
                <c:pt idx="2579">
                  <c:v>14.670000076293951</c:v>
                </c:pt>
                <c:pt idx="2580">
                  <c:v>14.739999771118161</c:v>
                </c:pt>
                <c:pt idx="2581">
                  <c:v>14.77999973297119</c:v>
                </c:pt>
                <c:pt idx="2582">
                  <c:v>13.97999954223633</c:v>
                </c:pt>
                <c:pt idx="2583">
                  <c:v>13.090000152587891</c:v>
                </c:pt>
                <c:pt idx="2584">
                  <c:v>12.579999923706049</c:v>
                </c:pt>
                <c:pt idx="2585">
                  <c:v>13.939999580383301</c:v>
                </c:pt>
                <c:pt idx="2586">
                  <c:v>13.670000076293951</c:v>
                </c:pt>
                <c:pt idx="2587">
                  <c:v>12.840000152587891</c:v>
                </c:pt>
                <c:pt idx="2588">
                  <c:v>12.60000038146973</c:v>
                </c:pt>
                <c:pt idx="2589">
                  <c:v>13.89000034332275</c:v>
                </c:pt>
                <c:pt idx="2590">
                  <c:v>13.30000019073486</c:v>
                </c:pt>
                <c:pt idx="2591">
                  <c:v>13.25</c:v>
                </c:pt>
                <c:pt idx="2592">
                  <c:v>12.710000038146971</c:v>
                </c:pt>
                <c:pt idx="2593">
                  <c:v>12.47999954223633</c:v>
                </c:pt>
                <c:pt idx="2594">
                  <c:v>12.289999961853029</c:v>
                </c:pt>
                <c:pt idx="2595">
                  <c:v>13.11999988555908</c:v>
                </c:pt>
                <c:pt idx="2596">
                  <c:v>12.409999847412109</c:v>
                </c:pt>
                <c:pt idx="2597">
                  <c:v>13.39000034332275</c:v>
                </c:pt>
                <c:pt idx="2598">
                  <c:v>14.55000019073486</c:v>
                </c:pt>
                <c:pt idx="2599">
                  <c:v>12.69999980926514</c:v>
                </c:pt>
                <c:pt idx="2600">
                  <c:v>12.85000038146973</c:v>
                </c:pt>
                <c:pt idx="2601">
                  <c:v>14.310000419616699</c:v>
                </c:pt>
                <c:pt idx="2602">
                  <c:v>15.14999961853027</c:v>
                </c:pt>
                <c:pt idx="2603">
                  <c:v>15.13000011444092</c:v>
                </c:pt>
                <c:pt idx="2604">
                  <c:v>12.85999965667725</c:v>
                </c:pt>
                <c:pt idx="2605">
                  <c:v>13.85000038146973</c:v>
                </c:pt>
                <c:pt idx="2606">
                  <c:v>13.85999965667725</c:v>
                </c:pt>
                <c:pt idx="2607">
                  <c:v>13.760000228881839</c:v>
                </c:pt>
                <c:pt idx="2608">
                  <c:v>12.739999771118161</c:v>
                </c:pt>
                <c:pt idx="2609">
                  <c:v>12.38000011444092</c:v>
                </c:pt>
                <c:pt idx="2610">
                  <c:v>12.72999954223633</c:v>
                </c:pt>
                <c:pt idx="2611">
                  <c:v>12.85000038146973</c:v>
                </c:pt>
                <c:pt idx="2612">
                  <c:v>12.88000011444092</c:v>
                </c:pt>
                <c:pt idx="2613">
                  <c:v>12.10999965667725</c:v>
                </c:pt>
                <c:pt idx="2614">
                  <c:v>12.13000011444092</c:v>
                </c:pt>
                <c:pt idx="2615">
                  <c:v>14.060000419616699</c:v>
                </c:pt>
                <c:pt idx="2616">
                  <c:v>13.27000045776367</c:v>
                </c:pt>
                <c:pt idx="2617">
                  <c:v>13.310000419616699</c:v>
                </c:pt>
                <c:pt idx="2618">
                  <c:v>13.840000152587891</c:v>
                </c:pt>
                <c:pt idx="2619">
                  <c:v>13.97000026702881</c:v>
                </c:pt>
                <c:pt idx="2620">
                  <c:v>14.239999771118161</c:v>
                </c:pt>
                <c:pt idx="2621">
                  <c:v>13.659999847412109</c:v>
                </c:pt>
                <c:pt idx="2622">
                  <c:v>14.710000038146971</c:v>
                </c:pt>
                <c:pt idx="2623">
                  <c:v>14.210000038146971</c:v>
                </c:pt>
                <c:pt idx="2624">
                  <c:v>15.289999961853029</c:v>
                </c:pt>
                <c:pt idx="2625">
                  <c:v>14.47000026702881</c:v>
                </c:pt>
                <c:pt idx="2626">
                  <c:v>13.22000026702881</c:v>
                </c:pt>
                <c:pt idx="2627">
                  <c:v>12.85000038146973</c:v>
                </c:pt>
                <c:pt idx="2628">
                  <c:v>13.77999973297119</c:v>
                </c:pt>
                <c:pt idx="2629">
                  <c:v>15.39000034332275</c:v>
                </c:pt>
                <c:pt idx="2630">
                  <c:v>14.810000419616699</c:v>
                </c:pt>
                <c:pt idx="2631">
                  <c:v>14.5</c:v>
                </c:pt>
                <c:pt idx="2632">
                  <c:v>13.189999580383301</c:v>
                </c:pt>
                <c:pt idx="2633">
                  <c:v>13.960000038146971</c:v>
                </c:pt>
                <c:pt idx="2634">
                  <c:v>12.739999771118161</c:v>
                </c:pt>
                <c:pt idx="2635">
                  <c:v>12.10999965667725</c:v>
                </c:pt>
                <c:pt idx="2636">
                  <c:v>13.260000228881839</c:v>
                </c:pt>
                <c:pt idx="2637">
                  <c:v>14.010000228881839</c:v>
                </c:pt>
                <c:pt idx="2638">
                  <c:v>14.02000045776367</c:v>
                </c:pt>
                <c:pt idx="2639">
                  <c:v>18.85000038146973</c:v>
                </c:pt>
                <c:pt idx="2640">
                  <c:v>18.229999542236332</c:v>
                </c:pt>
                <c:pt idx="2641">
                  <c:v>16.090000152587891</c:v>
                </c:pt>
                <c:pt idx="2642">
                  <c:v>16.79000091552734</c:v>
                </c:pt>
                <c:pt idx="2643">
                  <c:v>17.010000228881839</c:v>
                </c:pt>
                <c:pt idx="2644">
                  <c:v>16.090000152587891</c:v>
                </c:pt>
                <c:pt idx="2645">
                  <c:v>19.659999847412109</c:v>
                </c:pt>
                <c:pt idx="2646">
                  <c:v>19.969999313354489</c:v>
                </c:pt>
                <c:pt idx="2647">
                  <c:v>16.829999923706051</c:v>
                </c:pt>
                <c:pt idx="2648">
                  <c:v>13.89999961853027</c:v>
                </c:pt>
                <c:pt idx="2649">
                  <c:v>13.36999988555908</c:v>
                </c:pt>
                <c:pt idx="2650">
                  <c:v>13.22999954223633</c:v>
                </c:pt>
                <c:pt idx="2651">
                  <c:v>12.10999965667725</c:v>
                </c:pt>
                <c:pt idx="2652">
                  <c:v>11.94999980926514</c:v>
                </c:pt>
                <c:pt idx="2653">
                  <c:v>12.25</c:v>
                </c:pt>
                <c:pt idx="2654">
                  <c:v>12.22000026702881</c:v>
                </c:pt>
                <c:pt idx="2655">
                  <c:v>12.11999988555908</c:v>
                </c:pt>
                <c:pt idx="2656">
                  <c:v>12.64000034332275</c:v>
                </c:pt>
                <c:pt idx="2657">
                  <c:v>13.739999771118161</c:v>
                </c:pt>
                <c:pt idx="2658">
                  <c:v>15.60000038146973</c:v>
                </c:pt>
                <c:pt idx="2659">
                  <c:v>13.439999580383301</c:v>
                </c:pt>
                <c:pt idx="2660">
                  <c:v>12.5</c:v>
                </c:pt>
                <c:pt idx="2661">
                  <c:v>12.13000011444092</c:v>
                </c:pt>
                <c:pt idx="2662">
                  <c:v>12.11999988555908</c:v>
                </c:pt>
                <c:pt idx="2663">
                  <c:v>12.560000419616699</c:v>
                </c:pt>
                <c:pt idx="2664">
                  <c:v>13</c:v>
                </c:pt>
                <c:pt idx="2665">
                  <c:v>12.510000228881839</c:v>
                </c:pt>
                <c:pt idx="2666">
                  <c:v>13.77000045776367</c:v>
                </c:pt>
                <c:pt idx="2667">
                  <c:v>13.39000034332275</c:v>
                </c:pt>
                <c:pt idx="2668">
                  <c:v>12.22999954223633</c:v>
                </c:pt>
                <c:pt idx="2669">
                  <c:v>13.710000038146971</c:v>
                </c:pt>
                <c:pt idx="2670">
                  <c:v>13.60999965667725</c:v>
                </c:pt>
                <c:pt idx="2671">
                  <c:v>13.489999771118161</c:v>
                </c:pt>
                <c:pt idx="2672">
                  <c:v>12.829999923706049</c:v>
                </c:pt>
                <c:pt idx="2673">
                  <c:v>13.02000045776367</c:v>
                </c:pt>
                <c:pt idx="2674">
                  <c:v>13.789999961853029</c:v>
                </c:pt>
                <c:pt idx="2675">
                  <c:v>15.25</c:v>
                </c:pt>
                <c:pt idx="2676">
                  <c:v>19.139999389648441</c:v>
                </c:pt>
                <c:pt idx="2677">
                  <c:v>28.030000686645511</c:v>
                </c:pt>
                <c:pt idx="2678">
                  <c:v>40.740001678466797</c:v>
                </c:pt>
                <c:pt idx="2679">
                  <c:v>36.020000457763672</c:v>
                </c:pt>
                <c:pt idx="2680">
                  <c:v>30.319999694824219</c:v>
                </c:pt>
                <c:pt idx="2681">
                  <c:v>26.10000038146973</c:v>
                </c:pt>
                <c:pt idx="2682">
                  <c:v>26.04999923706055</c:v>
                </c:pt>
                <c:pt idx="2683">
                  <c:v>28.430000305175781</c:v>
                </c:pt>
                <c:pt idx="2684">
                  <c:v>31.39999961853027</c:v>
                </c:pt>
                <c:pt idx="2685">
                  <c:v>26.090000152587891</c:v>
                </c:pt>
                <c:pt idx="2686">
                  <c:v>25.610000610351559</c:v>
                </c:pt>
                <c:pt idx="2687">
                  <c:v>27.79999923706055</c:v>
                </c:pt>
                <c:pt idx="2688">
                  <c:v>24.89999961853027</c:v>
                </c:pt>
                <c:pt idx="2689">
                  <c:v>26.229999542236332</c:v>
                </c:pt>
                <c:pt idx="2690">
                  <c:v>24.370000839233398</c:v>
                </c:pt>
                <c:pt idx="2691">
                  <c:v>23.20000076293945</c:v>
                </c:pt>
                <c:pt idx="2692">
                  <c:v>24.25</c:v>
                </c:pt>
                <c:pt idx="2693">
                  <c:v>22.54000091552734</c:v>
                </c:pt>
                <c:pt idx="2694">
                  <c:v>21.35000038146973</c:v>
                </c:pt>
                <c:pt idx="2695">
                  <c:v>21.139999389648441</c:v>
                </c:pt>
                <c:pt idx="2696">
                  <c:v>22.280000686645511</c:v>
                </c:pt>
                <c:pt idx="2697">
                  <c:v>20.139999389648441</c:v>
                </c:pt>
                <c:pt idx="2698">
                  <c:v>22.440000534057621</c:v>
                </c:pt>
                <c:pt idx="2699">
                  <c:v>22.129999160766602</c:v>
                </c:pt>
                <c:pt idx="2700">
                  <c:v>23.469999313354489</c:v>
                </c:pt>
                <c:pt idx="2701">
                  <c:v>23.620000839233398</c:v>
                </c:pt>
                <c:pt idx="2702">
                  <c:v>27.629999160766602</c:v>
                </c:pt>
                <c:pt idx="2703">
                  <c:v>26.829999923706051</c:v>
                </c:pt>
                <c:pt idx="2704">
                  <c:v>24.5</c:v>
                </c:pt>
                <c:pt idx="2705">
                  <c:v>22.54999923706055</c:v>
                </c:pt>
                <c:pt idx="2706">
                  <c:v>20.940000534057621</c:v>
                </c:pt>
                <c:pt idx="2707">
                  <c:v>19.54000091552734</c:v>
                </c:pt>
                <c:pt idx="2708">
                  <c:v>19.39999961853027</c:v>
                </c:pt>
                <c:pt idx="2709">
                  <c:v>18.39999961853027</c:v>
                </c:pt>
                <c:pt idx="2710">
                  <c:v>17.420000076293949</c:v>
                </c:pt>
                <c:pt idx="2711">
                  <c:v>17.079999923706051</c:v>
                </c:pt>
                <c:pt idx="2712">
                  <c:v>16.170000076293949</c:v>
                </c:pt>
                <c:pt idx="2713">
                  <c:v>17.670000076293949</c:v>
                </c:pt>
                <c:pt idx="2714">
                  <c:v>18.030000686645511</c:v>
                </c:pt>
                <c:pt idx="2715">
                  <c:v>16.04999923706055</c:v>
                </c:pt>
                <c:pt idx="2716">
                  <c:v>15.05000019073486</c:v>
                </c:pt>
                <c:pt idx="2717">
                  <c:v>14.97999954223633</c:v>
                </c:pt>
                <c:pt idx="2718">
                  <c:v>15.75</c:v>
                </c:pt>
                <c:pt idx="2719">
                  <c:v>16.70000076293945</c:v>
                </c:pt>
                <c:pt idx="2720">
                  <c:v>14.44999980926514</c:v>
                </c:pt>
                <c:pt idx="2721">
                  <c:v>14.460000038146971</c:v>
                </c:pt>
                <c:pt idx="2722">
                  <c:v>15.289999961853029</c:v>
                </c:pt>
                <c:pt idx="2723">
                  <c:v>15.430000305175779</c:v>
                </c:pt>
                <c:pt idx="2724">
                  <c:v>14.329999923706049</c:v>
                </c:pt>
                <c:pt idx="2725">
                  <c:v>14.60999965667725</c:v>
                </c:pt>
                <c:pt idx="2726">
                  <c:v>15.069999694824221</c:v>
                </c:pt>
                <c:pt idx="2727">
                  <c:v>14.14999961853027</c:v>
                </c:pt>
                <c:pt idx="2728">
                  <c:v>14.539999961853029</c:v>
                </c:pt>
                <c:pt idx="2729">
                  <c:v>15.510000228881839</c:v>
                </c:pt>
                <c:pt idx="2730">
                  <c:v>15.05000019073486</c:v>
                </c:pt>
                <c:pt idx="2731">
                  <c:v>14.329999923706049</c:v>
                </c:pt>
                <c:pt idx="2732">
                  <c:v>16.520000457763668</c:v>
                </c:pt>
                <c:pt idx="2733">
                  <c:v>15.289999961853029</c:v>
                </c:pt>
                <c:pt idx="2734">
                  <c:v>16.059999465942379</c:v>
                </c:pt>
                <c:pt idx="2735">
                  <c:v>18.370000839233398</c:v>
                </c:pt>
                <c:pt idx="2736">
                  <c:v>20.079999923706051</c:v>
                </c:pt>
                <c:pt idx="2737">
                  <c:v>18.159999847412109</c:v>
                </c:pt>
                <c:pt idx="2738">
                  <c:v>18.840000152587891</c:v>
                </c:pt>
                <c:pt idx="2739">
                  <c:v>16.85000038146973</c:v>
                </c:pt>
                <c:pt idx="2740">
                  <c:v>16.989999771118161</c:v>
                </c:pt>
                <c:pt idx="2741">
                  <c:v>15.47000026702881</c:v>
                </c:pt>
                <c:pt idx="2742">
                  <c:v>15.61999988555908</c:v>
                </c:pt>
                <c:pt idx="2743">
                  <c:v>15.930000305175779</c:v>
                </c:pt>
                <c:pt idx="2744">
                  <c:v>15.189999580383301</c:v>
                </c:pt>
                <c:pt idx="2745">
                  <c:v>15.11999988555908</c:v>
                </c:pt>
                <c:pt idx="2746">
                  <c:v>16.129999160766602</c:v>
                </c:pt>
                <c:pt idx="2747">
                  <c:v>14.670000076293951</c:v>
                </c:pt>
                <c:pt idx="2748">
                  <c:v>15.909999847412109</c:v>
                </c:pt>
                <c:pt idx="2749">
                  <c:v>18.110000610351559</c:v>
                </c:pt>
                <c:pt idx="2750">
                  <c:v>14.810000419616699</c:v>
                </c:pt>
                <c:pt idx="2751">
                  <c:v>15.840000152587891</c:v>
                </c:pt>
                <c:pt idx="2752">
                  <c:v>17.60000038146973</c:v>
                </c:pt>
                <c:pt idx="2753">
                  <c:v>19.610000610351559</c:v>
                </c:pt>
                <c:pt idx="2754">
                  <c:v>19.340000152587891</c:v>
                </c:pt>
                <c:pt idx="2755">
                  <c:v>24.389999389648441</c:v>
                </c:pt>
                <c:pt idx="2756">
                  <c:v>22.729999542236332</c:v>
                </c:pt>
                <c:pt idx="2757">
                  <c:v>20.95000076293945</c:v>
                </c:pt>
                <c:pt idx="2758">
                  <c:v>17.860000610351559</c:v>
                </c:pt>
                <c:pt idx="2759">
                  <c:v>18.940000534057621</c:v>
                </c:pt>
                <c:pt idx="2760">
                  <c:v>20.70000076293945</c:v>
                </c:pt>
                <c:pt idx="2761">
                  <c:v>18.70000076293945</c:v>
                </c:pt>
                <c:pt idx="2762">
                  <c:v>16.60000038146973</c:v>
                </c:pt>
                <c:pt idx="2763">
                  <c:v>15.569999694824221</c:v>
                </c:pt>
                <c:pt idx="2764">
                  <c:v>15.739999771118161</c:v>
                </c:pt>
                <c:pt idx="2765">
                  <c:v>16.909999847412109</c:v>
                </c:pt>
                <c:pt idx="2766">
                  <c:v>16.079999923706051</c:v>
                </c:pt>
                <c:pt idx="2767">
                  <c:v>17.29000091552734</c:v>
                </c:pt>
                <c:pt idx="2768">
                  <c:v>18.20999908447266</c:v>
                </c:pt>
                <c:pt idx="2769">
                  <c:v>20.70000076293945</c:v>
                </c:pt>
                <c:pt idx="2770">
                  <c:v>19.340000152587891</c:v>
                </c:pt>
                <c:pt idx="2771">
                  <c:v>20.590000152587891</c:v>
                </c:pt>
                <c:pt idx="2772">
                  <c:v>24.989999771118161</c:v>
                </c:pt>
                <c:pt idx="2773">
                  <c:v>27.010000228881839</c:v>
                </c:pt>
                <c:pt idx="2774">
                  <c:v>24.29999923706055</c:v>
                </c:pt>
                <c:pt idx="2775">
                  <c:v>22.469999313354489</c:v>
                </c:pt>
                <c:pt idx="2776">
                  <c:v>25.219999313354489</c:v>
                </c:pt>
                <c:pt idx="2777">
                  <c:v>23.95000076293945</c:v>
                </c:pt>
                <c:pt idx="2778">
                  <c:v>27.020000457763668</c:v>
                </c:pt>
                <c:pt idx="2779">
                  <c:v>26.04999923706055</c:v>
                </c:pt>
                <c:pt idx="2780">
                  <c:v>27.590000152587891</c:v>
                </c:pt>
                <c:pt idx="2781">
                  <c:v>26.690000534057621</c:v>
                </c:pt>
                <c:pt idx="2782">
                  <c:v>22.340000152587891</c:v>
                </c:pt>
                <c:pt idx="2783">
                  <c:v>24.14999961853027</c:v>
                </c:pt>
                <c:pt idx="2784">
                  <c:v>22.5</c:v>
                </c:pt>
                <c:pt idx="2785">
                  <c:v>23.110000610351559</c:v>
                </c:pt>
                <c:pt idx="2786">
                  <c:v>22.420000076293949</c:v>
                </c:pt>
                <c:pt idx="2787">
                  <c:v>20.20000076293945</c:v>
                </c:pt>
                <c:pt idx="2788">
                  <c:v>19.979999542236332</c:v>
                </c:pt>
                <c:pt idx="2789">
                  <c:v>21.979999542236332</c:v>
                </c:pt>
                <c:pt idx="2790">
                  <c:v>21.64999961853027</c:v>
                </c:pt>
                <c:pt idx="2791">
                  <c:v>21.840000152587891</c:v>
                </c:pt>
                <c:pt idx="2792">
                  <c:v>23.379999160766602</c:v>
                </c:pt>
                <c:pt idx="2793">
                  <c:v>26</c:v>
                </c:pt>
                <c:pt idx="2794">
                  <c:v>26.54000091552734</c:v>
                </c:pt>
                <c:pt idx="2795">
                  <c:v>26.29000091552734</c:v>
                </c:pt>
                <c:pt idx="2796">
                  <c:v>28.139999389648441</c:v>
                </c:pt>
                <c:pt idx="2797">
                  <c:v>25.39999961853027</c:v>
                </c:pt>
                <c:pt idx="2798">
                  <c:v>24.110000610351559</c:v>
                </c:pt>
                <c:pt idx="2799">
                  <c:v>22.309999465942379</c:v>
                </c:pt>
                <c:pt idx="2800">
                  <c:v>21.639999389648441</c:v>
                </c:pt>
                <c:pt idx="2801">
                  <c:v>20.530000686645511</c:v>
                </c:pt>
                <c:pt idx="2802">
                  <c:v>19.379999160766602</c:v>
                </c:pt>
                <c:pt idx="2803">
                  <c:v>20.979999542236332</c:v>
                </c:pt>
                <c:pt idx="2804">
                  <c:v>20.719999313354489</c:v>
                </c:pt>
                <c:pt idx="2805">
                  <c:v>19.110000610351559</c:v>
                </c:pt>
                <c:pt idx="2806">
                  <c:v>19.809999465942379</c:v>
                </c:pt>
                <c:pt idx="2807">
                  <c:v>20.54999923706055</c:v>
                </c:pt>
                <c:pt idx="2808">
                  <c:v>17.70000076293945</c:v>
                </c:pt>
                <c:pt idx="2809">
                  <c:v>17.090000152587891</c:v>
                </c:pt>
                <c:pt idx="2810">
                  <c:v>16.70000076293945</c:v>
                </c:pt>
                <c:pt idx="2811">
                  <c:v>16.860000610351559</c:v>
                </c:pt>
                <c:pt idx="2812">
                  <c:v>17.35000038146973</c:v>
                </c:pt>
                <c:pt idx="2813">
                  <c:v>18.670000076293949</c:v>
                </c:pt>
                <c:pt idx="2814">
                  <c:v>18.340000152587891</c:v>
                </c:pt>
                <c:pt idx="2815">
                  <c:v>18.04999923706055</c:v>
                </c:pt>
                <c:pt idx="2816">
                  <c:v>16.5</c:v>
                </c:pt>
                <c:pt idx="2817">
                  <c:v>16.920000076293949</c:v>
                </c:pt>
                <c:pt idx="2818">
                  <c:v>16.840000152587891</c:v>
                </c:pt>
                <c:pt idx="2819">
                  <c:v>14.989999771118161</c:v>
                </c:pt>
                <c:pt idx="2820">
                  <c:v>14.439999580383301</c:v>
                </c:pt>
                <c:pt idx="2821">
                  <c:v>14.02000045776367</c:v>
                </c:pt>
                <c:pt idx="2822">
                  <c:v>13.789999961853029</c:v>
                </c:pt>
                <c:pt idx="2823">
                  <c:v>14.170000076293951</c:v>
                </c:pt>
                <c:pt idx="2824">
                  <c:v>14.939999580383301</c:v>
                </c:pt>
                <c:pt idx="2825">
                  <c:v>14.739999771118161</c:v>
                </c:pt>
                <c:pt idx="2826">
                  <c:v>15.239999771118161</c:v>
                </c:pt>
                <c:pt idx="2827">
                  <c:v>13.819999694824221</c:v>
                </c:pt>
                <c:pt idx="2828">
                  <c:v>13.560000419616699</c:v>
                </c:pt>
                <c:pt idx="2829">
                  <c:v>13.94999980926514</c:v>
                </c:pt>
                <c:pt idx="2830">
                  <c:v>13.10000038146973</c:v>
                </c:pt>
                <c:pt idx="2831">
                  <c:v>14.11999988555908</c:v>
                </c:pt>
                <c:pt idx="2832">
                  <c:v>15.420000076293951</c:v>
                </c:pt>
                <c:pt idx="2833">
                  <c:v>14.090000152587891</c:v>
                </c:pt>
                <c:pt idx="2834">
                  <c:v>16.159999847412109</c:v>
                </c:pt>
                <c:pt idx="2835">
                  <c:v>15.35999965667725</c:v>
                </c:pt>
                <c:pt idx="2836">
                  <c:v>16.260000228881839</c:v>
                </c:pt>
                <c:pt idx="2837">
                  <c:v>14.85000038146973</c:v>
                </c:pt>
                <c:pt idx="2838">
                  <c:v>13.840000152587891</c:v>
                </c:pt>
                <c:pt idx="2839">
                  <c:v>13.72000026702881</c:v>
                </c:pt>
                <c:pt idx="2840">
                  <c:v>13.61999988555908</c:v>
                </c:pt>
                <c:pt idx="2841">
                  <c:v>13.35000038146973</c:v>
                </c:pt>
                <c:pt idx="2842">
                  <c:v>13.239999771118161</c:v>
                </c:pt>
                <c:pt idx="2843">
                  <c:v>13.27999973297119</c:v>
                </c:pt>
                <c:pt idx="2844">
                  <c:v>13.94999980926514</c:v>
                </c:pt>
                <c:pt idx="2845">
                  <c:v>13.22000026702881</c:v>
                </c:pt>
                <c:pt idx="2846">
                  <c:v>14.079999923706049</c:v>
                </c:pt>
                <c:pt idx="2847">
                  <c:v>13.960000038146971</c:v>
                </c:pt>
                <c:pt idx="2848">
                  <c:v>13.77000045776367</c:v>
                </c:pt>
                <c:pt idx="2849">
                  <c:v>15.22000026702881</c:v>
                </c:pt>
                <c:pt idx="2850">
                  <c:v>15.69999980926514</c:v>
                </c:pt>
                <c:pt idx="2851">
                  <c:v>14.680000305175779</c:v>
                </c:pt>
                <c:pt idx="2852">
                  <c:v>15.60000038146973</c:v>
                </c:pt>
                <c:pt idx="2853">
                  <c:v>16.04999923706055</c:v>
                </c:pt>
                <c:pt idx="2854">
                  <c:v>15.909999847412109</c:v>
                </c:pt>
                <c:pt idx="2855">
                  <c:v>14.72000026702881</c:v>
                </c:pt>
                <c:pt idx="2856">
                  <c:v>14.569999694824221</c:v>
                </c:pt>
                <c:pt idx="2857">
                  <c:v>13.63000011444092</c:v>
                </c:pt>
                <c:pt idx="2858">
                  <c:v>14.689999580383301</c:v>
                </c:pt>
                <c:pt idx="2859">
                  <c:v>14.409999847412109</c:v>
                </c:pt>
                <c:pt idx="2860">
                  <c:v>15.039999961853029</c:v>
                </c:pt>
                <c:pt idx="2861">
                  <c:v>14.680000305175779</c:v>
                </c:pt>
                <c:pt idx="2862">
                  <c:v>15.569999694824221</c:v>
                </c:pt>
                <c:pt idx="2863">
                  <c:v>15.94999980926514</c:v>
                </c:pt>
                <c:pt idx="2864">
                  <c:v>16.329999923706051</c:v>
                </c:pt>
                <c:pt idx="2865">
                  <c:v>15.19999980926514</c:v>
                </c:pt>
                <c:pt idx="2866">
                  <c:v>15.819999694824221</c:v>
                </c:pt>
                <c:pt idx="2867">
                  <c:v>14.420000076293951</c:v>
                </c:pt>
                <c:pt idx="2868">
                  <c:v>13.89999961853027</c:v>
                </c:pt>
                <c:pt idx="2869">
                  <c:v>13.430000305175779</c:v>
                </c:pt>
                <c:pt idx="2870">
                  <c:v>13.11999988555908</c:v>
                </c:pt>
                <c:pt idx="2871">
                  <c:v>14.189999580383301</c:v>
                </c:pt>
                <c:pt idx="2872">
                  <c:v>14.19999980926514</c:v>
                </c:pt>
                <c:pt idx="2873">
                  <c:v>13.63000011444092</c:v>
                </c:pt>
                <c:pt idx="2874">
                  <c:v>13.47000026702881</c:v>
                </c:pt>
                <c:pt idx="2875">
                  <c:v>13.64999961853027</c:v>
                </c:pt>
                <c:pt idx="2876">
                  <c:v>14.05000019073486</c:v>
                </c:pt>
                <c:pt idx="2877">
                  <c:v>14.079999923706049</c:v>
                </c:pt>
                <c:pt idx="2878">
                  <c:v>14.64000034332275</c:v>
                </c:pt>
                <c:pt idx="2879">
                  <c:v>17.030000686645511</c:v>
                </c:pt>
                <c:pt idx="2880">
                  <c:v>20.969999313354489</c:v>
                </c:pt>
                <c:pt idx="2881">
                  <c:v>20.5</c:v>
                </c:pt>
                <c:pt idx="2882">
                  <c:v>20.139999389648441</c:v>
                </c:pt>
                <c:pt idx="2883">
                  <c:v>19.370000839233398</c:v>
                </c:pt>
                <c:pt idx="2884">
                  <c:v>19.409999847412109</c:v>
                </c:pt>
                <c:pt idx="2885">
                  <c:v>18.370000839233398</c:v>
                </c:pt>
                <c:pt idx="2886">
                  <c:v>18.479999542236332</c:v>
                </c:pt>
                <c:pt idx="2887">
                  <c:v>21.170000076293949</c:v>
                </c:pt>
                <c:pt idx="2888">
                  <c:v>17.25</c:v>
                </c:pt>
                <c:pt idx="2889">
                  <c:v>25.760000228881839</c:v>
                </c:pt>
                <c:pt idx="2890">
                  <c:v>23.85000038146973</c:v>
                </c:pt>
                <c:pt idx="2891">
                  <c:v>18.75</c:v>
                </c:pt>
                <c:pt idx="2892">
                  <c:v>16.639999389648441</c:v>
                </c:pt>
                <c:pt idx="2893">
                  <c:v>15.63000011444092</c:v>
                </c:pt>
                <c:pt idx="2894">
                  <c:v>14.77000045776367</c:v>
                </c:pt>
                <c:pt idx="2895">
                  <c:v>15.579999923706049</c:v>
                </c:pt>
                <c:pt idx="2896">
                  <c:v>14.960000038146971</c:v>
                </c:pt>
                <c:pt idx="2897">
                  <c:v>14.760000228881839</c:v>
                </c:pt>
                <c:pt idx="2898">
                  <c:v>13.19999980926514</c:v>
                </c:pt>
                <c:pt idx="2899">
                  <c:v>13.539999961853029</c:v>
                </c:pt>
                <c:pt idx="2900">
                  <c:v>13.55000019073486</c:v>
                </c:pt>
                <c:pt idx="2901">
                  <c:v>13.039999961853029</c:v>
                </c:pt>
                <c:pt idx="2902">
                  <c:v>12.819999694824221</c:v>
                </c:pt>
                <c:pt idx="2903">
                  <c:v>12.670000076293951</c:v>
                </c:pt>
                <c:pt idx="2904">
                  <c:v>12.439999580383301</c:v>
                </c:pt>
                <c:pt idx="2905">
                  <c:v>11.97000026702881</c:v>
                </c:pt>
                <c:pt idx="2906">
                  <c:v>11.77000045776367</c:v>
                </c:pt>
                <c:pt idx="2907">
                  <c:v>12.739999771118161</c:v>
                </c:pt>
                <c:pt idx="2908">
                  <c:v>12.02000045776367</c:v>
                </c:pt>
                <c:pt idx="2909">
                  <c:v>12.86999988555908</c:v>
                </c:pt>
                <c:pt idx="2910">
                  <c:v>13.05000019073486</c:v>
                </c:pt>
                <c:pt idx="2911">
                  <c:v>12.829999923706049</c:v>
                </c:pt>
                <c:pt idx="2912">
                  <c:v>12.72000026702881</c:v>
                </c:pt>
                <c:pt idx="2913">
                  <c:v>11.86999988555908</c:v>
                </c:pt>
                <c:pt idx="2914">
                  <c:v>12.439999580383301</c:v>
                </c:pt>
                <c:pt idx="2915">
                  <c:v>13.36999988555908</c:v>
                </c:pt>
                <c:pt idx="2916">
                  <c:v>12.85999965667725</c:v>
                </c:pt>
                <c:pt idx="2917">
                  <c:v>12.420000076293951</c:v>
                </c:pt>
                <c:pt idx="2918">
                  <c:v>11.39000034332275</c:v>
                </c:pt>
                <c:pt idx="2919">
                  <c:v>11.5</c:v>
                </c:pt>
                <c:pt idx="2920">
                  <c:v>11.659999847412109</c:v>
                </c:pt>
                <c:pt idx="2921">
                  <c:v>12.05000019073486</c:v>
                </c:pt>
                <c:pt idx="2922">
                  <c:v>11.680000305175779</c:v>
                </c:pt>
                <c:pt idx="2923">
                  <c:v>11.55000019073486</c:v>
                </c:pt>
                <c:pt idx="2924">
                  <c:v>11.810000419616699</c:v>
                </c:pt>
                <c:pt idx="2925">
                  <c:v>12.64000034332275</c:v>
                </c:pt>
                <c:pt idx="2926">
                  <c:v>12.189999580383301</c:v>
                </c:pt>
                <c:pt idx="2927">
                  <c:v>11.430000305175779</c:v>
                </c:pt>
                <c:pt idx="2928">
                  <c:v>11.340000152587891</c:v>
                </c:pt>
                <c:pt idx="2929">
                  <c:v>12.27000045776367</c:v>
                </c:pt>
                <c:pt idx="2930">
                  <c:v>12.38000011444092</c:v>
                </c:pt>
                <c:pt idx="2931">
                  <c:v>13.44999980926514</c:v>
                </c:pt>
                <c:pt idx="2932">
                  <c:v>13.63000011444092</c:v>
                </c:pt>
                <c:pt idx="2933">
                  <c:v>13.64999961853027</c:v>
                </c:pt>
                <c:pt idx="2934">
                  <c:v>12.939999580383301</c:v>
                </c:pt>
                <c:pt idx="2935">
                  <c:v>13.11999988555908</c:v>
                </c:pt>
                <c:pt idx="2936">
                  <c:v>13.420000076293951</c:v>
                </c:pt>
                <c:pt idx="2937">
                  <c:v>13.47999954223633</c:v>
                </c:pt>
                <c:pt idx="2938">
                  <c:v>11.97999954223633</c:v>
                </c:pt>
                <c:pt idx="2939">
                  <c:v>12.02000045776367</c:v>
                </c:pt>
                <c:pt idx="2940">
                  <c:v>11.939999580383301</c:v>
                </c:pt>
                <c:pt idx="2941">
                  <c:v>12.510000228881839</c:v>
                </c:pt>
                <c:pt idx="2942">
                  <c:v>17.5</c:v>
                </c:pt>
                <c:pt idx="2943">
                  <c:v>15.159999847412109</c:v>
                </c:pt>
                <c:pt idx="2944">
                  <c:v>17.85000038146973</c:v>
                </c:pt>
                <c:pt idx="2945">
                  <c:v>18.139999389648441</c:v>
                </c:pt>
                <c:pt idx="2946">
                  <c:v>16.29999923706055</c:v>
                </c:pt>
                <c:pt idx="2947">
                  <c:v>15.36999988555908</c:v>
                </c:pt>
                <c:pt idx="2948">
                  <c:v>15.52999973297119</c:v>
                </c:pt>
                <c:pt idx="2949">
                  <c:v>15.920000076293951</c:v>
                </c:pt>
                <c:pt idx="2950">
                  <c:v>13.30000019073486</c:v>
                </c:pt>
                <c:pt idx="2951">
                  <c:v>12.02000045776367</c:v>
                </c:pt>
                <c:pt idx="2952">
                  <c:v>12.289999961853029</c:v>
                </c:pt>
                <c:pt idx="2953">
                  <c:v>14.5</c:v>
                </c:pt>
                <c:pt idx="2954">
                  <c:v>13.10000038146973</c:v>
                </c:pt>
                <c:pt idx="2955">
                  <c:v>12.39000034332275</c:v>
                </c:pt>
                <c:pt idx="2956">
                  <c:v>14.02000045776367</c:v>
                </c:pt>
                <c:pt idx="2957">
                  <c:v>13.289999961853029</c:v>
                </c:pt>
                <c:pt idx="2958">
                  <c:v>13.569999694824221</c:v>
                </c:pt>
                <c:pt idx="2959">
                  <c:v>13.63000011444092</c:v>
                </c:pt>
                <c:pt idx="2960">
                  <c:v>12.989999771118161</c:v>
                </c:pt>
                <c:pt idx="2961">
                  <c:v>12.840000152587891</c:v>
                </c:pt>
                <c:pt idx="2962">
                  <c:v>13.47999954223633</c:v>
                </c:pt>
                <c:pt idx="2963">
                  <c:v>13.38000011444092</c:v>
                </c:pt>
                <c:pt idx="2964">
                  <c:v>15.35999965667725</c:v>
                </c:pt>
                <c:pt idx="2965">
                  <c:v>15.909999847412109</c:v>
                </c:pt>
                <c:pt idx="2966">
                  <c:v>16.690000534057621</c:v>
                </c:pt>
                <c:pt idx="2967">
                  <c:v>16.120000839233398</c:v>
                </c:pt>
                <c:pt idx="2968">
                  <c:v>16.20999908447266</c:v>
                </c:pt>
                <c:pt idx="2969">
                  <c:v>15.27999973297119</c:v>
                </c:pt>
                <c:pt idx="2970">
                  <c:v>14.409999847412109</c:v>
                </c:pt>
                <c:pt idx="2971">
                  <c:v>13.75</c:v>
                </c:pt>
                <c:pt idx="2972">
                  <c:v>13.340000152587891</c:v>
                </c:pt>
                <c:pt idx="2973">
                  <c:v>13.02000045776367</c:v>
                </c:pt>
                <c:pt idx="2974">
                  <c:v>13.460000038146971</c:v>
                </c:pt>
                <c:pt idx="2975">
                  <c:v>14.239999771118161</c:v>
                </c:pt>
                <c:pt idx="2976">
                  <c:v>15.35999965667725</c:v>
                </c:pt>
                <c:pt idx="2977">
                  <c:v>16.190000534057621</c:v>
                </c:pt>
                <c:pt idx="2978">
                  <c:v>17.059999465942379</c:v>
                </c:pt>
                <c:pt idx="2979">
                  <c:v>18.559999465942379</c:v>
                </c:pt>
                <c:pt idx="2980">
                  <c:v>19.319999694824219</c:v>
                </c:pt>
                <c:pt idx="2981">
                  <c:v>22.079999923706051</c:v>
                </c:pt>
                <c:pt idx="2982">
                  <c:v>22.510000228881839</c:v>
                </c:pt>
                <c:pt idx="2983">
                  <c:v>18.70999908447266</c:v>
                </c:pt>
                <c:pt idx="2984">
                  <c:v>18.739999771118161</c:v>
                </c:pt>
                <c:pt idx="2985">
                  <c:v>14.38000011444092</c:v>
                </c:pt>
                <c:pt idx="2986">
                  <c:v>14.739999771118161</c:v>
                </c:pt>
                <c:pt idx="2987">
                  <c:v>14.170000076293951</c:v>
                </c:pt>
                <c:pt idx="2988">
                  <c:v>14.47999954223633</c:v>
                </c:pt>
                <c:pt idx="2989">
                  <c:v>13.36999988555908</c:v>
                </c:pt>
                <c:pt idx="2990">
                  <c:v>13.72000026702881</c:v>
                </c:pt>
                <c:pt idx="2991">
                  <c:v>13.35000038146973</c:v>
                </c:pt>
                <c:pt idx="2992">
                  <c:v>12.85000038146973</c:v>
                </c:pt>
                <c:pt idx="2993">
                  <c:v>12.420000076293951</c:v>
                </c:pt>
                <c:pt idx="2994">
                  <c:v>12.409999847412109</c:v>
                </c:pt>
                <c:pt idx="2995">
                  <c:v>12.430000305175779</c:v>
                </c:pt>
                <c:pt idx="2996">
                  <c:v>12.340000152587891</c:v>
                </c:pt>
                <c:pt idx="2997">
                  <c:v>13.14999961853027</c:v>
                </c:pt>
                <c:pt idx="2998">
                  <c:v>12.89999961853027</c:v>
                </c:pt>
                <c:pt idx="2999">
                  <c:v>13.329999923706049</c:v>
                </c:pt>
                <c:pt idx="3000">
                  <c:v>14.069999694824221</c:v>
                </c:pt>
                <c:pt idx="3001">
                  <c:v>14.11999988555908</c:v>
                </c:pt>
                <c:pt idx="3002">
                  <c:v>12.14000034332275</c:v>
                </c:pt>
                <c:pt idx="3003">
                  <c:v>11.789999961853029</c:v>
                </c:pt>
                <c:pt idx="3004">
                  <c:v>12.22000026702881</c:v>
                </c:pt>
                <c:pt idx="3005">
                  <c:v>12.64000034332275</c:v>
                </c:pt>
                <c:pt idx="3006">
                  <c:v>11.75</c:v>
                </c:pt>
                <c:pt idx="3007">
                  <c:v>12.64000034332275</c:v>
                </c:pt>
                <c:pt idx="3008">
                  <c:v>12.72000026702881</c:v>
                </c:pt>
                <c:pt idx="3009">
                  <c:v>13.189999580383301</c:v>
                </c:pt>
                <c:pt idx="3010">
                  <c:v>12.789999961853029</c:v>
                </c:pt>
                <c:pt idx="3011">
                  <c:v>12.19999980926514</c:v>
                </c:pt>
                <c:pt idx="3012">
                  <c:v>11.710000038146971</c:v>
                </c:pt>
                <c:pt idx="3013">
                  <c:v>11.44999980926514</c:v>
                </c:pt>
                <c:pt idx="3014">
                  <c:v>11.27000045776367</c:v>
                </c:pt>
                <c:pt idx="3015">
                  <c:v>11.430000305175779</c:v>
                </c:pt>
                <c:pt idx="3016">
                  <c:v>11.439999580383301</c:v>
                </c:pt>
                <c:pt idx="3017">
                  <c:v>11.989999771118161</c:v>
                </c:pt>
                <c:pt idx="3018">
                  <c:v>12.94999980926514</c:v>
                </c:pt>
                <c:pt idx="3019">
                  <c:v>13.36999988555908</c:v>
                </c:pt>
                <c:pt idx="3020">
                  <c:v>14.039999961853029</c:v>
                </c:pt>
                <c:pt idx="3021">
                  <c:v>12.85000038146973</c:v>
                </c:pt>
                <c:pt idx="3022">
                  <c:v>11.85000038146973</c:v>
                </c:pt>
                <c:pt idx="3023">
                  <c:v>11.670000076293951</c:v>
                </c:pt>
                <c:pt idx="3024">
                  <c:v>11.319999694824221</c:v>
                </c:pt>
                <c:pt idx="3025">
                  <c:v>11.560000419616699</c:v>
                </c:pt>
                <c:pt idx="3026">
                  <c:v>11.489999771118161</c:v>
                </c:pt>
                <c:pt idx="3027">
                  <c:v>11.260000228881839</c:v>
                </c:pt>
                <c:pt idx="3028">
                  <c:v>11.539999961853029</c:v>
                </c:pt>
                <c:pt idx="3029">
                  <c:v>11.22999954223633</c:v>
                </c:pt>
                <c:pt idx="3030">
                  <c:v>11.86999988555908</c:v>
                </c:pt>
                <c:pt idx="3031">
                  <c:v>12.47999954223633</c:v>
                </c:pt>
                <c:pt idx="3032">
                  <c:v>12.77999973297119</c:v>
                </c:pt>
                <c:pt idx="3033">
                  <c:v>11.539999961853029</c:v>
                </c:pt>
                <c:pt idx="3034">
                  <c:v>11.77000045776367</c:v>
                </c:pt>
                <c:pt idx="3035">
                  <c:v>11.069999694824221</c:v>
                </c:pt>
                <c:pt idx="3036">
                  <c:v>10.810000419616699</c:v>
                </c:pt>
                <c:pt idx="3037">
                  <c:v>10.63000011444092</c:v>
                </c:pt>
                <c:pt idx="3038">
                  <c:v>10.579999923706049</c:v>
                </c:pt>
                <c:pt idx="3039">
                  <c:v>11.88000011444092</c:v>
                </c:pt>
                <c:pt idx="3040">
                  <c:v>11.989999771118161</c:v>
                </c:pt>
                <c:pt idx="3041">
                  <c:v>11.810000419616699</c:v>
                </c:pt>
                <c:pt idx="3042">
                  <c:v>11.930000305175779</c:v>
                </c:pt>
                <c:pt idx="3043">
                  <c:v>10.97000026702881</c:v>
                </c:pt>
                <c:pt idx="3044">
                  <c:v>11.36999988555908</c:v>
                </c:pt>
                <c:pt idx="3045">
                  <c:v>11.289999961853029</c:v>
                </c:pt>
                <c:pt idx="3046">
                  <c:v>11.44999980926514</c:v>
                </c:pt>
                <c:pt idx="3047">
                  <c:v>10.88000011444092</c:v>
                </c:pt>
                <c:pt idx="3048">
                  <c:v>10.85000038146973</c:v>
                </c:pt>
                <c:pt idx="3049">
                  <c:v>11.069999694824221</c:v>
                </c:pt>
                <c:pt idx="3050">
                  <c:v>10.739999771118161</c:v>
                </c:pt>
                <c:pt idx="3051">
                  <c:v>11.97000026702881</c:v>
                </c:pt>
                <c:pt idx="3052">
                  <c:v>11.760000228881839</c:v>
                </c:pt>
                <c:pt idx="3053">
                  <c:v>11.489999771118161</c:v>
                </c:pt>
                <c:pt idx="3054">
                  <c:v>11.569999694824221</c:v>
                </c:pt>
                <c:pt idx="3055">
                  <c:v>11.739999771118161</c:v>
                </c:pt>
                <c:pt idx="3056">
                  <c:v>11.710000038146971</c:v>
                </c:pt>
                <c:pt idx="3057">
                  <c:v>11.47000026702881</c:v>
                </c:pt>
                <c:pt idx="3058">
                  <c:v>12.090000152587891</c:v>
                </c:pt>
                <c:pt idx="3059">
                  <c:v>12.920000076293951</c:v>
                </c:pt>
                <c:pt idx="3060">
                  <c:v>12.539999961853029</c:v>
                </c:pt>
                <c:pt idx="3061">
                  <c:v>11.810000419616699</c:v>
                </c:pt>
                <c:pt idx="3062">
                  <c:v>10.960000038146971</c:v>
                </c:pt>
                <c:pt idx="3063">
                  <c:v>11.239999771118161</c:v>
                </c:pt>
                <c:pt idx="3064">
                  <c:v>11.44999980926514</c:v>
                </c:pt>
                <c:pt idx="3065">
                  <c:v>11.85999965667725</c:v>
                </c:pt>
                <c:pt idx="3066">
                  <c:v>12.30000019073486</c:v>
                </c:pt>
                <c:pt idx="3067">
                  <c:v>11.659999847412109</c:v>
                </c:pt>
                <c:pt idx="3068">
                  <c:v>11.35000038146973</c:v>
                </c:pt>
                <c:pt idx="3069">
                  <c:v>12.30000019073486</c:v>
                </c:pt>
                <c:pt idx="3070">
                  <c:v>11.63000011444092</c:v>
                </c:pt>
                <c:pt idx="3071">
                  <c:v>11.210000038146971</c:v>
                </c:pt>
                <c:pt idx="3072">
                  <c:v>11.27999973297119</c:v>
                </c:pt>
                <c:pt idx="3073">
                  <c:v>11.340000152587891</c:v>
                </c:pt>
                <c:pt idx="3074">
                  <c:v>12.47000026702881</c:v>
                </c:pt>
                <c:pt idx="3075">
                  <c:v>12.810000419616699</c:v>
                </c:pt>
                <c:pt idx="3076">
                  <c:v>13.11999988555908</c:v>
                </c:pt>
                <c:pt idx="3077">
                  <c:v>12.960000038146971</c:v>
                </c:pt>
                <c:pt idx="3078">
                  <c:v>12.5</c:v>
                </c:pt>
                <c:pt idx="3079">
                  <c:v>11.52999973297119</c:v>
                </c:pt>
                <c:pt idx="3080">
                  <c:v>11.420000076293951</c:v>
                </c:pt>
                <c:pt idx="3081">
                  <c:v>11.539999961853029</c:v>
                </c:pt>
                <c:pt idx="3082">
                  <c:v>12.36999988555908</c:v>
                </c:pt>
                <c:pt idx="3083">
                  <c:v>12.38000011444092</c:v>
                </c:pt>
                <c:pt idx="3084">
                  <c:v>11.789999961853029</c:v>
                </c:pt>
                <c:pt idx="3085">
                  <c:v>12.89000034332275</c:v>
                </c:pt>
                <c:pt idx="3086">
                  <c:v>12.39000034332275</c:v>
                </c:pt>
                <c:pt idx="3087">
                  <c:v>12.86999988555908</c:v>
                </c:pt>
                <c:pt idx="3088">
                  <c:v>14.05000019073486</c:v>
                </c:pt>
                <c:pt idx="3089">
                  <c:v>15.069999694824221</c:v>
                </c:pt>
                <c:pt idx="3090">
                  <c:v>15.77000045776367</c:v>
                </c:pt>
                <c:pt idx="3091">
                  <c:v>15.960000038146971</c:v>
                </c:pt>
                <c:pt idx="3092">
                  <c:v>14.659999847412109</c:v>
                </c:pt>
                <c:pt idx="3093">
                  <c:v>14.420000076293951</c:v>
                </c:pt>
                <c:pt idx="3094">
                  <c:v>14.930000305175779</c:v>
                </c:pt>
                <c:pt idx="3095">
                  <c:v>14.14999961853027</c:v>
                </c:pt>
                <c:pt idx="3096">
                  <c:v>14.63000011444092</c:v>
                </c:pt>
                <c:pt idx="3097">
                  <c:v>10.840000152587891</c:v>
                </c:pt>
                <c:pt idx="3098">
                  <c:v>10.760000228881839</c:v>
                </c:pt>
                <c:pt idx="3099">
                  <c:v>10.85000038146973</c:v>
                </c:pt>
                <c:pt idx="3100">
                  <c:v>10.35999965667725</c:v>
                </c:pt>
                <c:pt idx="3101">
                  <c:v>10.819999694824221</c:v>
                </c:pt>
                <c:pt idx="3102">
                  <c:v>10.10999965667725</c:v>
                </c:pt>
                <c:pt idx="3103">
                  <c:v>10.590000152587891</c:v>
                </c:pt>
                <c:pt idx="3104">
                  <c:v>10.680000305175779</c:v>
                </c:pt>
                <c:pt idx="3105">
                  <c:v>10.460000038146971</c:v>
                </c:pt>
                <c:pt idx="3106">
                  <c:v>10.569999694824221</c:v>
                </c:pt>
                <c:pt idx="3107">
                  <c:v>9.7700004577636719</c:v>
                </c:pt>
                <c:pt idx="3108">
                  <c:v>9.9600000381469727</c:v>
                </c:pt>
                <c:pt idx="3109">
                  <c:v>10.210000038146971</c:v>
                </c:pt>
                <c:pt idx="3110">
                  <c:v>10.60000038146973</c:v>
                </c:pt>
                <c:pt idx="3111">
                  <c:v>10.39999961853027</c:v>
                </c:pt>
                <c:pt idx="3112">
                  <c:v>10.420000076293951</c:v>
                </c:pt>
                <c:pt idx="3113">
                  <c:v>10.64999961853027</c:v>
                </c:pt>
                <c:pt idx="3114">
                  <c:v>15.590000152587891</c:v>
                </c:pt>
                <c:pt idx="3115">
                  <c:v>14.659999847412109</c:v>
                </c:pt>
                <c:pt idx="3116">
                  <c:v>12.039999961853029</c:v>
                </c:pt>
                <c:pt idx="3117">
                  <c:v>10.930000305175779</c:v>
                </c:pt>
                <c:pt idx="3118">
                  <c:v>10.72000026702881</c:v>
                </c:pt>
                <c:pt idx="3119">
                  <c:v>10.02000045776367</c:v>
                </c:pt>
                <c:pt idx="3120">
                  <c:v>9.9899997711181641</c:v>
                </c:pt>
                <c:pt idx="3121">
                  <c:v>9.8100004196166992</c:v>
                </c:pt>
                <c:pt idx="3122">
                  <c:v>10.38000011444092</c:v>
                </c:pt>
                <c:pt idx="3123">
                  <c:v>10.409999847412109</c:v>
                </c:pt>
                <c:pt idx="3124">
                  <c:v>9.8900003433227539</c:v>
                </c:pt>
                <c:pt idx="3125">
                  <c:v>9.75</c:v>
                </c:pt>
                <c:pt idx="3126">
                  <c:v>10.069999694824221</c:v>
                </c:pt>
                <c:pt idx="3127">
                  <c:v>10.44999980926514</c:v>
                </c:pt>
                <c:pt idx="3128">
                  <c:v>10.39000034332275</c:v>
                </c:pt>
                <c:pt idx="3129">
                  <c:v>10.159999847412109</c:v>
                </c:pt>
                <c:pt idx="3130">
                  <c:v>10.69999980926514</c:v>
                </c:pt>
                <c:pt idx="3131">
                  <c:v>11.460000038146971</c:v>
                </c:pt>
                <c:pt idx="3132">
                  <c:v>10.420000076293951</c:v>
                </c:pt>
                <c:pt idx="3133">
                  <c:v>10.64000034332275</c:v>
                </c:pt>
                <c:pt idx="3134">
                  <c:v>10.89999961853027</c:v>
                </c:pt>
                <c:pt idx="3135">
                  <c:v>10.38000011444092</c:v>
                </c:pt>
                <c:pt idx="3136">
                  <c:v>10.36999988555908</c:v>
                </c:pt>
                <c:pt idx="3137">
                  <c:v>10.85999965667725</c:v>
                </c:pt>
                <c:pt idx="3138">
                  <c:v>10.75</c:v>
                </c:pt>
                <c:pt idx="3139">
                  <c:v>10.47999954223633</c:v>
                </c:pt>
                <c:pt idx="3140">
                  <c:v>10.02000045776367</c:v>
                </c:pt>
                <c:pt idx="3141">
                  <c:v>9.8999996185302734</c:v>
                </c:pt>
                <c:pt idx="3142">
                  <c:v>11.060000419616699</c:v>
                </c:pt>
                <c:pt idx="3143">
                  <c:v>10.02999973297119</c:v>
                </c:pt>
                <c:pt idx="3144">
                  <c:v>11.439999580383301</c:v>
                </c:pt>
                <c:pt idx="3145">
                  <c:v>11.180000305175779</c:v>
                </c:pt>
                <c:pt idx="3146">
                  <c:v>11.22000026702881</c:v>
                </c:pt>
                <c:pt idx="3147">
                  <c:v>11.069999694824221</c:v>
                </c:pt>
                <c:pt idx="3148">
                  <c:v>12.539999961853029</c:v>
                </c:pt>
                <c:pt idx="3149">
                  <c:v>11.189999580383301</c:v>
                </c:pt>
                <c:pt idx="3150">
                  <c:v>11.10999965667725</c:v>
                </c:pt>
                <c:pt idx="3151">
                  <c:v>10.89000034332275</c:v>
                </c:pt>
                <c:pt idx="3152">
                  <c:v>10.30000019073486</c:v>
                </c:pt>
                <c:pt idx="3153">
                  <c:v>9.8999996185302734</c:v>
                </c:pt>
                <c:pt idx="3154">
                  <c:v>9.5100002288818359</c:v>
                </c:pt>
                <c:pt idx="3155">
                  <c:v>9.8199996948242188</c:v>
                </c:pt>
                <c:pt idx="3156">
                  <c:v>9.8900003433227539</c:v>
                </c:pt>
                <c:pt idx="3157">
                  <c:v>9.7899999618530273</c:v>
                </c:pt>
                <c:pt idx="3158">
                  <c:v>9.5799999237060547</c:v>
                </c:pt>
                <c:pt idx="3159">
                  <c:v>9.3599996566772461</c:v>
                </c:pt>
                <c:pt idx="3160">
                  <c:v>9.4300003051757813</c:v>
                </c:pt>
                <c:pt idx="3161">
                  <c:v>9.4300003051757813</c:v>
                </c:pt>
                <c:pt idx="3162">
                  <c:v>9.6000003814697266</c:v>
                </c:pt>
                <c:pt idx="3163">
                  <c:v>10.10999965667725</c:v>
                </c:pt>
                <c:pt idx="3164">
                  <c:v>10.289999961853029</c:v>
                </c:pt>
                <c:pt idx="3165">
                  <c:v>10.260000228881839</c:v>
                </c:pt>
                <c:pt idx="3166">
                  <c:v>10.090000152587891</c:v>
                </c:pt>
                <c:pt idx="3167">
                  <c:v>10.27999973297119</c:v>
                </c:pt>
                <c:pt idx="3168">
                  <c:v>10.439999580383301</c:v>
                </c:pt>
                <c:pt idx="3169">
                  <c:v>10.02999973297119</c:v>
                </c:pt>
                <c:pt idx="3170">
                  <c:v>9.9300003051757813</c:v>
                </c:pt>
                <c:pt idx="3171">
                  <c:v>10.960000038146971</c:v>
                </c:pt>
                <c:pt idx="3172">
                  <c:v>11.10999965667725</c:v>
                </c:pt>
                <c:pt idx="3173">
                  <c:v>16.04000091552734</c:v>
                </c:pt>
                <c:pt idx="3174">
                  <c:v>15.510000228881839</c:v>
                </c:pt>
                <c:pt idx="3175">
                  <c:v>12.329999923706049</c:v>
                </c:pt>
                <c:pt idx="3176">
                  <c:v>12.039999961853029</c:v>
                </c:pt>
                <c:pt idx="3177">
                  <c:v>11.739999771118161</c:v>
                </c:pt>
                <c:pt idx="3178">
                  <c:v>15.55000019073486</c:v>
                </c:pt>
                <c:pt idx="3179">
                  <c:v>14.260000228881839</c:v>
                </c:pt>
                <c:pt idx="3180">
                  <c:v>13.189999580383301</c:v>
                </c:pt>
                <c:pt idx="3181">
                  <c:v>11.35000038146973</c:v>
                </c:pt>
                <c:pt idx="3182">
                  <c:v>12.25</c:v>
                </c:pt>
                <c:pt idx="3183">
                  <c:v>12.22999954223633</c:v>
                </c:pt>
                <c:pt idx="3184">
                  <c:v>11.27999973297119</c:v>
                </c:pt>
                <c:pt idx="3185">
                  <c:v>11.319999694824221</c:v>
                </c:pt>
                <c:pt idx="3186">
                  <c:v>11.69999980926514</c:v>
                </c:pt>
                <c:pt idx="3187">
                  <c:v>11.22000026702881</c:v>
                </c:pt>
                <c:pt idx="3188">
                  <c:v>10.590000152587891</c:v>
                </c:pt>
                <c:pt idx="3189">
                  <c:v>10.13000011444092</c:v>
                </c:pt>
                <c:pt idx="3190">
                  <c:v>12.22999954223633</c:v>
                </c:pt>
                <c:pt idx="3191">
                  <c:v>11.63000011444092</c:v>
                </c:pt>
                <c:pt idx="3192">
                  <c:v>11.55000019073486</c:v>
                </c:pt>
                <c:pt idx="3193">
                  <c:v>12.11999988555908</c:v>
                </c:pt>
                <c:pt idx="3194">
                  <c:v>10.72999954223633</c:v>
                </c:pt>
                <c:pt idx="3195">
                  <c:v>10.579999923706049</c:v>
                </c:pt>
                <c:pt idx="3196">
                  <c:v>10.5</c:v>
                </c:pt>
                <c:pt idx="3197">
                  <c:v>10.439999580383301</c:v>
                </c:pt>
                <c:pt idx="3198">
                  <c:v>10.170000076293951</c:v>
                </c:pt>
                <c:pt idx="3199">
                  <c:v>10.14999961853027</c:v>
                </c:pt>
                <c:pt idx="3200">
                  <c:v>10.180000305175779</c:v>
                </c:pt>
                <c:pt idx="3201">
                  <c:v>9.7799997329711914</c:v>
                </c:pt>
                <c:pt idx="3202">
                  <c:v>9.6700000762939453</c:v>
                </c:pt>
                <c:pt idx="3203">
                  <c:v>9.5900001525878906</c:v>
                </c:pt>
                <c:pt idx="3204">
                  <c:v>10.210000038146971</c:v>
                </c:pt>
                <c:pt idx="3205">
                  <c:v>10.170000076293951</c:v>
                </c:pt>
                <c:pt idx="3206">
                  <c:v>9.869999885559082</c:v>
                </c:pt>
                <c:pt idx="3207">
                  <c:v>9.5500001907348633</c:v>
                </c:pt>
                <c:pt idx="3208">
                  <c:v>9.5100002288818359</c:v>
                </c:pt>
                <c:pt idx="3209">
                  <c:v>9.4499998092651367</c:v>
                </c:pt>
                <c:pt idx="3210">
                  <c:v>9.5100002288818359</c:v>
                </c:pt>
                <c:pt idx="3211">
                  <c:v>9.630000114440918</c:v>
                </c:pt>
                <c:pt idx="3212">
                  <c:v>9.1899995803833008</c:v>
                </c:pt>
                <c:pt idx="3213">
                  <c:v>9.6499996185302734</c:v>
                </c:pt>
                <c:pt idx="3214">
                  <c:v>10.329999923706049</c:v>
                </c:pt>
                <c:pt idx="3215">
                  <c:v>10.079999923706049</c:v>
                </c:pt>
                <c:pt idx="3216">
                  <c:v>9.8500003814697266</c:v>
                </c:pt>
                <c:pt idx="3217">
                  <c:v>9.9099998474121094</c:v>
                </c:pt>
                <c:pt idx="3218">
                  <c:v>9.6099996566772461</c:v>
                </c:pt>
                <c:pt idx="3219">
                  <c:v>9.9099998474121094</c:v>
                </c:pt>
                <c:pt idx="3220">
                  <c:v>10.310000419616699</c:v>
                </c:pt>
                <c:pt idx="3221">
                  <c:v>10.069999694824221</c:v>
                </c:pt>
                <c:pt idx="3222">
                  <c:v>10.05000019073486</c:v>
                </c:pt>
                <c:pt idx="3223">
                  <c:v>9.9700002670288086</c:v>
                </c:pt>
                <c:pt idx="3224">
                  <c:v>11.069999694824221</c:v>
                </c:pt>
                <c:pt idx="3225">
                  <c:v>11.159999847412109</c:v>
                </c:pt>
                <c:pt idx="3226">
                  <c:v>11.22999954223633</c:v>
                </c:pt>
                <c:pt idx="3227">
                  <c:v>11.30000019073486</c:v>
                </c:pt>
                <c:pt idx="3228">
                  <c:v>9.8000001907348633</c:v>
                </c:pt>
                <c:pt idx="3229">
                  <c:v>10.5</c:v>
                </c:pt>
                <c:pt idx="3230">
                  <c:v>10.180000305175779</c:v>
                </c:pt>
                <c:pt idx="3231">
                  <c:v>10.19999980926514</c:v>
                </c:pt>
                <c:pt idx="3232">
                  <c:v>9.9300003051757813</c:v>
                </c:pt>
                <c:pt idx="3233">
                  <c:v>9.1400003433227539</c:v>
                </c:pt>
                <c:pt idx="3234">
                  <c:v>9.3999996185302734</c:v>
                </c:pt>
                <c:pt idx="3235">
                  <c:v>9.8900003433227539</c:v>
                </c:pt>
                <c:pt idx="3236">
                  <c:v>9.7799997329711914</c:v>
                </c:pt>
                <c:pt idx="3237">
                  <c:v>10.5</c:v>
                </c:pt>
                <c:pt idx="3238">
                  <c:v>11.289999961853029</c:v>
                </c:pt>
                <c:pt idx="3239">
                  <c:v>11.5</c:v>
                </c:pt>
                <c:pt idx="3240">
                  <c:v>11.590000152587891</c:v>
                </c:pt>
                <c:pt idx="3241">
                  <c:v>13.13000011444092</c:v>
                </c:pt>
                <c:pt idx="3242">
                  <c:v>11.760000228881839</c:v>
                </c:pt>
                <c:pt idx="3243">
                  <c:v>11.430000305175779</c:v>
                </c:pt>
                <c:pt idx="3244">
                  <c:v>10.64999961853027</c:v>
                </c:pt>
                <c:pt idx="3245">
                  <c:v>9.7299995422363281</c:v>
                </c:pt>
                <c:pt idx="3246">
                  <c:v>9.880000114440918</c:v>
                </c:pt>
                <c:pt idx="3247">
                  <c:v>9.6700000762939453</c:v>
                </c:pt>
                <c:pt idx="3248">
                  <c:v>9.869999885559082</c:v>
                </c:pt>
                <c:pt idx="3249">
                  <c:v>10.02999973297119</c:v>
                </c:pt>
                <c:pt idx="3250">
                  <c:v>10.69999980926514</c:v>
                </c:pt>
                <c:pt idx="3251">
                  <c:v>11.27999973297119</c:v>
                </c:pt>
                <c:pt idx="3252">
                  <c:v>11.430000305175779</c:v>
                </c:pt>
                <c:pt idx="3253">
                  <c:v>11.680000305175779</c:v>
                </c:pt>
                <c:pt idx="3254">
                  <c:v>11.329999923706049</c:v>
                </c:pt>
                <c:pt idx="3255">
                  <c:v>11.02000045776367</c:v>
                </c:pt>
                <c:pt idx="3256">
                  <c:v>10.159999847412109</c:v>
                </c:pt>
                <c:pt idx="3257">
                  <c:v>9.5799999237060547</c:v>
                </c:pt>
                <c:pt idx="3258">
                  <c:v>9.3400001525878906</c:v>
                </c:pt>
                <c:pt idx="3259">
                  <c:v>9.9200000762939453</c:v>
                </c:pt>
                <c:pt idx="3260">
                  <c:v>10.180000305175779</c:v>
                </c:pt>
                <c:pt idx="3261">
                  <c:v>10.489999771118161</c:v>
                </c:pt>
                <c:pt idx="3262">
                  <c:v>9.4200000762939453</c:v>
                </c:pt>
                <c:pt idx="3263">
                  <c:v>9.5299997329711914</c:v>
                </c:pt>
                <c:pt idx="3264">
                  <c:v>10.02999973297119</c:v>
                </c:pt>
                <c:pt idx="3265">
                  <c:v>9.7200002670288086</c:v>
                </c:pt>
                <c:pt idx="3266">
                  <c:v>9.619999885559082</c:v>
                </c:pt>
                <c:pt idx="3267">
                  <c:v>9.8999996185302734</c:v>
                </c:pt>
                <c:pt idx="3268">
                  <c:v>10.25</c:v>
                </c:pt>
                <c:pt idx="3269">
                  <c:v>10.47000026702881</c:v>
                </c:pt>
                <c:pt idx="3270">
                  <c:v>10.180000305175779</c:v>
                </c:pt>
                <c:pt idx="3271">
                  <c:v>11.039999961853029</c:v>
                </c:pt>
                <c:pt idx="3272">
                  <c:v>9.7700004577636719</c:v>
                </c:pt>
                <c:pt idx="3273">
                  <c:v>9.1499996185302734</c:v>
                </c:pt>
                <c:pt idx="3274">
                  <c:v>9.2200002670288086</c:v>
                </c:pt>
                <c:pt idx="3275">
                  <c:v>9.2200002670288086</c:v>
                </c:pt>
                <c:pt idx="3276">
                  <c:v>9.5200004577636719</c:v>
                </c:pt>
                <c:pt idx="3277">
                  <c:v>10.079999923706049</c:v>
                </c:pt>
                <c:pt idx="3278">
                  <c:v>9.8199996948242188</c:v>
                </c:pt>
                <c:pt idx="3279">
                  <c:v>9.880000114440918</c:v>
                </c:pt>
                <c:pt idx="3280">
                  <c:v>10.159999847412109</c:v>
                </c:pt>
                <c:pt idx="3281">
                  <c:v>11.659999847412109</c:v>
                </c:pt>
                <c:pt idx="3282">
                  <c:v>11.909999847412109</c:v>
                </c:pt>
                <c:pt idx="3283">
                  <c:v>12.22000026702881</c:v>
                </c:pt>
                <c:pt idx="3284">
                  <c:v>11.27000045776367</c:v>
                </c:pt>
                <c:pt idx="3285">
                  <c:v>11.02999973297119</c:v>
                </c:pt>
                <c:pt idx="3286">
                  <c:v>11.10000038146973</c:v>
                </c:pt>
                <c:pt idx="3287">
                  <c:v>11.47000026702881</c:v>
                </c:pt>
                <c:pt idx="3288">
                  <c:v>11.579999923706049</c:v>
                </c:pt>
                <c:pt idx="3289">
                  <c:v>11.079999923706049</c:v>
                </c:pt>
                <c:pt idx="3290">
                  <c:v>13.840000152587891</c:v>
                </c:pt>
                <c:pt idx="3291">
                  <c:v>14.789999961853029</c:v>
                </c:pt>
                <c:pt idx="3292">
                  <c:v>13.539999961853029</c:v>
                </c:pt>
                <c:pt idx="3293">
                  <c:v>13.47000026702881</c:v>
                </c:pt>
                <c:pt idx="3294">
                  <c:v>17.309999465942379</c:v>
                </c:pt>
                <c:pt idx="3295">
                  <c:v>37.319999694824219</c:v>
                </c:pt>
                <c:pt idx="3296">
                  <c:v>29.979999542236332</c:v>
                </c:pt>
                <c:pt idx="3297">
                  <c:v>27.729999542236332</c:v>
                </c:pt>
                <c:pt idx="3298">
                  <c:v>33.459999084472663</c:v>
                </c:pt>
                <c:pt idx="3299">
                  <c:v>29.059999465942379</c:v>
                </c:pt>
                <c:pt idx="3300">
                  <c:v>25.610000610351559</c:v>
                </c:pt>
                <c:pt idx="3301">
                  <c:v>24.969999313354489</c:v>
                </c:pt>
                <c:pt idx="3302">
                  <c:v>19.260000228881839</c:v>
                </c:pt>
                <c:pt idx="3303">
                  <c:v>19.129999160766602</c:v>
                </c:pt>
                <c:pt idx="3304">
                  <c:v>19.45999908447266</c:v>
                </c:pt>
                <c:pt idx="3305">
                  <c:v>20.60000038146973</c:v>
                </c:pt>
                <c:pt idx="3306">
                  <c:v>20.020000457763668</c:v>
                </c:pt>
                <c:pt idx="3307">
                  <c:v>18.719999313354489</c:v>
                </c:pt>
                <c:pt idx="3308">
                  <c:v>16.489999771118161</c:v>
                </c:pt>
                <c:pt idx="3309">
                  <c:v>15.80000019073486</c:v>
                </c:pt>
                <c:pt idx="3310">
                  <c:v>18.590000152587891</c:v>
                </c:pt>
                <c:pt idx="3311">
                  <c:v>19.85000038146973</c:v>
                </c:pt>
                <c:pt idx="3312">
                  <c:v>22.469999313354489</c:v>
                </c:pt>
                <c:pt idx="3313">
                  <c:v>19.590000152587891</c:v>
                </c:pt>
                <c:pt idx="3314">
                  <c:v>18.729999542236332</c:v>
                </c:pt>
                <c:pt idx="3315">
                  <c:v>18.360000610351559</c:v>
                </c:pt>
                <c:pt idx="3316">
                  <c:v>17.760000228881839</c:v>
                </c:pt>
                <c:pt idx="3317">
                  <c:v>16.54000091552734</c:v>
                </c:pt>
                <c:pt idx="3318">
                  <c:v>14.64000034332275</c:v>
                </c:pt>
                <c:pt idx="3319">
                  <c:v>15.77999973297119</c:v>
                </c:pt>
                <c:pt idx="3320">
                  <c:v>16.35000038146973</c:v>
                </c:pt>
                <c:pt idx="3321">
                  <c:v>17.229999542236332</c:v>
                </c:pt>
                <c:pt idx="3322">
                  <c:v>16.590000152587891</c:v>
                </c:pt>
                <c:pt idx="3323">
                  <c:v>15.80000019073486</c:v>
                </c:pt>
                <c:pt idx="3324">
                  <c:v>19.020000457763668</c:v>
                </c:pt>
                <c:pt idx="3325">
                  <c:v>18.20000076293945</c:v>
                </c:pt>
                <c:pt idx="3326">
                  <c:v>17.860000610351559</c:v>
                </c:pt>
                <c:pt idx="3327">
                  <c:v>23.340000152587891</c:v>
                </c:pt>
                <c:pt idx="3328">
                  <c:v>24.870000839233398</c:v>
                </c:pt>
                <c:pt idx="3329">
                  <c:v>21.030000686645511</c:v>
                </c:pt>
                <c:pt idx="3330">
                  <c:v>22.5</c:v>
                </c:pt>
                <c:pt idx="3331">
                  <c:v>22.870000839233398</c:v>
                </c:pt>
                <c:pt idx="3332">
                  <c:v>19.969999313354489</c:v>
                </c:pt>
                <c:pt idx="3333">
                  <c:v>23.620000839233398</c:v>
                </c:pt>
                <c:pt idx="3334">
                  <c:v>21.10000038146973</c:v>
                </c:pt>
                <c:pt idx="3335">
                  <c:v>20.059999465942379</c:v>
                </c:pt>
                <c:pt idx="3336">
                  <c:v>18.940000534057621</c:v>
                </c:pt>
                <c:pt idx="3337">
                  <c:v>21.489999771118161</c:v>
                </c:pt>
                <c:pt idx="3338">
                  <c:v>21.770000457763668</c:v>
                </c:pt>
                <c:pt idx="3339">
                  <c:v>20.469999313354489</c:v>
                </c:pt>
                <c:pt idx="3340">
                  <c:v>20.239999771118161</c:v>
                </c:pt>
                <c:pt idx="3341">
                  <c:v>18.489999771118161</c:v>
                </c:pt>
                <c:pt idx="3342">
                  <c:v>17.409999847412109</c:v>
                </c:pt>
                <c:pt idx="3343">
                  <c:v>16.559999465942379</c:v>
                </c:pt>
                <c:pt idx="3344">
                  <c:v>15.25</c:v>
                </c:pt>
                <c:pt idx="3345">
                  <c:v>15.60000038146973</c:v>
                </c:pt>
                <c:pt idx="3346">
                  <c:v>15.960000038146971</c:v>
                </c:pt>
                <c:pt idx="3347">
                  <c:v>16.879999160766602</c:v>
                </c:pt>
                <c:pt idx="3348">
                  <c:v>16.340000152587891</c:v>
                </c:pt>
                <c:pt idx="3349">
                  <c:v>18.020000457763668</c:v>
                </c:pt>
                <c:pt idx="3350">
                  <c:v>17.840000152587891</c:v>
                </c:pt>
                <c:pt idx="3351">
                  <c:v>16.239999771118161</c:v>
                </c:pt>
                <c:pt idx="3352">
                  <c:v>15.409999847412109</c:v>
                </c:pt>
                <c:pt idx="3353">
                  <c:v>15.930000305175779</c:v>
                </c:pt>
                <c:pt idx="3354">
                  <c:v>15.489999771118161</c:v>
                </c:pt>
                <c:pt idx="3355">
                  <c:v>15.97000026702881</c:v>
                </c:pt>
                <c:pt idx="3356">
                  <c:v>15.89999961853027</c:v>
                </c:pt>
                <c:pt idx="3357">
                  <c:v>14.77000045776367</c:v>
                </c:pt>
                <c:pt idx="3358">
                  <c:v>14.75</c:v>
                </c:pt>
                <c:pt idx="3359">
                  <c:v>14.710000038146971</c:v>
                </c:pt>
                <c:pt idx="3360">
                  <c:v>13.420000076293951</c:v>
                </c:pt>
                <c:pt idx="3361">
                  <c:v>13.22999954223633</c:v>
                </c:pt>
                <c:pt idx="3362">
                  <c:v>12.64999961853027</c:v>
                </c:pt>
                <c:pt idx="3363">
                  <c:v>12.930000305175779</c:v>
                </c:pt>
                <c:pt idx="3364">
                  <c:v>14.63000011444092</c:v>
                </c:pt>
                <c:pt idx="3365">
                  <c:v>13.420000076293951</c:v>
                </c:pt>
                <c:pt idx="3366">
                  <c:v>13.430000305175779</c:v>
                </c:pt>
                <c:pt idx="3367">
                  <c:v>13.420000076293951</c:v>
                </c:pt>
                <c:pt idx="3368">
                  <c:v>13.079999923706049</c:v>
                </c:pt>
                <c:pt idx="3369">
                  <c:v>13.22000026702881</c:v>
                </c:pt>
                <c:pt idx="3370">
                  <c:v>12.579999923706049</c:v>
                </c:pt>
                <c:pt idx="3371">
                  <c:v>12.52999973297119</c:v>
                </c:pt>
                <c:pt idx="3372">
                  <c:v>13.22000026702881</c:v>
                </c:pt>
                <c:pt idx="3373">
                  <c:v>17.020000457763668</c:v>
                </c:pt>
                <c:pt idx="3374">
                  <c:v>14.939999580383301</c:v>
                </c:pt>
                <c:pt idx="3375">
                  <c:v>15.430000305175779</c:v>
                </c:pt>
                <c:pt idx="3376">
                  <c:v>13.460000038146971</c:v>
                </c:pt>
                <c:pt idx="3377">
                  <c:v>12.739999771118161</c:v>
                </c:pt>
                <c:pt idx="3378">
                  <c:v>12.39999961853027</c:v>
                </c:pt>
                <c:pt idx="3379">
                  <c:v>11.64000034332275</c:v>
                </c:pt>
                <c:pt idx="3380">
                  <c:v>12.13000011444092</c:v>
                </c:pt>
                <c:pt idx="3381">
                  <c:v>12.180000305175779</c:v>
                </c:pt>
                <c:pt idx="3382">
                  <c:v>12.35000038146973</c:v>
                </c:pt>
                <c:pt idx="3383">
                  <c:v>12.340000152587891</c:v>
                </c:pt>
                <c:pt idx="3384">
                  <c:v>12.939999580383301</c:v>
                </c:pt>
                <c:pt idx="3385">
                  <c:v>12.11999988555908</c:v>
                </c:pt>
                <c:pt idx="3386">
                  <c:v>11.97999954223633</c:v>
                </c:pt>
                <c:pt idx="3387">
                  <c:v>12.310000419616699</c:v>
                </c:pt>
                <c:pt idx="3388">
                  <c:v>13.35000038146973</c:v>
                </c:pt>
                <c:pt idx="3389">
                  <c:v>12.789999961853029</c:v>
                </c:pt>
                <c:pt idx="3390">
                  <c:v>14.64000034332275</c:v>
                </c:pt>
                <c:pt idx="3391">
                  <c:v>13.77000045776367</c:v>
                </c:pt>
                <c:pt idx="3392">
                  <c:v>17.329999923706051</c:v>
                </c:pt>
                <c:pt idx="3393">
                  <c:v>15.920000076293951</c:v>
                </c:pt>
                <c:pt idx="3394">
                  <c:v>17.909999847412109</c:v>
                </c:pt>
                <c:pt idx="3395">
                  <c:v>16.85000038146973</c:v>
                </c:pt>
                <c:pt idx="3396">
                  <c:v>16.090000152587891</c:v>
                </c:pt>
                <c:pt idx="3397">
                  <c:v>15.60000038146973</c:v>
                </c:pt>
                <c:pt idx="3398">
                  <c:v>16.139999389648441</c:v>
                </c:pt>
                <c:pt idx="3399">
                  <c:v>14.97000026702881</c:v>
                </c:pt>
                <c:pt idx="3400">
                  <c:v>13.36999988555908</c:v>
                </c:pt>
                <c:pt idx="3401">
                  <c:v>12.689999580383301</c:v>
                </c:pt>
                <c:pt idx="3402">
                  <c:v>12.64000034332275</c:v>
                </c:pt>
                <c:pt idx="3403">
                  <c:v>13.63000011444092</c:v>
                </c:pt>
                <c:pt idx="3404">
                  <c:v>12.579999923706049</c:v>
                </c:pt>
                <c:pt idx="3405">
                  <c:v>12.180000305175779</c:v>
                </c:pt>
                <c:pt idx="3406">
                  <c:v>12.829999923706049</c:v>
                </c:pt>
                <c:pt idx="3407">
                  <c:v>12.060000419616699</c:v>
                </c:pt>
                <c:pt idx="3408">
                  <c:v>12.10000038146973</c:v>
                </c:pt>
                <c:pt idx="3409">
                  <c:v>12.86999988555908</c:v>
                </c:pt>
                <c:pt idx="3410">
                  <c:v>12.85999965667725</c:v>
                </c:pt>
                <c:pt idx="3411">
                  <c:v>12.61999988555908</c:v>
                </c:pt>
                <c:pt idx="3412">
                  <c:v>12.409999847412109</c:v>
                </c:pt>
                <c:pt idx="3413">
                  <c:v>12.289999961853029</c:v>
                </c:pt>
                <c:pt idx="3414">
                  <c:v>12.14000034332275</c:v>
                </c:pt>
                <c:pt idx="3415">
                  <c:v>13.02999973297119</c:v>
                </c:pt>
                <c:pt idx="3416">
                  <c:v>14.260000228881839</c:v>
                </c:pt>
                <c:pt idx="3417">
                  <c:v>12.829999923706049</c:v>
                </c:pt>
                <c:pt idx="3418">
                  <c:v>13.14999961853027</c:v>
                </c:pt>
                <c:pt idx="3419">
                  <c:v>12.189999580383301</c:v>
                </c:pt>
                <c:pt idx="3420">
                  <c:v>11.64000034332275</c:v>
                </c:pt>
                <c:pt idx="3421">
                  <c:v>11.27000045776367</c:v>
                </c:pt>
                <c:pt idx="3422">
                  <c:v>10.930000305175779</c:v>
                </c:pt>
                <c:pt idx="3423">
                  <c:v>10.85000038146973</c:v>
                </c:pt>
                <c:pt idx="3424">
                  <c:v>11.27000045776367</c:v>
                </c:pt>
                <c:pt idx="3425">
                  <c:v>13.159999847412109</c:v>
                </c:pt>
                <c:pt idx="3426">
                  <c:v>14.77999973297119</c:v>
                </c:pt>
                <c:pt idx="3427">
                  <c:v>13.310000419616699</c:v>
                </c:pt>
                <c:pt idx="3428">
                  <c:v>14.64000034332275</c:v>
                </c:pt>
                <c:pt idx="3429">
                  <c:v>13.44999980926514</c:v>
                </c:pt>
                <c:pt idx="3430">
                  <c:v>12.64000034332275</c:v>
                </c:pt>
                <c:pt idx="3431">
                  <c:v>12.489999771118161</c:v>
                </c:pt>
                <c:pt idx="3432">
                  <c:v>12.85999965667725</c:v>
                </c:pt>
                <c:pt idx="3433">
                  <c:v>12.25</c:v>
                </c:pt>
                <c:pt idx="3434">
                  <c:v>12.409999847412109</c:v>
                </c:pt>
                <c:pt idx="3435">
                  <c:v>11.989999771118161</c:v>
                </c:pt>
                <c:pt idx="3436">
                  <c:v>12.159999847412109</c:v>
                </c:pt>
                <c:pt idx="3437">
                  <c:v>12.5</c:v>
                </c:pt>
                <c:pt idx="3438">
                  <c:v>12.25</c:v>
                </c:pt>
                <c:pt idx="3439">
                  <c:v>13.52999973297119</c:v>
                </c:pt>
                <c:pt idx="3440">
                  <c:v>12.85999965667725</c:v>
                </c:pt>
                <c:pt idx="3441">
                  <c:v>13.159999847412109</c:v>
                </c:pt>
                <c:pt idx="3442">
                  <c:v>13.909999847412109</c:v>
                </c:pt>
                <c:pt idx="3443">
                  <c:v>14.64999961853027</c:v>
                </c:pt>
                <c:pt idx="3444">
                  <c:v>14.88000011444092</c:v>
                </c:pt>
                <c:pt idx="3445">
                  <c:v>14.159999847412109</c:v>
                </c:pt>
                <c:pt idx="3446">
                  <c:v>13.22000026702881</c:v>
                </c:pt>
                <c:pt idx="3447">
                  <c:v>13.14000034332275</c:v>
                </c:pt>
                <c:pt idx="3448">
                  <c:v>12.36999988555908</c:v>
                </c:pt>
                <c:pt idx="3449">
                  <c:v>12.069999694824221</c:v>
                </c:pt>
                <c:pt idx="3450">
                  <c:v>13.680000305175779</c:v>
                </c:pt>
                <c:pt idx="3451">
                  <c:v>12.789999961853029</c:v>
                </c:pt>
                <c:pt idx="3452">
                  <c:v>11.75</c:v>
                </c:pt>
                <c:pt idx="3453">
                  <c:v>11.80000019073486</c:v>
                </c:pt>
                <c:pt idx="3454">
                  <c:v>11.680000305175779</c:v>
                </c:pt>
                <c:pt idx="3455">
                  <c:v>12.19999980926514</c:v>
                </c:pt>
                <c:pt idx="3456">
                  <c:v>12.420000076293951</c:v>
                </c:pt>
                <c:pt idx="3457">
                  <c:v>12.89000034332275</c:v>
                </c:pt>
                <c:pt idx="3458">
                  <c:v>12.409999847412109</c:v>
                </c:pt>
                <c:pt idx="3459">
                  <c:v>12.11999988555908</c:v>
                </c:pt>
                <c:pt idx="3460">
                  <c:v>12</c:v>
                </c:pt>
                <c:pt idx="3461">
                  <c:v>12.05000019073486</c:v>
                </c:pt>
                <c:pt idx="3462">
                  <c:v>11.60999965667725</c:v>
                </c:pt>
                <c:pt idx="3463">
                  <c:v>14.22000026702881</c:v>
                </c:pt>
                <c:pt idx="3464">
                  <c:v>14.819999694824221</c:v>
                </c:pt>
                <c:pt idx="3465">
                  <c:v>15.689999580383301</c:v>
                </c:pt>
                <c:pt idx="3466">
                  <c:v>15.94999980926514</c:v>
                </c:pt>
                <c:pt idx="3467">
                  <c:v>22.95999908447266</c:v>
                </c:pt>
                <c:pt idx="3468">
                  <c:v>24.979999542236332</c:v>
                </c:pt>
                <c:pt idx="3469">
                  <c:v>21.309999465942379</c:v>
                </c:pt>
                <c:pt idx="3470">
                  <c:v>21.29999923706055</c:v>
                </c:pt>
                <c:pt idx="3471">
                  <c:v>17.620000839233398</c:v>
                </c:pt>
                <c:pt idx="3472">
                  <c:v>17.39999961853027</c:v>
                </c:pt>
                <c:pt idx="3473">
                  <c:v>20.059999465942379</c:v>
                </c:pt>
                <c:pt idx="3474">
                  <c:v>19.889999389648441</c:v>
                </c:pt>
                <c:pt idx="3475">
                  <c:v>19.639999389648441</c:v>
                </c:pt>
                <c:pt idx="3476">
                  <c:v>20.70999908447266</c:v>
                </c:pt>
                <c:pt idx="3477">
                  <c:v>25.229999542236332</c:v>
                </c:pt>
                <c:pt idx="3478">
                  <c:v>24.219999313354489</c:v>
                </c:pt>
                <c:pt idx="3479">
                  <c:v>24.159999847412109</c:v>
                </c:pt>
                <c:pt idx="3480">
                  <c:v>24.70000076293945</c:v>
                </c:pt>
                <c:pt idx="3481">
                  <c:v>23.35000038146973</c:v>
                </c:pt>
                <c:pt idx="3482">
                  <c:v>21.229999542236332</c:v>
                </c:pt>
                <c:pt idx="3483">
                  <c:v>19.340000152587891</c:v>
                </c:pt>
                <c:pt idx="3484">
                  <c:v>19.510000228881839</c:v>
                </c:pt>
                <c:pt idx="3485">
                  <c:v>19.95999908447266</c:v>
                </c:pt>
                <c:pt idx="3486">
                  <c:v>19.909999847412109</c:v>
                </c:pt>
                <c:pt idx="3487">
                  <c:v>16.360000610351559</c:v>
                </c:pt>
                <c:pt idx="3488">
                  <c:v>16.719999313354489</c:v>
                </c:pt>
                <c:pt idx="3489">
                  <c:v>17.360000610351559</c:v>
                </c:pt>
                <c:pt idx="3490">
                  <c:v>20.45000076293945</c:v>
                </c:pt>
                <c:pt idx="3491">
                  <c:v>20.020000457763668</c:v>
                </c:pt>
                <c:pt idx="3492">
                  <c:v>21.25</c:v>
                </c:pt>
                <c:pt idx="3493">
                  <c:v>19.979999542236332</c:v>
                </c:pt>
                <c:pt idx="3494">
                  <c:v>18.139999389648441</c:v>
                </c:pt>
                <c:pt idx="3495">
                  <c:v>20.10000038146973</c:v>
                </c:pt>
                <c:pt idx="3496">
                  <c:v>22.479999542236332</c:v>
                </c:pt>
                <c:pt idx="3497">
                  <c:v>20.79999923706055</c:v>
                </c:pt>
                <c:pt idx="3498">
                  <c:v>21.520000457763668</c:v>
                </c:pt>
                <c:pt idx="3499">
                  <c:v>18.89999961853027</c:v>
                </c:pt>
                <c:pt idx="3500">
                  <c:v>19.020000457763668</c:v>
                </c:pt>
                <c:pt idx="3501">
                  <c:v>18.489999771118161</c:v>
                </c:pt>
                <c:pt idx="3502">
                  <c:v>18.79000091552734</c:v>
                </c:pt>
                <c:pt idx="3503">
                  <c:v>18.069999694824219</c:v>
                </c:pt>
                <c:pt idx="3504">
                  <c:v>16.440000534057621</c:v>
                </c:pt>
                <c:pt idx="3505">
                  <c:v>20.739999771118161</c:v>
                </c:pt>
                <c:pt idx="3506">
                  <c:v>21.190000534057621</c:v>
                </c:pt>
                <c:pt idx="3507">
                  <c:v>23.229999542236332</c:v>
                </c:pt>
                <c:pt idx="3508">
                  <c:v>22.639999389648441</c:v>
                </c:pt>
                <c:pt idx="3509">
                  <c:v>21.760000228881839</c:v>
                </c:pt>
                <c:pt idx="3510">
                  <c:v>21.45999908447266</c:v>
                </c:pt>
                <c:pt idx="3511">
                  <c:v>20.64999961853027</c:v>
                </c:pt>
                <c:pt idx="3512">
                  <c:v>21.629999160766602</c:v>
                </c:pt>
                <c:pt idx="3513">
                  <c:v>24.520000457763668</c:v>
                </c:pt>
                <c:pt idx="3514">
                  <c:v>25.579999923706051</c:v>
                </c:pt>
                <c:pt idx="3515">
                  <c:v>25.579999923706051</c:v>
                </c:pt>
                <c:pt idx="3516">
                  <c:v>28.379999160766602</c:v>
                </c:pt>
                <c:pt idx="3517">
                  <c:v>30.110000610351559</c:v>
                </c:pt>
                <c:pt idx="3518">
                  <c:v>36.069999694824219</c:v>
                </c:pt>
                <c:pt idx="3519">
                  <c:v>30.409999847412109</c:v>
                </c:pt>
                <c:pt idx="3520">
                  <c:v>29.95999908447266</c:v>
                </c:pt>
                <c:pt idx="3521">
                  <c:v>28.340000152587891</c:v>
                </c:pt>
                <c:pt idx="3522">
                  <c:v>25.420000076293949</c:v>
                </c:pt>
                <c:pt idx="3523">
                  <c:v>23.219999313354489</c:v>
                </c:pt>
                <c:pt idx="3524">
                  <c:v>25.45000076293945</c:v>
                </c:pt>
                <c:pt idx="3525">
                  <c:v>21.379999160766602</c:v>
                </c:pt>
                <c:pt idx="3526">
                  <c:v>21.39999961853027</c:v>
                </c:pt>
                <c:pt idx="3527">
                  <c:v>20.469999313354489</c:v>
                </c:pt>
                <c:pt idx="3528">
                  <c:v>19.979999542236332</c:v>
                </c:pt>
                <c:pt idx="3529">
                  <c:v>19.5</c:v>
                </c:pt>
                <c:pt idx="3530">
                  <c:v>18.190000534057621</c:v>
                </c:pt>
                <c:pt idx="3531">
                  <c:v>19.069999694824219</c:v>
                </c:pt>
                <c:pt idx="3532">
                  <c:v>18.60000038146973</c:v>
                </c:pt>
                <c:pt idx="3533">
                  <c:v>19.04000091552734</c:v>
                </c:pt>
                <c:pt idx="3534">
                  <c:v>18.059999465942379</c:v>
                </c:pt>
                <c:pt idx="3535">
                  <c:v>17.79999923706055</c:v>
                </c:pt>
                <c:pt idx="3536">
                  <c:v>20.79999923706055</c:v>
                </c:pt>
                <c:pt idx="3537">
                  <c:v>19.520000457763668</c:v>
                </c:pt>
                <c:pt idx="3538">
                  <c:v>18.889999389648441</c:v>
                </c:pt>
                <c:pt idx="3539">
                  <c:v>17.420000076293949</c:v>
                </c:pt>
                <c:pt idx="3540">
                  <c:v>18.870000839233398</c:v>
                </c:pt>
                <c:pt idx="3541">
                  <c:v>19.129999160766602</c:v>
                </c:pt>
                <c:pt idx="3542">
                  <c:v>17.659999847412109</c:v>
                </c:pt>
                <c:pt idx="3543">
                  <c:v>16.569999694824219</c:v>
                </c:pt>
                <c:pt idx="3544">
                  <c:v>16.139999389648441</c:v>
                </c:pt>
                <c:pt idx="3545">
                  <c:v>15.72999954223633</c:v>
                </c:pt>
                <c:pt idx="3546">
                  <c:v>15.569999694824221</c:v>
                </c:pt>
                <c:pt idx="3547">
                  <c:v>15.38000011444092</c:v>
                </c:pt>
                <c:pt idx="3548">
                  <c:v>16.370000839233398</c:v>
                </c:pt>
                <c:pt idx="3549">
                  <c:v>15.72000026702881</c:v>
                </c:pt>
                <c:pt idx="3550">
                  <c:v>15.97000026702881</c:v>
                </c:pt>
                <c:pt idx="3551">
                  <c:v>15.430000305175779</c:v>
                </c:pt>
                <c:pt idx="3552">
                  <c:v>15.64999961853027</c:v>
                </c:pt>
                <c:pt idx="3553">
                  <c:v>16.219999313354489</c:v>
                </c:pt>
                <c:pt idx="3554">
                  <c:v>14.909999847412109</c:v>
                </c:pt>
                <c:pt idx="3555">
                  <c:v>14.88000011444092</c:v>
                </c:pt>
                <c:pt idx="3556">
                  <c:v>14.02000045776367</c:v>
                </c:pt>
                <c:pt idx="3557">
                  <c:v>14.460000038146971</c:v>
                </c:pt>
                <c:pt idx="3558">
                  <c:v>13.510000228881839</c:v>
                </c:pt>
                <c:pt idx="3559">
                  <c:v>14.85000038146973</c:v>
                </c:pt>
                <c:pt idx="3560">
                  <c:v>15.170000076293951</c:v>
                </c:pt>
                <c:pt idx="3561">
                  <c:v>14.69999980926514</c:v>
                </c:pt>
                <c:pt idx="3562">
                  <c:v>14.77999973297119</c:v>
                </c:pt>
                <c:pt idx="3563">
                  <c:v>13.569999694824221</c:v>
                </c:pt>
                <c:pt idx="3564">
                  <c:v>14.63000011444092</c:v>
                </c:pt>
                <c:pt idx="3565">
                  <c:v>14.739999771118161</c:v>
                </c:pt>
                <c:pt idx="3566">
                  <c:v>15.739999771118161</c:v>
                </c:pt>
                <c:pt idx="3567">
                  <c:v>16.590000152587891</c:v>
                </c:pt>
                <c:pt idx="3568">
                  <c:v>16.04999923706055</c:v>
                </c:pt>
                <c:pt idx="3569">
                  <c:v>14.329999923706049</c:v>
                </c:pt>
                <c:pt idx="3570">
                  <c:v>13.77000045776367</c:v>
                </c:pt>
                <c:pt idx="3571">
                  <c:v>13.409999847412109</c:v>
                </c:pt>
                <c:pt idx="3572">
                  <c:v>13.5</c:v>
                </c:pt>
                <c:pt idx="3573">
                  <c:v>12.88000011444092</c:v>
                </c:pt>
                <c:pt idx="3574">
                  <c:v>13.10000038146973</c:v>
                </c:pt>
                <c:pt idx="3575">
                  <c:v>13.560000419616699</c:v>
                </c:pt>
                <c:pt idx="3576">
                  <c:v>13.909999847412109</c:v>
                </c:pt>
                <c:pt idx="3577">
                  <c:v>13.63000011444092</c:v>
                </c:pt>
                <c:pt idx="3578">
                  <c:v>16.479999542236332</c:v>
                </c:pt>
                <c:pt idx="3579">
                  <c:v>16.329999923706051</c:v>
                </c:pt>
                <c:pt idx="3580">
                  <c:v>14.680000305175779</c:v>
                </c:pt>
                <c:pt idx="3581">
                  <c:v>15.14999961853027</c:v>
                </c:pt>
                <c:pt idx="3582">
                  <c:v>14.430000305175779</c:v>
                </c:pt>
                <c:pt idx="3583">
                  <c:v>13.710000038146971</c:v>
                </c:pt>
                <c:pt idx="3584">
                  <c:v>13.39999961853027</c:v>
                </c:pt>
                <c:pt idx="3585">
                  <c:v>13.35999965667725</c:v>
                </c:pt>
                <c:pt idx="3586">
                  <c:v>13.739999771118161</c:v>
                </c:pt>
                <c:pt idx="3587">
                  <c:v>13.579999923706049</c:v>
                </c:pt>
                <c:pt idx="3588">
                  <c:v>12.819999694824221</c:v>
                </c:pt>
                <c:pt idx="3589">
                  <c:v>13.180000305175779</c:v>
                </c:pt>
                <c:pt idx="3590">
                  <c:v>14.27999973297119</c:v>
                </c:pt>
                <c:pt idx="3591">
                  <c:v>13.30000019073486</c:v>
                </c:pt>
                <c:pt idx="3592">
                  <c:v>13.02000045776367</c:v>
                </c:pt>
                <c:pt idx="3593">
                  <c:v>12.010000228881839</c:v>
                </c:pt>
                <c:pt idx="3594">
                  <c:v>12.319999694824221</c:v>
                </c:pt>
                <c:pt idx="3595">
                  <c:v>12.180000305175779</c:v>
                </c:pt>
                <c:pt idx="3596">
                  <c:v>12.60000038146973</c:v>
                </c:pt>
                <c:pt idx="3597">
                  <c:v>12.090000152587891</c:v>
                </c:pt>
                <c:pt idx="3598">
                  <c:v>12.420000076293951</c:v>
                </c:pt>
                <c:pt idx="3599">
                  <c:v>12.27999973297119</c:v>
                </c:pt>
                <c:pt idx="3600">
                  <c:v>13.14000034332275</c:v>
                </c:pt>
                <c:pt idx="3601">
                  <c:v>13.25</c:v>
                </c:pt>
                <c:pt idx="3602">
                  <c:v>12.72999954223633</c:v>
                </c:pt>
                <c:pt idx="3603">
                  <c:v>13.10999965667725</c:v>
                </c:pt>
                <c:pt idx="3604">
                  <c:v>13.11999988555908</c:v>
                </c:pt>
                <c:pt idx="3605">
                  <c:v>14.80000019073486</c:v>
                </c:pt>
                <c:pt idx="3606">
                  <c:v>14.420000076293951</c:v>
                </c:pt>
                <c:pt idx="3607">
                  <c:v>12.86999988555908</c:v>
                </c:pt>
                <c:pt idx="3608">
                  <c:v>15.439999580383301</c:v>
                </c:pt>
                <c:pt idx="3609">
                  <c:v>19.319999694824219</c:v>
                </c:pt>
                <c:pt idx="3610">
                  <c:v>19.39999961853027</c:v>
                </c:pt>
                <c:pt idx="3611">
                  <c:v>19.10000038146973</c:v>
                </c:pt>
                <c:pt idx="3612">
                  <c:v>16.04000091552734</c:v>
                </c:pt>
                <c:pt idx="3613">
                  <c:v>20.54999923706055</c:v>
                </c:pt>
                <c:pt idx="3614">
                  <c:v>18.059999465942379</c:v>
                </c:pt>
                <c:pt idx="3615">
                  <c:v>16.440000534057621</c:v>
                </c:pt>
                <c:pt idx="3616">
                  <c:v>15.289999961853029</c:v>
                </c:pt>
                <c:pt idx="3617">
                  <c:v>15.960000038146971</c:v>
                </c:pt>
                <c:pt idx="3618">
                  <c:v>16.309999465942379</c:v>
                </c:pt>
                <c:pt idx="3619">
                  <c:v>14.94999980926514</c:v>
                </c:pt>
                <c:pt idx="3620">
                  <c:v>14.75</c:v>
                </c:pt>
                <c:pt idx="3621">
                  <c:v>16.920000076293949</c:v>
                </c:pt>
                <c:pt idx="3622">
                  <c:v>15.85000038146973</c:v>
                </c:pt>
                <c:pt idx="3623">
                  <c:v>17.5</c:v>
                </c:pt>
                <c:pt idx="3624">
                  <c:v>17.89999961853027</c:v>
                </c:pt>
                <c:pt idx="3625">
                  <c:v>17.29999923706055</c:v>
                </c:pt>
                <c:pt idx="3626">
                  <c:v>18.70999908447266</c:v>
                </c:pt>
                <c:pt idx="3627">
                  <c:v>18.860000610351559</c:v>
                </c:pt>
                <c:pt idx="3628">
                  <c:v>16.969999313354489</c:v>
                </c:pt>
                <c:pt idx="3629">
                  <c:v>16.090000152587891</c:v>
                </c:pt>
                <c:pt idx="3630">
                  <c:v>15.930000305175779</c:v>
                </c:pt>
                <c:pt idx="3631">
                  <c:v>16.29999923706055</c:v>
                </c:pt>
                <c:pt idx="3632">
                  <c:v>15.939999580383301</c:v>
                </c:pt>
                <c:pt idx="3633">
                  <c:v>15.989999771118161</c:v>
                </c:pt>
                <c:pt idx="3634">
                  <c:v>15.909999847412109</c:v>
                </c:pt>
                <c:pt idx="3635">
                  <c:v>15.819999694824221</c:v>
                </c:pt>
                <c:pt idx="3636">
                  <c:v>15.27999973297119</c:v>
                </c:pt>
                <c:pt idx="3637">
                  <c:v>15.35000038146973</c:v>
                </c:pt>
                <c:pt idx="3638">
                  <c:v>15.14999961853027</c:v>
                </c:pt>
                <c:pt idx="3639">
                  <c:v>14.329999923706049</c:v>
                </c:pt>
                <c:pt idx="3640">
                  <c:v>14.75</c:v>
                </c:pt>
                <c:pt idx="3641">
                  <c:v>15.39999961853027</c:v>
                </c:pt>
                <c:pt idx="3642">
                  <c:v>15.260000228881839</c:v>
                </c:pt>
                <c:pt idx="3643">
                  <c:v>16.280000686645511</c:v>
                </c:pt>
                <c:pt idx="3644">
                  <c:v>16.20999908447266</c:v>
                </c:pt>
                <c:pt idx="3645">
                  <c:v>15.819999694824221</c:v>
                </c:pt>
                <c:pt idx="3646">
                  <c:v>15.079999923706049</c:v>
                </c:pt>
                <c:pt idx="3647">
                  <c:v>14.060000419616699</c:v>
                </c:pt>
                <c:pt idx="3648">
                  <c:v>12.930000305175779</c:v>
                </c:pt>
                <c:pt idx="3649">
                  <c:v>12.569999694824221</c:v>
                </c:pt>
                <c:pt idx="3650">
                  <c:v>13.27999973297119</c:v>
                </c:pt>
                <c:pt idx="3651">
                  <c:v>13.960000038146971</c:v>
                </c:pt>
                <c:pt idx="3652">
                  <c:v>14.090000152587891</c:v>
                </c:pt>
                <c:pt idx="3653">
                  <c:v>13.02999973297119</c:v>
                </c:pt>
                <c:pt idx="3654">
                  <c:v>12.930000305175779</c:v>
                </c:pt>
                <c:pt idx="3655">
                  <c:v>12.39000034332275</c:v>
                </c:pt>
                <c:pt idx="3656">
                  <c:v>12.680000305175779</c:v>
                </c:pt>
                <c:pt idx="3657">
                  <c:v>12.85999965667725</c:v>
                </c:pt>
                <c:pt idx="3658">
                  <c:v>13.97000026702881</c:v>
                </c:pt>
                <c:pt idx="3659">
                  <c:v>13.52999973297119</c:v>
                </c:pt>
                <c:pt idx="3660">
                  <c:v>14.44999980926514</c:v>
                </c:pt>
                <c:pt idx="3661">
                  <c:v>13.52999973297119</c:v>
                </c:pt>
                <c:pt idx="3662">
                  <c:v>12.60999965667725</c:v>
                </c:pt>
                <c:pt idx="3663">
                  <c:v>12.069999694824221</c:v>
                </c:pt>
                <c:pt idx="3664">
                  <c:v>12.739999771118161</c:v>
                </c:pt>
                <c:pt idx="3665">
                  <c:v>12.159999847412109</c:v>
                </c:pt>
                <c:pt idx="3666">
                  <c:v>12.829999923706049</c:v>
                </c:pt>
                <c:pt idx="3667">
                  <c:v>13.939999580383301</c:v>
                </c:pt>
                <c:pt idx="3668">
                  <c:v>16.120000839233398</c:v>
                </c:pt>
                <c:pt idx="3669">
                  <c:v>17.870000839233398</c:v>
                </c:pt>
                <c:pt idx="3670">
                  <c:v>17.610000610351559</c:v>
                </c:pt>
                <c:pt idx="3671">
                  <c:v>24.590000152587891</c:v>
                </c:pt>
                <c:pt idx="3672">
                  <c:v>20.170000076293949</c:v>
                </c:pt>
                <c:pt idx="3673">
                  <c:v>19.489999771118161</c:v>
                </c:pt>
                <c:pt idx="3674">
                  <c:v>16.909999847412109</c:v>
                </c:pt>
                <c:pt idx="3675">
                  <c:v>17.969999313354489</c:v>
                </c:pt>
                <c:pt idx="3676">
                  <c:v>21.090000152587891</c:v>
                </c:pt>
                <c:pt idx="3677">
                  <c:v>17.520000457763668</c:v>
                </c:pt>
                <c:pt idx="3678">
                  <c:v>22.10000038146973</c:v>
                </c:pt>
                <c:pt idx="3679">
                  <c:v>21.180000305175781</c:v>
                </c:pt>
                <c:pt idx="3680">
                  <c:v>18.469999313354489</c:v>
                </c:pt>
                <c:pt idx="3681">
                  <c:v>16.879999160766602</c:v>
                </c:pt>
                <c:pt idx="3682">
                  <c:v>17.5</c:v>
                </c:pt>
                <c:pt idx="3683">
                  <c:v>15.80000019073486</c:v>
                </c:pt>
                <c:pt idx="3684">
                  <c:v>16.680000305175781</c:v>
                </c:pt>
                <c:pt idx="3685">
                  <c:v>19.870000839233398</c:v>
                </c:pt>
                <c:pt idx="3686">
                  <c:v>19.319999694824219</c:v>
                </c:pt>
                <c:pt idx="3687">
                  <c:v>20.309999465942379</c:v>
                </c:pt>
                <c:pt idx="3688">
                  <c:v>19.35000038146973</c:v>
                </c:pt>
                <c:pt idx="3689">
                  <c:v>17.879999160766602</c:v>
                </c:pt>
                <c:pt idx="3690">
                  <c:v>18.979999542236332</c:v>
                </c:pt>
                <c:pt idx="3691">
                  <c:v>19.659999847412109</c:v>
                </c:pt>
                <c:pt idx="3692">
                  <c:v>17.329999923706051</c:v>
                </c:pt>
                <c:pt idx="3693">
                  <c:v>16.270000457763668</c:v>
                </c:pt>
                <c:pt idx="3694">
                  <c:v>15</c:v>
                </c:pt>
                <c:pt idx="3695">
                  <c:v>15.27000045776367</c:v>
                </c:pt>
                <c:pt idx="3696">
                  <c:v>15.19999980926514</c:v>
                </c:pt>
                <c:pt idx="3697">
                  <c:v>14.60999965667725</c:v>
                </c:pt>
                <c:pt idx="3698">
                  <c:v>14.22000026702881</c:v>
                </c:pt>
                <c:pt idx="3699">
                  <c:v>13.739999771118161</c:v>
                </c:pt>
                <c:pt idx="3700">
                  <c:v>14.670000076293951</c:v>
                </c:pt>
                <c:pt idx="3701">
                  <c:v>14.439999580383301</c:v>
                </c:pt>
                <c:pt idx="3702">
                  <c:v>13.94999980926514</c:v>
                </c:pt>
                <c:pt idx="3703">
                  <c:v>14.05000019073486</c:v>
                </c:pt>
                <c:pt idx="3704">
                  <c:v>15.319999694824221</c:v>
                </c:pt>
                <c:pt idx="3705">
                  <c:v>14.909999847412109</c:v>
                </c:pt>
                <c:pt idx="3706">
                  <c:v>17.04999923706055</c:v>
                </c:pt>
                <c:pt idx="3707">
                  <c:v>15.960000038146971</c:v>
                </c:pt>
                <c:pt idx="3708">
                  <c:v>16.069999694824219</c:v>
                </c:pt>
                <c:pt idx="3709">
                  <c:v>17.219999313354489</c:v>
                </c:pt>
                <c:pt idx="3710">
                  <c:v>16.239999771118161</c:v>
                </c:pt>
                <c:pt idx="3711">
                  <c:v>18.559999465942379</c:v>
                </c:pt>
                <c:pt idx="3712">
                  <c:v>20.559999465942379</c:v>
                </c:pt>
                <c:pt idx="3713">
                  <c:v>19.120000839233398</c:v>
                </c:pt>
                <c:pt idx="3714">
                  <c:v>17.04000091552734</c:v>
                </c:pt>
                <c:pt idx="3715">
                  <c:v>17.860000610351559</c:v>
                </c:pt>
                <c:pt idx="3716">
                  <c:v>20.280000686645511</c:v>
                </c:pt>
                <c:pt idx="3717">
                  <c:v>18.639999389648441</c:v>
                </c:pt>
                <c:pt idx="3718">
                  <c:v>17.569999694824219</c:v>
                </c:pt>
                <c:pt idx="3719">
                  <c:v>15.579999923706049</c:v>
                </c:pt>
                <c:pt idx="3720">
                  <c:v>14.569999694824221</c:v>
                </c:pt>
                <c:pt idx="3721">
                  <c:v>13.539999961853029</c:v>
                </c:pt>
                <c:pt idx="3722">
                  <c:v>13.680000305175779</c:v>
                </c:pt>
                <c:pt idx="3723">
                  <c:v>13.789999961853029</c:v>
                </c:pt>
                <c:pt idx="3724">
                  <c:v>14.25</c:v>
                </c:pt>
                <c:pt idx="3725">
                  <c:v>14</c:v>
                </c:pt>
                <c:pt idx="3726">
                  <c:v>14.460000038146971</c:v>
                </c:pt>
                <c:pt idx="3727">
                  <c:v>14.010000228881839</c:v>
                </c:pt>
                <c:pt idx="3728">
                  <c:v>13.710000038146971</c:v>
                </c:pt>
                <c:pt idx="3729">
                  <c:v>12.64999961853027</c:v>
                </c:pt>
                <c:pt idx="3730">
                  <c:v>13.10999965667725</c:v>
                </c:pt>
                <c:pt idx="3731">
                  <c:v>13.19999980926514</c:v>
                </c:pt>
                <c:pt idx="3732">
                  <c:v>12.329999923706049</c:v>
                </c:pt>
                <c:pt idx="3733">
                  <c:v>13.22000026702881</c:v>
                </c:pt>
                <c:pt idx="3734">
                  <c:v>12.30000019073486</c:v>
                </c:pt>
                <c:pt idx="3735">
                  <c:v>12.829999923706049</c:v>
                </c:pt>
                <c:pt idx="3736">
                  <c:v>13.10000038146973</c:v>
                </c:pt>
                <c:pt idx="3737">
                  <c:v>12.61999988555908</c:v>
                </c:pt>
                <c:pt idx="3738">
                  <c:v>12.72999954223633</c:v>
                </c:pt>
                <c:pt idx="3739">
                  <c:v>12.069999694824221</c:v>
                </c:pt>
                <c:pt idx="3740">
                  <c:v>12.689999580383301</c:v>
                </c:pt>
                <c:pt idx="3741">
                  <c:v>12.680000305175779</c:v>
                </c:pt>
                <c:pt idx="3742">
                  <c:v>13</c:v>
                </c:pt>
                <c:pt idx="3743">
                  <c:v>13.05000019073486</c:v>
                </c:pt>
                <c:pt idx="3744">
                  <c:v>12.05000019073486</c:v>
                </c:pt>
                <c:pt idx="3745">
                  <c:v>12.460000038146971</c:v>
                </c:pt>
                <c:pt idx="3746">
                  <c:v>12.85999965667725</c:v>
                </c:pt>
                <c:pt idx="3747">
                  <c:v>12.77999973297119</c:v>
                </c:pt>
                <c:pt idx="3748">
                  <c:v>13.13000011444092</c:v>
                </c:pt>
                <c:pt idx="3749">
                  <c:v>12.340000152587891</c:v>
                </c:pt>
                <c:pt idx="3750">
                  <c:v>11.86999988555908</c:v>
                </c:pt>
                <c:pt idx="3751">
                  <c:v>11.539999961853029</c:v>
                </c:pt>
                <c:pt idx="3752">
                  <c:v>11.75</c:v>
                </c:pt>
                <c:pt idx="3753">
                  <c:v>12.61999988555908</c:v>
                </c:pt>
                <c:pt idx="3754">
                  <c:v>14.909999847412109</c:v>
                </c:pt>
                <c:pt idx="3755">
                  <c:v>15.960000038146971</c:v>
                </c:pt>
                <c:pt idx="3756">
                  <c:v>14.80000019073486</c:v>
                </c:pt>
                <c:pt idx="3757">
                  <c:v>14.52000045776367</c:v>
                </c:pt>
                <c:pt idx="3758">
                  <c:v>13.61999988555908</c:v>
                </c:pt>
                <c:pt idx="3759">
                  <c:v>15.85999965667725</c:v>
                </c:pt>
                <c:pt idx="3760">
                  <c:v>15.680000305175779</c:v>
                </c:pt>
                <c:pt idx="3761">
                  <c:v>14.989999771118161</c:v>
                </c:pt>
                <c:pt idx="3762">
                  <c:v>13.939999580383301</c:v>
                </c:pt>
                <c:pt idx="3763">
                  <c:v>12.63000011444092</c:v>
                </c:pt>
                <c:pt idx="3764">
                  <c:v>12.14000034332275</c:v>
                </c:pt>
                <c:pt idx="3765">
                  <c:v>12.289999961853029</c:v>
                </c:pt>
                <c:pt idx="3766">
                  <c:v>12.579999923706049</c:v>
                </c:pt>
                <c:pt idx="3767">
                  <c:v>12.5</c:v>
                </c:pt>
                <c:pt idx="3768">
                  <c:v>12.510000228881839</c:v>
                </c:pt>
                <c:pt idx="3769">
                  <c:v>12.60999965667725</c:v>
                </c:pt>
                <c:pt idx="3770">
                  <c:v>12.670000076293951</c:v>
                </c:pt>
                <c:pt idx="3771">
                  <c:v>12.64999961853027</c:v>
                </c:pt>
                <c:pt idx="3772">
                  <c:v>13.430000305175779</c:v>
                </c:pt>
                <c:pt idx="3773">
                  <c:v>14.819999694824221</c:v>
                </c:pt>
                <c:pt idx="3774">
                  <c:v>13.77999973297119</c:v>
                </c:pt>
                <c:pt idx="3775">
                  <c:v>12.47000026702881</c:v>
                </c:pt>
                <c:pt idx="3776">
                  <c:v>14.02000045776367</c:v>
                </c:pt>
                <c:pt idx="3777">
                  <c:v>13.85000038146973</c:v>
                </c:pt>
                <c:pt idx="3778">
                  <c:v>13.789999961853029</c:v>
                </c:pt>
                <c:pt idx="3779">
                  <c:v>13.44999980926514</c:v>
                </c:pt>
                <c:pt idx="3780">
                  <c:v>12.539999961853029</c:v>
                </c:pt>
                <c:pt idx="3781">
                  <c:v>12.560000419616699</c:v>
                </c:pt>
                <c:pt idx="3782">
                  <c:v>12.319999694824221</c:v>
                </c:pt>
                <c:pt idx="3783">
                  <c:v>12.39000034332275</c:v>
                </c:pt>
                <c:pt idx="3784">
                  <c:v>12.420000076293951</c:v>
                </c:pt>
                <c:pt idx="3785">
                  <c:v>12.319999694824221</c:v>
                </c:pt>
                <c:pt idx="3786">
                  <c:v>12.10000038146973</c:v>
                </c:pt>
                <c:pt idx="3787">
                  <c:v>12.85000038146973</c:v>
                </c:pt>
                <c:pt idx="3788">
                  <c:v>12.909999847412109</c:v>
                </c:pt>
                <c:pt idx="3789">
                  <c:v>12.97999954223633</c:v>
                </c:pt>
                <c:pt idx="3790">
                  <c:v>14.560000419616699</c:v>
                </c:pt>
                <c:pt idx="3791">
                  <c:v>18.229999542236332</c:v>
                </c:pt>
                <c:pt idx="3792">
                  <c:v>16.280000686645511</c:v>
                </c:pt>
                <c:pt idx="3793">
                  <c:v>16.389999389648441</c:v>
                </c:pt>
                <c:pt idx="3794">
                  <c:v>15.489999771118161</c:v>
                </c:pt>
                <c:pt idx="3795">
                  <c:v>18.840000152587891</c:v>
                </c:pt>
                <c:pt idx="3796">
                  <c:v>17.969999313354489</c:v>
                </c:pt>
                <c:pt idx="3797">
                  <c:v>16.04999923706055</c:v>
                </c:pt>
                <c:pt idx="3798">
                  <c:v>15.14999961853027</c:v>
                </c:pt>
                <c:pt idx="3799">
                  <c:v>14.960000038146971</c:v>
                </c:pt>
                <c:pt idx="3800">
                  <c:v>15.47000026702881</c:v>
                </c:pt>
                <c:pt idx="3801">
                  <c:v>15.039999961853029</c:v>
                </c:pt>
                <c:pt idx="3802">
                  <c:v>15.180000305175779</c:v>
                </c:pt>
                <c:pt idx="3803">
                  <c:v>13.739999771118161</c:v>
                </c:pt>
                <c:pt idx="3804">
                  <c:v>14.14999961853027</c:v>
                </c:pt>
                <c:pt idx="3805">
                  <c:v>13.680000305175779</c:v>
                </c:pt>
                <c:pt idx="3806">
                  <c:v>14.829999923706049</c:v>
                </c:pt>
                <c:pt idx="3807">
                  <c:v>14.38000011444092</c:v>
                </c:pt>
                <c:pt idx="3808">
                  <c:v>15.560000419616699</c:v>
                </c:pt>
                <c:pt idx="3809">
                  <c:v>17.079999923706051</c:v>
                </c:pt>
                <c:pt idx="3810">
                  <c:v>25.030000686645511</c:v>
                </c:pt>
                <c:pt idx="3811">
                  <c:v>27.85000038146973</c:v>
                </c:pt>
                <c:pt idx="3812">
                  <c:v>27.559999465942379</c:v>
                </c:pt>
                <c:pt idx="3813">
                  <c:v>39.159999847412109</c:v>
                </c:pt>
                <c:pt idx="3814">
                  <c:v>40.110000610351563</c:v>
                </c:pt>
                <c:pt idx="3815">
                  <c:v>33.419998168945313</c:v>
                </c:pt>
                <c:pt idx="3816">
                  <c:v>36.819999694824219</c:v>
                </c:pt>
                <c:pt idx="3817">
                  <c:v>31.989999771118161</c:v>
                </c:pt>
                <c:pt idx="3818">
                  <c:v>39.619998931884773</c:v>
                </c:pt>
                <c:pt idx="3819">
                  <c:v>41.939998626708977</c:v>
                </c:pt>
                <c:pt idx="3820">
                  <c:v>54.459999084472663</c:v>
                </c:pt>
                <c:pt idx="3821">
                  <c:v>47.299999237060547</c:v>
                </c:pt>
                <c:pt idx="3822">
                  <c:v>53.900001525878913</c:v>
                </c:pt>
                <c:pt idx="3823">
                  <c:v>75.470001220703125</c:v>
                </c:pt>
                <c:pt idx="3824">
                  <c:v>57.830001831054688</c:v>
                </c:pt>
                <c:pt idx="3825">
                  <c:v>82.69000244140625</c:v>
                </c:pt>
                <c:pt idx="3826">
                  <c:v>75.910003662109375</c:v>
                </c:pt>
                <c:pt idx="3827">
                  <c:v>76.449996948242188</c:v>
                </c:pt>
                <c:pt idx="3828">
                  <c:v>72</c:v>
                </c:pt>
                <c:pt idx="3829">
                  <c:v>66.040000915527344</c:v>
                </c:pt>
                <c:pt idx="3830">
                  <c:v>61.590000152587891</c:v>
                </c:pt>
                <c:pt idx="3831">
                  <c:v>61.669998168945313</c:v>
                </c:pt>
                <c:pt idx="3832">
                  <c:v>63.950000762939453</c:v>
                </c:pt>
                <c:pt idx="3833">
                  <c:v>61</c:v>
                </c:pt>
                <c:pt idx="3834">
                  <c:v>65.540000915527344</c:v>
                </c:pt>
                <c:pt idx="3835">
                  <c:v>57.080001831054688</c:v>
                </c:pt>
                <c:pt idx="3836">
                  <c:v>53.540000915527337</c:v>
                </c:pt>
                <c:pt idx="3837">
                  <c:v>57.060001373291023</c:v>
                </c:pt>
                <c:pt idx="3838">
                  <c:v>50.909999847412109</c:v>
                </c:pt>
                <c:pt idx="3839">
                  <c:v>46.799999237060547</c:v>
                </c:pt>
                <c:pt idx="3840">
                  <c:v>45.240001678466797</c:v>
                </c:pt>
                <c:pt idx="3841">
                  <c:v>46.700000762939453</c:v>
                </c:pt>
                <c:pt idx="3842">
                  <c:v>43.349998474121087</c:v>
                </c:pt>
                <c:pt idx="3843">
                  <c:v>41.669998168945313</c:v>
                </c:pt>
                <c:pt idx="3844">
                  <c:v>41.169998168945313</c:v>
                </c:pt>
                <c:pt idx="3845">
                  <c:v>37.759998321533203</c:v>
                </c:pt>
                <c:pt idx="3846">
                  <c:v>40.840000152587891</c:v>
                </c:pt>
                <c:pt idx="3847">
                  <c:v>40.110000610351563</c:v>
                </c:pt>
                <c:pt idx="3848">
                  <c:v>38.150001525878913</c:v>
                </c:pt>
                <c:pt idx="3849">
                  <c:v>43.830001831054688</c:v>
                </c:pt>
                <c:pt idx="3850">
                  <c:v>45.409999847412109</c:v>
                </c:pt>
                <c:pt idx="3851">
                  <c:v>41.979999542236328</c:v>
                </c:pt>
                <c:pt idx="3852">
                  <c:v>41.380001068115227</c:v>
                </c:pt>
                <c:pt idx="3853">
                  <c:v>35.930000305175781</c:v>
                </c:pt>
                <c:pt idx="3854">
                  <c:v>33.290000915527337</c:v>
                </c:pt>
                <c:pt idx="3855">
                  <c:v>33.569999694824219</c:v>
                </c:pt>
                <c:pt idx="3856">
                  <c:v>31.229999542236332</c:v>
                </c:pt>
                <c:pt idx="3857">
                  <c:v>34.150001525878913</c:v>
                </c:pt>
                <c:pt idx="3858">
                  <c:v>37.189998626708977</c:v>
                </c:pt>
                <c:pt idx="3859">
                  <c:v>35.970001220703118</c:v>
                </c:pt>
                <c:pt idx="3860">
                  <c:v>33.610000610351563</c:v>
                </c:pt>
                <c:pt idx="3861">
                  <c:v>34.119998931884773</c:v>
                </c:pt>
                <c:pt idx="3862">
                  <c:v>31.440000534057621</c:v>
                </c:pt>
                <c:pt idx="3863">
                  <c:v>27.979999542236332</c:v>
                </c:pt>
                <c:pt idx="3864">
                  <c:v>27.569999694824219</c:v>
                </c:pt>
                <c:pt idx="3865">
                  <c:v>33.040000915527337</c:v>
                </c:pt>
                <c:pt idx="3866">
                  <c:v>35.279998779296882</c:v>
                </c:pt>
                <c:pt idx="3867">
                  <c:v>32.610000610351563</c:v>
                </c:pt>
                <c:pt idx="3868">
                  <c:v>31.889999389648441</c:v>
                </c:pt>
                <c:pt idx="3869">
                  <c:v>29.29999923706055</c:v>
                </c:pt>
                <c:pt idx="3870">
                  <c:v>30.530000686645511</c:v>
                </c:pt>
                <c:pt idx="3871">
                  <c:v>27.989999771118161</c:v>
                </c:pt>
                <c:pt idx="3872">
                  <c:v>29.530000686645511</c:v>
                </c:pt>
                <c:pt idx="3873">
                  <c:v>28.159999847412109</c:v>
                </c:pt>
                <c:pt idx="3874">
                  <c:v>28.010000228881839</c:v>
                </c:pt>
                <c:pt idx="3875">
                  <c:v>27.620000839233398</c:v>
                </c:pt>
                <c:pt idx="3876">
                  <c:v>28.590000152587891</c:v>
                </c:pt>
                <c:pt idx="3877">
                  <c:v>27.510000228881839</c:v>
                </c:pt>
                <c:pt idx="3878">
                  <c:v>28.229999542236332</c:v>
                </c:pt>
                <c:pt idx="3879">
                  <c:v>26.840000152587891</c:v>
                </c:pt>
                <c:pt idx="3880">
                  <c:v>25.659999847412109</c:v>
                </c:pt>
                <c:pt idx="3881">
                  <c:v>25.809999465942379</c:v>
                </c:pt>
                <c:pt idx="3882">
                  <c:v>24.520000457763668</c:v>
                </c:pt>
                <c:pt idx="3883">
                  <c:v>25.809999465942379</c:v>
                </c:pt>
                <c:pt idx="3884">
                  <c:v>27.569999694824219</c:v>
                </c:pt>
                <c:pt idx="3885">
                  <c:v>27.569999694824219</c:v>
                </c:pt>
                <c:pt idx="3886">
                  <c:v>40.790000915527337</c:v>
                </c:pt>
                <c:pt idx="3887">
                  <c:v>36.090000152587891</c:v>
                </c:pt>
                <c:pt idx="3888">
                  <c:v>34.400001525878913</c:v>
                </c:pt>
                <c:pt idx="3889">
                  <c:v>33.669998168945313</c:v>
                </c:pt>
                <c:pt idx="3890">
                  <c:v>33.470001220703118</c:v>
                </c:pt>
                <c:pt idx="3891">
                  <c:v>32.939998626708977</c:v>
                </c:pt>
                <c:pt idx="3892">
                  <c:v>35.119998931884773</c:v>
                </c:pt>
                <c:pt idx="3893">
                  <c:v>31.770000457763668</c:v>
                </c:pt>
                <c:pt idx="3894">
                  <c:v>31.370000839233398</c:v>
                </c:pt>
                <c:pt idx="3895">
                  <c:v>33.840000152587891</c:v>
                </c:pt>
                <c:pt idx="3896">
                  <c:v>32.220001220703118</c:v>
                </c:pt>
                <c:pt idx="3897">
                  <c:v>34.729999542236328</c:v>
                </c:pt>
                <c:pt idx="3898">
                  <c:v>31.780000686645511</c:v>
                </c:pt>
                <c:pt idx="3899">
                  <c:v>30.430000305175781</c:v>
                </c:pt>
                <c:pt idx="3900">
                  <c:v>28.620000839233398</c:v>
                </c:pt>
                <c:pt idx="3901">
                  <c:v>27.680000305175781</c:v>
                </c:pt>
                <c:pt idx="3902">
                  <c:v>27.940000534057621</c:v>
                </c:pt>
                <c:pt idx="3903">
                  <c:v>29.430000305175781</c:v>
                </c:pt>
                <c:pt idx="3904">
                  <c:v>28.079999923706051</c:v>
                </c:pt>
                <c:pt idx="3905">
                  <c:v>29.260000228881839</c:v>
                </c:pt>
                <c:pt idx="3906">
                  <c:v>27.29000091552734</c:v>
                </c:pt>
                <c:pt idx="3907">
                  <c:v>32.189998626708977</c:v>
                </c:pt>
                <c:pt idx="3908">
                  <c:v>29.520000457763668</c:v>
                </c:pt>
                <c:pt idx="3909">
                  <c:v>27.760000228881839</c:v>
                </c:pt>
                <c:pt idx="3910">
                  <c:v>28</c:v>
                </c:pt>
                <c:pt idx="3911">
                  <c:v>25.680000305175781</c:v>
                </c:pt>
                <c:pt idx="3912">
                  <c:v>24.45999908447266</c:v>
                </c:pt>
                <c:pt idx="3913">
                  <c:v>24.840000152587891</c:v>
                </c:pt>
                <c:pt idx="3914">
                  <c:v>24.319999694824219</c:v>
                </c:pt>
                <c:pt idx="3915">
                  <c:v>26.079999923706051</c:v>
                </c:pt>
                <c:pt idx="3916">
                  <c:v>25.840000152587891</c:v>
                </c:pt>
                <c:pt idx="3917">
                  <c:v>24.739999771118161</c:v>
                </c:pt>
                <c:pt idx="3918">
                  <c:v>25.440000534057621</c:v>
                </c:pt>
                <c:pt idx="3919">
                  <c:v>24.10000038146973</c:v>
                </c:pt>
                <c:pt idx="3920">
                  <c:v>24.760000228881839</c:v>
                </c:pt>
                <c:pt idx="3921">
                  <c:v>24.45999908447266</c:v>
                </c:pt>
                <c:pt idx="3922">
                  <c:v>24.280000686645511</c:v>
                </c:pt>
                <c:pt idx="3923">
                  <c:v>23.760000228881839</c:v>
                </c:pt>
                <c:pt idx="3924">
                  <c:v>22.989999771118161</c:v>
                </c:pt>
                <c:pt idx="3925">
                  <c:v>22.64999961853027</c:v>
                </c:pt>
                <c:pt idx="3926">
                  <c:v>22.20999908447266</c:v>
                </c:pt>
                <c:pt idx="3927">
                  <c:v>22.129999160766602</c:v>
                </c:pt>
                <c:pt idx="3928">
                  <c:v>24.030000686645511</c:v>
                </c:pt>
                <c:pt idx="3929">
                  <c:v>22.280000686645511</c:v>
                </c:pt>
                <c:pt idx="3930">
                  <c:v>22.129999160766602</c:v>
                </c:pt>
                <c:pt idx="3931">
                  <c:v>22.04999923706055</c:v>
                </c:pt>
                <c:pt idx="3932">
                  <c:v>21.35000038146973</c:v>
                </c:pt>
                <c:pt idx="3933">
                  <c:v>21.510000228881839</c:v>
                </c:pt>
                <c:pt idx="3934">
                  <c:v>22.54000091552734</c:v>
                </c:pt>
                <c:pt idx="3935">
                  <c:v>22.719999313354489</c:v>
                </c:pt>
                <c:pt idx="3936">
                  <c:v>22.54000091552734</c:v>
                </c:pt>
                <c:pt idx="3937">
                  <c:v>22.370000839233398</c:v>
                </c:pt>
                <c:pt idx="3938">
                  <c:v>22.030000686645511</c:v>
                </c:pt>
                <c:pt idx="3939">
                  <c:v>23.270000457763668</c:v>
                </c:pt>
                <c:pt idx="3940">
                  <c:v>24.469999313354489</c:v>
                </c:pt>
                <c:pt idx="3941">
                  <c:v>22.95999908447266</c:v>
                </c:pt>
                <c:pt idx="3942">
                  <c:v>26.409999847412109</c:v>
                </c:pt>
                <c:pt idx="3943">
                  <c:v>26.120000839233398</c:v>
                </c:pt>
                <c:pt idx="3944">
                  <c:v>26.569999694824219</c:v>
                </c:pt>
                <c:pt idx="3945">
                  <c:v>33.599998474121087</c:v>
                </c:pt>
                <c:pt idx="3946">
                  <c:v>30.75</c:v>
                </c:pt>
                <c:pt idx="3947">
                  <c:v>31.45999908447266</c:v>
                </c:pt>
                <c:pt idx="3948">
                  <c:v>28.809999465942379</c:v>
                </c:pt>
                <c:pt idx="3949">
                  <c:v>29.70999908447266</c:v>
                </c:pt>
                <c:pt idx="3950">
                  <c:v>26.870000839233398</c:v>
                </c:pt>
                <c:pt idx="3951">
                  <c:v>25.85000038146973</c:v>
                </c:pt>
                <c:pt idx="3952">
                  <c:v>25.590000152587891</c:v>
                </c:pt>
                <c:pt idx="3953">
                  <c:v>26.04000091552734</c:v>
                </c:pt>
                <c:pt idx="3954">
                  <c:v>26.45999908447266</c:v>
                </c:pt>
                <c:pt idx="3955">
                  <c:v>25.829999923706051</c:v>
                </c:pt>
                <c:pt idx="3956">
                  <c:v>27.780000686645511</c:v>
                </c:pt>
                <c:pt idx="3957">
                  <c:v>26.860000610351559</c:v>
                </c:pt>
                <c:pt idx="3958">
                  <c:v>28.579999923706051</c:v>
                </c:pt>
                <c:pt idx="3959">
                  <c:v>28.510000228881839</c:v>
                </c:pt>
                <c:pt idx="3960">
                  <c:v>26.379999160766602</c:v>
                </c:pt>
                <c:pt idx="3961">
                  <c:v>26.190000534057621</c:v>
                </c:pt>
                <c:pt idx="3962">
                  <c:v>26.270000457763668</c:v>
                </c:pt>
                <c:pt idx="3963">
                  <c:v>26.370000839233398</c:v>
                </c:pt>
                <c:pt idx="3964">
                  <c:v>26.70000076293945</c:v>
                </c:pt>
                <c:pt idx="3965">
                  <c:v>27.629999160766602</c:v>
                </c:pt>
                <c:pt idx="3966">
                  <c:v>27.95999908447266</c:v>
                </c:pt>
                <c:pt idx="3967">
                  <c:v>29.479999542236332</c:v>
                </c:pt>
                <c:pt idx="3968">
                  <c:v>28.059999465942379</c:v>
                </c:pt>
                <c:pt idx="3969">
                  <c:v>26.360000610351559</c:v>
                </c:pt>
                <c:pt idx="3970">
                  <c:v>25</c:v>
                </c:pt>
                <c:pt idx="3971">
                  <c:v>25.069999694824219</c:v>
                </c:pt>
                <c:pt idx="3972">
                  <c:v>26.069999694824219</c:v>
                </c:pt>
                <c:pt idx="3973">
                  <c:v>26.39999961853027</c:v>
                </c:pt>
                <c:pt idx="3974">
                  <c:v>26.969999313354489</c:v>
                </c:pt>
                <c:pt idx="3975">
                  <c:v>27.409999847412109</c:v>
                </c:pt>
                <c:pt idx="3976">
                  <c:v>29.180000305175781</c:v>
                </c:pt>
                <c:pt idx="3977">
                  <c:v>29.35000038146973</c:v>
                </c:pt>
                <c:pt idx="3978">
                  <c:v>28.64999961853027</c:v>
                </c:pt>
                <c:pt idx="3979">
                  <c:v>28.110000610351559</c:v>
                </c:pt>
                <c:pt idx="3980">
                  <c:v>27.54999923706055</c:v>
                </c:pt>
                <c:pt idx="3981">
                  <c:v>32.459999084472663</c:v>
                </c:pt>
                <c:pt idx="3982">
                  <c:v>33.349998474121087</c:v>
                </c:pt>
                <c:pt idx="3983">
                  <c:v>40.279998779296882</c:v>
                </c:pt>
                <c:pt idx="3984">
                  <c:v>37.590000152587891</c:v>
                </c:pt>
                <c:pt idx="3985">
                  <c:v>38.020000457763672</c:v>
                </c:pt>
                <c:pt idx="3986">
                  <c:v>37.130001068115227</c:v>
                </c:pt>
                <c:pt idx="3987">
                  <c:v>35.549999237060547</c:v>
                </c:pt>
                <c:pt idx="3988">
                  <c:v>29.569999694824219</c:v>
                </c:pt>
                <c:pt idx="3989">
                  <c:v>27.579999923706051</c:v>
                </c:pt>
                <c:pt idx="3990">
                  <c:v>24.860000610351559</c:v>
                </c:pt>
                <c:pt idx="3991">
                  <c:v>25.75</c:v>
                </c:pt>
                <c:pt idx="3992">
                  <c:v>24.79999923706055</c:v>
                </c:pt>
                <c:pt idx="3993">
                  <c:v>23.45000076293945</c:v>
                </c:pt>
                <c:pt idx="3994">
                  <c:v>25.35000038146973</c:v>
                </c:pt>
                <c:pt idx="3995">
                  <c:v>23.10000038146973</c:v>
                </c:pt>
                <c:pt idx="3996">
                  <c:v>22.45000076293945</c:v>
                </c:pt>
                <c:pt idx="3997">
                  <c:v>22.70999908447266</c:v>
                </c:pt>
                <c:pt idx="3998">
                  <c:v>23.840000152587891</c:v>
                </c:pt>
                <c:pt idx="3999">
                  <c:v>23.110000610351559</c:v>
                </c:pt>
                <c:pt idx="4000">
                  <c:v>23.70000076293945</c:v>
                </c:pt>
                <c:pt idx="4001">
                  <c:v>22.659999847412109</c:v>
                </c:pt>
                <c:pt idx="4002">
                  <c:v>21.639999389648441</c:v>
                </c:pt>
                <c:pt idx="4003">
                  <c:v>21.25</c:v>
                </c:pt>
                <c:pt idx="4004">
                  <c:v>20.840000152587891</c:v>
                </c:pt>
                <c:pt idx="4005">
                  <c:v>20.569999694824219</c:v>
                </c:pt>
                <c:pt idx="4006">
                  <c:v>20.770000457763668</c:v>
                </c:pt>
                <c:pt idx="4007">
                  <c:v>21.170000076293949</c:v>
                </c:pt>
                <c:pt idx="4008">
                  <c:v>21.280000686645511</c:v>
                </c:pt>
                <c:pt idx="4009">
                  <c:v>20.79000091552734</c:v>
                </c:pt>
                <c:pt idx="4010">
                  <c:v>21.29999923706055</c:v>
                </c:pt>
                <c:pt idx="4011">
                  <c:v>20.680000305175781</c:v>
                </c:pt>
                <c:pt idx="4012">
                  <c:v>22.270000457763668</c:v>
                </c:pt>
                <c:pt idx="4013">
                  <c:v>22.520000457763668</c:v>
                </c:pt>
                <c:pt idx="4014">
                  <c:v>23.309999465942379</c:v>
                </c:pt>
                <c:pt idx="4015">
                  <c:v>24.719999313354489</c:v>
                </c:pt>
                <c:pt idx="4016">
                  <c:v>22.889999389648441</c:v>
                </c:pt>
                <c:pt idx="4017">
                  <c:v>22.5</c:v>
                </c:pt>
                <c:pt idx="4018">
                  <c:v>21.930000305175781</c:v>
                </c:pt>
                <c:pt idx="4019">
                  <c:v>21.569999694824219</c:v>
                </c:pt>
                <c:pt idx="4020">
                  <c:v>25.159999847412109</c:v>
                </c:pt>
                <c:pt idx="4021">
                  <c:v>24.229999542236332</c:v>
                </c:pt>
                <c:pt idx="4022">
                  <c:v>23.309999465942379</c:v>
                </c:pt>
                <c:pt idx="4023">
                  <c:v>21.530000686645511</c:v>
                </c:pt>
                <c:pt idx="4024">
                  <c:v>21.70000076293945</c:v>
                </c:pt>
                <c:pt idx="4025">
                  <c:v>23.079999923706051</c:v>
                </c:pt>
                <c:pt idx="4026">
                  <c:v>22.770000457763668</c:v>
                </c:pt>
                <c:pt idx="4027">
                  <c:v>22.75</c:v>
                </c:pt>
                <c:pt idx="4028">
                  <c:v>26.969999313354489</c:v>
                </c:pt>
                <c:pt idx="4029">
                  <c:v>25.340000152587891</c:v>
                </c:pt>
                <c:pt idx="4030">
                  <c:v>25.069999694824219</c:v>
                </c:pt>
                <c:pt idx="4031">
                  <c:v>22.370000839233398</c:v>
                </c:pt>
                <c:pt idx="4032">
                  <c:v>21.559999465942379</c:v>
                </c:pt>
                <c:pt idx="4033">
                  <c:v>24.079999923706051</c:v>
                </c:pt>
                <c:pt idx="4034">
                  <c:v>23.329999923706051</c:v>
                </c:pt>
                <c:pt idx="4035">
                  <c:v>22.20999908447266</c:v>
                </c:pt>
                <c:pt idx="4036">
                  <c:v>23.25</c:v>
                </c:pt>
                <c:pt idx="4037">
                  <c:v>24.340000152587891</c:v>
                </c:pt>
                <c:pt idx="4038">
                  <c:v>23.239999771118161</c:v>
                </c:pt>
                <c:pt idx="4039">
                  <c:v>21.579999923706051</c:v>
                </c:pt>
                <c:pt idx="4040">
                  <c:v>21.319999694824219</c:v>
                </c:pt>
                <c:pt idx="4041">
                  <c:v>21.909999847412109</c:v>
                </c:pt>
                <c:pt idx="4042">
                  <c:v>23.190000534057621</c:v>
                </c:pt>
                <c:pt idx="4043">
                  <c:v>23.020000457763668</c:v>
                </c:pt>
                <c:pt idx="4044">
                  <c:v>37.209999084472663</c:v>
                </c:pt>
                <c:pt idx="4045">
                  <c:v>30.20999908447266</c:v>
                </c:pt>
                <c:pt idx="4046">
                  <c:v>33.090000152587891</c:v>
                </c:pt>
                <c:pt idx="4047">
                  <c:v>30.239999771118161</c:v>
                </c:pt>
                <c:pt idx="4048">
                  <c:v>25.559999465942379</c:v>
                </c:pt>
                <c:pt idx="4049">
                  <c:v>22.909999847412109</c:v>
                </c:pt>
                <c:pt idx="4050">
                  <c:v>21.770000457763668</c:v>
                </c:pt>
                <c:pt idx="4051">
                  <c:v>20.870000839233398</c:v>
                </c:pt>
                <c:pt idx="4052">
                  <c:v>21.239999771118161</c:v>
                </c:pt>
                <c:pt idx="4053">
                  <c:v>21.629999160766602</c:v>
                </c:pt>
                <c:pt idx="4054">
                  <c:v>21.989999771118161</c:v>
                </c:pt>
                <c:pt idx="4055">
                  <c:v>21.25</c:v>
                </c:pt>
                <c:pt idx="4056">
                  <c:v>19.969999313354489</c:v>
                </c:pt>
                <c:pt idx="4057">
                  <c:v>21.45999908447266</c:v>
                </c:pt>
                <c:pt idx="4058">
                  <c:v>21.5</c:v>
                </c:pt>
                <c:pt idx="4059">
                  <c:v>22.489999771118161</c:v>
                </c:pt>
                <c:pt idx="4060">
                  <c:v>22.04999923706055</c:v>
                </c:pt>
                <c:pt idx="4061">
                  <c:v>23.45000076293945</c:v>
                </c:pt>
                <c:pt idx="4062">
                  <c:v>23.110000610351559</c:v>
                </c:pt>
                <c:pt idx="4063">
                  <c:v>21.340000152587891</c:v>
                </c:pt>
                <c:pt idx="4064">
                  <c:v>28.889999389648441</c:v>
                </c:pt>
                <c:pt idx="4065">
                  <c:v>27.95000076293945</c:v>
                </c:pt>
                <c:pt idx="4066">
                  <c:v>23.35000038146973</c:v>
                </c:pt>
                <c:pt idx="4067">
                  <c:v>24.10000038146973</c:v>
                </c:pt>
                <c:pt idx="4068">
                  <c:v>26.670000076293949</c:v>
                </c:pt>
                <c:pt idx="4069">
                  <c:v>28.569999694824219</c:v>
                </c:pt>
                <c:pt idx="4070">
                  <c:v>24.659999847412109</c:v>
                </c:pt>
                <c:pt idx="4071">
                  <c:v>25.469999313354489</c:v>
                </c:pt>
                <c:pt idx="4072">
                  <c:v>24.030000686645511</c:v>
                </c:pt>
                <c:pt idx="4073">
                  <c:v>22.559999465942379</c:v>
                </c:pt>
                <c:pt idx="4074">
                  <c:v>21.909999847412109</c:v>
                </c:pt>
                <c:pt idx="4075">
                  <c:v>20.690000534057621</c:v>
                </c:pt>
                <c:pt idx="4076">
                  <c:v>20.030000686645511</c:v>
                </c:pt>
                <c:pt idx="4077">
                  <c:v>19.79000091552734</c:v>
                </c:pt>
                <c:pt idx="4078">
                  <c:v>19.229999542236332</c:v>
                </c:pt>
                <c:pt idx="4079">
                  <c:v>21.579999923706051</c:v>
                </c:pt>
                <c:pt idx="4080">
                  <c:v>20.95000076293945</c:v>
                </c:pt>
                <c:pt idx="4081">
                  <c:v>18.879999160766602</c:v>
                </c:pt>
                <c:pt idx="4082">
                  <c:v>20.29999923706055</c:v>
                </c:pt>
                <c:pt idx="4083">
                  <c:v>21.20000076293945</c:v>
                </c:pt>
                <c:pt idx="4084">
                  <c:v>19.809999465942379</c:v>
                </c:pt>
                <c:pt idx="4085">
                  <c:v>18.860000610351559</c:v>
                </c:pt>
                <c:pt idx="4086">
                  <c:v>20.739999771118161</c:v>
                </c:pt>
                <c:pt idx="4087">
                  <c:v>19.610000610351559</c:v>
                </c:pt>
                <c:pt idx="4088">
                  <c:v>19.39999961853027</c:v>
                </c:pt>
                <c:pt idx="4089">
                  <c:v>17.329999923706051</c:v>
                </c:pt>
                <c:pt idx="4090">
                  <c:v>17.909999847412109</c:v>
                </c:pt>
                <c:pt idx="4091">
                  <c:v>18.120000839233398</c:v>
                </c:pt>
                <c:pt idx="4092">
                  <c:v>17.159999847412109</c:v>
                </c:pt>
                <c:pt idx="4093">
                  <c:v>16.95000076293945</c:v>
                </c:pt>
                <c:pt idx="4094">
                  <c:v>16.690000534057621</c:v>
                </c:pt>
                <c:pt idx="4095">
                  <c:v>16.909999847412109</c:v>
                </c:pt>
                <c:pt idx="4096">
                  <c:v>16.64999961853027</c:v>
                </c:pt>
                <c:pt idx="4097">
                  <c:v>16.989999771118161</c:v>
                </c:pt>
                <c:pt idx="4098">
                  <c:v>16.569999694824219</c:v>
                </c:pt>
                <c:pt idx="4099">
                  <c:v>16.25</c:v>
                </c:pt>
                <c:pt idx="4100">
                  <c:v>17.29000091552734</c:v>
                </c:pt>
                <c:pt idx="4101">
                  <c:v>18.680000305175781</c:v>
                </c:pt>
                <c:pt idx="4102">
                  <c:v>17.5</c:v>
                </c:pt>
                <c:pt idx="4103">
                  <c:v>18.70999908447266</c:v>
                </c:pt>
                <c:pt idx="4104">
                  <c:v>17.329999923706051</c:v>
                </c:pt>
                <c:pt idx="4105">
                  <c:v>17.639999389648441</c:v>
                </c:pt>
                <c:pt idx="4106">
                  <c:v>17.559999465942379</c:v>
                </c:pt>
                <c:pt idx="4107">
                  <c:v>17.280000686645511</c:v>
                </c:pt>
                <c:pt idx="4108">
                  <c:v>17.610000610351559</c:v>
                </c:pt>
                <c:pt idx="4109">
                  <c:v>18.610000610351559</c:v>
                </c:pt>
                <c:pt idx="4110">
                  <c:v>18.309999465942379</c:v>
                </c:pt>
                <c:pt idx="4111">
                  <c:v>19.479999542236332</c:v>
                </c:pt>
                <c:pt idx="4112">
                  <c:v>19.14999961853027</c:v>
                </c:pt>
                <c:pt idx="4113">
                  <c:v>18.389999389648441</c:v>
                </c:pt>
                <c:pt idx="4114">
                  <c:v>16.690000534057621</c:v>
                </c:pt>
                <c:pt idx="4115">
                  <c:v>19.659999847412109</c:v>
                </c:pt>
                <c:pt idx="4116">
                  <c:v>21.840000152587891</c:v>
                </c:pt>
                <c:pt idx="4117">
                  <c:v>27.590000152587891</c:v>
                </c:pt>
                <c:pt idx="4118">
                  <c:v>23.129999160766602</c:v>
                </c:pt>
                <c:pt idx="4119">
                  <c:v>18.809999465942379</c:v>
                </c:pt>
                <c:pt idx="4120">
                  <c:v>19.719999313354489</c:v>
                </c:pt>
                <c:pt idx="4121">
                  <c:v>21.340000152587891</c:v>
                </c:pt>
                <c:pt idx="4122">
                  <c:v>22.180000305175781</c:v>
                </c:pt>
                <c:pt idx="4123">
                  <c:v>20.670000076293949</c:v>
                </c:pt>
                <c:pt idx="4124">
                  <c:v>20.14999961853027</c:v>
                </c:pt>
                <c:pt idx="4125">
                  <c:v>18.39999961853027</c:v>
                </c:pt>
                <c:pt idx="4126">
                  <c:v>18.840000152587891</c:v>
                </c:pt>
                <c:pt idx="4127">
                  <c:v>17.360000610351559</c:v>
                </c:pt>
                <c:pt idx="4128">
                  <c:v>16.739999771118161</c:v>
                </c:pt>
                <c:pt idx="4129">
                  <c:v>16.760000228881839</c:v>
                </c:pt>
                <c:pt idx="4130">
                  <c:v>17.89999961853027</c:v>
                </c:pt>
                <c:pt idx="4131">
                  <c:v>17.479999542236332</c:v>
                </c:pt>
                <c:pt idx="4132">
                  <c:v>18.04000091552734</c:v>
                </c:pt>
                <c:pt idx="4133">
                  <c:v>16.420000076293949</c:v>
                </c:pt>
                <c:pt idx="4134">
                  <c:v>16.420000076293949</c:v>
                </c:pt>
                <c:pt idx="4135">
                  <c:v>17.069999694824219</c:v>
                </c:pt>
                <c:pt idx="4136">
                  <c:v>17.889999389648441</c:v>
                </c:pt>
                <c:pt idx="4137">
                  <c:v>16.10000038146973</c:v>
                </c:pt>
                <c:pt idx="4138">
                  <c:v>15.64999961853027</c:v>
                </c:pt>
                <c:pt idx="4139">
                  <c:v>16.389999389648441</c:v>
                </c:pt>
                <c:pt idx="4140">
                  <c:v>17.020000457763668</c:v>
                </c:pt>
                <c:pt idx="4141">
                  <c:v>18.14999961853027</c:v>
                </c:pt>
                <c:pt idx="4142">
                  <c:v>17.75</c:v>
                </c:pt>
                <c:pt idx="4143">
                  <c:v>20.70000076293945</c:v>
                </c:pt>
                <c:pt idx="4144">
                  <c:v>17.889999389648441</c:v>
                </c:pt>
                <c:pt idx="4145">
                  <c:v>16.659999847412109</c:v>
                </c:pt>
                <c:pt idx="4146">
                  <c:v>16.319999694824219</c:v>
                </c:pt>
                <c:pt idx="4147">
                  <c:v>15.97000026702881</c:v>
                </c:pt>
                <c:pt idx="4148">
                  <c:v>15.61999988555908</c:v>
                </c:pt>
                <c:pt idx="4149">
                  <c:v>15.760000228881839</c:v>
                </c:pt>
                <c:pt idx="4150">
                  <c:v>16.020000457763668</c:v>
                </c:pt>
                <c:pt idx="4151">
                  <c:v>15.829999923706049</c:v>
                </c:pt>
                <c:pt idx="4152">
                  <c:v>15.47999954223633</c:v>
                </c:pt>
                <c:pt idx="4153">
                  <c:v>15.069999694824221</c:v>
                </c:pt>
                <c:pt idx="4154">
                  <c:v>16.440000534057621</c:v>
                </c:pt>
                <c:pt idx="4155">
                  <c:v>16.20000076293945</c:v>
                </c:pt>
                <c:pt idx="4156">
                  <c:v>19</c:v>
                </c:pt>
                <c:pt idx="4157">
                  <c:v>16.180000305175781</c:v>
                </c:pt>
                <c:pt idx="4158">
                  <c:v>16.170000076293949</c:v>
                </c:pt>
                <c:pt idx="4159">
                  <c:v>17.120000839233398</c:v>
                </c:pt>
                <c:pt idx="4160">
                  <c:v>16.329999923706051</c:v>
                </c:pt>
                <c:pt idx="4161">
                  <c:v>17.010000228881839</c:v>
                </c:pt>
                <c:pt idx="4162">
                  <c:v>18.45000076293945</c:v>
                </c:pt>
                <c:pt idx="4163">
                  <c:v>22.5</c:v>
                </c:pt>
                <c:pt idx="4164">
                  <c:v>19.729999542236332</c:v>
                </c:pt>
                <c:pt idx="4165">
                  <c:v>17.909999847412109</c:v>
                </c:pt>
                <c:pt idx="4166">
                  <c:v>17.690000534057621</c:v>
                </c:pt>
                <c:pt idx="4167">
                  <c:v>17.20000076293945</c:v>
                </c:pt>
                <c:pt idx="4168">
                  <c:v>17.579999923706051</c:v>
                </c:pt>
                <c:pt idx="4169">
                  <c:v>19.360000610351559</c:v>
                </c:pt>
                <c:pt idx="4170">
                  <c:v>18.309999465942379</c:v>
                </c:pt>
                <c:pt idx="4171">
                  <c:v>17.70000076293945</c:v>
                </c:pt>
                <c:pt idx="4172">
                  <c:v>18.239999771118161</c:v>
                </c:pt>
                <c:pt idx="4173">
                  <c:v>19.45999908447266</c:v>
                </c:pt>
                <c:pt idx="4174">
                  <c:v>18.04000091552734</c:v>
                </c:pt>
                <c:pt idx="4175">
                  <c:v>17.969999313354489</c:v>
                </c:pt>
                <c:pt idx="4176">
                  <c:v>17.280000686645511</c:v>
                </c:pt>
                <c:pt idx="4177">
                  <c:v>16.14999961853027</c:v>
                </c:pt>
                <c:pt idx="4178">
                  <c:v>16.719999313354489</c:v>
                </c:pt>
                <c:pt idx="4179">
                  <c:v>16.79000091552734</c:v>
                </c:pt>
                <c:pt idx="4180">
                  <c:v>16.170000076293949</c:v>
                </c:pt>
                <c:pt idx="4181">
                  <c:v>15.590000152587891</c:v>
                </c:pt>
                <c:pt idx="4182">
                  <c:v>15.44999980926514</c:v>
                </c:pt>
                <c:pt idx="4183">
                  <c:v>16.120000839233398</c:v>
                </c:pt>
                <c:pt idx="4184">
                  <c:v>17.909999847412109</c:v>
                </c:pt>
                <c:pt idx="4185">
                  <c:v>21.569999694824219</c:v>
                </c:pt>
                <c:pt idx="4186">
                  <c:v>21.670000076293949</c:v>
                </c:pt>
                <c:pt idx="4187">
                  <c:v>18.559999465942379</c:v>
                </c:pt>
                <c:pt idx="4188">
                  <c:v>17.14999961853027</c:v>
                </c:pt>
                <c:pt idx="4189">
                  <c:v>17.219999313354489</c:v>
                </c:pt>
                <c:pt idx="4190">
                  <c:v>16.79000091552734</c:v>
                </c:pt>
                <c:pt idx="4191">
                  <c:v>18.840000152587891</c:v>
                </c:pt>
                <c:pt idx="4192">
                  <c:v>16.389999389648441</c:v>
                </c:pt>
                <c:pt idx="4193">
                  <c:v>16.190000534057621</c:v>
                </c:pt>
                <c:pt idx="4194">
                  <c:v>16.479999542236332</c:v>
                </c:pt>
                <c:pt idx="4195">
                  <c:v>16.110000610351559</c:v>
                </c:pt>
                <c:pt idx="4196">
                  <c:v>16.409999847412109</c:v>
                </c:pt>
                <c:pt idx="4197">
                  <c:v>16.409999847412109</c:v>
                </c:pt>
                <c:pt idx="4198">
                  <c:v>18.139999389648441</c:v>
                </c:pt>
                <c:pt idx="4199">
                  <c:v>17.95999908447266</c:v>
                </c:pt>
                <c:pt idx="4200">
                  <c:v>18.79999923706055</c:v>
                </c:pt>
                <c:pt idx="4201">
                  <c:v>20.95000076293945</c:v>
                </c:pt>
                <c:pt idx="4202">
                  <c:v>19.370000839233398</c:v>
                </c:pt>
                <c:pt idx="4203">
                  <c:v>19.45999908447266</c:v>
                </c:pt>
                <c:pt idx="4204">
                  <c:v>18.180000305175781</c:v>
                </c:pt>
                <c:pt idx="4205">
                  <c:v>18.690000534057621</c:v>
                </c:pt>
                <c:pt idx="4206">
                  <c:v>20.809999465942379</c:v>
                </c:pt>
                <c:pt idx="4207">
                  <c:v>25.70999908447266</c:v>
                </c:pt>
                <c:pt idx="4208">
                  <c:v>24.360000610351559</c:v>
                </c:pt>
                <c:pt idx="4209">
                  <c:v>20.870000839233398</c:v>
                </c:pt>
                <c:pt idx="4210">
                  <c:v>18.629999160766602</c:v>
                </c:pt>
                <c:pt idx="4211">
                  <c:v>17.75</c:v>
                </c:pt>
                <c:pt idx="4212">
                  <c:v>18.760000228881839</c:v>
                </c:pt>
                <c:pt idx="4213">
                  <c:v>23.25</c:v>
                </c:pt>
                <c:pt idx="4214">
                  <c:v>22.559999465942379</c:v>
                </c:pt>
                <c:pt idx="4215">
                  <c:v>23.139999389648441</c:v>
                </c:pt>
                <c:pt idx="4216">
                  <c:v>21.10000038146973</c:v>
                </c:pt>
                <c:pt idx="4217">
                  <c:v>22.95999908447266</c:v>
                </c:pt>
                <c:pt idx="4218">
                  <c:v>21.29999923706055</c:v>
                </c:pt>
                <c:pt idx="4219">
                  <c:v>21</c:v>
                </c:pt>
                <c:pt idx="4220">
                  <c:v>19.54000091552734</c:v>
                </c:pt>
                <c:pt idx="4221">
                  <c:v>18.770000457763668</c:v>
                </c:pt>
                <c:pt idx="4222">
                  <c:v>20</c:v>
                </c:pt>
                <c:pt idx="4223">
                  <c:v>19.85000038146973</c:v>
                </c:pt>
                <c:pt idx="4224">
                  <c:v>18.639999389648441</c:v>
                </c:pt>
                <c:pt idx="4225">
                  <c:v>16.860000610351559</c:v>
                </c:pt>
                <c:pt idx="4226">
                  <c:v>16.29999923706055</c:v>
                </c:pt>
                <c:pt idx="4227">
                  <c:v>16.309999465942379</c:v>
                </c:pt>
                <c:pt idx="4228">
                  <c:v>15.69999980926514</c:v>
                </c:pt>
                <c:pt idx="4229">
                  <c:v>15.489999771118161</c:v>
                </c:pt>
                <c:pt idx="4230">
                  <c:v>15.010000228881839</c:v>
                </c:pt>
                <c:pt idx="4231">
                  <c:v>15.430000305175779</c:v>
                </c:pt>
                <c:pt idx="4232">
                  <c:v>15.239999771118161</c:v>
                </c:pt>
                <c:pt idx="4233">
                  <c:v>15.97999954223633</c:v>
                </c:pt>
                <c:pt idx="4234">
                  <c:v>16.979999542236332</c:v>
                </c:pt>
                <c:pt idx="4235">
                  <c:v>16.530000686645511</c:v>
                </c:pt>
                <c:pt idx="4236">
                  <c:v>16.260000228881839</c:v>
                </c:pt>
                <c:pt idx="4237">
                  <c:v>16.409999847412109</c:v>
                </c:pt>
                <c:pt idx="4238">
                  <c:v>16.030000686645511</c:v>
                </c:pt>
                <c:pt idx="4239">
                  <c:v>15.10000038146973</c:v>
                </c:pt>
                <c:pt idx="4240">
                  <c:v>15.439999580383301</c:v>
                </c:pt>
                <c:pt idx="4241">
                  <c:v>16.479999542236332</c:v>
                </c:pt>
                <c:pt idx="4242">
                  <c:v>17.219999313354489</c:v>
                </c:pt>
                <c:pt idx="4243">
                  <c:v>17.780000686645511</c:v>
                </c:pt>
                <c:pt idx="4244">
                  <c:v>18.729999542236332</c:v>
                </c:pt>
                <c:pt idx="4245">
                  <c:v>17.659999847412109</c:v>
                </c:pt>
                <c:pt idx="4246">
                  <c:v>16.29000091552734</c:v>
                </c:pt>
                <c:pt idx="4247">
                  <c:v>16.489999771118161</c:v>
                </c:pt>
                <c:pt idx="4248">
                  <c:v>16.370000839233398</c:v>
                </c:pt>
                <c:pt idx="4249">
                  <c:v>17.110000610351559</c:v>
                </c:pt>
                <c:pt idx="4250">
                  <c:v>17.590000152587891</c:v>
                </c:pt>
                <c:pt idx="4251">
                  <c:v>17.909999847412109</c:v>
                </c:pt>
                <c:pt idx="4252">
                  <c:v>19.170000076293949</c:v>
                </c:pt>
                <c:pt idx="4253">
                  <c:v>19.379999160766602</c:v>
                </c:pt>
                <c:pt idx="4254">
                  <c:v>18.579999923706051</c:v>
                </c:pt>
                <c:pt idx="4255">
                  <c:v>28.620000839233398</c:v>
                </c:pt>
                <c:pt idx="4256">
                  <c:v>22.95999908447266</c:v>
                </c:pt>
                <c:pt idx="4257">
                  <c:v>27.190000534057621</c:v>
                </c:pt>
                <c:pt idx="4258">
                  <c:v>31.120000839233398</c:v>
                </c:pt>
                <c:pt idx="4259">
                  <c:v>27.95000076293945</c:v>
                </c:pt>
                <c:pt idx="4260">
                  <c:v>30.670000076293949</c:v>
                </c:pt>
                <c:pt idx="4261">
                  <c:v>27.180000305175781</c:v>
                </c:pt>
                <c:pt idx="4262">
                  <c:v>21.889999389648441</c:v>
                </c:pt>
                <c:pt idx="4263">
                  <c:v>19.89999961853027</c:v>
                </c:pt>
                <c:pt idx="4264">
                  <c:v>21.579999923706051</c:v>
                </c:pt>
                <c:pt idx="4265">
                  <c:v>18.690000534057621</c:v>
                </c:pt>
                <c:pt idx="4266">
                  <c:v>20.309999465942379</c:v>
                </c:pt>
                <c:pt idx="4267">
                  <c:v>21.889999389648441</c:v>
                </c:pt>
                <c:pt idx="4268">
                  <c:v>19.29000091552734</c:v>
                </c:pt>
                <c:pt idx="4269">
                  <c:v>20.569999694824219</c:v>
                </c:pt>
                <c:pt idx="4270">
                  <c:v>21.569999694824219</c:v>
                </c:pt>
                <c:pt idx="4271">
                  <c:v>22.870000839233398</c:v>
                </c:pt>
                <c:pt idx="4272">
                  <c:v>21.010000228881839</c:v>
                </c:pt>
                <c:pt idx="4273">
                  <c:v>18.629999160766602</c:v>
                </c:pt>
                <c:pt idx="4274">
                  <c:v>17.95999908447266</c:v>
                </c:pt>
                <c:pt idx="4275">
                  <c:v>17.680000305175781</c:v>
                </c:pt>
                <c:pt idx="4276">
                  <c:v>17.54000091552734</c:v>
                </c:pt>
                <c:pt idx="4277">
                  <c:v>16.95000076293945</c:v>
                </c:pt>
                <c:pt idx="4278">
                  <c:v>17.329999923706051</c:v>
                </c:pt>
                <c:pt idx="4279">
                  <c:v>17.219999313354489</c:v>
                </c:pt>
                <c:pt idx="4280">
                  <c:v>16.60000038146973</c:v>
                </c:pt>
                <c:pt idx="4281">
                  <c:v>16.909999847412109</c:v>
                </c:pt>
                <c:pt idx="4282">
                  <c:v>19.729999542236332</c:v>
                </c:pt>
                <c:pt idx="4283">
                  <c:v>19.610000610351559</c:v>
                </c:pt>
                <c:pt idx="4284">
                  <c:v>18.760000228881839</c:v>
                </c:pt>
                <c:pt idx="4285">
                  <c:v>19.39999961853027</c:v>
                </c:pt>
                <c:pt idx="4286">
                  <c:v>18.409999847412109</c:v>
                </c:pt>
                <c:pt idx="4287">
                  <c:v>17.620000839233398</c:v>
                </c:pt>
                <c:pt idx="4288">
                  <c:v>20.309999465942379</c:v>
                </c:pt>
                <c:pt idx="4289">
                  <c:v>19.190000534057621</c:v>
                </c:pt>
                <c:pt idx="4290">
                  <c:v>22.79000091552734</c:v>
                </c:pt>
                <c:pt idx="4291">
                  <c:v>23.85000038146973</c:v>
                </c:pt>
                <c:pt idx="4292">
                  <c:v>25.590000152587891</c:v>
                </c:pt>
                <c:pt idx="4293">
                  <c:v>28.85000038146973</c:v>
                </c:pt>
                <c:pt idx="4294">
                  <c:v>29.89999961853027</c:v>
                </c:pt>
                <c:pt idx="4295">
                  <c:v>31.159999847412109</c:v>
                </c:pt>
                <c:pt idx="4296">
                  <c:v>31.95999908447266</c:v>
                </c:pt>
                <c:pt idx="4297">
                  <c:v>30.489999771118161</c:v>
                </c:pt>
                <c:pt idx="4298">
                  <c:v>27.659999847412109</c:v>
                </c:pt>
                <c:pt idx="4299">
                  <c:v>24.829999923706051</c:v>
                </c:pt>
                <c:pt idx="4300">
                  <c:v>21.95999908447266</c:v>
                </c:pt>
                <c:pt idx="4301">
                  <c:v>22.090000152587891</c:v>
                </c:pt>
                <c:pt idx="4302">
                  <c:v>24.35000038146973</c:v>
                </c:pt>
                <c:pt idx="4303">
                  <c:v>23.219999313354489</c:v>
                </c:pt>
                <c:pt idx="4304">
                  <c:v>22.860000610351559</c:v>
                </c:pt>
                <c:pt idx="4305">
                  <c:v>21.440000534057621</c:v>
                </c:pt>
                <c:pt idx="4306">
                  <c:v>19.95999908447266</c:v>
                </c:pt>
                <c:pt idx="4307">
                  <c:v>23.909999847412109</c:v>
                </c:pt>
                <c:pt idx="4308">
                  <c:v>27.360000610351559</c:v>
                </c:pt>
                <c:pt idx="4309">
                  <c:v>28.329999923706051</c:v>
                </c:pt>
                <c:pt idx="4310">
                  <c:v>25.70000076293945</c:v>
                </c:pt>
                <c:pt idx="4311">
                  <c:v>24.29000091552734</c:v>
                </c:pt>
                <c:pt idx="4312">
                  <c:v>28.110000610351559</c:v>
                </c:pt>
                <c:pt idx="4313">
                  <c:v>27.75</c:v>
                </c:pt>
                <c:pt idx="4314">
                  <c:v>28.809999465942379</c:v>
                </c:pt>
                <c:pt idx="4315">
                  <c:v>31.020000457763668</c:v>
                </c:pt>
                <c:pt idx="4316">
                  <c:v>30.319999694824219</c:v>
                </c:pt>
                <c:pt idx="4317">
                  <c:v>27.590000152587891</c:v>
                </c:pt>
                <c:pt idx="4318">
                  <c:v>30.14999961853027</c:v>
                </c:pt>
                <c:pt idx="4319">
                  <c:v>33.319999694824219</c:v>
                </c:pt>
                <c:pt idx="4320">
                  <c:v>30.739999771118161</c:v>
                </c:pt>
                <c:pt idx="4321">
                  <c:v>30.479999542236332</c:v>
                </c:pt>
                <c:pt idx="4322">
                  <c:v>31.979999542236332</c:v>
                </c:pt>
                <c:pt idx="4323">
                  <c:v>36.450000762939453</c:v>
                </c:pt>
                <c:pt idx="4324">
                  <c:v>35.130001068115227</c:v>
                </c:pt>
                <c:pt idx="4325">
                  <c:v>32.450000762939453</c:v>
                </c:pt>
                <c:pt idx="4326">
                  <c:v>30.229999542236332</c:v>
                </c:pt>
                <c:pt idx="4327">
                  <c:v>30.75</c:v>
                </c:pt>
                <c:pt idx="4328">
                  <c:v>31.770000457763668</c:v>
                </c:pt>
                <c:pt idx="4329">
                  <c:v>29.829999923706051</c:v>
                </c:pt>
                <c:pt idx="4330">
                  <c:v>26.670000076293949</c:v>
                </c:pt>
                <c:pt idx="4331">
                  <c:v>25.670000076293949</c:v>
                </c:pt>
                <c:pt idx="4332">
                  <c:v>23.870000839233398</c:v>
                </c:pt>
                <c:pt idx="4333">
                  <c:v>23.530000686645511</c:v>
                </c:pt>
                <c:pt idx="4334">
                  <c:v>22.940000534057621</c:v>
                </c:pt>
                <c:pt idx="4335">
                  <c:v>23.569999694824219</c:v>
                </c:pt>
                <c:pt idx="4336">
                  <c:v>21.670000076293949</c:v>
                </c:pt>
                <c:pt idx="4337">
                  <c:v>20.809999465942379</c:v>
                </c:pt>
                <c:pt idx="4338">
                  <c:v>19.629999160766602</c:v>
                </c:pt>
                <c:pt idx="4339">
                  <c:v>18.89999961853027</c:v>
                </c:pt>
                <c:pt idx="4340">
                  <c:v>19.329999923706051</c:v>
                </c:pt>
                <c:pt idx="4341">
                  <c:v>20.559999465942379</c:v>
                </c:pt>
                <c:pt idx="4342">
                  <c:v>19.629999160766602</c:v>
                </c:pt>
                <c:pt idx="4343">
                  <c:v>18.569999694824219</c:v>
                </c:pt>
                <c:pt idx="4344">
                  <c:v>21.030000686645511</c:v>
                </c:pt>
                <c:pt idx="4345">
                  <c:v>22.10000038146973</c:v>
                </c:pt>
                <c:pt idx="4346">
                  <c:v>21.54999923706055</c:v>
                </c:pt>
                <c:pt idx="4347">
                  <c:v>21.159999847412109</c:v>
                </c:pt>
                <c:pt idx="4348">
                  <c:v>24.370000839233398</c:v>
                </c:pt>
                <c:pt idx="4349">
                  <c:v>24.260000228881839</c:v>
                </c:pt>
                <c:pt idx="4350">
                  <c:v>21.819999694824219</c:v>
                </c:pt>
                <c:pt idx="4351">
                  <c:v>22.70000076293945</c:v>
                </c:pt>
                <c:pt idx="4352">
                  <c:v>22.170000076293949</c:v>
                </c:pt>
                <c:pt idx="4353">
                  <c:v>21.370000839233398</c:v>
                </c:pt>
                <c:pt idx="4354">
                  <c:v>20.319999694824219</c:v>
                </c:pt>
                <c:pt idx="4355">
                  <c:v>22.680000305175781</c:v>
                </c:pt>
                <c:pt idx="4356">
                  <c:v>28.20999908447266</c:v>
                </c:pt>
                <c:pt idx="4357">
                  <c:v>27.020000457763668</c:v>
                </c:pt>
                <c:pt idx="4358">
                  <c:v>33.520000457763672</c:v>
                </c:pt>
                <c:pt idx="4359">
                  <c:v>31.60000038146973</c:v>
                </c:pt>
                <c:pt idx="4360">
                  <c:v>29.989999771118161</c:v>
                </c:pt>
                <c:pt idx="4361">
                  <c:v>33.400001525878913</c:v>
                </c:pt>
                <c:pt idx="4362">
                  <c:v>32.340000152587891</c:v>
                </c:pt>
                <c:pt idx="4363">
                  <c:v>29.25</c:v>
                </c:pt>
                <c:pt idx="4364">
                  <c:v>25.420000076293949</c:v>
                </c:pt>
                <c:pt idx="4365">
                  <c:v>31.20000076293945</c:v>
                </c:pt>
                <c:pt idx="4366">
                  <c:v>30.190000534057621</c:v>
                </c:pt>
                <c:pt idx="4367">
                  <c:v>34.75</c:v>
                </c:pt>
                <c:pt idx="4368">
                  <c:v>32.990001678466797</c:v>
                </c:pt>
                <c:pt idx="4369">
                  <c:v>32.560001373291023</c:v>
                </c:pt>
                <c:pt idx="4370">
                  <c:v>31.770000457763668</c:v>
                </c:pt>
                <c:pt idx="4371">
                  <c:v>28.870000839233398</c:v>
                </c:pt>
                <c:pt idx="4372">
                  <c:v>27.469999313354489</c:v>
                </c:pt>
                <c:pt idx="4373">
                  <c:v>26.10000038146973</c:v>
                </c:pt>
                <c:pt idx="4374">
                  <c:v>30.95999908447266</c:v>
                </c:pt>
                <c:pt idx="4375">
                  <c:v>29.35000038146973</c:v>
                </c:pt>
                <c:pt idx="4376">
                  <c:v>29.430000305175781</c:v>
                </c:pt>
                <c:pt idx="4377">
                  <c:v>28.479999542236332</c:v>
                </c:pt>
                <c:pt idx="4378">
                  <c:v>29.45000076293945</c:v>
                </c:pt>
                <c:pt idx="4379">
                  <c:v>28.370000839233398</c:v>
                </c:pt>
                <c:pt idx="4380">
                  <c:v>27.5</c:v>
                </c:pt>
                <c:pt idx="4381">
                  <c:v>25.719999313354489</c:v>
                </c:pt>
                <c:pt idx="4382">
                  <c:v>26.190000534057621</c:v>
                </c:pt>
                <c:pt idx="4383">
                  <c:v>25.690000534057621</c:v>
                </c:pt>
                <c:pt idx="4384">
                  <c:v>24.719999313354489</c:v>
                </c:pt>
                <c:pt idx="4385">
                  <c:v>24.79000091552734</c:v>
                </c:pt>
                <c:pt idx="4386">
                  <c:v>25.069999694824219</c:v>
                </c:pt>
                <c:pt idx="4387">
                  <c:v>24.020000457763668</c:v>
                </c:pt>
                <c:pt idx="4388">
                  <c:v>23.95999908447266</c:v>
                </c:pt>
                <c:pt idx="4389">
                  <c:v>26.090000152587891</c:v>
                </c:pt>
                <c:pt idx="4390">
                  <c:v>27.75</c:v>
                </c:pt>
                <c:pt idx="4391">
                  <c:v>34.020000457763672</c:v>
                </c:pt>
                <c:pt idx="4392">
                  <c:v>32.689998626708977</c:v>
                </c:pt>
                <c:pt idx="4393">
                  <c:v>29.620000839233398</c:v>
                </c:pt>
                <c:pt idx="4394">
                  <c:v>32.950000762939453</c:v>
                </c:pt>
                <c:pt idx="4395">
                  <c:v>31.129999160766602</c:v>
                </c:pt>
              </c:numCache>
            </c:numRef>
          </c:val>
          <c:smooth val="0"/>
          <c:extLst>
            <c:ext xmlns:c16="http://schemas.microsoft.com/office/drawing/2014/chart" uri="{C3380CC4-5D6E-409C-BE32-E72D297353CC}">
              <c16:uniqueId val="{00000003-D8BA-430B-A9DB-9384702AE45F}"/>
            </c:ext>
          </c:extLst>
        </c:ser>
        <c:dLbls>
          <c:showLegendKey val="0"/>
          <c:showVal val="0"/>
          <c:showCatName val="0"/>
          <c:showSerName val="0"/>
          <c:showPercent val="0"/>
          <c:showBubbleSize val="0"/>
        </c:dLbls>
        <c:smooth val="0"/>
        <c:axId val="50040001"/>
        <c:axId val="50040002"/>
      </c:lineChart>
      <c:dateAx>
        <c:axId val="50040001"/>
        <c:scaling>
          <c:orientation val="minMax"/>
        </c:scaling>
        <c:delete val="0"/>
        <c:axPos val="b"/>
        <c:numFmt formatCode="mm\-yyyy" sourceLinked="1"/>
        <c:majorTickMark val="out"/>
        <c:minorTickMark val="none"/>
        <c:tickLblPos val="low"/>
        <c:txPr>
          <a:bodyPr rot="-5400000" vert="horz"/>
          <a:lstStyle/>
          <a:p>
            <a:pPr>
              <a:defRPr sz="800" i="1" baseline="0">
                <a:latin typeface="Times New Roman" panose="02020603050405020304" pitchFamily="18" charset="0"/>
                <a:cs typeface="Times New Roman" panose="02020603050405020304" pitchFamily="18" charset="0"/>
              </a:defRPr>
            </a:pPr>
            <a:endParaRPr lang="es-GT"/>
          </a:p>
        </c:txPr>
        <c:crossAx val="50040002"/>
        <c:crosses val="autoZero"/>
        <c:auto val="1"/>
        <c:lblOffset val="100"/>
        <c:baseTimeUnit val="days"/>
        <c:majorUnit val="10"/>
        <c:majorTimeUnit val="months"/>
      </c:dateAx>
      <c:valAx>
        <c:axId val="50040002"/>
        <c:scaling>
          <c:orientation val="minMax"/>
        </c:scaling>
        <c:delete val="0"/>
        <c:axPos val="l"/>
        <c:numFmt formatCode="0.00" sourceLinked="1"/>
        <c:majorTickMark val="out"/>
        <c:minorTickMark val="none"/>
        <c:tickLblPos val="nextTo"/>
        <c:txPr>
          <a:bodyPr/>
          <a:lstStyle/>
          <a:p>
            <a:pPr>
              <a:defRPr sz="800" i="1" baseline="0">
                <a:latin typeface="Times New Roman" panose="02020603050405020304" pitchFamily="18" charset="0"/>
                <a:cs typeface="Times New Roman" panose="02020603050405020304" pitchFamily="18" charset="0"/>
              </a:defRPr>
            </a:pPr>
            <a:endParaRPr lang="es-GT"/>
          </a:p>
        </c:txPr>
        <c:crossAx val="50040001"/>
        <c:crosses val="autoZero"/>
        <c:crossBetween val="between"/>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35317460317461E-2"/>
          <c:y val="5.5388197120130933E-2"/>
          <c:w val="0.89549999999999996"/>
          <c:h val="0.73753316824082338"/>
        </c:manualLayout>
      </c:layout>
      <c:barChart>
        <c:barDir val="col"/>
        <c:grouping val="clustered"/>
        <c:varyColors val="0"/>
        <c:ser>
          <c:idx val="0"/>
          <c:order val="0"/>
          <c:tx>
            <c:strRef>
              <c:f>'[ASD 2022 vigente presupuesto.xlsm]Indicadores de deuda'!$A$18</c:f>
              <c:strCache>
                <c:ptCount val="1"/>
                <c:pt idx="0">
                  <c:v>Servicios de deuda externa / exportaciones SITFIN</c:v>
                </c:pt>
              </c:strCache>
            </c:strRef>
          </c:tx>
          <c:spPr>
            <a:solidFill>
              <a:schemeClr val="accent6">
                <a:lumMod val="60000"/>
                <a:lumOff val="40000"/>
              </a:schemeClr>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9B84-479D-B00A-C72F23BFD0AA}"/>
              </c:ext>
            </c:extLst>
          </c:dPt>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3-9B84-479D-B00A-C72F23BFD0AA}"/>
              </c:ext>
            </c:extLst>
          </c:dPt>
          <c:dPt>
            <c:idx val="2"/>
            <c:invertIfNegative val="0"/>
            <c:bubble3D val="0"/>
            <c:extLst>
              <c:ext xmlns:c16="http://schemas.microsoft.com/office/drawing/2014/chart" uri="{C3380CC4-5D6E-409C-BE32-E72D297353CC}">
                <c16:uniqueId val="{00000004-9B84-479D-B00A-C72F23BFD0A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presupuesto.xlsm]Indicadores de deuda'!$I$3:$P$3</c:f>
              <c:numCache>
                <c:formatCode>General</c:formatCode>
                <c:ptCount val="8"/>
                <c:pt idx="0">
                  <c:v>2020</c:v>
                </c:pt>
                <c:pt idx="1">
                  <c:v>2021</c:v>
                </c:pt>
                <c:pt idx="2">
                  <c:v>2022</c:v>
                </c:pt>
                <c:pt idx="3">
                  <c:v>2023</c:v>
                </c:pt>
                <c:pt idx="4">
                  <c:v>2024</c:v>
                </c:pt>
                <c:pt idx="5">
                  <c:v>2025</c:v>
                </c:pt>
                <c:pt idx="6">
                  <c:v>2026</c:v>
                </c:pt>
                <c:pt idx="7">
                  <c:v>2027</c:v>
                </c:pt>
              </c:numCache>
            </c:numRef>
          </c:cat>
          <c:val>
            <c:numRef>
              <c:f>'[ASD 2022 vigente presupuesto.xlsm]Indicadores de deuda'!$I$18:$P$18</c:f>
              <c:numCache>
                <c:formatCode>_-* #,##0.0_-;\-* #,##0.0_-;_-* "-"??_-;_-@_-</c:formatCode>
                <c:ptCount val="8"/>
                <c:pt idx="0">
                  <c:v>6.7449862204966431</c:v>
                </c:pt>
                <c:pt idx="1">
                  <c:v>5.5440302863257651</c:v>
                </c:pt>
                <c:pt idx="2">
                  <c:v>10.554631136550965</c:v>
                </c:pt>
                <c:pt idx="3">
                  <c:v>5.9783953037104949</c:v>
                </c:pt>
                <c:pt idx="4">
                  <c:v>5.15916060675187</c:v>
                </c:pt>
                <c:pt idx="5">
                  <c:v>5.4745502630430183</c:v>
                </c:pt>
                <c:pt idx="6">
                  <c:v>9.6825388807717747</c:v>
                </c:pt>
                <c:pt idx="7">
                  <c:v>7.7021592874754949</c:v>
                </c:pt>
              </c:numCache>
            </c:numRef>
          </c:val>
          <c:extLst>
            <c:ext xmlns:c16="http://schemas.microsoft.com/office/drawing/2014/chart" uri="{C3380CC4-5D6E-409C-BE32-E72D297353CC}">
              <c16:uniqueId val="{00000005-9B84-479D-B00A-C72F23BFD0AA}"/>
            </c:ext>
          </c:extLst>
        </c:ser>
        <c:dLbls>
          <c:showLegendKey val="0"/>
          <c:showVal val="0"/>
          <c:showCatName val="0"/>
          <c:showSerName val="0"/>
          <c:showPercent val="0"/>
          <c:showBubbleSize val="0"/>
        </c:dLbls>
        <c:gapWidth val="75"/>
        <c:axId val="1614501087"/>
        <c:axId val="1614497759"/>
      </c:barChart>
      <c:lineChart>
        <c:grouping val="standard"/>
        <c:varyColors val="0"/>
        <c:ser>
          <c:idx val="1"/>
          <c:order val="1"/>
          <c:tx>
            <c:strRef>
              <c:f>'[ASD 2022 vigente presupuesto.xlsm]Indicadores de deuda'!$A$17</c:f>
              <c:strCache>
                <c:ptCount val="1"/>
                <c:pt idx="0">
                  <c:v>Promedio 2017-2020</c:v>
                </c:pt>
              </c:strCache>
            </c:strRef>
          </c:tx>
          <c:spPr>
            <a:ln w="28575" cap="rnd">
              <a:solidFill>
                <a:schemeClr val="accent6"/>
              </a:solidFill>
              <a:prstDash val="solid"/>
              <a:round/>
            </a:ln>
            <a:effectLst/>
          </c:spPr>
          <c:marker>
            <c:symbol val="none"/>
          </c:marker>
          <c:dLbls>
            <c:dLbl>
              <c:idx val="1"/>
              <c:layout>
                <c:manualLayout>
                  <c:x val="-0.12599206349206349"/>
                  <c:y val="6.342142789766006E-2"/>
                </c:manualLayout>
              </c:layout>
              <c:spPr>
                <a:solidFill>
                  <a:schemeClr val="bg1"/>
                </a:solidFill>
                <a:ln>
                  <a:solidFill>
                    <a:schemeClr val="accent6"/>
                  </a:solidFill>
                </a:ln>
                <a:effectLst/>
              </c:spPr>
              <c:txPr>
                <a:bodyPr wrap="square" lIns="38100" tIns="19050" rIns="38100" bIns="19050" anchor="ctr">
                  <a:spAutoFit/>
                </a:bodyPr>
                <a:lstStyle/>
                <a:p>
                  <a:pPr>
                    <a:defRPr sz="800" b="1">
                      <a:solidFill>
                        <a:schemeClr val="accent6"/>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84-479D-B00A-C72F23BFD0AA}"/>
                </c:ext>
              </c:extLst>
            </c:dLbl>
            <c:spPr>
              <a:noFill/>
              <a:ln>
                <a:solidFill>
                  <a:schemeClr val="accent6"/>
                </a:solid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'[ASD 2022 vigente presupuesto.xlsm]Indicadores de deuda'!$I$3:$P$3</c:f>
              <c:numCache>
                <c:formatCode>General</c:formatCode>
                <c:ptCount val="8"/>
                <c:pt idx="0">
                  <c:v>2020</c:v>
                </c:pt>
                <c:pt idx="1">
                  <c:v>2021</c:v>
                </c:pt>
                <c:pt idx="2">
                  <c:v>2022</c:v>
                </c:pt>
                <c:pt idx="3">
                  <c:v>2023</c:v>
                </c:pt>
                <c:pt idx="4">
                  <c:v>2024</c:v>
                </c:pt>
                <c:pt idx="5">
                  <c:v>2025</c:v>
                </c:pt>
                <c:pt idx="6">
                  <c:v>2026</c:v>
                </c:pt>
                <c:pt idx="7">
                  <c:v>2027</c:v>
                </c:pt>
              </c:numCache>
            </c:numRef>
          </c:cat>
          <c:val>
            <c:numRef>
              <c:f>'[ASD 2022 vigente presupuesto.xlsm]Indicadores de deuda'!$I$19:$J$19</c:f>
              <c:numCache>
                <c:formatCode>_-* #,##0.0_-;\-* #,##0.0_-;_-* "-"??_-;_-@_-</c:formatCode>
                <c:ptCount val="2"/>
                <c:pt idx="0">
                  <c:v>5.8784078486066758</c:v>
                </c:pt>
                <c:pt idx="1">
                  <c:v>5.8784078486066758</c:v>
                </c:pt>
              </c:numCache>
            </c:numRef>
          </c:val>
          <c:smooth val="0"/>
          <c:extLst>
            <c:ext xmlns:c16="http://schemas.microsoft.com/office/drawing/2014/chart" uri="{C3380CC4-5D6E-409C-BE32-E72D297353CC}">
              <c16:uniqueId val="{00000007-9B84-479D-B00A-C72F23BFD0AA}"/>
            </c:ext>
          </c:extLst>
        </c:ser>
        <c:dLbls>
          <c:showLegendKey val="0"/>
          <c:showVal val="0"/>
          <c:showCatName val="0"/>
          <c:showSerName val="0"/>
          <c:showPercent val="0"/>
          <c:showBubbleSize val="0"/>
        </c:dLbls>
        <c:marker val="1"/>
        <c:smooth val="0"/>
        <c:axId val="1614501087"/>
        <c:axId val="1614497759"/>
      </c:lineChart>
      <c:catAx>
        <c:axId val="16145010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14497759"/>
        <c:crosses val="autoZero"/>
        <c:auto val="1"/>
        <c:lblAlgn val="ctr"/>
        <c:lblOffset val="100"/>
        <c:noMultiLvlLbl val="0"/>
      </c:catAx>
      <c:valAx>
        <c:axId val="1614497759"/>
        <c:scaling>
          <c:orientation val="minMax"/>
        </c:scaling>
        <c:delete val="1"/>
        <c:axPos val="l"/>
        <c:numFmt formatCode="_-* #,##0.0_-;\-* #,##0.0_-;_-* &quot;-&quot;??_-;_-@_-" sourceLinked="1"/>
        <c:majorTickMark val="out"/>
        <c:minorTickMark val="none"/>
        <c:tickLblPos val="nextTo"/>
        <c:crossAx val="1614501087"/>
        <c:crosses val="autoZero"/>
        <c:crossBetween val="between"/>
      </c:valAx>
    </c:plotArea>
    <c:legend>
      <c:legendPos val="b"/>
      <c:legendEntry>
        <c:idx val="0"/>
        <c:delete val="1"/>
      </c:legendEntry>
      <c:layout>
        <c:manualLayout>
          <c:xMode val="edge"/>
          <c:yMode val="edge"/>
          <c:x val="7.0270106879893032E-2"/>
          <c:y val="0.94049758618512647"/>
          <c:w val="0.83932580751659547"/>
          <c:h val="4.90290386244000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36507936507937E-2"/>
          <c:y val="7.7611111111111117E-2"/>
          <c:w val="0.89920634920634901"/>
          <c:h val="0.77181111111111111"/>
        </c:manualLayout>
      </c:layout>
      <c:barChart>
        <c:barDir val="col"/>
        <c:grouping val="clustered"/>
        <c:varyColors val="0"/>
        <c:ser>
          <c:idx val="0"/>
          <c:order val="0"/>
          <c:tx>
            <c:strRef>
              <c:f>'[ASD 2022 vigente presupuesto.xlsm]Indicadores de deuda'!$A$4</c:f>
              <c:strCache>
                <c:ptCount val="1"/>
                <c:pt idx="0">
                  <c:v>Intereses /PIB SITFIN</c:v>
                </c:pt>
              </c:strCache>
            </c:strRef>
          </c:tx>
          <c:spPr>
            <a:solidFill>
              <a:schemeClr val="accent5">
                <a:lumMod val="60000"/>
                <a:lumOff val="40000"/>
              </a:schemeClr>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B84C-41A2-8A86-33A91DB55EC4}"/>
              </c:ext>
            </c:extLst>
          </c:dPt>
          <c:dPt>
            <c:idx val="1"/>
            <c:invertIfNegative val="0"/>
            <c:bubble3D val="0"/>
            <c:spPr>
              <a:solidFill>
                <a:srgbClr val="002060"/>
              </a:solidFill>
              <a:ln>
                <a:noFill/>
              </a:ln>
              <a:effectLst/>
            </c:spPr>
            <c:extLst>
              <c:ext xmlns:c16="http://schemas.microsoft.com/office/drawing/2014/chart" uri="{C3380CC4-5D6E-409C-BE32-E72D297353CC}">
                <c16:uniqueId val="{00000003-B84C-41A2-8A86-33A91DB55EC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presupuesto.xlsm]Indicadores de deuda'!$I$3:$P$3</c:f>
              <c:numCache>
                <c:formatCode>General</c:formatCode>
                <c:ptCount val="8"/>
                <c:pt idx="0">
                  <c:v>2020</c:v>
                </c:pt>
                <c:pt idx="1">
                  <c:v>2021</c:v>
                </c:pt>
                <c:pt idx="2">
                  <c:v>2022</c:v>
                </c:pt>
                <c:pt idx="3">
                  <c:v>2023</c:v>
                </c:pt>
                <c:pt idx="4">
                  <c:v>2024</c:v>
                </c:pt>
                <c:pt idx="5">
                  <c:v>2025</c:v>
                </c:pt>
                <c:pt idx="6">
                  <c:v>2026</c:v>
                </c:pt>
                <c:pt idx="7">
                  <c:v>2027</c:v>
                </c:pt>
              </c:numCache>
            </c:numRef>
          </c:cat>
          <c:val>
            <c:numRef>
              <c:f>'[ASD 2022 vigente presupuesto.xlsm]Indicadores de deuda'!$I$4:$P$4</c:f>
              <c:numCache>
                <c:formatCode>_-* #,##0.0_-;\-* #,##0.0_-;_-* "-"??_-;_-@_-</c:formatCode>
                <c:ptCount val="8"/>
                <c:pt idx="0">
                  <c:v>1.7236142626181234</c:v>
                </c:pt>
                <c:pt idx="1">
                  <c:v>1.7360861425752365</c:v>
                </c:pt>
                <c:pt idx="2">
                  <c:v>1.6040563081459804</c:v>
                </c:pt>
                <c:pt idx="3">
                  <c:v>1.711424817111596</c:v>
                </c:pt>
                <c:pt idx="4">
                  <c:v>1.7187461949035576</c:v>
                </c:pt>
                <c:pt idx="5">
                  <c:v>1.7080763605855629</c:v>
                </c:pt>
                <c:pt idx="6">
                  <c:v>1.691869542330469</c:v>
                </c:pt>
                <c:pt idx="7">
                  <c:v>1.669603426368832</c:v>
                </c:pt>
              </c:numCache>
            </c:numRef>
          </c:val>
          <c:extLst>
            <c:ext xmlns:c16="http://schemas.microsoft.com/office/drawing/2014/chart" uri="{C3380CC4-5D6E-409C-BE32-E72D297353CC}">
              <c16:uniqueId val="{00000004-B84C-41A2-8A86-33A91DB55EC4}"/>
            </c:ext>
          </c:extLst>
        </c:ser>
        <c:dLbls>
          <c:showLegendKey val="0"/>
          <c:showVal val="0"/>
          <c:showCatName val="0"/>
          <c:showSerName val="0"/>
          <c:showPercent val="0"/>
          <c:showBubbleSize val="0"/>
        </c:dLbls>
        <c:gapWidth val="60"/>
        <c:overlap val="-27"/>
        <c:axId val="331228432"/>
        <c:axId val="331224688"/>
      </c:barChart>
      <c:catAx>
        <c:axId val="331228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31224688"/>
        <c:crosses val="autoZero"/>
        <c:auto val="1"/>
        <c:lblAlgn val="ctr"/>
        <c:lblOffset val="100"/>
        <c:noMultiLvlLbl val="0"/>
      </c:catAx>
      <c:valAx>
        <c:axId val="331224688"/>
        <c:scaling>
          <c:orientation val="minMax"/>
          <c:min val="0.70000000000000007"/>
        </c:scaling>
        <c:delete val="1"/>
        <c:axPos val="l"/>
        <c:numFmt formatCode="_-* #,##0.0_-;\-* #,##0.0_-;_-* &quot;-&quot;??_-;_-@_-" sourceLinked="1"/>
        <c:majorTickMark val="out"/>
        <c:minorTickMark val="none"/>
        <c:tickLblPos val="nextTo"/>
        <c:crossAx val="33122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133172368881042E-2"/>
          <c:y val="5.5773806672096325E-2"/>
          <c:w val="0.90290702078846152"/>
          <c:h val="0.78461166666666671"/>
        </c:manualLayout>
      </c:layout>
      <c:barChart>
        <c:barDir val="col"/>
        <c:grouping val="clustered"/>
        <c:varyColors val="0"/>
        <c:ser>
          <c:idx val="0"/>
          <c:order val="0"/>
          <c:tx>
            <c:strRef>
              <c:f>'[ASD 2022 vigente presupuesto.xlsm]Indicadores de deuda'!$A$5</c:f>
              <c:strCache>
                <c:ptCount val="1"/>
                <c:pt idx="0">
                  <c:v>Intereses/Ingresos SITFIN</c:v>
                </c:pt>
              </c:strCache>
            </c:strRef>
          </c:tx>
          <c:spPr>
            <a:solidFill>
              <a:schemeClr val="accent6">
                <a:lumMod val="60000"/>
                <a:lumOff val="40000"/>
              </a:schemeClr>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6175-4515-9C35-4D32961DFC39}"/>
              </c:ext>
            </c:extLst>
          </c:dPt>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3-6175-4515-9C35-4D32961DFC39}"/>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presupuesto.xlsm]Indicadores de deuda'!$I$3:$P$3</c:f>
              <c:numCache>
                <c:formatCode>General</c:formatCode>
                <c:ptCount val="8"/>
                <c:pt idx="0">
                  <c:v>2020</c:v>
                </c:pt>
                <c:pt idx="1">
                  <c:v>2021</c:v>
                </c:pt>
                <c:pt idx="2">
                  <c:v>2022</c:v>
                </c:pt>
                <c:pt idx="3">
                  <c:v>2023</c:v>
                </c:pt>
                <c:pt idx="4">
                  <c:v>2024</c:v>
                </c:pt>
                <c:pt idx="5">
                  <c:v>2025</c:v>
                </c:pt>
                <c:pt idx="6">
                  <c:v>2026</c:v>
                </c:pt>
                <c:pt idx="7">
                  <c:v>2027</c:v>
                </c:pt>
              </c:numCache>
            </c:numRef>
          </c:cat>
          <c:val>
            <c:numRef>
              <c:f>'[ASD 2022 vigente presupuesto.xlsm]Indicadores de deuda'!$I$5:$P$5</c:f>
              <c:numCache>
                <c:formatCode>_-* #,##0.0_-;\-* #,##0.0_-;_-* "-"??_-;_-@_-</c:formatCode>
                <c:ptCount val="8"/>
                <c:pt idx="0">
                  <c:v>16.12620486145082</c:v>
                </c:pt>
                <c:pt idx="1">
                  <c:v>14.029786346396584</c:v>
                </c:pt>
                <c:pt idx="2">
                  <c:v>13.957030144070945</c:v>
                </c:pt>
                <c:pt idx="3">
                  <c:v>14.446439187486307</c:v>
                </c:pt>
                <c:pt idx="4">
                  <c:v>14.044211300100148</c:v>
                </c:pt>
                <c:pt idx="5">
                  <c:v>13.987376667117656</c:v>
                </c:pt>
                <c:pt idx="6">
                  <c:v>13.875699598622008</c:v>
                </c:pt>
                <c:pt idx="7">
                  <c:v>13.715890693886031</c:v>
                </c:pt>
              </c:numCache>
            </c:numRef>
          </c:val>
          <c:extLst>
            <c:ext xmlns:c16="http://schemas.microsoft.com/office/drawing/2014/chart" uri="{C3380CC4-5D6E-409C-BE32-E72D297353CC}">
              <c16:uniqueId val="{00000004-6175-4515-9C35-4D32961DFC39}"/>
            </c:ext>
          </c:extLst>
        </c:ser>
        <c:dLbls>
          <c:showLegendKey val="0"/>
          <c:showVal val="0"/>
          <c:showCatName val="0"/>
          <c:showSerName val="0"/>
          <c:showPercent val="0"/>
          <c:showBubbleSize val="0"/>
        </c:dLbls>
        <c:gapWidth val="50"/>
        <c:overlap val="-27"/>
        <c:axId val="331228432"/>
        <c:axId val="331224688"/>
      </c:barChart>
      <c:catAx>
        <c:axId val="33122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31224688"/>
        <c:crosses val="autoZero"/>
        <c:auto val="1"/>
        <c:lblAlgn val="ctr"/>
        <c:lblOffset val="100"/>
        <c:noMultiLvlLbl val="0"/>
      </c:catAx>
      <c:valAx>
        <c:axId val="331224688"/>
        <c:scaling>
          <c:orientation val="minMax"/>
          <c:min val="10"/>
        </c:scaling>
        <c:delete val="1"/>
        <c:axPos val="l"/>
        <c:numFmt formatCode="_-* #,##0.0_-;\-* #,##0.0_-;_-* &quot;-&quot;??_-;_-@_-" sourceLinked="1"/>
        <c:majorTickMark val="out"/>
        <c:minorTickMark val="none"/>
        <c:tickLblPos val="nextTo"/>
        <c:crossAx val="33122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'[ASD 2022 vigente presupuesto.xlsm]Indicadores de deuda'!$A$9</c:f>
              <c:strCache>
                <c:ptCount val="1"/>
                <c:pt idx="0">
                  <c:v>Reservas/Deuda Externa</c:v>
                </c:pt>
              </c:strCache>
            </c:strRef>
          </c:tx>
          <c:spPr>
            <a:solidFill>
              <a:schemeClr val="accent4">
                <a:lumMod val="60000"/>
                <a:lumOff val="40000"/>
              </a:schemeClr>
            </a:solidFill>
            <a:ln>
              <a:noFill/>
            </a:ln>
            <a:effectLst/>
          </c:spPr>
          <c:invertIfNegative val="0"/>
          <c:dLbls>
            <c:dLbl>
              <c:idx val="2"/>
              <c:layout>
                <c:manualLayout>
                  <c:x val="3.4750529423304406E-7"/>
                  <c:y val="4.0562768488797328E-2"/>
                </c:manualLayout>
              </c:layout>
              <c:showLegendKey val="0"/>
              <c:showVal val="1"/>
              <c:showCatName val="0"/>
              <c:showSerName val="0"/>
              <c:showPercent val="0"/>
              <c:showBubbleSize val="0"/>
              <c:extLst>
                <c:ext xmlns:c15="http://schemas.microsoft.com/office/drawing/2012/chart" uri="{CE6537A1-D6FC-4f65-9D91-7224C49458BB}">
                  <c15:layout>
                    <c:manualLayout>
                      <c:w val="0.25862039008164284"/>
                      <c:h val="0.1637470256631374"/>
                    </c:manualLayout>
                  </c15:layout>
                </c:ext>
                <c:ext xmlns:c16="http://schemas.microsoft.com/office/drawing/2014/chart" uri="{C3380CC4-5D6E-409C-BE32-E72D297353CC}">
                  <c16:uniqueId val="{00000000-47EF-46CF-8482-9A49FF9F459B}"/>
                </c:ext>
              </c:extLst>
            </c:dLbl>
            <c:dLbl>
              <c:idx val="3"/>
              <c:layout>
                <c:manualLayout>
                  <c:x val="-1.7653268947552415E-2"/>
                  <c:y val="4.0562768488797328E-2"/>
                </c:manualLayout>
              </c:layout>
              <c:showLegendKey val="0"/>
              <c:showVal val="1"/>
              <c:showCatName val="0"/>
              <c:showSerName val="0"/>
              <c:showPercent val="0"/>
              <c:showBubbleSize val="0"/>
              <c:extLst>
                <c:ext xmlns:c15="http://schemas.microsoft.com/office/drawing/2012/chart" uri="{CE6537A1-D6FC-4f65-9D91-7224C49458BB}">
                  <c15:layout>
                    <c:manualLayout>
                      <c:w val="0.33806010034562878"/>
                      <c:h val="0.1637470256631374"/>
                    </c:manualLayout>
                  </c15:layout>
                </c:ext>
                <c:ext xmlns:c16="http://schemas.microsoft.com/office/drawing/2014/chart" uri="{C3380CC4-5D6E-409C-BE32-E72D297353CC}">
                  <c16:uniqueId val="{00000001-47EF-46CF-8482-9A49FF9F459B}"/>
                </c:ext>
              </c:extLst>
            </c:dLbl>
            <c:dLbl>
              <c:idx val="4"/>
              <c:layout>
                <c:manualLayout>
                  <c:x val="3.4750529420270287E-7"/>
                  <c:y val="3.0422076366597998E-2"/>
                </c:manualLayout>
              </c:layout>
              <c:showLegendKey val="0"/>
              <c:showVal val="1"/>
              <c:showCatName val="0"/>
              <c:showSerName val="0"/>
              <c:showPercent val="0"/>
              <c:showBubbleSize val="0"/>
              <c:extLst>
                <c:ext xmlns:c15="http://schemas.microsoft.com/office/drawing/2012/chart" uri="{CE6537A1-D6FC-4f65-9D91-7224C49458BB}">
                  <c15:layout>
                    <c:manualLayout>
                      <c:w val="0.29392692797674769"/>
                      <c:h val="0.1637470256631374"/>
                    </c:manualLayout>
                  </c15:layout>
                </c:ext>
                <c:ext xmlns:c16="http://schemas.microsoft.com/office/drawing/2014/chart" uri="{C3380CC4-5D6E-409C-BE32-E72D297353CC}">
                  <c16:uniqueId val="{00000002-47EF-46CF-8482-9A49FF9F459B}"/>
                </c:ext>
              </c:extLst>
            </c:dLbl>
            <c:dLbl>
              <c:idx val="5"/>
              <c:layout>
                <c:manualLayout>
                  <c:x val="0"/>
                  <c:y val="1.5211038183298999E-2"/>
                </c:manualLayout>
              </c:layout>
              <c:showLegendKey val="0"/>
              <c:showVal val="1"/>
              <c:showCatName val="0"/>
              <c:showSerName val="0"/>
              <c:showPercent val="0"/>
              <c:showBubbleSize val="0"/>
              <c:extLst>
                <c:ext xmlns:c15="http://schemas.microsoft.com/office/drawing/2012/chart" uri="{CE6537A1-D6FC-4f65-9D91-7224C49458BB}">
                  <c15:layout>
                    <c:manualLayout>
                      <c:w val="0.32040683139807635"/>
                      <c:h val="0.1637470256631374"/>
                    </c:manualLayout>
                  </c15:layout>
                </c:ext>
                <c:ext xmlns:c16="http://schemas.microsoft.com/office/drawing/2014/chart" uri="{C3380CC4-5D6E-409C-BE32-E72D297353CC}">
                  <c16:uniqueId val="{00000003-47EF-46CF-8482-9A49FF9F459B}"/>
                </c:ext>
              </c:extLst>
            </c:dLbl>
            <c:dLbl>
              <c:idx val="6"/>
              <c:layout>
                <c:manualLayout>
                  <c:x val="-2.2167151493106014E-3"/>
                  <c:y val="-3.4103507088796368E-3"/>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15:layout>
                    <c:manualLayout>
                      <c:w val="0.22736410925228975"/>
                      <c:h val="0.14343993177699604"/>
                    </c:manualLayout>
                  </c15:layout>
                </c:ext>
                <c:ext xmlns:c16="http://schemas.microsoft.com/office/drawing/2014/chart" uri="{C3380CC4-5D6E-409C-BE32-E72D297353CC}">
                  <c16:uniqueId val="{00000004-47EF-46CF-8482-9A49FF9F459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presupuesto.xlsm]Indicadores de deuda'!$D$3:$J$3</c:f>
              <c:numCache>
                <c:formatCode>General</c:formatCode>
                <c:ptCount val="7"/>
                <c:pt idx="0">
                  <c:v>2015</c:v>
                </c:pt>
                <c:pt idx="1">
                  <c:v>2016</c:v>
                </c:pt>
                <c:pt idx="2">
                  <c:v>2017</c:v>
                </c:pt>
                <c:pt idx="3">
                  <c:v>2018</c:v>
                </c:pt>
                <c:pt idx="4">
                  <c:v>2019</c:v>
                </c:pt>
                <c:pt idx="5">
                  <c:v>2020</c:v>
                </c:pt>
                <c:pt idx="6">
                  <c:v>2021</c:v>
                </c:pt>
              </c:numCache>
            </c:numRef>
          </c:cat>
          <c:val>
            <c:numRef>
              <c:f>'[ASD 2022 vigente presupuesto.xlsm]Indicadores de deuda'!$D$9:$J$9</c:f>
              <c:numCache>
                <c:formatCode>_-* #,##0.0_-;\-* #,##0.0_-;_-* "-"??_-;_-@_-</c:formatCode>
                <c:ptCount val="7"/>
                <c:pt idx="0">
                  <c:v>103.48804289259095</c:v>
                </c:pt>
                <c:pt idx="1">
                  <c:v>114.28337724741256</c:v>
                </c:pt>
                <c:pt idx="2">
                  <c:v>143.82436216371178</c:v>
                </c:pt>
                <c:pt idx="3">
                  <c:v>155.08977355653192</c:v>
                </c:pt>
                <c:pt idx="4">
                  <c:v>162.41292537949749</c:v>
                </c:pt>
                <c:pt idx="5">
                  <c:v>176.73308927583653</c:v>
                </c:pt>
                <c:pt idx="6">
                  <c:v>188.6934339186127</c:v>
                </c:pt>
              </c:numCache>
            </c:numRef>
          </c:val>
          <c:extLst>
            <c:ext xmlns:c16="http://schemas.microsoft.com/office/drawing/2014/chart" uri="{C3380CC4-5D6E-409C-BE32-E72D297353CC}">
              <c16:uniqueId val="{00000005-47EF-46CF-8482-9A49FF9F459B}"/>
            </c:ext>
          </c:extLst>
        </c:ser>
        <c:dLbls>
          <c:showLegendKey val="0"/>
          <c:showVal val="0"/>
          <c:showCatName val="0"/>
          <c:showSerName val="0"/>
          <c:showPercent val="0"/>
          <c:showBubbleSize val="0"/>
        </c:dLbls>
        <c:gapWidth val="60"/>
        <c:overlap val="-27"/>
        <c:axId val="331228432"/>
        <c:axId val="331224688"/>
      </c:barChart>
      <c:catAx>
        <c:axId val="33122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31224688"/>
        <c:crosses val="autoZero"/>
        <c:auto val="1"/>
        <c:lblAlgn val="ctr"/>
        <c:lblOffset val="100"/>
        <c:noMultiLvlLbl val="0"/>
      </c:catAx>
      <c:valAx>
        <c:axId val="331224688"/>
        <c:scaling>
          <c:orientation val="minMax"/>
        </c:scaling>
        <c:delete val="1"/>
        <c:axPos val="l"/>
        <c:numFmt formatCode="_-* #,##0.0_-;\-* #,##0.0_-;_-* &quot;-&quot;??_-;_-@_-" sourceLinked="1"/>
        <c:majorTickMark val="out"/>
        <c:minorTickMark val="none"/>
        <c:tickLblPos val="nextTo"/>
        <c:crossAx val="33122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91312094647566E-2"/>
          <c:y val="4.7849020413755307E-2"/>
          <c:w val="0.95926876202694056"/>
          <c:h val="0.73020961775585702"/>
        </c:manualLayout>
      </c:layout>
      <c:barChart>
        <c:barDir val="col"/>
        <c:grouping val="clustered"/>
        <c:varyColors val="0"/>
        <c:ser>
          <c:idx val="0"/>
          <c:order val="0"/>
          <c:tx>
            <c:strRef>
              <c:f>'Deuda otros'!$K$3</c:f>
              <c:strCache>
                <c:ptCount val="1"/>
                <c:pt idx="0">
                  <c:v>2020</c:v>
                </c:pt>
              </c:strCache>
            </c:strRef>
          </c:tx>
          <c:spPr>
            <a:solidFill>
              <a:srgbClr val="002060"/>
            </a:solidFill>
            <a:ln>
              <a:solidFill>
                <a:schemeClr val="tx1"/>
              </a:solidFill>
            </a:ln>
            <a:effectLst/>
          </c:spPr>
          <c:invertIfNegative val="0"/>
          <c:dLbls>
            <c:dLbl>
              <c:idx val="0"/>
              <c:layout>
                <c:manualLayout>
                  <c:x val="-9.05897960303877E-3"/>
                  <c:y val="8.7915289295145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D-4586-8E2A-EC98D35FC2E8}"/>
                </c:ext>
              </c:extLst>
            </c:dLbl>
            <c:dLbl>
              <c:idx val="1"/>
              <c:layout>
                <c:manualLayout>
                  <c:x val="-2.2690078539830704E-3"/>
                  <c:y val="8.7916043639585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D-4586-8E2A-EC98D35FC2E8}"/>
                </c:ext>
              </c:extLst>
            </c:dLbl>
            <c:dLbl>
              <c:idx val="2"/>
              <c:layout>
                <c:manualLayout>
                  <c:x val="-2.2690078539831329E-3"/>
                  <c:y val="1.3187406545937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8D-4586-8E2A-EC98D35FC2E8}"/>
                </c:ext>
              </c:extLst>
            </c:dLbl>
            <c:dLbl>
              <c:idx val="4"/>
              <c:layout>
                <c:manualLayout>
                  <c:x val="-2.2690078539830912E-3"/>
                  <c:y val="1.3187406545937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D-4586-8E2A-EC98D35FC2E8}"/>
                </c:ext>
              </c:extLst>
            </c:dLbl>
            <c:dLbl>
              <c:idx val="5"/>
              <c:layout>
                <c:manualLayout>
                  <c:x val="0"/>
                  <c:y val="1.758320872791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8D-4586-8E2A-EC98D35FC2E8}"/>
                </c:ext>
              </c:extLst>
            </c:dLbl>
            <c:dLbl>
              <c:idx val="6"/>
              <c:layout>
                <c:manualLayout>
                  <c:x val="-2.2666339700254611E-3"/>
                  <c:y val="4.3957476841518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8D-4586-8E2A-EC98D35FC2E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'Deuda otros'!$I$4:$I$11</c:f>
              <c:strCache>
                <c:ptCount val="8"/>
                <c:pt idx="0">
                  <c:v>Economias avanzadas</c:v>
                </c:pt>
                <c:pt idx="1">
                  <c:v>Latinoamérica y el Caribe</c:v>
                </c:pt>
                <c:pt idx="2">
                  <c:v>E.E.U.U</c:v>
                </c:pt>
                <c:pt idx="3">
                  <c:v>Brasil</c:v>
                </c:pt>
                <c:pt idx="4">
                  <c:v>México</c:v>
                </c:pt>
                <c:pt idx="5">
                  <c:v>Chile</c:v>
                </c:pt>
                <c:pt idx="6">
                  <c:v>Perú</c:v>
                </c:pt>
                <c:pt idx="7">
                  <c:v>Guatemala</c:v>
                </c:pt>
              </c:strCache>
            </c:strRef>
          </c:cat>
          <c:val>
            <c:numRef>
              <c:f>'Deuda otros'!$K$4:$K$11</c:f>
              <c:numCache>
                <c:formatCode>_-* #,##0.0_-;\-* #,##0.0_-;_-* "-"??_-;_-@_-</c:formatCode>
                <c:ptCount val="8"/>
                <c:pt idx="0">
                  <c:v>123.208</c:v>
                </c:pt>
                <c:pt idx="1">
                  <c:v>77.376000000000005</c:v>
                </c:pt>
                <c:pt idx="2">
                  <c:v>134.238</c:v>
                </c:pt>
                <c:pt idx="3">
                  <c:v>98.682000000000002</c:v>
                </c:pt>
                <c:pt idx="4">
                  <c:v>60.296999999999997</c:v>
                </c:pt>
                <c:pt idx="5">
                  <c:v>32.58</c:v>
                </c:pt>
                <c:pt idx="6">
                  <c:v>35.085000000000001</c:v>
                </c:pt>
                <c:pt idx="7">
                  <c:v>31.56278317825408</c:v>
                </c:pt>
              </c:numCache>
            </c:numRef>
          </c:val>
          <c:extLst>
            <c:ext xmlns:c16="http://schemas.microsoft.com/office/drawing/2014/chart" uri="{C3380CC4-5D6E-409C-BE32-E72D297353CC}">
              <c16:uniqueId val="{00000006-C88D-4586-8E2A-EC98D35FC2E8}"/>
            </c:ext>
          </c:extLst>
        </c:ser>
        <c:ser>
          <c:idx val="1"/>
          <c:order val="1"/>
          <c:tx>
            <c:strRef>
              <c:f>'Deuda otros'!$L$3</c:f>
              <c:strCache>
                <c:ptCount val="1"/>
                <c:pt idx="0">
                  <c:v>2021</c:v>
                </c:pt>
              </c:strCache>
            </c:strRef>
          </c:tx>
          <c:spPr>
            <a:solidFill>
              <a:schemeClr val="accent4"/>
            </a:solidFill>
            <a:ln>
              <a:solidFill>
                <a:schemeClr val="tx1"/>
              </a:solidFill>
            </a:ln>
            <a:effectLst/>
          </c:spPr>
          <c:invertIfNegative val="0"/>
          <c:dLbls>
            <c:dLbl>
              <c:idx val="1"/>
              <c:layout>
                <c:manualLayout>
                  <c:x val="4.5332679400509222E-3"/>
                  <c:y val="1.00394801326326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8D-4586-8E2A-EC98D35FC2E8}"/>
                </c:ext>
              </c:extLst>
            </c:dLbl>
            <c:dLbl>
              <c:idx val="3"/>
              <c:layout>
                <c:manualLayout>
                  <c:x val="-7.5952380952390192E-4"/>
                  <c:y val="-3.2337589396370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8D-4586-8E2A-EC98D35FC2E8}"/>
                </c:ext>
              </c:extLst>
            </c:dLbl>
            <c:dLbl>
              <c:idx val="7"/>
              <c:layout>
                <c:manualLayout>
                  <c:x val="4.53326794005092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8D-4586-8E2A-EC98D35FC2E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otros'!$I$4:$I$11</c:f>
              <c:strCache>
                <c:ptCount val="8"/>
                <c:pt idx="0">
                  <c:v>Economias avanzadas</c:v>
                </c:pt>
                <c:pt idx="1">
                  <c:v>Latinoamérica y el Caribe</c:v>
                </c:pt>
                <c:pt idx="2">
                  <c:v>E.E.U.U</c:v>
                </c:pt>
                <c:pt idx="3">
                  <c:v>Brasil</c:v>
                </c:pt>
                <c:pt idx="4">
                  <c:v>México</c:v>
                </c:pt>
                <c:pt idx="5">
                  <c:v>Chile</c:v>
                </c:pt>
                <c:pt idx="6">
                  <c:v>Perú</c:v>
                </c:pt>
                <c:pt idx="7">
                  <c:v>Guatemala</c:v>
                </c:pt>
              </c:strCache>
            </c:strRef>
          </c:cat>
          <c:val>
            <c:numRef>
              <c:f>'Deuda otros'!$L$4:$L$11</c:f>
              <c:numCache>
                <c:formatCode>_-* #,##0.0_-;\-* #,##0.0_-;_-* "-"??_-;_-@_-</c:formatCode>
                <c:ptCount val="8"/>
                <c:pt idx="0">
                  <c:v>119.788</c:v>
                </c:pt>
                <c:pt idx="1">
                  <c:v>72.043999999999997</c:v>
                </c:pt>
                <c:pt idx="2">
                  <c:v>132.62799999999999</c:v>
                </c:pt>
                <c:pt idx="3">
                  <c:v>93.013000000000005</c:v>
                </c:pt>
                <c:pt idx="4">
                  <c:v>57.627000000000002</c:v>
                </c:pt>
                <c:pt idx="5">
                  <c:v>36.280999999999999</c:v>
                </c:pt>
                <c:pt idx="6">
                  <c:v>35.932000000000002</c:v>
                </c:pt>
                <c:pt idx="7">
                  <c:v>30.774611397111123</c:v>
                </c:pt>
              </c:numCache>
            </c:numRef>
          </c:val>
          <c:extLst>
            <c:ext xmlns:c16="http://schemas.microsoft.com/office/drawing/2014/chart" uri="{C3380CC4-5D6E-409C-BE32-E72D297353CC}">
              <c16:uniqueId val="{0000000A-C88D-4586-8E2A-EC98D35FC2E8}"/>
            </c:ext>
          </c:extLst>
        </c:ser>
        <c:ser>
          <c:idx val="2"/>
          <c:order val="2"/>
          <c:tx>
            <c:strRef>
              <c:f>'Deuda otros'!$M$3</c:f>
              <c:strCache>
                <c:ptCount val="1"/>
                <c:pt idx="0">
                  <c:v>2022 py/</c:v>
                </c:pt>
              </c:strCache>
            </c:strRef>
          </c:tx>
          <c:spPr>
            <a:solidFill>
              <a:schemeClr val="accent3"/>
            </a:solidFill>
            <a:ln>
              <a:solidFill>
                <a:schemeClr val="tx1"/>
              </a:solidFill>
            </a:ln>
            <a:effectLst/>
          </c:spPr>
          <c:invertIfNegative val="0"/>
          <c:dLbls>
            <c:dLbl>
              <c:idx val="0"/>
              <c:layout>
                <c:manualLayout>
                  <c:x val="5.0396825396825514E-3"/>
                  <c:y val="1.411111111111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8D-4586-8E2A-EC98D35FC2E8}"/>
                </c:ext>
              </c:extLst>
            </c:dLbl>
            <c:spPr>
              <a:noFill/>
              <a:ln>
                <a:noFill/>
              </a:ln>
              <a:effectLst/>
            </c:spPr>
            <c:txPr>
              <a:bodyPr wrap="square" lIns="38100" tIns="19050" rIns="38100" bIns="19050" anchor="ctr">
                <a:spAutoFit/>
              </a:bodyPr>
              <a:lstStyle/>
              <a:p>
                <a:pPr>
                  <a:defRPr sz="700" b="1">
                    <a:solidFill>
                      <a:schemeClr val="tx1">
                        <a:lumMod val="85000"/>
                        <a:lumOff val="15000"/>
                      </a:schemeClr>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'Deuda otros'!$I$4:$I$11</c:f>
              <c:strCache>
                <c:ptCount val="8"/>
                <c:pt idx="0">
                  <c:v>Economias avanzadas</c:v>
                </c:pt>
                <c:pt idx="1">
                  <c:v>Latinoamérica y el Caribe</c:v>
                </c:pt>
                <c:pt idx="2">
                  <c:v>E.E.U.U</c:v>
                </c:pt>
                <c:pt idx="3">
                  <c:v>Brasil</c:v>
                </c:pt>
                <c:pt idx="4">
                  <c:v>México</c:v>
                </c:pt>
                <c:pt idx="5">
                  <c:v>Chile</c:v>
                </c:pt>
                <c:pt idx="6">
                  <c:v>Perú</c:v>
                </c:pt>
                <c:pt idx="7">
                  <c:v>Guatemala</c:v>
                </c:pt>
              </c:strCache>
            </c:strRef>
          </c:cat>
          <c:val>
            <c:numRef>
              <c:f>'Deuda otros'!$M$4:$M$11</c:f>
              <c:numCache>
                <c:formatCode>_-* #,##0.0_-;\-* #,##0.0_-;_-* "-"??_-;_-@_-</c:formatCode>
                <c:ptCount val="8"/>
                <c:pt idx="0">
                  <c:v>115.545</c:v>
                </c:pt>
                <c:pt idx="1">
                  <c:v>71.3</c:v>
                </c:pt>
                <c:pt idx="2">
                  <c:v>125.575</c:v>
                </c:pt>
                <c:pt idx="3">
                  <c:v>91.888000000000005</c:v>
                </c:pt>
                <c:pt idx="4">
                  <c:v>58.401000000000003</c:v>
                </c:pt>
                <c:pt idx="5">
                  <c:v>38.270000000000003</c:v>
                </c:pt>
                <c:pt idx="6">
                  <c:v>34.363999999999997</c:v>
                </c:pt>
                <c:pt idx="7">
                  <c:v>31.002109771771163</c:v>
                </c:pt>
              </c:numCache>
            </c:numRef>
          </c:val>
          <c:extLst>
            <c:ext xmlns:c16="http://schemas.microsoft.com/office/drawing/2014/chart" uri="{C3380CC4-5D6E-409C-BE32-E72D297353CC}">
              <c16:uniqueId val="{0000000C-C88D-4586-8E2A-EC98D35FC2E8}"/>
            </c:ext>
          </c:extLst>
        </c:ser>
        <c:dLbls>
          <c:showLegendKey val="0"/>
          <c:showVal val="0"/>
          <c:showCatName val="0"/>
          <c:showSerName val="0"/>
          <c:showPercent val="0"/>
          <c:showBubbleSize val="0"/>
        </c:dLbls>
        <c:gapWidth val="70"/>
        <c:overlap val="-30"/>
        <c:axId val="1206540031"/>
        <c:axId val="1206539615"/>
      </c:barChart>
      <c:catAx>
        <c:axId val="120654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06539615"/>
        <c:crosses val="autoZero"/>
        <c:auto val="1"/>
        <c:lblAlgn val="ctr"/>
        <c:lblOffset val="100"/>
        <c:noMultiLvlLbl val="0"/>
      </c:catAx>
      <c:valAx>
        <c:axId val="1206539615"/>
        <c:scaling>
          <c:orientation val="minMax"/>
          <c:min val="20"/>
        </c:scaling>
        <c:delete val="1"/>
        <c:axPos val="l"/>
        <c:numFmt formatCode="_-* #,##0.0_-;\-* #,##0.0_-;_-* &quot;-&quot;??_-;_-@_-" sourceLinked="1"/>
        <c:majorTickMark val="out"/>
        <c:minorTickMark val="none"/>
        <c:tickLblPos val="nextTo"/>
        <c:crossAx val="1206540031"/>
        <c:crosses val="autoZero"/>
        <c:crossBetween val="between"/>
      </c:valAx>
    </c:plotArea>
    <c:legend>
      <c:legendPos val="b"/>
      <c:layout>
        <c:manualLayout>
          <c:xMode val="edge"/>
          <c:yMode val="edge"/>
          <c:x val="0.11163263487990878"/>
          <c:y val="0.90049527332511303"/>
          <c:w val="0.81520294348228917"/>
          <c:h val="7.340526099465680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73167632110746"/>
          <c:y val="6.0884283750339288E-2"/>
          <c:w val="0.83104070539752517"/>
          <c:h val="0.75778500000000004"/>
        </c:manualLayout>
      </c:layout>
      <c:scatterChart>
        <c:scatterStyle val="lineMarker"/>
        <c:varyColors val="0"/>
        <c:ser>
          <c:idx val="0"/>
          <c:order val="0"/>
          <c:tx>
            <c:strRef>
              <c:f>'[ASD 2022 vigente presupuesto.xlsm]graf_2 esce'!$F$1</c:f>
              <c:strCache>
                <c:ptCount val="1"/>
                <c:pt idx="0">
                  <c:v>Deuda/Ingresos fiscales</c:v>
                </c:pt>
              </c:strCache>
            </c:strRef>
          </c:tx>
          <c:spPr>
            <a:ln w="28575" cap="rnd">
              <a:noFill/>
              <a:round/>
            </a:ln>
            <a:effectLst/>
          </c:spPr>
          <c:marker>
            <c:symbol val="diamond"/>
            <c:size val="6"/>
            <c:spPr>
              <a:solidFill>
                <a:srgbClr val="002060"/>
              </a:solidFill>
              <a:ln w="9525">
                <a:noFill/>
              </a:ln>
              <a:effectLst/>
            </c:spPr>
          </c:marker>
          <c:dPt>
            <c:idx val="9"/>
            <c:marker>
              <c:symbol val="diamond"/>
              <c:size val="6"/>
              <c:spPr>
                <a:solidFill>
                  <a:srgbClr val="C00000"/>
                </a:solidFill>
                <a:ln w="9525">
                  <a:noFill/>
                </a:ln>
                <a:effectLst/>
              </c:spPr>
            </c:marker>
            <c:bubble3D val="0"/>
            <c:extLst>
              <c:ext xmlns:c16="http://schemas.microsoft.com/office/drawing/2014/chart" uri="{C3380CC4-5D6E-409C-BE32-E72D297353CC}">
                <c16:uniqueId val="{00000000-AC2E-448B-9DFF-D91CED0D5AA9}"/>
              </c:ext>
            </c:extLst>
          </c:dPt>
          <c:dPt>
            <c:idx val="15"/>
            <c:marker>
              <c:symbol val="diamond"/>
              <c:size val="6"/>
              <c:spPr>
                <a:solidFill>
                  <a:srgbClr val="002060"/>
                </a:solidFill>
                <a:ln w="9525">
                  <a:noFill/>
                </a:ln>
                <a:effectLst/>
              </c:spPr>
            </c:marker>
            <c:bubble3D val="0"/>
            <c:extLst>
              <c:ext xmlns:c16="http://schemas.microsoft.com/office/drawing/2014/chart" uri="{C3380CC4-5D6E-409C-BE32-E72D297353CC}">
                <c16:uniqueId val="{00000001-AC2E-448B-9DFF-D91CED0D5AA9}"/>
              </c:ext>
            </c:extLst>
          </c:dPt>
          <c:dLbls>
            <c:dLbl>
              <c:idx val="0"/>
              <c:tx>
                <c:rich>
                  <a:bodyPr/>
                  <a:lstStyle/>
                  <a:p>
                    <a:fld id="{21A5FAC4-587C-49C0-BC78-9500ED91A72C}"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C2E-448B-9DFF-D91CED0D5AA9}"/>
                </c:ext>
              </c:extLst>
            </c:dLbl>
            <c:dLbl>
              <c:idx val="1"/>
              <c:tx>
                <c:rich>
                  <a:bodyPr/>
                  <a:lstStyle/>
                  <a:p>
                    <a:fld id="{4921610D-17FC-4601-9B48-F864C0923F3D}"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C2E-448B-9DFF-D91CED0D5AA9}"/>
                </c:ext>
              </c:extLst>
            </c:dLbl>
            <c:dLbl>
              <c:idx val="2"/>
              <c:tx>
                <c:rich>
                  <a:bodyPr/>
                  <a:lstStyle/>
                  <a:p>
                    <a:fld id="{B3CD57BC-D8DD-4F75-8377-A1F4FD4E2C64}"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C2E-448B-9DFF-D91CED0D5AA9}"/>
                </c:ext>
              </c:extLst>
            </c:dLbl>
            <c:dLbl>
              <c:idx val="3"/>
              <c:tx>
                <c:rich>
                  <a:bodyPr/>
                  <a:lstStyle/>
                  <a:p>
                    <a:fld id="{EDCEE8A0-AC02-4F61-AC6F-17EC61BFF85D}"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C2E-448B-9DFF-D91CED0D5AA9}"/>
                </c:ext>
              </c:extLst>
            </c:dLbl>
            <c:dLbl>
              <c:idx val="4"/>
              <c:tx>
                <c:rich>
                  <a:bodyPr/>
                  <a:lstStyle/>
                  <a:p>
                    <a:fld id="{D8EBF7A7-CA7B-43EF-B005-F32442387533}"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C2E-448B-9DFF-D91CED0D5AA9}"/>
                </c:ext>
              </c:extLst>
            </c:dLbl>
            <c:dLbl>
              <c:idx val="5"/>
              <c:layout>
                <c:manualLayout>
                  <c:x val="-6.3957961055627663E-2"/>
                  <c:y val="3.9288333222874658E-2"/>
                </c:manualLayout>
              </c:layout>
              <c:tx>
                <c:rich>
                  <a:bodyPr/>
                  <a:lstStyle/>
                  <a:p>
                    <a:fld id="{2977A8DA-3AA4-46D8-958C-1F0B261EE17A}"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C2E-448B-9DFF-D91CED0D5AA9}"/>
                </c:ext>
              </c:extLst>
            </c:dLbl>
            <c:dLbl>
              <c:idx val="6"/>
              <c:layout>
                <c:manualLayout>
                  <c:x val="-1.324325601959871E-2"/>
                  <c:y val="0"/>
                </c:manualLayout>
              </c:layout>
              <c:tx>
                <c:rich>
                  <a:bodyPr/>
                  <a:lstStyle/>
                  <a:p>
                    <a:fld id="{245CB6B0-9E07-4DB9-AA4A-987D9579B5E9}"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C2E-448B-9DFF-D91CED0D5AA9}"/>
                </c:ext>
              </c:extLst>
            </c:dLbl>
            <c:dLbl>
              <c:idx val="7"/>
              <c:tx>
                <c:rich>
                  <a:bodyPr/>
                  <a:lstStyle/>
                  <a:p>
                    <a:fld id="{4DFE2E81-9A72-4376-A6FA-D2A9E8394E97}"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AC2E-448B-9DFF-D91CED0D5AA9}"/>
                </c:ext>
              </c:extLst>
            </c:dLbl>
            <c:dLbl>
              <c:idx val="8"/>
              <c:tx>
                <c:rich>
                  <a:bodyPr/>
                  <a:lstStyle/>
                  <a:p>
                    <a:fld id="{B0235B71-32D1-45B0-B3A0-9DF1F794D511}"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AC2E-448B-9DFF-D91CED0D5AA9}"/>
                </c:ext>
              </c:extLst>
            </c:dLbl>
            <c:dLbl>
              <c:idx val="9"/>
              <c:tx>
                <c:rich>
                  <a:bodyPr rot="0" spcFirstLastPara="1" vertOverflow="ellipsis" vert="horz" wrap="square" lIns="38100" tIns="19050" rIns="38100" bIns="19050" anchor="ctr" anchorCtr="1">
                    <a:spAutoFit/>
                  </a:bodyPr>
                  <a:lstStyle/>
                  <a:p>
                    <a:pPr>
                      <a:defRPr sz="65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F0E6C25D-BFFB-4456-99CF-DAFA9604AB2E}" type="CELLRANGE">
                      <a:rPr lang="en-US"/>
                      <a:pPr>
                        <a:defRPr sz="650" b="1">
                          <a:solidFill>
                            <a:srgbClr val="C00000"/>
                          </a:solidFill>
                          <a:latin typeface="Times New Roman" panose="02020603050405020304" pitchFamily="18" charset="0"/>
                          <a:cs typeface="Times New Roman" panose="02020603050405020304" pitchFamily="18" charset="0"/>
                        </a:defRPr>
                      </a:pPr>
                      <a:t>[CELLRANGE]</a:t>
                    </a:fld>
                    <a:endParaRPr lang="es-GT"/>
                  </a:p>
                </c:rich>
              </c:tx>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C2E-448B-9DFF-D91CED0D5AA9}"/>
                </c:ext>
              </c:extLst>
            </c:dLbl>
            <c:dLbl>
              <c:idx val="10"/>
              <c:layout>
                <c:manualLayout>
                  <c:x val="-7.0761851672406034E-2"/>
                  <c:y val="-3.3857619610601554E-2"/>
                </c:manualLayout>
              </c:layout>
              <c:tx>
                <c:rich>
                  <a:bodyPr/>
                  <a:lstStyle/>
                  <a:p>
                    <a:fld id="{0DDDCC35-737F-4199-9724-854230F04545}"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C2E-448B-9DFF-D91CED0D5AA9}"/>
                </c:ext>
              </c:extLst>
            </c:dLbl>
            <c:dLbl>
              <c:idx val="11"/>
              <c:layout>
                <c:manualLayout>
                  <c:x val="-6.8379968984817144E-2"/>
                  <c:y val="5.0148905284266923E-2"/>
                </c:manualLayout>
              </c:layout>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C2E-448B-9DFF-D91CED0D5AA9}"/>
                </c:ext>
              </c:extLst>
            </c:dLbl>
            <c:dLbl>
              <c:idx val="12"/>
              <c:layout>
                <c:manualLayout>
                  <c:x val="-0.12987859622434431"/>
                  <c:y val="-1.0860572061392163E-2"/>
                </c:manualLayout>
              </c:layout>
              <c:tx>
                <c:rich>
                  <a:bodyPr/>
                  <a:lstStyle/>
                  <a:p>
                    <a:fld id="{0DF0552D-7996-4B90-B7BC-0D927609DBF0}"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AC2E-448B-9DFF-D91CED0D5AA9}"/>
                </c:ext>
              </c:extLst>
            </c:dLbl>
            <c:dLbl>
              <c:idx val="13"/>
              <c:tx>
                <c:rich>
                  <a:bodyPr/>
                  <a:lstStyle/>
                  <a:p>
                    <a:fld id="{7073CEA2-0341-49A7-872A-194C2EC226A2}"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AC2E-448B-9DFF-D91CED0D5AA9}"/>
                </c:ext>
              </c:extLst>
            </c:dLbl>
            <c:dLbl>
              <c:idx val="14"/>
              <c:layout>
                <c:manualLayout>
                  <c:x val="-1.7675054293873761E-2"/>
                  <c:y val="-1.0156988749686829E-2"/>
                </c:manualLayout>
              </c:layout>
              <c:tx>
                <c:rich>
                  <a:bodyPr/>
                  <a:lstStyle/>
                  <a:p>
                    <a:fld id="{E0E17982-123C-46BF-862B-5B9D9B4600B7}"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AC2E-448B-9DFF-D91CED0D5AA9}"/>
                </c:ext>
              </c:extLst>
            </c:dLbl>
            <c:dLbl>
              <c:idx val="15"/>
              <c:layout>
                <c:manualLayout>
                  <c:x val="-0.11311719953390396"/>
                  <c:y val="-3.258171618417649E-2"/>
                </c:manualLayout>
              </c:layout>
              <c:tx>
                <c:rich>
                  <a:bodyPr/>
                  <a:lstStyle/>
                  <a:p>
                    <a:fld id="{9CA60257-904B-4507-B265-FD0B25918EC0}"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C2E-448B-9DFF-D91CED0D5AA9}"/>
                </c:ext>
              </c:extLst>
            </c:dLbl>
            <c:dLbl>
              <c:idx val="16"/>
              <c:layout>
                <c:manualLayout>
                  <c:x val="-0.10109768740655067"/>
                  <c:y val="2.1721144122784225E-2"/>
                </c:manualLayout>
              </c:layout>
              <c:tx>
                <c:rich>
                  <a:bodyPr/>
                  <a:lstStyle/>
                  <a:p>
                    <a:fld id="{27C88A92-1B01-442A-9381-001A4FBACEC2}"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AC2E-448B-9DFF-D91CED0D5AA9}"/>
                </c:ext>
              </c:extLst>
            </c:dLbl>
            <c:dLbl>
              <c:idx val="17"/>
              <c:tx>
                <c:rich>
                  <a:bodyPr/>
                  <a:lstStyle/>
                  <a:p>
                    <a:fld id="{36258F45-8EE4-44D7-850F-A1E61227732E}" type="CELLRANGE">
                      <a:rPr lang="en-US"/>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AC2E-448B-9DFF-D91CED0D5AA9}"/>
                </c:ext>
              </c:extLst>
            </c:dLbl>
            <c:dLbl>
              <c:idx val="18"/>
              <c:layout>
                <c:manualLayout>
                  <c:x val="-6.4682356507061722E-2"/>
                  <c:y val="4.1500692985988949E-2"/>
                </c:manualLayout>
              </c:layout>
              <c:tx>
                <c:rich>
                  <a:bodyPr/>
                  <a:lstStyle/>
                  <a:p>
                    <a:fld id="{69AAA769-90CD-4160-B86F-50D39F4E8EFC}"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C2E-448B-9DFF-D91CED0D5AA9}"/>
                </c:ext>
              </c:extLst>
            </c:dLbl>
            <c:dLbl>
              <c:idx val="19"/>
              <c:layout>
                <c:manualLayout>
                  <c:x val="-6.1801861424793603E-2"/>
                  <c:y val="3.7484096552044412E-2"/>
                </c:manualLayout>
              </c:layout>
              <c:tx>
                <c:rich>
                  <a:bodyPr/>
                  <a:lstStyle/>
                  <a:p>
                    <a:fld id="{677D4A7B-6E77-4D0A-B851-29B7A5390044}"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C2E-448B-9DFF-D91CED0D5AA9}"/>
                </c:ext>
              </c:extLst>
            </c:dLbl>
            <c:dLbl>
              <c:idx val="20"/>
              <c:layout>
                <c:manualLayout>
                  <c:x val="-7.7495293604028764E-2"/>
                  <c:y val="-4.7652695118992623E-2"/>
                </c:manualLayout>
              </c:layout>
              <c:tx>
                <c:rich>
                  <a:bodyPr/>
                  <a:lstStyle/>
                  <a:p>
                    <a:fld id="{3CC0814A-1DD3-4C88-9EB7-751399BF40BB}"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C2E-448B-9DFF-D91CED0D5AA9}"/>
                </c:ext>
              </c:extLst>
            </c:dLbl>
            <c:dLbl>
              <c:idx val="21"/>
              <c:tx>
                <c:rich>
                  <a:bodyPr/>
                  <a:lstStyle/>
                  <a:p>
                    <a:fld id="{CFFFAE15-435B-44F9-922D-168B337B67D2}"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C2E-448B-9DFF-D91CED0D5AA9}"/>
                </c:ext>
              </c:extLst>
            </c:dLbl>
            <c:dLbl>
              <c:idx val="22"/>
              <c:layout>
                <c:manualLayout>
                  <c:x val="-6.1801861424793637E-2"/>
                  <c:y val="-4.7652695118992623E-2"/>
                </c:manualLayout>
              </c:layout>
              <c:tx>
                <c:rich>
                  <a:bodyPr/>
                  <a:lstStyle/>
                  <a:p>
                    <a:fld id="{68667BEC-1A34-4ADF-B2BB-52351803CBC5}"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C2E-448B-9DFF-D91CED0D5AA9}"/>
                </c:ext>
              </c:extLst>
            </c:dLbl>
            <c:dLbl>
              <c:idx val="23"/>
              <c:layout>
                <c:manualLayout>
                  <c:x val="-6.0223793647130139E-2"/>
                  <c:y val="-3.641639370251494E-2"/>
                </c:manualLayout>
              </c:layout>
              <c:tx>
                <c:rich>
                  <a:bodyPr/>
                  <a:lstStyle/>
                  <a:p>
                    <a:fld id="{067B347A-E0A6-4B6A-BBD7-DAF56E400CED}"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C2E-448B-9DFF-D91CED0D5AA9}"/>
                </c:ext>
              </c:extLst>
            </c:dLbl>
            <c:dLbl>
              <c:idx val="24"/>
              <c:layout>
                <c:manualLayout>
                  <c:x val="-6.0234916591818517E-2"/>
                  <c:y val="4.6584992269462965E-2"/>
                </c:manualLayout>
              </c:layout>
              <c:tx>
                <c:rich>
                  <a:bodyPr/>
                  <a:lstStyle/>
                  <a:p>
                    <a:fld id="{AAB2257C-BCB0-4586-8725-CCA27734B589}"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C2E-448B-9DFF-D91CED0D5AA9}"/>
                </c:ext>
              </c:extLst>
            </c:dLbl>
            <c:dLbl>
              <c:idx val="25"/>
              <c:tx>
                <c:rich>
                  <a:bodyPr/>
                  <a:lstStyle/>
                  <a:p>
                    <a:fld id="{6964BD14-6951-4B6B-A277-902363FB8EE9}"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C2E-448B-9DFF-D91CED0D5AA9}"/>
                </c:ext>
              </c:extLst>
            </c:dLbl>
            <c:dLbl>
              <c:idx val="28"/>
              <c:tx>
                <c:rich>
                  <a:bodyPr/>
                  <a:lstStyle/>
                  <a:p>
                    <a:fld id="{910B28B9-DB26-4F1B-9B20-0C9091CEA6D0}" type="CELLRANGE">
                      <a:rPr lang="en-US"/>
                      <a:pPr/>
                      <a:t>[CELLRANGE]</a:t>
                    </a:fld>
                    <a:endParaRPr lang="es-GT"/>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C2E-448B-9DFF-D91CED0D5AA9}"/>
                </c:ext>
              </c:extLst>
            </c:dLbl>
            <c:dLbl>
              <c:idx val="29"/>
              <c:layout>
                <c:manualLayout>
                  <c:x val="-0.11841695470458845"/>
                  <c:y val="-1.0168598566948305E-2"/>
                </c:manualLayout>
              </c:layout>
              <c:tx>
                <c:rich>
                  <a:bodyPr/>
                  <a:lstStyle/>
                  <a:p>
                    <a:fld id="{B4C1EFC6-0EB1-4B58-8105-02E4676282BF}"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C2E-448B-9DFF-D91CED0D5AA9}"/>
                </c:ext>
              </c:extLst>
            </c:dLbl>
            <c:dLbl>
              <c:idx val="30"/>
              <c:layout>
                <c:manualLayout>
                  <c:x val="-7.1855613055000184E-2"/>
                  <c:y val="-4.7652695118992623E-2"/>
                </c:manualLayout>
              </c:layout>
              <c:tx>
                <c:rich>
                  <a:bodyPr/>
                  <a:lstStyle/>
                  <a:p>
                    <a:fld id="{69A7B184-99E5-4358-92F1-B59FFC31FD7E}" type="CELLRANGE">
                      <a:rPr lang="en-US"/>
                      <a:pPr/>
                      <a:t>[CELLRANGE]</a:t>
                    </a:fld>
                    <a:endParaRPr lang="es-G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AC2E-448B-9DFF-D91CED0D5AA9}"/>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rgbClr val="C00000"/>
                </a:solidFill>
                <a:prstDash val="sysDot"/>
              </a:ln>
              <a:effectLst/>
            </c:spPr>
            <c:trendlineType val="linear"/>
            <c:dispRSqr val="0"/>
            <c:dispEq val="0"/>
          </c:trendline>
          <c:xVal>
            <c:numRef>
              <c:f>'[ASD 2022 vigente presupuesto.xlsm]graf_2 esce'!$D$3:$D$20</c:f>
              <c:numCache>
                <c:formatCode>_-* #,##0.0_-;\-* #,##0.0_-;_-* "-"??_-;_-@_-</c:formatCode>
                <c:ptCount val="18"/>
                <c:pt idx="0">
                  <c:v>110.985</c:v>
                </c:pt>
                <c:pt idx="1">
                  <c:v>80.617000000000004</c:v>
                </c:pt>
                <c:pt idx="2">
                  <c:v>82.570999999999998</c:v>
                </c:pt>
                <c:pt idx="3">
                  <c:v>93.013000000000005</c:v>
                </c:pt>
                <c:pt idx="4">
                  <c:v>36.280999999999999</c:v>
                </c:pt>
                <c:pt idx="5">
                  <c:v>64.617999999999995</c:v>
                </c:pt>
                <c:pt idx="6">
                  <c:v>68.340999999999994</c:v>
                </c:pt>
                <c:pt idx="7">
                  <c:v>63.003999999999998</c:v>
                </c:pt>
                <c:pt idx="8">
                  <c:v>83.587000000000003</c:v>
                </c:pt>
                <c:pt idx="9">
                  <c:v>31.002109771771163</c:v>
                </c:pt>
                <c:pt idx="10">
                  <c:v>48.186</c:v>
                </c:pt>
                <c:pt idx="12">
                  <c:v>57.627000000000002</c:v>
                </c:pt>
                <c:pt idx="13">
                  <c:v>48.643999999999998</c:v>
                </c:pt>
                <c:pt idx="14">
                  <c:v>58.433</c:v>
                </c:pt>
                <c:pt idx="15">
                  <c:v>37.017000000000003</c:v>
                </c:pt>
                <c:pt idx="16">
                  <c:v>35.932000000000002</c:v>
                </c:pt>
                <c:pt idx="17">
                  <c:v>67.507000000000005</c:v>
                </c:pt>
              </c:numCache>
            </c:numRef>
          </c:xVal>
          <c:yVal>
            <c:numRef>
              <c:f>'[ASD 2022 vigente presupuesto.xlsm]graf_2 esce'!$F$3:$F$20</c:f>
              <c:numCache>
                <c:formatCode>_-* #,##0.0_-;\-* #,##0.0_-;_-* "-"??_-;_-@_-</c:formatCode>
                <c:ptCount val="18"/>
                <c:pt idx="0">
                  <c:v>356.40655105973025</c:v>
                </c:pt>
                <c:pt idx="1">
                  <c:v>240.58312692112568</c:v>
                </c:pt>
                <c:pt idx="2">
                  <c:v>309.44011392594814</c:v>
                </c:pt>
                <c:pt idx="3">
                  <c:v>295.04520222046</c:v>
                </c:pt>
                <c:pt idx="4">
                  <c:v>140.10812898242904</c:v>
                </c:pt>
                <c:pt idx="5">
                  <c:v>233.52246033753747</c:v>
                </c:pt>
                <c:pt idx="6">
                  <c:v>431.09190689459405</c:v>
                </c:pt>
                <c:pt idx="7">
                  <c:v>405.01414245307279</c:v>
                </c:pt>
                <c:pt idx="8">
                  <c:v>316.85746777862016</c:v>
                </c:pt>
                <c:pt idx="9">
                  <c:v>269.75198963840114</c:v>
                </c:pt>
                <c:pt idx="10">
                  <c:v>192.57453440971946</c:v>
                </c:pt>
                <c:pt idx="12">
                  <c:v>247.06109324758842</c:v>
                </c:pt>
                <c:pt idx="13">
                  <c:v>171.8322794870889</c:v>
                </c:pt>
                <c:pt idx="14">
                  <c:v>321.37828621713783</c:v>
                </c:pt>
                <c:pt idx="15">
                  <c:v>193.28007518796991</c:v>
                </c:pt>
                <c:pt idx="16">
                  <c:v>170.60918284981722</c:v>
                </c:pt>
                <c:pt idx="17">
                  <c:v>238.45637583892619</c:v>
                </c:pt>
              </c:numCache>
            </c:numRef>
          </c:yVal>
          <c:smooth val="0"/>
          <c:extLst>
            <c:ext xmlns:c15="http://schemas.microsoft.com/office/drawing/2012/chart" uri="{02D57815-91ED-43cb-92C2-25804820EDAC}">
              <c15:datalabelsRange>
                <c15:f>'[ASD 2022 vigente presupuesto.xlsm]graf_2 esce'!$A$3:$A$20</c15:f>
                <c15:dlblRangeCache>
                  <c:ptCount val="18"/>
                  <c:pt idx="0">
                    <c:v>BLZ</c:v>
                  </c:pt>
                  <c:pt idx="1">
                    <c:v>ARG</c:v>
                  </c:pt>
                  <c:pt idx="2">
                    <c:v>BOL</c:v>
                  </c:pt>
                  <c:pt idx="3">
                    <c:v>BRA</c:v>
                  </c:pt>
                  <c:pt idx="4">
                    <c:v>CHL</c:v>
                  </c:pt>
                  <c:pt idx="5">
                    <c:v>COL</c:v>
                  </c:pt>
                  <c:pt idx="6">
                    <c:v>CRI</c:v>
                  </c:pt>
                  <c:pt idx="7">
                    <c:v>DOM</c:v>
                  </c:pt>
                  <c:pt idx="8">
                    <c:v>SLV</c:v>
                  </c:pt>
                  <c:pt idx="9">
                    <c:v>GTM</c:v>
                  </c:pt>
                  <c:pt idx="10">
                    <c:v>HND</c:v>
                  </c:pt>
                  <c:pt idx="12">
                    <c:v>MEX</c:v>
                  </c:pt>
                  <c:pt idx="13">
                    <c:v>NIC</c:v>
                  </c:pt>
                  <c:pt idx="14">
                    <c:v>PAN</c:v>
                  </c:pt>
                  <c:pt idx="15">
                    <c:v>PRY</c:v>
                  </c:pt>
                  <c:pt idx="16">
                    <c:v>PER</c:v>
                  </c:pt>
                  <c:pt idx="17">
                    <c:v>URY</c:v>
                  </c:pt>
                </c15:dlblRangeCache>
              </c15:datalabelsRange>
            </c:ext>
            <c:ext xmlns:c16="http://schemas.microsoft.com/office/drawing/2014/chart" uri="{C3380CC4-5D6E-409C-BE32-E72D297353CC}">
              <c16:uniqueId val="{0000001E-AC2E-448B-9DFF-D91CED0D5AA9}"/>
            </c:ext>
          </c:extLst>
        </c:ser>
        <c:dLbls>
          <c:showLegendKey val="0"/>
          <c:showVal val="0"/>
          <c:showCatName val="0"/>
          <c:showSerName val="0"/>
          <c:showPercent val="0"/>
          <c:showBubbleSize val="0"/>
        </c:dLbls>
        <c:axId val="1500410655"/>
        <c:axId val="1500411071"/>
      </c:scatterChart>
      <c:valAx>
        <c:axId val="1500410655"/>
        <c:scaling>
          <c:orientation val="minMax"/>
          <c:max val="130"/>
          <c:min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Deuda/PIB (%)</a:t>
                </a:r>
              </a:p>
            </c:rich>
          </c:tx>
          <c:layout>
            <c:manualLayout>
              <c:xMode val="edge"/>
              <c:yMode val="edge"/>
              <c:x val="0.38683711083774946"/>
              <c:y val="0.927941817902945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1500411071"/>
        <c:crosses val="autoZero"/>
        <c:crossBetween val="midCat"/>
        <c:majorUnit val="20"/>
      </c:valAx>
      <c:valAx>
        <c:axId val="1500411071"/>
        <c:scaling>
          <c:orientation val="minMax"/>
          <c:min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Deuda/Ingresos</a:t>
                </a:r>
                <a:r>
                  <a:rPr lang="es-GT" sz="800" baseline="0">
                    <a:latin typeface="Times New Roman" panose="02020603050405020304" pitchFamily="18" charset="0"/>
                    <a:cs typeface="Times New Roman" panose="02020603050405020304" pitchFamily="18" charset="0"/>
                  </a:rPr>
                  <a:t> fiscales (%)</a:t>
                </a:r>
                <a:endParaRPr lang="es-GT" sz="800">
                  <a:latin typeface="Times New Roman" panose="02020603050405020304" pitchFamily="18" charset="0"/>
                  <a:cs typeface="Times New Roman" panose="02020603050405020304" pitchFamily="18" charset="0"/>
                </a:endParaRPr>
              </a:p>
            </c:rich>
          </c:tx>
          <c:layout>
            <c:manualLayout>
              <c:xMode val="edge"/>
              <c:yMode val="edge"/>
              <c:x val="4.4287622597628321E-3"/>
              <c:y val="0.2054314191012163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41065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9911974119022"/>
          <c:y val="6.0884283750339288E-2"/>
          <c:w val="0.85701870735982877"/>
          <c:h val="0.80011807054515371"/>
        </c:manualLayout>
      </c:layout>
      <c:scatterChart>
        <c:scatterStyle val="lineMarker"/>
        <c:varyColors val="0"/>
        <c:ser>
          <c:idx val="0"/>
          <c:order val="0"/>
          <c:tx>
            <c:strRef>
              <c:f>'[ASD 2022 vigente presupuesto.xlsm]graf_2 esce'!$F$1</c:f>
              <c:strCache>
                <c:ptCount val="1"/>
                <c:pt idx="0">
                  <c:v>Deuda/Ingresos fiscales</c:v>
                </c:pt>
              </c:strCache>
            </c:strRef>
          </c:tx>
          <c:spPr>
            <a:ln w="25400" cap="rnd">
              <a:noFill/>
              <a:round/>
            </a:ln>
            <a:effectLst/>
          </c:spPr>
          <c:marker>
            <c:symbol val="diamond"/>
            <c:size val="6"/>
            <c:spPr>
              <a:solidFill>
                <a:srgbClr val="002060"/>
              </a:solidFill>
              <a:ln w="9525">
                <a:noFill/>
              </a:ln>
              <a:effectLst/>
            </c:spPr>
          </c:marker>
          <c:dPt>
            <c:idx val="9"/>
            <c:marker>
              <c:symbol val="diamond"/>
              <c:size val="6"/>
              <c:spPr>
                <a:solidFill>
                  <a:srgbClr val="C00000"/>
                </a:solidFill>
                <a:ln w="9525">
                  <a:noFill/>
                </a:ln>
                <a:effectLst/>
              </c:spPr>
            </c:marker>
            <c:bubble3D val="0"/>
            <c:extLst>
              <c:ext xmlns:c16="http://schemas.microsoft.com/office/drawing/2014/chart" uri="{C3380CC4-5D6E-409C-BE32-E72D297353CC}">
                <c16:uniqueId val="{00000000-074E-4AC0-8CF5-52ED0CB922FE}"/>
              </c:ext>
            </c:extLst>
          </c:dPt>
          <c:dLbls>
            <c:dLbl>
              <c:idx val="0"/>
              <c:tx>
                <c:rich>
                  <a:bodyPr/>
                  <a:lstStyle/>
                  <a:p>
                    <a:r>
                      <a:rPr lang="en-US"/>
                      <a:t>BLZ</a:t>
                    </a:r>
                  </a:p>
                </c:rich>
              </c:tx>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4E-4AC0-8CF5-52ED0CB922FE}"/>
                </c:ext>
              </c:extLst>
            </c:dLbl>
            <c:dLbl>
              <c:idx val="1"/>
              <c:tx>
                <c:rich>
                  <a:bodyPr/>
                  <a:lstStyle/>
                  <a:p>
                    <a:fld id="{11A1C0FB-D7E3-4583-B529-1DAE74964E27}"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74E-4AC0-8CF5-52ED0CB922FE}"/>
                </c:ext>
              </c:extLst>
            </c:dLbl>
            <c:dLbl>
              <c:idx val="2"/>
              <c:tx>
                <c:rich>
                  <a:bodyPr/>
                  <a:lstStyle/>
                  <a:p>
                    <a:endParaRPr lang="es-GT"/>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4E-4AC0-8CF5-52ED0CB922FE}"/>
                </c:ext>
              </c:extLst>
            </c:dLbl>
            <c:dLbl>
              <c:idx val="3"/>
              <c:tx>
                <c:rich>
                  <a:bodyPr/>
                  <a:lstStyle/>
                  <a:p>
                    <a:fld id="{9AE7B0C7-B72D-4576-ADDC-A7FDA0BBD285}"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74E-4AC0-8CF5-52ED0CB922FE}"/>
                </c:ext>
              </c:extLst>
            </c:dLbl>
            <c:dLbl>
              <c:idx val="4"/>
              <c:layout>
                <c:manualLayout>
                  <c:x val="-7.8103115951286828E-2"/>
                  <c:y val="5.1190099477653184E-2"/>
                </c:manualLayout>
              </c:layout>
              <c:tx>
                <c:rich>
                  <a:bodyPr/>
                  <a:lstStyle/>
                  <a:p>
                    <a:r>
                      <a:rPr lang="en-US"/>
                      <a:t>CHL</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4E-4AC0-8CF5-52ED0CB922FE}"/>
                </c:ext>
              </c:extLst>
            </c:dLbl>
            <c:dLbl>
              <c:idx val="5"/>
              <c:tx>
                <c:rich>
                  <a:bodyPr/>
                  <a:lstStyle/>
                  <a:p>
                    <a:r>
                      <a:rPr lang="en-US"/>
                      <a:t>COL</a:t>
                    </a:r>
                  </a:p>
                </c:rich>
              </c:tx>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4E-4AC0-8CF5-52ED0CB922FE}"/>
                </c:ext>
              </c:extLst>
            </c:dLbl>
            <c:dLbl>
              <c:idx val="6"/>
              <c:tx>
                <c:rich>
                  <a:bodyPr/>
                  <a:lstStyle/>
                  <a:p>
                    <a:fld id="{A53C4F2A-80FB-458C-A6B9-858B8D98BED3}"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74E-4AC0-8CF5-52ED0CB922FE}"/>
                </c:ext>
              </c:extLst>
            </c:dLbl>
            <c:dLbl>
              <c:idx val="7"/>
              <c:tx>
                <c:rich>
                  <a:bodyPr/>
                  <a:lstStyle/>
                  <a:p>
                    <a:fld id="{B1A892A1-EAEF-4411-9196-75D95FB1A48D}"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74E-4AC0-8CF5-52ED0CB922FE}"/>
                </c:ext>
              </c:extLst>
            </c:dLbl>
            <c:dLbl>
              <c:idx val="8"/>
              <c:tx>
                <c:rich>
                  <a:bodyPr/>
                  <a:lstStyle/>
                  <a:p>
                    <a:r>
                      <a:rPr lang="en-US"/>
                      <a:t>SLV</a:t>
                    </a:r>
                  </a:p>
                </c:rich>
              </c:tx>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4E-4AC0-8CF5-52ED0CB922FE}"/>
                </c:ext>
              </c:extLst>
            </c:dLbl>
            <c:dLbl>
              <c:idx val="9"/>
              <c:tx>
                <c:rich>
                  <a:bodyPr/>
                  <a:lstStyle/>
                  <a:p>
                    <a:fld id="{836C4E29-A75B-4B28-AD58-9C8F2F5A210F}"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074E-4AC0-8CF5-52ED0CB922FE}"/>
                </c:ext>
              </c:extLst>
            </c:dLbl>
            <c:dLbl>
              <c:idx val="10"/>
              <c:layout>
                <c:manualLayout>
                  <c:x val="-7.5595313090588381E-2"/>
                  <c:y val="-2.8030833917309039E-2"/>
                </c:manualLayout>
              </c:layout>
              <c:tx>
                <c:rich>
                  <a:bodyPr/>
                  <a:lstStyle/>
                  <a:p>
                    <a:r>
                      <a:rPr lang="en-US"/>
                      <a:t>HND</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4E-4AC0-8CF5-52ED0CB922FE}"/>
                </c:ext>
              </c:extLst>
            </c:dLbl>
            <c:dLbl>
              <c:idx val="11"/>
              <c:tx>
                <c:rich>
                  <a:bodyPr/>
                  <a:lstStyle/>
                  <a:p>
                    <a:endParaRPr lang="es-GT"/>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4E-4AC0-8CF5-52ED0CB922FE}"/>
                </c:ext>
              </c:extLst>
            </c:dLbl>
            <c:dLbl>
              <c:idx val="12"/>
              <c:tx>
                <c:rich>
                  <a:bodyPr/>
                  <a:lstStyle/>
                  <a:p>
                    <a:fld id="{B6A0097E-7B2D-4B30-98E5-FC2525CCF745}"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74E-4AC0-8CF5-52ED0CB922FE}"/>
                </c:ext>
              </c:extLst>
            </c:dLbl>
            <c:dLbl>
              <c:idx val="13"/>
              <c:tx>
                <c:rich>
                  <a:bodyPr/>
                  <a:lstStyle/>
                  <a:p>
                    <a:r>
                      <a:rPr lang="en-US"/>
                      <a:t>NIC</a:t>
                    </a:r>
                  </a:p>
                </c:rich>
              </c:tx>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4E-4AC0-8CF5-52ED0CB922FE}"/>
                </c:ext>
              </c:extLst>
            </c:dLbl>
            <c:dLbl>
              <c:idx val="14"/>
              <c:tx>
                <c:rich>
                  <a:bodyPr/>
                  <a:lstStyle/>
                  <a:p>
                    <a:fld id="{60DC46CB-90E6-4048-BC2D-7E05C576F971}"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74E-4AC0-8CF5-52ED0CB922FE}"/>
                </c:ext>
              </c:extLst>
            </c:dLbl>
            <c:dLbl>
              <c:idx val="15"/>
              <c:tx>
                <c:rich>
                  <a:bodyPr/>
                  <a:lstStyle/>
                  <a:p>
                    <a:fld id="{959C61E0-43B7-408B-B1A8-1AE6BB86D1DD}"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74E-4AC0-8CF5-52ED0CB922FE}"/>
                </c:ext>
              </c:extLst>
            </c:dLbl>
            <c:dLbl>
              <c:idx val="16"/>
              <c:tx>
                <c:rich>
                  <a:bodyPr/>
                  <a:lstStyle/>
                  <a:p>
                    <a:fld id="{9C6718F8-280C-409C-B227-872E4A81B862}" type="CELLRANGE">
                      <a:rPr lang="es-GT"/>
                      <a:pPr/>
                      <a:t>[CELLRANGE]</a:t>
                    </a:fld>
                    <a:endParaRPr lang="es-G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74E-4AC0-8CF5-52ED0CB922FE}"/>
                </c:ext>
              </c:extLst>
            </c:dLbl>
            <c:dLbl>
              <c:idx val="17"/>
              <c:tx>
                <c:rich>
                  <a:bodyPr/>
                  <a:lstStyle/>
                  <a:p>
                    <a:endParaRPr lang="es-GT"/>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74E-4AC0-8CF5-52ED0CB922FE}"/>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rgbClr val="C00000"/>
                </a:solidFill>
                <a:prstDash val="sysDot"/>
              </a:ln>
              <a:effectLst/>
            </c:spPr>
            <c:trendlineType val="linear"/>
            <c:dispRSqr val="0"/>
            <c:dispEq val="0"/>
          </c:trendline>
          <c:xVal>
            <c:numRef>
              <c:f>'[ASD 2022 vigente presupuesto.xlsm]graf_2 esce'!$H$3:$H$20</c:f>
              <c:numCache>
                <c:formatCode>_-* #,##0.0_-;\-* #,##0.0_-;_-* "-"??_-;_-@_-</c:formatCode>
                <c:ptCount val="18"/>
                <c:pt idx="0">
                  <c:v>2.8</c:v>
                </c:pt>
                <c:pt idx="1">
                  <c:v>2.2999999999999998</c:v>
                </c:pt>
                <c:pt idx="3">
                  <c:v>5.8</c:v>
                </c:pt>
                <c:pt idx="4">
                  <c:v>0.9</c:v>
                </c:pt>
                <c:pt idx="5">
                  <c:v>3.4</c:v>
                </c:pt>
                <c:pt idx="6">
                  <c:v>4.5999999999999996</c:v>
                </c:pt>
                <c:pt idx="7">
                  <c:v>3.2</c:v>
                </c:pt>
                <c:pt idx="8">
                  <c:v>3</c:v>
                </c:pt>
                <c:pt idx="9">
                  <c:v>1.7236142626181234</c:v>
                </c:pt>
                <c:pt idx="10">
                  <c:v>3.2</c:v>
                </c:pt>
                <c:pt idx="12">
                  <c:v>2.4</c:v>
                </c:pt>
                <c:pt idx="13">
                  <c:v>1.3</c:v>
                </c:pt>
                <c:pt idx="14">
                  <c:v>2.6</c:v>
                </c:pt>
                <c:pt idx="15">
                  <c:v>1.1000000000000001</c:v>
                </c:pt>
                <c:pt idx="16">
                  <c:v>1.5</c:v>
                </c:pt>
              </c:numCache>
            </c:numRef>
          </c:xVal>
          <c:yVal>
            <c:numRef>
              <c:f>'[ASD 2022 vigente presupuesto.xlsm]graf_2 esce'!$I$3:$I$20</c:f>
              <c:numCache>
                <c:formatCode>_-* #,##0.0_-;\-* #,##0.0_-;_-* "-"??_-;_-@_-</c:formatCode>
                <c:ptCount val="18"/>
                <c:pt idx="0">
                  <c:v>9.4</c:v>
                </c:pt>
                <c:pt idx="1">
                  <c:v>28.4</c:v>
                </c:pt>
                <c:pt idx="3">
                  <c:v>24.2</c:v>
                </c:pt>
                <c:pt idx="4">
                  <c:v>4.5</c:v>
                </c:pt>
                <c:pt idx="5">
                  <c:v>18.100000000000001</c:v>
                </c:pt>
                <c:pt idx="6">
                  <c:v>34.799999999999997</c:v>
                </c:pt>
                <c:pt idx="7">
                  <c:v>22.5</c:v>
                </c:pt>
                <c:pt idx="8">
                  <c:v>15.4</c:v>
                </c:pt>
                <c:pt idx="9">
                  <c:v>16.12620486145082</c:v>
                </c:pt>
                <c:pt idx="10">
                  <c:v>19.399999999999999</c:v>
                </c:pt>
                <c:pt idx="12">
                  <c:v>14.7</c:v>
                </c:pt>
                <c:pt idx="13">
                  <c:v>6.8</c:v>
                </c:pt>
                <c:pt idx="14">
                  <c:v>21.1</c:v>
                </c:pt>
                <c:pt idx="15">
                  <c:v>8.1</c:v>
                </c:pt>
                <c:pt idx="16">
                  <c:v>9.9</c:v>
                </c:pt>
              </c:numCache>
            </c:numRef>
          </c:yVal>
          <c:smooth val="0"/>
          <c:extLst>
            <c:ext xmlns:c15="http://schemas.microsoft.com/office/drawing/2012/chart" uri="{02D57815-91ED-43cb-92C2-25804820EDAC}">
              <c15:datalabelsRange>
                <c15:f>'[ASD 2022 vigente presupuesto.xlsm]graf_2 esce'!$A$3:$A$20</c15:f>
                <c15:dlblRangeCache>
                  <c:ptCount val="18"/>
                  <c:pt idx="0">
                    <c:v>BLZ</c:v>
                  </c:pt>
                  <c:pt idx="1">
                    <c:v>ARG</c:v>
                  </c:pt>
                  <c:pt idx="2">
                    <c:v>BOL</c:v>
                  </c:pt>
                  <c:pt idx="3">
                    <c:v>BRA</c:v>
                  </c:pt>
                  <c:pt idx="4">
                    <c:v>CHL</c:v>
                  </c:pt>
                  <c:pt idx="5">
                    <c:v>COL</c:v>
                  </c:pt>
                  <c:pt idx="6">
                    <c:v>CRI</c:v>
                  </c:pt>
                  <c:pt idx="7">
                    <c:v>DOM</c:v>
                  </c:pt>
                  <c:pt idx="8">
                    <c:v>SLV</c:v>
                  </c:pt>
                  <c:pt idx="9">
                    <c:v>GTM</c:v>
                  </c:pt>
                  <c:pt idx="10">
                    <c:v>HND</c:v>
                  </c:pt>
                  <c:pt idx="12">
                    <c:v>MEX</c:v>
                  </c:pt>
                  <c:pt idx="13">
                    <c:v>NIC</c:v>
                  </c:pt>
                  <c:pt idx="14">
                    <c:v>PAN</c:v>
                  </c:pt>
                  <c:pt idx="15">
                    <c:v>PRY</c:v>
                  </c:pt>
                  <c:pt idx="16">
                    <c:v>PER</c:v>
                  </c:pt>
                  <c:pt idx="17">
                    <c:v>URY</c:v>
                  </c:pt>
                </c15:dlblRangeCache>
              </c15:datalabelsRange>
            </c:ext>
            <c:ext xmlns:c16="http://schemas.microsoft.com/office/drawing/2014/chart" uri="{C3380CC4-5D6E-409C-BE32-E72D297353CC}">
              <c16:uniqueId val="{00000013-074E-4AC0-8CF5-52ED0CB922FE}"/>
            </c:ext>
          </c:extLst>
        </c:ser>
        <c:dLbls>
          <c:showLegendKey val="0"/>
          <c:showVal val="0"/>
          <c:showCatName val="0"/>
          <c:showSerName val="0"/>
          <c:showPercent val="0"/>
          <c:showBubbleSize val="0"/>
        </c:dLbls>
        <c:axId val="1500410655"/>
        <c:axId val="1500411071"/>
      </c:scatterChart>
      <c:valAx>
        <c:axId val="1500410655"/>
        <c:scaling>
          <c:orientation val="minMax"/>
          <c:max val="7"/>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a:latin typeface="Times New Roman" panose="02020603050405020304" pitchFamily="18" charset="0"/>
                    <a:cs typeface="Times New Roman" panose="02020603050405020304" pitchFamily="18" charset="0"/>
                  </a:rPr>
                  <a:t>Intereses / PIB (%)</a:t>
                </a:r>
              </a:p>
            </c:rich>
          </c:tx>
          <c:layout>
            <c:manualLayout>
              <c:xMode val="edge"/>
              <c:yMode val="edge"/>
              <c:x val="0.37172044282105993"/>
              <c:y val="0.9218178961724279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1500411071"/>
        <c:crosses val="autoZero"/>
        <c:crossBetween val="midCat"/>
      </c:valAx>
      <c:valAx>
        <c:axId val="150041107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Intereses / Ingresos</a:t>
                </a:r>
                <a:r>
                  <a:rPr lang="es-GT" sz="800" baseline="0">
                    <a:latin typeface="Times New Roman" panose="02020603050405020304" pitchFamily="18" charset="0"/>
                    <a:cs typeface="Times New Roman" panose="02020603050405020304" pitchFamily="18" charset="0"/>
                  </a:rPr>
                  <a:t> fiscales (%)</a:t>
                </a:r>
                <a:endParaRPr lang="es-GT" sz="800">
                  <a:latin typeface="Times New Roman" panose="02020603050405020304" pitchFamily="18" charset="0"/>
                  <a:cs typeface="Times New Roman" panose="02020603050405020304" pitchFamily="18" charset="0"/>
                </a:endParaRPr>
              </a:p>
            </c:rich>
          </c:tx>
          <c:layout>
            <c:manualLayout>
              <c:xMode val="edge"/>
              <c:yMode val="edge"/>
              <c:x val="9.4675974235692469E-3"/>
              <c:y val="0.1205275168024530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41065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solidFill>
                <a:schemeClr val="tx1"/>
              </a:solidFill>
            </a:ln>
            <a:effectLst/>
          </c:spPr>
          <c:invertIfNegative val="0"/>
          <c:dPt>
            <c:idx val="9"/>
            <c:invertIfNegative val="0"/>
            <c:bubble3D val="0"/>
            <c:spPr>
              <a:solidFill>
                <a:srgbClr val="002060"/>
              </a:solidFill>
              <a:ln>
                <a:solidFill>
                  <a:schemeClr val="tx1"/>
                </a:solidFill>
              </a:ln>
              <a:effectLst/>
            </c:spPr>
            <c:extLst>
              <c:ext xmlns:c16="http://schemas.microsoft.com/office/drawing/2014/chart" uri="{C3380CC4-5D6E-409C-BE32-E72D297353CC}">
                <c16:uniqueId val="{00000001-D70B-4D5E-9371-AF2D98E04D12}"/>
              </c:ext>
            </c:extLst>
          </c:dPt>
          <c:dPt>
            <c:idx val="10"/>
            <c:invertIfNegative val="0"/>
            <c:bubble3D val="0"/>
            <c:spPr>
              <a:solidFill>
                <a:srgbClr val="002060"/>
              </a:solidFill>
              <a:ln>
                <a:solidFill>
                  <a:schemeClr val="tx1"/>
                </a:solidFill>
              </a:ln>
              <a:effectLst/>
            </c:spPr>
            <c:extLst>
              <c:ext xmlns:c16="http://schemas.microsoft.com/office/drawing/2014/chart" uri="{C3380CC4-5D6E-409C-BE32-E72D297353CC}">
                <c16:uniqueId val="{00000003-D70B-4D5E-9371-AF2D98E04D12}"/>
              </c:ext>
            </c:extLst>
          </c:dPt>
          <c:dPt>
            <c:idx val="11"/>
            <c:invertIfNegative val="0"/>
            <c:bubble3D val="0"/>
            <c:spPr>
              <a:solidFill>
                <a:srgbClr val="C00000"/>
              </a:solidFill>
              <a:ln>
                <a:solidFill>
                  <a:schemeClr val="tx1"/>
                </a:solidFill>
              </a:ln>
              <a:effectLst/>
            </c:spPr>
            <c:extLst>
              <c:ext xmlns:c16="http://schemas.microsoft.com/office/drawing/2014/chart" uri="{C3380CC4-5D6E-409C-BE32-E72D297353CC}">
                <c16:uniqueId val="{00000005-D70B-4D5E-9371-AF2D98E04D12}"/>
              </c:ext>
            </c:extLst>
          </c:dPt>
          <c:dLbls>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s-GT"/>
                </a:p>
              </c:txPr>
              <c:showLegendKey val="0"/>
              <c:showVal val="1"/>
              <c:showCatName val="0"/>
              <c:showSerName val="0"/>
              <c:showPercent val="0"/>
              <c:showBubbleSize val="0"/>
              <c:extLst>
                <c:ext xmlns:c16="http://schemas.microsoft.com/office/drawing/2014/chart" uri="{C3380CC4-5D6E-409C-BE32-E72D297353CC}">
                  <c16:uniqueId val="{00000005-D70B-4D5E-9371-AF2D98E04D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de escenarios'!$AO$19:$AO$34</c:f>
              <c:strCache>
                <c:ptCount val="16"/>
                <c:pt idx="0">
                  <c:v>El Salvador</c:v>
                </c:pt>
                <c:pt idx="1">
                  <c:v>Argentina</c:v>
                </c:pt>
                <c:pt idx="2">
                  <c:v>Ecuador</c:v>
                </c:pt>
                <c:pt idx="3">
                  <c:v>Honduras</c:v>
                </c:pt>
                <c:pt idx="4">
                  <c:v>Bolivia</c:v>
                </c:pt>
                <c:pt idx="5">
                  <c:v>Costa Rica</c:v>
                </c:pt>
                <c:pt idx="6">
                  <c:v>Rep. Dominicana</c:v>
                </c:pt>
                <c:pt idx="7">
                  <c:v>México</c:v>
                </c:pt>
                <c:pt idx="8">
                  <c:v>Colombia</c:v>
                </c:pt>
                <c:pt idx="9">
                  <c:v>Brasil</c:v>
                </c:pt>
                <c:pt idx="10">
                  <c:v>Paraguay</c:v>
                </c:pt>
                <c:pt idx="11">
                  <c:v>Guatemala</c:v>
                </c:pt>
                <c:pt idx="12">
                  <c:v>Panama</c:v>
                </c:pt>
                <c:pt idx="13">
                  <c:v>Perú</c:v>
                </c:pt>
                <c:pt idx="14">
                  <c:v>Chile</c:v>
                </c:pt>
                <c:pt idx="15">
                  <c:v>Uruguay</c:v>
                </c:pt>
              </c:strCache>
            </c:strRef>
          </c:cat>
          <c:val>
            <c:numRef>
              <c:f>'Resumen de escenarios'!$AP$19:$AP$34</c:f>
              <c:numCache>
                <c:formatCode>_-* #,##0_-;\-* #,##0_-;_-* "-"??_-;_-@_-</c:formatCode>
                <c:ptCount val="16"/>
                <c:pt idx="0">
                  <c:v>2576.0370000000003</c:v>
                </c:pt>
                <c:pt idx="1">
                  <c:v>2418.819</c:v>
                </c:pt>
                <c:pt idx="2">
                  <c:v>1390.03</c:v>
                </c:pt>
                <c:pt idx="3">
                  <c:v>685.45100000000002</c:v>
                </c:pt>
                <c:pt idx="4">
                  <c:v>630.02300000000002</c:v>
                </c:pt>
                <c:pt idx="5">
                  <c:v>481.18600000000004</c:v>
                </c:pt>
                <c:pt idx="6">
                  <c:v>443.22400000000005</c:v>
                </c:pt>
                <c:pt idx="7">
                  <c:v>437.80099999999999</c:v>
                </c:pt>
                <c:pt idx="8">
                  <c:v>408.87599999999998</c:v>
                </c:pt>
                <c:pt idx="9">
                  <c:v>310.54200000000003</c:v>
                </c:pt>
                <c:pt idx="10">
                  <c:v>271.71500000000003</c:v>
                </c:pt>
                <c:pt idx="11">
                  <c:v>262.755</c:v>
                </c:pt>
                <c:pt idx="12">
                  <c:v>250.047</c:v>
                </c:pt>
                <c:pt idx="13">
                  <c:v>214.80100000000002</c:v>
                </c:pt>
                <c:pt idx="14">
                  <c:v>184.489</c:v>
                </c:pt>
                <c:pt idx="15">
                  <c:v>140.917</c:v>
                </c:pt>
              </c:numCache>
            </c:numRef>
          </c:val>
          <c:extLst>
            <c:ext xmlns:c16="http://schemas.microsoft.com/office/drawing/2014/chart" uri="{C3380CC4-5D6E-409C-BE32-E72D297353CC}">
              <c16:uniqueId val="{00000006-D70B-4D5E-9371-AF2D98E04D12}"/>
            </c:ext>
          </c:extLst>
        </c:ser>
        <c:dLbls>
          <c:showLegendKey val="0"/>
          <c:showVal val="0"/>
          <c:showCatName val="0"/>
          <c:showSerName val="0"/>
          <c:showPercent val="0"/>
          <c:showBubbleSize val="0"/>
        </c:dLbls>
        <c:gapWidth val="100"/>
        <c:overlap val="-27"/>
        <c:axId val="502931279"/>
        <c:axId val="502929199"/>
      </c:barChart>
      <c:catAx>
        <c:axId val="50293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502929199"/>
        <c:crosses val="autoZero"/>
        <c:auto val="1"/>
        <c:lblAlgn val="ctr"/>
        <c:lblOffset val="100"/>
        <c:noMultiLvlLbl val="0"/>
      </c:catAx>
      <c:valAx>
        <c:axId val="502929199"/>
        <c:scaling>
          <c:orientation val="minMax"/>
        </c:scaling>
        <c:delete val="1"/>
        <c:axPos val="l"/>
        <c:numFmt formatCode="_-* #,##0_-;\-* #,##0_-;_-* &quot;-&quot;??_-;_-@_-" sourceLinked="1"/>
        <c:majorTickMark val="none"/>
        <c:minorTickMark val="none"/>
        <c:tickLblPos val="nextTo"/>
        <c:crossAx val="5029312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GT" sz="1100" b="1"/>
              <a:t>Flujos de creación de deuda</a:t>
            </a:r>
          </a:p>
        </c:rich>
      </c:tx>
      <c:layout>
        <c:manualLayout>
          <c:xMode val="edge"/>
          <c:yMode val="edge"/>
          <c:x val="6.9206387070803455E-2"/>
          <c:y val="2.9677777777777779E-2"/>
        </c:manualLayout>
      </c:layout>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4.4879437716025407E-2"/>
          <c:y val="4.8758865248226951E-2"/>
          <c:w val="0.93628648156648575"/>
          <c:h val="0.74218777777777778"/>
        </c:manualLayout>
      </c:layout>
      <c:barChart>
        <c:barDir val="col"/>
        <c:grouping val="stacked"/>
        <c:varyColors val="0"/>
        <c:ser>
          <c:idx val="0"/>
          <c:order val="0"/>
          <c:tx>
            <c:strRef>
              <c:f>'[ASD 2022 vigente presupuesto.xlsm]Baseline debt'!$B$154</c:f>
              <c:strCache>
                <c:ptCount val="1"/>
                <c:pt idx="0">
                  <c:v>Deficit primario</c:v>
                </c:pt>
              </c:strCache>
            </c:strRef>
          </c:tx>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0"/>
          <c:cat>
            <c:numRef>
              <c:f>'[ASD 2022 vigente presupuesto.xlsm]Baseline debt'!$O$101:$AC$101</c:f>
              <c:numCache>
                <c:formatCode>General</c:formatCode>
                <c:ptCount val="15"/>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numCache>
            </c:numRef>
          </c:cat>
          <c:val>
            <c:numRef>
              <c:f>'[ASD 2022 vigente presupuesto.xlsm]Baseline debt'!$O$154:$AC$154</c:f>
              <c:numCache>
                <c:formatCode>_-* #,##0.0_-;\-* #,##0.0_-;_-* "-"??_-;_-@_-</c:formatCode>
                <c:ptCount val="15"/>
                <c:pt idx="0">
                  <c:v>0.58619322745333591</c:v>
                </c:pt>
                <c:pt idx="1">
                  <c:v>0.44960223336676997</c:v>
                </c:pt>
                <c:pt idx="2">
                  <c:v>-0.12799145099036124</c:v>
                </c:pt>
                <c:pt idx="3">
                  <c:v>-0.42859395090087027</c:v>
                </c:pt>
                <c:pt idx="4">
                  <c:v>-0.13584839390330039</c:v>
                </c:pt>
                <c:pt idx="5">
                  <c:v>0.34189152136091217</c:v>
                </c:pt>
                <c:pt idx="6">
                  <c:v>0.60472400230723977</c:v>
                </c:pt>
                <c:pt idx="7">
                  <c:v>3.1918599211499235</c:v>
                </c:pt>
                <c:pt idx="8">
                  <c:v>-0.56762699937231176</c:v>
                </c:pt>
                <c:pt idx="9">
                  <c:v>2.1655609393801125</c:v>
                </c:pt>
                <c:pt idx="10">
                  <c:v>0.72645165249265986</c:v>
                </c:pt>
                <c:pt idx="11">
                  <c:v>-0.25953543961032821</c:v>
                </c:pt>
                <c:pt idx="12">
                  <c:v>-0.82743592371114438</c:v>
                </c:pt>
                <c:pt idx="13">
                  <c:v>-1.2781406132368645</c:v>
                </c:pt>
                <c:pt idx="14">
                  <c:v>-1.4522915175387165</c:v>
                </c:pt>
              </c:numCache>
            </c:numRef>
          </c:val>
          <c:extLst>
            <c:ext xmlns:c16="http://schemas.microsoft.com/office/drawing/2014/chart" uri="{C3380CC4-5D6E-409C-BE32-E72D297353CC}">
              <c16:uniqueId val="{00000000-DCA4-4B6C-B710-C8144FC47218}"/>
            </c:ext>
          </c:extLst>
        </c:ser>
        <c:ser>
          <c:idx val="1"/>
          <c:order val="1"/>
          <c:tx>
            <c:strRef>
              <c:f>'[ASD 2022 vigente presupuesto.xlsm]Baseline debt'!$B$159</c:f>
              <c:strCache>
                <c:ptCount val="1"/>
                <c:pt idx="0">
                  <c:v>Tasa de interes real</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1"/>
          <c:cat>
            <c:numRef>
              <c:f>'[ASD 2022 vigente presupuesto.xlsm]Baseline debt'!$O$101:$AC$101</c:f>
              <c:numCache>
                <c:formatCode>General</c:formatCode>
                <c:ptCount val="15"/>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numCache>
            </c:numRef>
          </c:cat>
          <c:val>
            <c:numRef>
              <c:f>'[ASD 2022 vigente presupuesto.xlsm]Baseline debt'!$O$159:$AC$159</c:f>
              <c:numCache>
                <c:formatCode>_-* #,##0.0_-;\-* #,##0.0_-;_-* "-"??_-;_-@_-</c:formatCode>
                <c:ptCount val="15"/>
                <c:pt idx="0">
                  <c:v>0.862113928254572</c:v>
                </c:pt>
                <c:pt idx="1">
                  <c:v>0.76050997398359532</c:v>
                </c:pt>
                <c:pt idx="2">
                  <c:v>1.0450711210302279</c:v>
                </c:pt>
                <c:pt idx="3">
                  <c:v>0.86564510542295248</c:v>
                </c:pt>
                <c:pt idx="4">
                  <c:v>1.0771211997008605</c:v>
                </c:pt>
                <c:pt idx="5">
                  <c:v>1.2136502920147674</c:v>
                </c:pt>
                <c:pt idx="6">
                  <c:v>0.69573074121520884</c:v>
                </c:pt>
                <c:pt idx="7">
                  <c:v>0.99645220973649407</c:v>
                </c:pt>
                <c:pt idx="8">
                  <c:v>0.86939875561644431</c:v>
                </c:pt>
                <c:pt idx="9">
                  <c:v>0.70272833756151687</c:v>
                </c:pt>
                <c:pt idx="10">
                  <c:v>0.95255042951741553</c:v>
                </c:pt>
                <c:pt idx="11">
                  <c:v>1.0549051931697202</c:v>
                </c:pt>
                <c:pt idx="12">
                  <c:v>1.0314767163654861</c:v>
                </c:pt>
                <c:pt idx="13">
                  <c:v>0.98055689897846776</c:v>
                </c:pt>
                <c:pt idx="14">
                  <c:v>0.93946293065627895</c:v>
                </c:pt>
              </c:numCache>
            </c:numRef>
          </c:val>
          <c:extLst>
            <c:ext xmlns:c16="http://schemas.microsoft.com/office/drawing/2014/chart" uri="{C3380CC4-5D6E-409C-BE32-E72D297353CC}">
              <c16:uniqueId val="{00000001-DCA4-4B6C-B710-C8144FC47218}"/>
            </c:ext>
          </c:extLst>
        </c:ser>
        <c:ser>
          <c:idx val="2"/>
          <c:order val="2"/>
          <c:tx>
            <c:strRef>
              <c:f>'[ASD 2022 vigente presupuesto.xlsm]Baseline debt'!$B$160</c:f>
              <c:strCache>
                <c:ptCount val="1"/>
                <c:pt idx="0">
                  <c:v>Crecimiento del PIB real</c:v>
                </c:pt>
              </c:strCache>
            </c:strRef>
          </c:tx>
          <c:spPr>
            <a:gradFill>
              <a:gsLst>
                <a:gs pos="0">
                  <a:srgbClr val="C00000"/>
                </a:gs>
                <a:gs pos="48000">
                  <a:srgbClr val="FF0000"/>
                </a:gs>
                <a:gs pos="100000">
                  <a:srgbClr val="FF5050"/>
                </a:gs>
              </a:gsLst>
              <a:lin ang="16200000" scaled="1"/>
            </a:gradFill>
            <a:ln>
              <a:solidFill>
                <a:schemeClr val="tx1"/>
              </a:solidFill>
            </a:ln>
            <a:effectLst>
              <a:outerShdw blurRad="50800" dist="38100" dir="5400000" algn="t" rotWithShape="0">
                <a:prstClr val="black">
                  <a:alpha val="40000"/>
                </a:prstClr>
              </a:outerShdw>
            </a:effectLst>
          </c:spPr>
          <c:invertIfNegative val="0"/>
          <c:cat>
            <c:numRef>
              <c:f>'[ASD 2022 vigente presupuesto.xlsm]Baseline debt'!$O$101:$AC$101</c:f>
              <c:numCache>
                <c:formatCode>General</c:formatCode>
                <c:ptCount val="15"/>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numCache>
            </c:numRef>
          </c:cat>
          <c:val>
            <c:numRef>
              <c:f>'[ASD 2022 vigente presupuesto.xlsm]Baseline debt'!$O$160:$AC$160</c:f>
              <c:numCache>
                <c:formatCode>_-* #,##0.0_-;\-* #,##0.0_-;_-* "-"??_-;_-@_-</c:formatCode>
                <c:ptCount val="15"/>
                <c:pt idx="0">
                  <c:v>-0.78856381319496149</c:v>
                </c:pt>
                <c:pt idx="1">
                  <c:v>-1.0126114349474082</c:v>
                </c:pt>
                <c:pt idx="2">
                  <c:v>-0.93258452374065903</c:v>
                </c:pt>
                <c:pt idx="3">
                  <c:v>-0.61610002911752415</c:v>
                </c:pt>
                <c:pt idx="4">
                  <c:v>-0.7225244390626484</c:v>
                </c:pt>
                <c:pt idx="5">
                  <c:v>-0.80812290265584552</c:v>
                </c:pt>
                <c:pt idx="6">
                  <c:v>-0.94994700933566412</c:v>
                </c:pt>
                <c:pt idx="7">
                  <c:v>0.45072337212244862</c:v>
                </c:pt>
                <c:pt idx="8">
                  <c:v>-2.2095038187185438</c:v>
                </c:pt>
                <c:pt idx="9">
                  <c:v>-0.83649224924760124</c:v>
                </c:pt>
                <c:pt idx="10">
                  <c:v>-0.9819554538712929</c:v>
                </c:pt>
                <c:pt idx="11">
                  <c:v>-1.0210357524370988</c:v>
                </c:pt>
                <c:pt idx="12">
                  <c:v>-1.0095422140208481</c:v>
                </c:pt>
                <c:pt idx="13">
                  <c:v>-1.0036680644434992</c:v>
                </c:pt>
                <c:pt idx="14">
                  <c:v>-0.95630544919807836</c:v>
                </c:pt>
              </c:numCache>
            </c:numRef>
          </c:val>
          <c:extLst>
            <c:ext xmlns:c16="http://schemas.microsoft.com/office/drawing/2014/chart" uri="{C3380CC4-5D6E-409C-BE32-E72D297353CC}">
              <c16:uniqueId val="{00000002-DCA4-4B6C-B710-C8144FC47218}"/>
            </c:ext>
          </c:extLst>
        </c:ser>
        <c:ser>
          <c:idx val="3"/>
          <c:order val="3"/>
          <c:tx>
            <c:strRef>
              <c:f>'[ASD 2022 vigente presupuesto.xlsm]Baseline debt'!$B$161</c:f>
              <c:strCache>
                <c:ptCount val="1"/>
                <c:pt idx="0">
                  <c:v>Contribución de depreciación del tipo de cambio</c:v>
                </c:pt>
              </c:strCache>
            </c:strRef>
          </c:tx>
          <c:spPr>
            <a:gradFill>
              <a:gsLst>
                <a:gs pos="0">
                  <a:srgbClr val="7030A0"/>
                </a:gs>
                <a:gs pos="52000">
                  <a:srgbClr val="9A57CD"/>
                </a:gs>
                <a:gs pos="100000">
                  <a:srgbClr val="B888DC"/>
                </a:gs>
              </a:gsLst>
              <a:lin ang="16200000" scaled="1"/>
            </a:gradFill>
            <a:ln>
              <a:solidFill>
                <a:schemeClr val="tx1"/>
              </a:solidFill>
            </a:ln>
            <a:effectLst>
              <a:outerShdw blurRad="50800" dist="38100" dir="5400000" algn="t" rotWithShape="0">
                <a:prstClr val="black">
                  <a:alpha val="40000"/>
                </a:prstClr>
              </a:outerShdw>
            </a:effectLst>
          </c:spPr>
          <c:invertIfNegative val="0"/>
          <c:cat>
            <c:numRef>
              <c:f>'[ASD 2022 vigente presupuesto.xlsm]Baseline debt'!$O$101:$AC$101</c:f>
              <c:numCache>
                <c:formatCode>General</c:formatCode>
                <c:ptCount val="15"/>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numCache>
            </c:numRef>
          </c:cat>
          <c:val>
            <c:numRef>
              <c:f>'[ASD 2022 vigente presupuesto.xlsm]Baseline debt'!$O$161:$AC$161</c:f>
              <c:numCache>
                <c:formatCode>_-* #,##0.0_-;\-* #,##0.0_-;_-* "-"??_-;_-@_-</c:formatCode>
                <c:ptCount val="15"/>
                <c:pt idx="0">
                  <c:v>-0.1026188658772529</c:v>
                </c:pt>
                <c:pt idx="1">
                  <c:v>-0.41985620396261075</c:v>
                </c:pt>
                <c:pt idx="2">
                  <c:v>5.9095005560718838E-2</c:v>
                </c:pt>
                <c:pt idx="3">
                  <c:v>-0.18124401659783054</c:v>
                </c:pt>
                <c:pt idx="4">
                  <c:v>-0.30088767890561896</c:v>
                </c:pt>
                <c:pt idx="5">
                  <c:v>0.64964073263894428</c:v>
                </c:pt>
                <c:pt idx="6">
                  <c:v>-5.6589350991899337E-2</c:v>
                </c:pt>
                <c:pt idx="7">
                  <c:v>0.15610900233779229</c:v>
                </c:pt>
                <c:pt idx="8">
                  <c:v>-0.12521490824631626</c:v>
                </c:pt>
                <c:pt idx="9">
                  <c:v>0.13141015733593162</c:v>
                </c:pt>
                <c:pt idx="10">
                  <c:v>7.6252483713169186E-2</c:v>
                </c:pt>
                <c:pt idx="11">
                  <c:v>0</c:v>
                </c:pt>
                <c:pt idx="12">
                  <c:v>0</c:v>
                </c:pt>
                <c:pt idx="13">
                  <c:v>0</c:v>
                </c:pt>
                <c:pt idx="14">
                  <c:v>0</c:v>
                </c:pt>
              </c:numCache>
            </c:numRef>
          </c:val>
          <c:extLst>
            <c:ext xmlns:c16="http://schemas.microsoft.com/office/drawing/2014/chart" uri="{C3380CC4-5D6E-409C-BE32-E72D297353CC}">
              <c16:uniqueId val="{00000003-DCA4-4B6C-B710-C8144FC47218}"/>
            </c:ext>
          </c:extLst>
        </c:ser>
        <c:ser>
          <c:idx val="4"/>
          <c:order val="4"/>
          <c:tx>
            <c:strRef>
              <c:f>'[ASD 2022 vigente presupuesto.xlsm]Baseline debt'!$B$162</c:f>
              <c:strCache>
                <c:ptCount val="1"/>
                <c:pt idx="0">
                  <c:v>Otros flujos de creación de deuda</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solidFill>
                <a:schemeClr val="tx1"/>
              </a:solidFill>
            </a:ln>
            <a:effectLst>
              <a:outerShdw blurRad="50800" dist="38100" dir="5400000" algn="t" rotWithShape="0">
                <a:prstClr val="black">
                  <a:alpha val="40000"/>
                </a:prstClr>
              </a:outerShdw>
            </a:effectLst>
          </c:spPr>
          <c:invertIfNegative val="0"/>
          <c:cat>
            <c:numRef>
              <c:f>'[ASD 2022 vigente presupuesto.xlsm]Baseline debt'!$O$101:$AC$101</c:f>
              <c:numCache>
                <c:formatCode>General</c:formatCode>
                <c:ptCount val="15"/>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numCache>
            </c:numRef>
          </c:cat>
          <c:val>
            <c:numRef>
              <c:f>'[ASD 2022 vigente presupuesto.xlsm]Baseline debt'!$O$162:$AC$162</c:f>
              <c:numCache>
                <c:formatCode>_-* #,##0.0_-;\-* #,##0.0_-;_-* "-"??_-;_-@_-</c:formatCode>
                <c:ptCount val="15"/>
                <c:pt idx="0">
                  <c:v>-7.9849203200488217E-2</c:v>
                </c:pt>
                <c:pt idx="1">
                  <c:v>-4.6880994432122694E-2</c:v>
                </c:pt>
                <c:pt idx="2">
                  <c:v>0.13238892355769738</c:v>
                </c:pt>
                <c:pt idx="3">
                  <c:v>0.51203596362721859</c:v>
                </c:pt>
                <c:pt idx="4">
                  <c:v>0.18908451938193008</c:v>
                </c:pt>
                <c:pt idx="5">
                  <c:v>-3.8458573050809054E-2</c:v>
                </c:pt>
                <c:pt idx="6">
                  <c:v>-0.25505419471654001</c:v>
                </c:pt>
                <c:pt idx="7">
                  <c:v>0.21052391153136399</c:v>
                </c:pt>
                <c:pt idx="8">
                  <c:v>1.3146684578705081</c:v>
                </c:pt>
                <c:pt idx="9">
                  <c:v>-1.7284620742718859</c:v>
                </c:pt>
                <c:pt idx="10">
                  <c:v>-0.9297086525277618</c:v>
                </c:pt>
                <c:pt idx="11">
                  <c:v>-2.0516922091528347E-2</c:v>
                </c:pt>
                <c:pt idx="12">
                  <c:v>-1.7618175680876237E-2</c:v>
                </c:pt>
                <c:pt idx="13">
                  <c:v>-1.5620730802689418E-2</c:v>
                </c:pt>
                <c:pt idx="14">
                  <c:v>-1.244477983069499E-2</c:v>
                </c:pt>
              </c:numCache>
            </c:numRef>
          </c:val>
          <c:extLst>
            <c:ext xmlns:c16="http://schemas.microsoft.com/office/drawing/2014/chart" uri="{C3380CC4-5D6E-409C-BE32-E72D297353CC}">
              <c16:uniqueId val="{00000004-DCA4-4B6C-B710-C8144FC47218}"/>
            </c:ext>
          </c:extLst>
        </c:ser>
        <c:ser>
          <c:idx val="5"/>
          <c:order val="5"/>
          <c:tx>
            <c:strRef>
              <c:f>'[ASD 2022 vigente presupuesto.xlsm]Baseline debt'!$B$163</c:f>
              <c:strCache>
                <c:ptCount val="1"/>
                <c:pt idx="0">
                  <c:v>Residuo</c:v>
                </c:pt>
              </c:strCache>
            </c:strRef>
          </c:tx>
          <c:spPr>
            <a:gradFill>
              <a:gsLst>
                <a:gs pos="0">
                  <a:schemeClr val="bg1">
                    <a:lumMod val="50000"/>
                  </a:schemeClr>
                </a:gs>
                <a:gs pos="52000">
                  <a:schemeClr val="bg1">
                    <a:lumMod val="65000"/>
                  </a:schemeClr>
                </a:gs>
                <a:gs pos="100000">
                  <a:schemeClr val="bg1">
                    <a:lumMod val="75000"/>
                  </a:schemeClr>
                </a:gs>
              </a:gsLst>
              <a:lin ang="16200000" scaled="1"/>
            </a:gradFill>
            <a:ln>
              <a:solidFill>
                <a:schemeClr val="tx1"/>
              </a:solidFill>
            </a:ln>
            <a:effectLst/>
          </c:spPr>
          <c:invertIfNegative val="0"/>
          <c:cat>
            <c:numRef>
              <c:f>'[ASD 2022 vigente presupuesto.xlsm]Baseline debt'!$O$101:$AC$101</c:f>
              <c:numCache>
                <c:formatCode>General</c:formatCode>
                <c:ptCount val="15"/>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numCache>
            </c:numRef>
          </c:cat>
          <c:val>
            <c:numRef>
              <c:f>'[ASD 2022 vigente presupuesto.xlsm]Baseline debt'!$O$163:$AC$163</c:f>
              <c:numCache>
                <c:formatCode>_-* #,##0.0_-;\-* #,##0.0_-;_-* "-"??_-;_-@_-</c:formatCode>
                <c:ptCount val="15"/>
                <c:pt idx="0">
                  <c:v>-0.10034308595710822</c:v>
                </c:pt>
                <c:pt idx="1">
                  <c:v>-0.11777818279574426</c:v>
                </c:pt>
                <c:pt idx="2">
                  <c:v>-4.8468114813287333E-2</c:v>
                </c:pt>
                <c:pt idx="3">
                  <c:v>-3.6907503589846069E-2</c:v>
                </c:pt>
                <c:pt idx="4">
                  <c:v>1.432490264931649E-2</c:v>
                </c:pt>
                <c:pt idx="5">
                  <c:v>-3.1534523388316194E-2</c:v>
                </c:pt>
                <c:pt idx="6">
                  <c:v>-3.4489813964103E-2</c:v>
                </c:pt>
                <c:pt idx="7">
                  <c:v>6.9402821956274785E-2</c:v>
                </c:pt>
                <c:pt idx="8">
                  <c:v>-6.9893268292737121E-2</c:v>
                </c:pt>
                <c:pt idx="9" formatCode="_(* #,##0.00_);_(* \(#,##0.00\);_(* &quot;-&quot;??_);_(@_)">
                  <c:v>-0.20724673609803324</c:v>
                </c:pt>
                <c:pt idx="10">
                  <c:v>-0.11098412833752369</c:v>
                </c:pt>
                <c:pt idx="11">
                  <c:v>-0.1160201189211999</c:v>
                </c:pt>
                <c:pt idx="12">
                  <c:v>-9.8132294258634678E-2</c:v>
                </c:pt>
                <c:pt idx="13">
                  <c:v>-6.2709836837231192E-2</c:v>
                </c:pt>
                <c:pt idx="14">
                  <c:v>-9.234952030463095E-3</c:v>
                </c:pt>
              </c:numCache>
            </c:numRef>
          </c:val>
          <c:extLst>
            <c:ext xmlns:c16="http://schemas.microsoft.com/office/drawing/2014/chart" uri="{C3380CC4-5D6E-409C-BE32-E72D297353CC}">
              <c16:uniqueId val="{00000005-DCA4-4B6C-B710-C8144FC47218}"/>
            </c:ext>
          </c:extLst>
        </c:ser>
        <c:dLbls>
          <c:showLegendKey val="0"/>
          <c:showVal val="0"/>
          <c:showCatName val="0"/>
          <c:showSerName val="0"/>
          <c:showPercent val="0"/>
          <c:showBubbleSize val="0"/>
        </c:dLbls>
        <c:gapWidth val="80"/>
        <c:overlap val="100"/>
        <c:axId val="52185951"/>
        <c:axId val="52184703"/>
      </c:barChart>
      <c:lineChart>
        <c:grouping val="standard"/>
        <c:varyColors val="0"/>
        <c:ser>
          <c:idx val="6"/>
          <c:order val="6"/>
          <c:tx>
            <c:strRef>
              <c:f>'[ASD 2022 vigente presupuesto.xlsm]Baseline debt'!$B$151</c:f>
              <c:strCache>
                <c:ptCount val="1"/>
                <c:pt idx="0">
                  <c:v>Cambio en la deuda pública</c:v>
                </c:pt>
              </c:strCache>
            </c:strRef>
          </c:tx>
          <c:spPr>
            <a:ln w="28575" cap="rnd">
              <a:solidFill>
                <a:schemeClr val="tx1"/>
              </a:solidFill>
              <a:round/>
            </a:ln>
            <a:effectLst/>
          </c:spPr>
          <c:marker>
            <c:symbol val="none"/>
          </c:marker>
          <c:val>
            <c:numRef>
              <c:f>'[ASD 2022 vigente presupuesto.xlsm]Baseline debt'!$O$151:$AC$151</c:f>
              <c:numCache>
                <c:formatCode>_-* #,##0.0_-;\-* #,##0.0_-;_-* "-"??_-;_-@_-</c:formatCode>
                <c:ptCount val="15"/>
                <c:pt idx="0">
                  <c:v>0.37693218747809709</c:v>
                </c:pt>
                <c:pt idx="1">
                  <c:v>-0.38701460878752059</c:v>
                </c:pt>
                <c:pt idx="2">
                  <c:v>0.12751096060433653</c:v>
                </c:pt>
                <c:pt idx="3">
                  <c:v>0.11483556884410007</c:v>
                </c:pt>
                <c:pt idx="4">
                  <c:v>0.12127010986053932</c:v>
                </c:pt>
                <c:pt idx="5">
                  <c:v>1.327066546919653</c:v>
                </c:pt>
                <c:pt idx="6">
                  <c:v>4.3743745142421631E-3</c:v>
                </c:pt>
                <c:pt idx="7">
                  <c:v>5.0750712388342976</c:v>
                </c:pt>
                <c:pt idx="8">
                  <c:v>-0.78817178114295672</c:v>
                </c:pt>
                <c:pt idx="9">
                  <c:v>0.22749837466004053</c:v>
                </c:pt>
                <c:pt idx="10">
                  <c:v>-0.26739366901333383</c:v>
                </c:pt>
                <c:pt idx="11">
                  <c:v>-0.36220303989043501</c:v>
                </c:pt>
                <c:pt idx="12">
                  <c:v>-0.92125189130601726</c:v>
                </c:pt>
                <c:pt idx="13">
                  <c:v>-1.3795823463418166</c:v>
                </c:pt>
                <c:pt idx="14">
                  <c:v>-1.490813767941674</c:v>
                </c:pt>
              </c:numCache>
            </c:numRef>
          </c:val>
          <c:smooth val="0"/>
          <c:extLst>
            <c:ext xmlns:c16="http://schemas.microsoft.com/office/drawing/2014/chart" uri="{C3380CC4-5D6E-409C-BE32-E72D297353CC}">
              <c16:uniqueId val="{00000006-DCA4-4B6C-B710-C8144FC47218}"/>
            </c:ext>
          </c:extLst>
        </c:ser>
        <c:dLbls>
          <c:showLegendKey val="0"/>
          <c:showVal val="0"/>
          <c:showCatName val="0"/>
          <c:showSerName val="0"/>
          <c:showPercent val="0"/>
          <c:showBubbleSize val="0"/>
        </c:dLbls>
        <c:marker val="1"/>
        <c:smooth val="0"/>
        <c:axId val="52185951"/>
        <c:axId val="52184703"/>
      </c:lineChart>
      <c:catAx>
        <c:axId val="5218595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52184703"/>
        <c:crosses val="autoZero"/>
        <c:auto val="1"/>
        <c:lblAlgn val="ctr"/>
        <c:lblOffset val="100"/>
        <c:noMultiLvlLbl val="0"/>
      </c:catAx>
      <c:valAx>
        <c:axId val="52184703"/>
        <c:scaling>
          <c:orientation val="minMax"/>
          <c:max val="6.5"/>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2185951"/>
        <c:crosses val="autoZero"/>
        <c:crossBetween val="between"/>
      </c:valAx>
      <c:spPr>
        <a:noFill/>
        <a:ln>
          <a:solidFill>
            <a:schemeClr val="bg1">
              <a:lumMod val="75000"/>
            </a:schemeClr>
          </a:solidFill>
        </a:ln>
        <a:effectLst/>
      </c:spPr>
    </c:plotArea>
    <c:legend>
      <c:legendPos val="b"/>
      <c:layout>
        <c:manualLayout>
          <c:xMode val="edge"/>
          <c:yMode val="edge"/>
          <c:x val="1.8752957396321365E-2"/>
          <c:y val="0.89066493868812668"/>
          <c:w val="0.97169012785957809"/>
          <c:h val="9.98336033354682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54365079365082E-2"/>
          <c:y val="7.7611111111111117E-2"/>
          <c:w val="0.87190119047619052"/>
          <c:h val="0.72476944444444447"/>
        </c:manualLayout>
      </c:layout>
      <c:areaChart>
        <c:grouping val="stacked"/>
        <c:varyColors val="0"/>
        <c:ser>
          <c:idx val="0"/>
          <c:order val="0"/>
          <c:spPr>
            <a:solidFill>
              <a:schemeClr val="accent1">
                <a:alpha val="0"/>
              </a:schemeClr>
            </a:solidFill>
            <a:ln>
              <a:noFill/>
            </a:ln>
            <a:effectLst/>
          </c:spPr>
          <c:cat>
            <c:numRef>
              <c:f>Fanchart!$R$42:$Z$42</c:f>
              <c:numCache>
                <c:formatCode>General</c:formatCode>
                <c:ptCount val="9"/>
                <c:pt idx="0">
                  <c:v>2019</c:v>
                </c:pt>
                <c:pt idx="1">
                  <c:v>2020</c:v>
                </c:pt>
                <c:pt idx="2">
                  <c:v>2021</c:v>
                </c:pt>
                <c:pt idx="3">
                  <c:v>2022</c:v>
                </c:pt>
                <c:pt idx="4">
                  <c:v>2023</c:v>
                </c:pt>
                <c:pt idx="5">
                  <c:v>2024</c:v>
                </c:pt>
                <c:pt idx="6">
                  <c:v>2025</c:v>
                </c:pt>
                <c:pt idx="7">
                  <c:v>2026</c:v>
                </c:pt>
                <c:pt idx="8">
                  <c:v>2027</c:v>
                </c:pt>
              </c:numCache>
            </c:numRef>
          </c:cat>
          <c:val>
            <c:numRef>
              <c:f>Fanchart!$R$43:$Z$43</c:f>
              <c:numCache>
                <c:formatCode>_-* #,##0.0_-;\-* #,##0.0_-;_-* "-"??_-;_-@_-</c:formatCode>
                <c:ptCount val="9"/>
                <c:pt idx="0">
                  <c:v>26.487711939419782</c:v>
                </c:pt>
                <c:pt idx="1">
                  <c:v>31.56278317825408</c:v>
                </c:pt>
                <c:pt idx="2">
                  <c:v>30.774611397111123</c:v>
                </c:pt>
                <c:pt idx="3">
                  <c:v>28.849714358791058</c:v>
                </c:pt>
                <c:pt idx="4">
                  <c:v>27.913079229900458</c:v>
                </c:pt>
                <c:pt idx="5">
                  <c:v>26.86460009312378</c:v>
                </c:pt>
                <c:pt idx="6">
                  <c:v>25.445302140016214</c:v>
                </c:pt>
                <c:pt idx="7">
                  <c:v>23.939379075330496</c:v>
                </c:pt>
                <c:pt idx="8">
                  <c:v>22.14651180384697</c:v>
                </c:pt>
              </c:numCache>
            </c:numRef>
          </c:val>
          <c:extLst>
            <c:ext xmlns:c16="http://schemas.microsoft.com/office/drawing/2014/chart" uri="{C3380CC4-5D6E-409C-BE32-E72D297353CC}">
              <c16:uniqueId val="{00000000-0456-4B5C-BB8C-465EBEE319EE}"/>
            </c:ext>
          </c:extLst>
        </c:ser>
        <c:ser>
          <c:idx val="1"/>
          <c:order val="1"/>
          <c:tx>
            <c:strRef>
              <c:f>Fanchart!$J$44</c:f>
              <c:strCache>
                <c:ptCount val="1"/>
                <c:pt idx="0">
                  <c:v>10th-25th</c:v>
                </c:pt>
              </c:strCache>
            </c:strRef>
          </c:tx>
          <c:spPr>
            <a:solidFill>
              <a:schemeClr val="accent5">
                <a:lumMod val="60000"/>
                <a:lumOff val="40000"/>
              </a:schemeClr>
            </a:solidFill>
            <a:ln>
              <a:noFill/>
            </a:ln>
            <a:effectLst/>
          </c:spPr>
          <c:cat>
            <c:numRef>
              <c:f>Fanchart!$R$42:$Z$42</c:f>
              <c:numCache>
                <c:formatCode>General</c:formatCode>
                <c:ptCount val="9"/>
                <c:pt idx="0">
                  <c:v>2019</c:v>
                </c:pt>
                <c:pt idx="1">
                  <c:v>2020</c:v>
                </c:pt>
                <c:pt idx="2">
                  <c:v>2021</c:v>
                </c:pt>
                <c:pt idx="3">
                  <c:v>2022</c:v>
                </c:pt>
                <c:pt idx="4">
                  <c:v>2023</c:v>
                </c:pt>
                <c:pt idx="5">
                  <c:v>2024</c:v>
                </c:pt>
                <c:pt idx="6">
                  <c:v>2025</c:v>
                </c:pt>
                <c:pt idx="7">
                  <c:v>2026</c:v>
                </c:pt>
                <c:pt idx="8">
                  <c:v>2027</c:v>
                </c:pt>
              </c:numCache>
            </c:numRef>
          </c:cat>
          <c:val>
            <c:numRef>
              <c:f>Fanchart!$R$44:$Z$44</c:f>
              <c:numCache>
                <c:formatCode>General</c:formatCode>
                <c:ptCount val="9"/>
                <c:pt idx="0">
                  <c:v>0</c:v>
                </c:pt>
                <c:pt idx="1">
                  <c:v>0</c:v>
                </c:pt>
                <c:pt idx="2">
                  <c:v>0</c:v>
                </c:pt>
                <c:pt idx="3" formatCode="_-* #,##0.0_-;\-* #,##0.0_-;_-* &quot;-&quot;??_-;_-@_-">
                  <c:v>0.96508541045134955</c:v>
                </c:pt>
                <c:pt idx="4" formatCode="_-* #,##0.0_-;\-* #,##0.0_-;_-* &quot;-&quot;??_-;_-@_-">
                  <c:v>1.2844120916818136</c:v>
                </c:pt>
                <c:pt idx="5" formatCode="_-* #,##0.0_-;\-* #,##0.0_-;_-* &quot;-&quot;??_-;_-@_-">
                  <c:v>1.5838745819277078</c:v>
                </c:pt>
                <c:pt idx="6" formatCode="_-* #,##0.0_-;\-* #,##0.0_-;_-* &quot;-&quot;??_-;_-@_-">
                  <c:v>2.0464205183469253</c:v>
                </c:pt>
                <c:pt idx="7" formatCode="_-* #,##0.0_-;\-* #,##0.0_-;_-* &quot;-&quot;??_-;_-@_-">
                  <c:v>2.3302807368736413</c:v>
                </c:pt>
                <c:pt idx="8" formatCode="_-* #,##0.0_-;\-* #,##0.0_-;_-* &quot;-&quot;??_-;_-@_-">
                  <c:v>2.5312902320849568</c:v>
                </c:pt>
              </c:numCache>
            </c:numRef>
          </c:val>
          <c:extLst>
            <c:ext xmlns:c16="http://schemas.microsoft.com/office/drawing/2014/chart" uri="{C3380CC4-5D6E-409C-BE32-E72D297353CC}">
              <c16:uniqueId val="{00000001-0456-4B5C-BB8C-465EBEE319EE}"/>
            </c:ext>
          </c:extLst>
        </c:ser>
        <c:ser>
          <c:idx val="2"/>
          <c:order val="2"/>
          <c:tx>
            <c:strRef>
              <c:f>Fanchart!$J$45</c:f>
              <c:strCache>
                <c:ptCount val="1"/>
                <c:pt idx="0">
                  <c:v>25th-50th</c:v>
                </c:pt>
              </c:strCache>
            </c:strRef>
          </c:tx>
          <c:spPr>
            <a:solidFill>
              <a:schemeClr val="accent5">
                <a:lumMod val="75000"/>
              </a:schemeClr>
            </a:solidFill>
            <a:ln>
              <a:noFill/>
            </a:ln>
            <a:effectLst/>
          </c:spPr>
          <c:cat>
            <c:numRef>
              <c:f>Fanchart!$R$42:$Z$42</c:f>
              <c:numCache>
                <c:formatCode>General</c:formatCode>
                <c:ptCount val="9"/>
                <c:pt idx="0">
                  <c:v>2019</c:v>
                </c:pt>
                <c:pt idx="1">
                  <c:v>2020</c:v>
                </c:pt>
                <c:pt idx="2">
                  <c:v>2021</c:v>
                </c:pt>
                <c:pt idx="3">
                  <c:v>2022</c:v>
                </c:pt>
                <c:pt idx="4">
                  <c:v>2023</c:v>
                </c:pt>
                <c:pt idx="5">
                  <c:v>2024</c:v>
                </c:pt>
                <c:pt idx="6">
                  <c:v>2025</c:v>
                </c:pt>
                <c:pt idx="7">
                  <c:v>2026</c:v>
                </c:pt>
                <c:pt idx="8">
                  <c:v>2027</c:v>
                </c:pt>
              </c:numCache>
            </c:numRef>
          </c:cat>
          <c:val>
            <c:numRef>
              <c:f>Fanchart!$R$45:$Z$45</c:f>
              <c:numCache>
                <c:formatCode>General</c:formatCode>
                <c:ptCount val="9"/>
                <c:pt idx="0">
                  <c:v>0</c:v>
                </c:pt>
                <c:pt idx="1">
                  <c:v>0</c:v>
                </c:pt>
                <c:pt idx="2">
                  <c:v>0</c:v>
                </c:pt>
                <c:pt idx="3" formatCode="_-* #,##0.0_-;\-* #,##0.0_-;_-* &quot;-&quot;??_-;_-@_-">
                  <c:v>1.2037505718772379</c:v>
                </c:pt>
                <c:pt idx="4" formatCode="_-* #,##0.0_-;\-* #,##0.0_-;_-* &quot;-&quot;??_-;_-@_-">
                  <c:v>1.7642584787358306</c:v>
                </c:pt>
                <c:pt idx="5" formatCode="_-* #,##0.0_-;\-* #,##0.0_-;_-* &quot;-&quot;??_-;_-@_-">
                  <c:v>2.1034141394537018</c:v>
                </c:pt>
                <c:pt idx="6" formatCode="_-* #,##0.0_-;\-* #,##0.0_-;_-* &quot;-&quot;??_-;_-@_-">
                  <c:v>2.3528386139298529</c:v>
                </c:pt>
                <c:pt idx="7" formatCode="_-* #,##0.0_-;\-* #,##0.0_-;_-* &quot;-&quot;??_-;_-@_-">
                  <c:v>2.5150044148005368</c:v>
                </c:pt>
                <c:pt idx="8" formatCode="_-* #,##0.0_-;\-* #,##0.0_-;_-* &quot;-&quot;??_-;_-@_-">
                  <c:v>2.8455585889495953</c:v>
                </c:pt>
              </c:numCache>
            </c:numRef>
          </c:val>
          <c:extLst>
            <c:ext xmlns:c16="http://schemas.microsoft.com/office/drawing/2014/chart" uri="{C3380CC4-5D6E-409C-BE32-E72D297353CC}">
              <c16:uniqueId val="{00000002-0456-4B5C-BB8C-465EBEE319EE}"/>
            </c:ext>
          </c:extLst>
        </c:ser>
        <c:ser>
          <c:idx val="3"/>
          <c:order val="3"/>
          <c:tx>
            <c:strRef>
              <c:f>Fanchart!$J$46</c:f>
              <c:strCache>
                <c:ptCount val="1"/>
                <c:pt idx="0">
                  <c:v>50th-75th</c:v>
                </c:pt>
              </c:strCache>
            </c:strRef>
          </c:tx>
          <c:spPr>
            <a:solidFill>
              <a:schemeClr val="accent5">
                <a:lumMod val="75000"/>
              </a:schemeClr>
            </a:solidFill>
            <a:ln>
              <a:noFill/>
            </a:ln>
            <a:effectLst/>
          </c:spPr>
          <c:cat>
            <c:numRef>
              <c:f>Fanchart!$R$42:$Z$42</c:f>
              <c:numCache>
                <c:formatCode>General</c:formatCode>
                <c:ptCount val="9"/>
                <c:pt idx="0">
                  <c:v>2019</c:v>
                </c:pt>
                <c:pt idx="1">
                  <c:v>2020</c:v>
                </c:pt>
                <c:pt idx="2">
                  <c:v>2021</c:v>
                </c:pt>
                <c:pt idx="3">
                  <c:v>2022</c:v>
                </c:pt>
                <c:pt idx="4">
                  <c:v>2023</c:v>
                </c:pt>
                <c:pt idx="5">
                  <c:v>2024</c:v>
                </c:pt>
                <c:pt idx="6">
                  <c:v>2025</c:v>
                </c:pt>
                <c:pt idx="7">
                  <c:v>2026</c:v>
                </c:pt>
                <c:pt idx="8">
                  <c:v>2027</c:v>
                </c:pt>
              </c:numCache>
            </c:numRef>
          </c:cat>
          <c:val>
            <c:numRef>
              <c:f>Fanchart!$R$46:$Z$46</c:f>
              <c:numCache>
                <c:formatCode>General</c:formatCode>
                <c:ptCount val="9"/>
                <c:pt idx="0">
                  <c:v>0</c:v>
                </c:pt>
                <c:pt idx="1">
                  <c:v>0</c:v>
                </c:pt>
                <c:pt idx="2">
                  <c:v>0</c:v>
                </c:pt>
                <c:pt idx="3" formatCode="_-* #,##0.0_-;\-* #,##0.0_-;_-* &quot;-&quot;??_-;_-@_-">
                  <c:v>1.1771027169472204</c:v>
                </c:pt>
                <c:pt idx="4" formatCode="_-* #,##0.0_-;\-* #,##0.0_-;_-* &quot;-&quot;??_-;_-@_-">
                  <c:v>1.5638517330667179</c:v>
                </c:pt>
                <c:pt idx="5" formatCode="_-* #,##0.0_-;\-* #,##0.0_-;_-* &quot;-&quot;??_-;_-@_-">
                  <c:v>2.1809833001973535</c:v>
                </c:pt>
                <c:pt idx="6" formatCode="_-* #,##0.0_-;\-* #,##0.0_-;_-* &quot;-&quot;??_-;_-@_-">
                  <c:v>2.4618667172436659</c:v>
                </c:pt>
                <c:pt idx="7" formatCode="_-* #,##0.0_-;\-* #,##0.0_-;_-* &quot;-&quot;??_-;_-@_-">
                  <c:v>2.4929327544407744</c:v>
                </c:pt>
                <c:pt idx="8" formatCode="_-* #,##0.0_-;\-* #,##0.0_-;_-* &quot;-&quot;??_-;_-@_-">
                  <c:v>2.9354456491252732</c:v>
                </c:pt>
              </c:numCache>
            </c:numRef>
          </c:val>
          <c:extLst>
            <c:ext xmlns:c16="http://schemas.microsoft.com/office/drawing/2014/chart" uri="{C3380CC4-5D6E-409C-BE32-E72D297353CC}">
              <c16:uniqueId val="{00000003-0456-4B5C-BB8C-465EBEE319EE}"/>
            </c:ext>
          </c:extLst>
        </c:ser>
        <c:ser>
          <c:idx val="4"/>
          <c:order val="4"/>
          <c:tx>
            <c:strRef>
              <c:f>Fanchart!$J$47</c:f>
              <c:strCache>
                <c:ptCount val="1"/>
                <c:pt idx="0">
                  <c:v>75th-90th</c:v>
                </c:pt>
              </c:strCache>
            </c:strRef>
          </c:tx>
          <c:spPr>
            <a:solidFill>
              <a:schemeClr val="accent5">
                <a:lumMod val="60000"/>
                <a:lumOff val="40000"/>
              </a:schemeClr>
            </a:solidFill>
            <a:ln>
              <a:noFill/>
            </a:ln>
            <a:effectLst/>
          </c:spPr>
          <c:cat>
            <c:numRef>
              <c:f>Fanchart!$R$42:$Z$42</c:f>
              <c:numCache>
                <c:formatCode>General</c:formatCode>
                <c:ptCount val="9"/>
                <c:pt idx="0">
                  <c:v>2019</c:v>
                </c:pt>
                <c:pt idx="1">
                  <c:v>2020</c:v>
                </c:pt>
                <c:pt idx="2">
                  <c:v>2021</c:v>
                </c:pt>
                <c:pt idx="3">
                  <c:v>2022</c:v>
                </c:pt>
                <c:pt idx="4">
                  <c:v>2023</c:v>
                </c:pt>
                <c:pt idx="5">
                  <c:v>2024</c:v>
                </c:pt>
                <c:pt idx="6">
                  <c:v>2025</c:v>
                </c:pt>
                <c:pt idx="7">
                  <c:v>2026</c:v>
                </c:pt>
                <c:pt idx="8">
                  <c:v>2027</c:v>
                </c:pt>
              </c:numCache>
            </c:numRef>
          </c:cat>
          <c:val>
            <c:numRef>
              <c:f>Fanchart!$R$47:$Z$47</c:f>
              <c:numCache>
                <c:formatCode>General</c:formatCode>
                <c:ptCount val="9"/>
                <c:pt idx="0">
                  <c:v>0</c:v>
                </c:pt>
                <c:pt idx="1">
                  <c:v>0</c:v>
                </c:pt>
                <c:pt idx="2">
                  <c:v>0</c:v>
                </c:pt>
                <c:pt idx="3" formatCode="_-* #,##0.0_-;\-* #,##0.0_-;_-* &quot;-&quot;??_-;_-@_-">
                  <c:v>1.1118136249126664</c:v>
                </c:pt>
                <c:pt idx="4" formatCode="_-* #,##0.0_-;\-* #,##0.0_-;_-* &quot;-&quot;??_-;_-@_-">
                  <c:v>1.614093005734285</c:v>
                </c:pt>
                <c:pt idx="5" formatCode="_-* #,##0.0_-;\-* #,##0.0_-;_-* &quot;-&quot;??_-;_-@_-">
                  <c:v>1.7371724560708679</c:v>
                </c:pt>
                <c:pt idx="6" formatCode="_-* #,##0.0_-;\-* #,##0.0_-;_-* &quot;-&quot;??_-;_-@_-">
                  <c:v>2.211363273968753</c:v>
                </c:pt>
                <c:pt idx="7" formatCode="_-* #,##0.0_-;\-* #,##0.0_-;_-* &quot;-&quot;??_-;_-@_-">
                  <c:v>2.5284681124697284</c:v>
                </c:pt>
                <c:pt idx="8" formatCode="_-* #,##0.0_-;\-* #,##0.0_-;_-* &quot;-&quot;??_-;_-@_-">
                  <c:v>2.7656122840346073</c:v>
                </c:pt>
              </c:numCache>
            </c:numRef>
          </c:val>
          <c:extLst>
            <c:ext xmlns:c16="http://schemas.microsoft.com/office/drawing/2014/chart" uri="{C3380CC4-5D6E-409C-BE32-E72D297353CC}">
              <c16:uniqueId val="{00000004-0456-4B5C-BB8C-465EBEE319EE}"/>
            </c:ext>
          </c:extLst>
        </c:ser>
        <c:dLbls>
          <c:showLegendKey val="0"/>
          <c:showVal val="0"/>
          <c:showCatName val="0"/>
          <c:showSerName val="0"/>
          <c:showPercent val="0"/>
          <c:showBubbleSize val="0"/>
        </c:dLbls>
        <c:axId val="1802545663"/>
        <c:axId val="1802554399"/>
      </c:areaChart>
      <c:lineChart>
        <c:grouping val="standard"/>
        <c:varyColors val="0"/>
        <c:ser>
          <c:idx val="5"/>
          <c:order val="5"/>
          <c:tx>
            <c:v>Baseline</c:v>
          </c:tx>
          <c:spPr>
            <a:ln w="28575" cap="rnd">
              <a:solidFill>
                <a:schemeClr val="tx1"/>
              </a:solidFill>
              <a:round/>
            </a:ln>
            <a:effectLst/>
          </c:spPr>
          <c:marker>
            <c:symbol val="none"/>
          </c:marker>
          <c:val>
            <c:numRef>
              <c:f>Fanchart!$I$55:$Q$55</c:f>
              <c:numCache>
                <c:formatCode>_-* #,##0.0_-;\-* #,##0.0_-;_-* "-"??_-;_-@_-</c:formatCode>
                <c:ptCount val="9"/>
                <c:pt idx="0">
                  <c:v>26.487711939419782</c:v>
                </c:pt>
                <c:pt idx="1">
                  <c:v>31.56278317825408</c:v>
                </c:pt>
                <c:pt idx="2">
                  <c:v>30.774611397111123</c:v>
                </c:pt>
                <c:pt idx="3">
                  <c:v>31.002109771771163</c:v>
                </c:pt>
                <c:pt idx="4">
                  <c:v>30.897097615652587</c:v>
                </c:pt>
                <c:pt idx="5">
                  <c:v>30.593866820840976</c:v>
                </c:pt>
                <c:pt idx="6">
                  <c:v>29.838544295578114</c:v>
                </c:pt>
                <c:pt idx="7">
                  <c:v>28.790941146985528</c:v>
                </c:pt>
                <c:pt idx="8">
                  <c:v>27.498835787686605</c:v>
                </c:pt>
              </c:numCache>
            </c:numRef>
          </c:val>
          <c:smooth val="0"/>
          <c:extLst>
            <c:ext xmlns:c16="http://schemas.microsoft.com/office/drawing/2014/chart" uri="{C3380CC4-5D6E-409C-BE32-E72D297353CC}">
              <c16:uniqueId val="{00000005-0456-4B5C-BB8C-465EBEE319EE}"/>
            </c:ext>
          </c:extLst>
        </c:ser>
        <c:dLbls>
          <c:showLegendKey val="0"/>
          <c:showVal val="0"/>
          <c:showCatName val="0"/>
          <c:showSerName val="0"/>
          <c:showPercent val="0"/>
          <c:showBubbleSize val="0"/>
        </c:dLbls>
        <c:marker val="1"/>
        <c:smooth val="0"/>
        <c:axId val="1802545663"/>
        <c:axId val="1802554399"/>
      </c:lineChart>
      <c:catAx>
        <c:axId val="1802545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1802554399"/>
        <c:crosses val="autoZero"/>
        <c:auto val="1"/>
        <c:lblAlgn val="ctr"/>
        <c:lblOffset val="100"/>
        <c:noMultiLvlLbl val="0"/>
      </c:catAx>
      <c:valAx>
        <c:axId val="1802554399"/>
        <c:scaling>
          <c:orientation val="minMax"/>
          <c:max val="50"/>
          <c:min val="15"/>
        </c:scaling>
        <c:delete val="0"/>
        <c:axPos val="l"/>
        <c:majorGridlines>
          <c:spPr>
            <a:ln w="9525" cap="flat" cmpd="sng" algn="ctr">
              <a:noFill/>
              <a:round/>
            </a:ln>
            <a:effectLst/>
          </c:spPr>
        </c:majorGridlines>
        <c:numFmt formatCode="_-* #,##0.0_-;\-* #,##0.0_-;_-* &quot;-&quot;??_-;_-@_-"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1802545663"/>
        <c:crosses val="autoZero"/>
        <c:crossBetween val="midCat"/>
      </c:valAx>
      <c:spPr>
        <a:noFill/>
        <a:ln>
          <a:noFill/>
        </a:ln>
        <a:effectLst/>
      </c:spPr>
    </c:plotArea>
    <c:legend>
      <c:legendPos val="b"/>
      <c:legendEntry>
        <c:idx val="0"/>
        <c:delete val="1"/>
      </c:legendEntry>
      <c:layout>
        <c:manualLayout>
          <c:xMode val="edge"/>
          <c:yMode val="edge"/>
          <c:x val="8.1344444444444428E-2"/>
          <c:y val="0.88945833333333335"/>
          <c:w val="0.83731111111111112"/>
          <c:h val="0.110541666666666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19592403890684E-2"/>
          <c:y val="0.23907356408035196"/>
          <c:w val="0.90375099583140339"/>
          <c:h val="0.56276758508634694"/>
        </c:manualLayout>
      </c:layout>
      <c:lineChart>
        <c:grouping val="standard"/>
        <c:varyColors val="0"/>
        <c:ser>
          <c:idx val="0"/>
          <c:order val="0"/>
          <c:tx>
            <c:strRef>
              <c:f>'Figure 5'!$K$8</c:f>
              <c:strCache>
                <c:ptCount val="1"/>
                <c:pt idx="0">
                  <c:v>Incertidumbre de la política monetaria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3"/>
              <c:layout>
                <c:manualLayout>
                  <c:x val="0"/>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56-4E36-B03F-355E96C9E9BA}"/>
                </c:ext>
              </c:extLst>
            </c:dLbl>
            <c:spPr>
              <a:noFill/>
              <a:ln>
                <a:noFill/>
              </a:ln>
              <a:effectLst/>
            </c:spPr>
            <c:txPr>
              <a:bodyPr rot="0" spcFirstLastPara="1" vertOverflow="ellipsis" vert="horz" wrap="square" anchor="ctr" anchorCtr="1"/>
              <a:lstStyle/>
              <a:p>
                <a:pPr>
                  <a:defRPr sz="9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5'!$J$9:$J$63</c:f>
              <c:numCache>
                <c:formatCode>mmm\-yy</c:formatCode>
                <c:ptCount val="5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numCache>
            </c:numRef>
          </c:cat>
          <c:val>
            <c:numRef>
              <c:f>'Figure 5'!$K$9:$K$63</c:f>
              <c:numCache>
                <c:formatCode>0.0</c:formatCode>
                <c:ptCount val="55"/>
                <c:pt idx="0">
                  <c:v>3.2</c:v>
                </c:pt>
                <c:pt idx="1">
                  <c:v>4.32</c:v>
                </c:pt>
                <c:pt idx="2">
                  <c:v>2.74</c:v>
                </c:pt>
                <c:pt idx="3">
                  <c:v>3.07</c:v>
                </c:pt>
                <c:pt idx="4">
                  <c:v>3</c:v>
                </c:pt>
                <c:pt idx="5">
                  <c:v>2.92</c:v>
                </c:pt>
                <c:pt idx="6">
                  <c:v>6.29</c:v>
                </c:pt>
                <c:pt idx="7">
                  <c:v>4.17</c:v>
                </c:pt>
                <c:pt idx="8">
                  <c:v>2.02</c:v>
                </c:pt>
                <c:pt idx="9">
                  <c:v>3.48</c:v>
                </c:pt>
                <c:pt idx="10">
                  <c:v>4.2699999999999996</c:v>
                </c:pt>
                <c:pt idx="11">
                  <c:v>15.12</c:v>
                </c:pt>
                <c:pt idx="12">
                  <c:v>14.44</c:v>
                </c:pt>
                <c:pt idx="13">
                  <c:v>6.81</c:v>
                </c:pt>
                <c:pt idx="14">
                  <c:v>5.58</c:v>
                </c:pt>
                <c:pt idx="15">
                  <c:v>3.49</c:v>
                </c:pt>
                <c:pt idx="16">
                  <c:v>5.26</c:v>
                </c:pt>
                <c:pt idx="17">
                  <c:v>14.62</c:v>
                </c:pt>
                <c:pt idx="18">
                  <c:v>10.08</c:v>
                </c:pt>
                <c:pt idx="19">
                  <c:v>27.68</c:v>
                </c:pt>
                <c:pt idx="20">
                  <c:v>12.83</c:v>
                </c:pt>
                <c:pt idx="21">
                  <c:v>9.19</c:v>
                </c:pt>
                <c:pt idx="22">
                  <c:v>6.52</c:v>
                </c:pt>
                <c:pt idx="23">
                  <c:v>9.15</c:v>
                </c:pt>
                <c:pt idx="24">
                  <c:v>8.6</c:v>
                </c:pt>
                <c:pt idx="25">
                  <c:v>9.76</c:v>
                </c:pt>
                <c:pt idx="26">
                  <c:v>30.41</c:v>
                </c:pt>
                <c:pt idx="27">
                  <c:v>20.45</c:v>
                </c:pt>
                <c:pt idx="28">
                  <c:v>18.190000000000001</c:v>
                </c:pt>
                <c:pt idx="29">
                  <c:v>16.54</c:v>
                </c:pt>
                <c:pt idx="30">
                  <c:v>11.65</c:v>
                </c:pt>
                <c:pt idx="31">
                  <c:v>9.14</c:v>
                </c:pt>
                <c:pt idx="32">
                  <c:v>12.4</c:v>
                </c:pt>
                <c:pt idx="33">
                  <c:v>10.81</c:v>
                </c:pt>
                <c:pt idx="34">
                  <c:v>14.69</c:v>
                </c:pt>
                <c:pt idx="35">
                  <c:v>8.0500000000000007</c:v>
                </c:pt>
                <c:pt idx="36">
                  <c:v>7.1</c:v>
                </c:pt>
                <c:pt idx="37">
                  <c:v>4.5999999999999996</c:v>
                </c:pt>
                <c:pt idx="38">
                  <c:v>6.23</c:v>
                </c:pt>
                <c:pt idx="39">
                  <c:v>2.98</c:v>
                </c:pt>
                <c:pt idx="40">
                  <c:v>4.9000000000000004</c:v>
                </c:pt>
                <c:pt idx="41">
                  <c:v>6.44</c:v>
                </c:pt>
                <c:pt idx="42">
                  <c:v>7.7</c:v>
                </c:pt>
                <c:pt idx="43">
                  <c:v>5.27</c:v>
                </c:pt>
                <c:pt idx="44">
                  <c:v>7.96</c:v>
                </c:pt>
                <c:pt idx="45">
                  <c:v>6.55</c:v>
                </c:pt>
                <c:pt idx="46">
                  <c:v>5.4</c:v>
                </c:pt>
                <c:pt idx="47">
                  <c:v>15.33</c:v>
                </c:pt>
                <c:pt idx="48">
                  <c:v>15.63</c:v>
                </c:pt>
                <c:pt idx="49">
                  <c:v>11.01</c:v>
                </c:pt>
                <c:pt idx="50">
                  <c:v>18.989999999999998</c:v>
                </c:pt>
                <c:pt idx="51">
                  <c:v>13.16</c:v>
                </c:pt>
                <c:pt idx="52">
                  <c:v>15.66</c:v>
                </c:pt>
                <c:pt idx="53">
                  <c:v>13.5</c:v>
                </c:pt>
              </c:numCache>
            </c:numRef>
          </c:val>
          <c:smooth val="0"/>
          <c:extLst>
            <c:ext xmlns:c16="http://schemas.microsoft.com/office/drawing/2014/chart" uri="{C3380CC4-5D6E-409C-BE32-E72D297353CC}">
              <c16:uniqueId val="{00000001-6956-4E36-B03F-355E96C9E9BA}"/>
            </c:ext>
          </c:extLst>
        </c:ser>
        <c:ser>
          <c:idx val="1"/>
          <c:order val="1"/>
          <c:tx>
            <c:strRef>
              <c:f>'Figure 5'!$L$8</c:f>
              <c:strCache>
                <c:ptCount val="1"/>
                <c:pt idx="0">
                  <c:v>Incertidumbre de la política de seguridad nacional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2"/>
              <c:layout>
                <c:manualLayout>
                  <c:x val="-2.7777777777777779E-3"/>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56-4E36-B03F-355E96C9E9BA}"/>
                </c:ext>
              </c:extLst>
            </c:dLbl>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5'!$J$9:$J$63</c:f>
              <c:numCache>
                <c:formatCode>mmm\-yy</c:formatCode>
                <c:ptCount val="5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numCache>
            </c:numRef>
          </c:cat>
          <c:val>
            <c:numRef>
              <c:f>'Figure 5'!$L$9:$L$63</c:f>
              <c:numCache>
                <c:formatCode>0.0</c:formatCode>
                <c:ptCount val="55"/>
                <c:pt idx="0">
                  <c:v>11.12</c:v>
                </c:pt>
                <c:pt idx="1">
                  <c:v>3.27</c:v>
                </c:pt>
                <c:pt idx="2">
                  <c:v>9.57</c:v>
                </c:pt>
                <c:pt idx="3">
                  <c:v>13.24</c:v>
                </c:pt>
                <c:pt idx="4">
                  <c:v>10.27</c:v>
                </c:pt>
                <c:pt idx="5">
                  <c:v>15.56</c:v>
                </c:pt>
                <c:pt idx="6">
                  <c:v>16.47</c:v>
                </c:pt>
                <c:pt idx="7">
                  <c:v>7.82</c:v>
                </c:pt>
                <c:pt idx="8">
                  <c:v>6.5</c:v>
                </c:pt>
                <c:pt idx="9">
                  <c:v>10.33</c:v>
                </c:pt>
                <c:pt idx="10">
                  <c:v>7.87</c:v>
                </c:pt>
                <c:pt idx="11">
                  <c:v>14.09</c:v>
                </c:pt>
                <c:pt idx="12">
                  <c:v>17.63</c:v>
                </c:pt>
                <c:pt idx="13">
                  <c:v>7.3</c:v>
                </c:pt>
                <c:pt idx="14">
                  <c:v>7.29</c:v>
                </c:pt>
                <c:pt idx="15">
                  <c:v>4.4400000000000004</c:v>
                </c:pt>
                <c:pt idx="16">
                  <c:v>14.55</c:v>
                </c:pt>
                <c:pt idx="17">
                  <c:v>18.239999999999998</c:v>
                </c:pt>
                <c:pt idx="18">
                  <c:v>9.35</c:v>
                </c:pt>
                <c:pt idx="19">
                  <c:v>31.81</c:v>
                </c:pt>
                <c:pt idx="20">
                  <c:v>17.600000000000001</c:v>
                </c:pt>
                <c:pt idx="21">
                  <c:v>16.93</c:v>
                </c:pt>
                <c:pt idx="22">
                  <c:v>10.45</c:v>
                </c:pt>
                <c:pt idx="23">
                  <c:v>14.27</c:v>
                </c:pt>
                <c:pt idx="24">
                  <c:v>11.78</c:v>
                </c:pt>
                <c:pt idx="25">
                  <c:v>11.11</c:v>
                </c:pt>
                <c:pt idx="26">
                  <c:v>28.93</c:v>
                </c:pt>
                <c:pt idx="27">
                  <c:v>23.21</c:v>
                </c:pt>
                <c:pt idx="28">
                  <c:v>19.82</c:v>
                </c:pt>
                <c:pt idx="29">
                  <c:v>15.06</c:v>
                </c:pt>
                <c:pt idx="30">
                  <c:v>11.65</c:v>
                </c:pt>
                <c:pt idx="31">
                  <c:v>10.35</c:v>
                </c:pt>
                <c:pt idx="32">
                  <c:v>13.79</c:v>
                </c:pt>
                <c:pt idx="33">
                  <c:v>9.5399999999999991</c:v>
                </c:pt>
                <c:pt idx="34">
                  <c:v>16.91</c:v>
                </c:pt>
                <c:pt idx="35">
                  <c:v>7.11</c:v>
                </c:pt>
                <c:pt idx="36">
                  <c:v>12.12</c:v>
                </c:pt>
                <c:pt idx="37">
                  <c:v>6.45</c:v>
                </c:pt>
                <c:pt idx="38">
                  <c:v>4.1900000000000004</c:v>
                </c:pt>
                <c:pt idx="39">
                  <c:v>5.97</c:v>
                </c:pt>
                <c:pt idx="40">
                  <c:v>5.46</c:v>
                </c:pt>
                <c:pt idx="41">
                  <c:v>3.8</c:v>
                </c:pt>
                <c:pt idx="42">
                  <c:v>5.93</c:v>
                </c:pt>
                <c:pt idx="43">
                  <c:v>7.08</c:v>
                </c:pt>
                <c:pt idx="44">
                  <c:v>8.23</c:v>
                </c:pt>
                <c:pt idx="45">
                  <c:v>3.54</c:v>
                </c:pt>
                <c:pt idx="46">
                  <c:v>12.98</c:v>
                </c:pt>
                <c:pt idx="47">
                  <c:v>6.3</c:v>
                </c:pt>
                <c:pt idx="48">
                  <c:v>8.02</c:v>
                </c:pt>
                <c:pt idx="49">
                  <c:v>13.21</c:v>
                </c:pt>
                <c:pt idx="50">
                  <c:v>30.71</c:v>
                </c:pt>
                <c:pt idx="51">
                  <c:v>18.03</c:v>
                </c:pt>
                <c:pt idx="52">
                  <c:v>17.88</c:v>
                </c:pt>
              </c:numCache>
            </c:numRef>
          </c:val>
          <c:smooth val="0"/>
          <c:extLst>
            <c:ext xmlns:c16="http://schemas.microsoft.com/office/drawing/2014/chart" uri="{C3380CC4-5D6E-409C-BE32-E72D297353CC}">
              <c16:uniqueId val="{00000003-6956-4E36-B03F-355E96C9E9BA}"/>
            </c:ext>
          </c:extLst>
        </c:ser>
        <c:ser>
          <c:idx val="2"/>
          <c:order val="2"/>
          <c:tx>
            <c:strRef>
              <c:f>'Figure 5'!$M$8</c:f>
              <c:strCache>
                <c:ptCount val="1"/>
                <c:pt idx="0">
                  <c:v>Miedo a la recesión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54"/>
              <c:layout>
                <c:manualLayout>
                  <c:x val="0"/>
                  <c:y val="-5.0925925925925923E-2"/>
                </c:manualLayout>
              </c:layout>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56-4E36-B03F-355E96C9E9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5'!$J$9:$J$63</c:f>
              <c:numCache>
                <c:formatCode>mmm\-yy</c:formatCode>
                <c:ptCount val="5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numCache>
            </c:numRef>
          </c:cat>
          <c:val>
            <c:numRef>
              <c:f>'Figure 5'!$M$9:$M$63</c:f>
              <c:numCache>
                <c:formatCode>General</c:formatCode>
                <c:ptCount val="55"/>
                <c:pt idx="0">
                  <c:v>5</c:v>
                </c:pt>
                <c:pt idx="1">
                  <c:v>8</c:v>
                </c:pt>
                <c:pt idx="2">
                  <c:v>7</c:v>
                </c:pt>
                <c:pt idx="3">
                  <c:v>8</c:v>
                </c:pt>
                <c:pt idx="4">
                  <c:v>8</c:v>
                </c:pt>
                <c:pt idx="5">
                  <c:v>10</c:v>
                </c:pt>
                <c:pt idx="6">
                  <c:v>7</c:v>
                </c:pt>
                <c:pt idx="7">
                  <c:v>12</c:v>
                </c:pt>
                <c:pt idx="8">
                  <c:v>11</c:v>
                </c:pt>
                <c:pt idx="9">
                  <c:v>12</c:v>
                </c:pt>
                <c:pt idx="10">
                  <c:v>11</c:v>
                </c:pt>
                <c:pt idx="11">
                  <c:v>21</c:v>
                </c:pt>
                <c:pt idx="12">
                  <c:v>16</c:v>
                </c:pt>
                <c:pt idx="13">
                  <c:v>16</c:v>
                </c:pt>
                <c:pt idx="14">
                  <c:v>23</c:v>
                </c:pt>
                <c:pt idx="15">
                  <c:v>19</c:v>
                </c:pt>
                <c:pt idx="16">
                  <c:v>12</c:v>
                </c:pt>
                <c:pt idx="17">
                  <c:v>20</c:v>
                </c:pt>
                <c:pt idx="18">
                  <c:v>24</c:v>
                </c:pt>
                <c:pt idx="19">
                  <c:v>64</c:v>
                </c:pt>
                <c:pt idx="20">
                  <c:v>36</c:v>
                </c:pt>
                <c:pt idx="21">
                  <c:v>37</c:v>
                </c:pt>
                <c:pt idx="22">
                  <c:v>26</c:v>
                </c:pt>
                <c:pt idx="23">
                  <c:v>18</c:v>
                </c:pt>
                <c:pt idx="24">
                  <c:v>16</c:v>
                </c:pt>
                <c:pt idx="25">
                  <c:v>28</c:v>
                </c:pt>
                <c:pt idx="26">
                  <c:v>59</c:v>
                </c:pt>
                <c:pt idx="27">
                  <c:v>47</c:v>
                </c:pt>
                <c:pt idx="28">
                  <c:v>33</c:v>
                </c:pt>
                <c:pt idx="29">
                  <c:v>29</c:v>
                </c:pt>
                <c:pt idx="30">
                  <c:v>18</c:v>
                </c:pt>
                <c:pt idx="31">
                  <c:v>24</c:v>
                </c:pt>
                <c:pt idx="32">
                  <c:v>17</c:v>
                </c:pt>
                <c:pt idx="33">
                  <c:v>7</c:v>
                </c:pt>
                <c:pt idx="34">
                  <c:v>11</c:v>
                </c:pt>
                <c:pt idx="35">
                  <c:v>9</c:v>
                </c:pt>
                <c:pt idx="36">
                  <c:v>4</c:v>
                </c:pt>
                <c:pt idx="37">
                  <c:v>6</c:v>
                </c:pt>
                <c:pt idx="38">
                  <c:v>4</c:v>
                </c:pt>
                <c:pt idx="39">
                  <c:v>3</c:v>
                </c:pt>
                <c:pt idx="40">
                  <c:v>4</c:v>
                </c:pt>
                <c:pt idx="41">
                  <c:v>4</c:v>
                </c:pt>
                <c:pt idx="42">
                  <c:v>4</c:v>
                </c:pt>
                <c:pt idx="43">
                  <c:v>4</c:v>
                </c:pt>
                <c:pt idx="44">
                  <c:v>4</c:v>
                </c:pt>
                <c:pt idx="45">
                  <c:v>6</c:v>
                </c:pt>
                <c:pt idx="46">
                  <c:v>4</c:v>
                </c:pt>
                <c:pt idx="47">
                  <c:v>6</c:v>
                </c:pt>
                <c:pt idx="48">
                  <c:v>7</c:v>
                </c:pt>
                <c:pt idx="49">
                  <c:v>10</c:v>
                </c:pt>
                <c:pt idx="50">
                  <c:v>19</c:v>
                </c:pt>
                <c:pt idx="51">
                  <c:v>27</c:v>
                </c:pt>
                <c:pt idx="52">
                  <c:v>42</c:v>
                </c:pt>
                <c:pt idx="53">
                  <c:v>70</c:v>
                </c:pt>
                <c:pt idx="54">
                  <c:v>63</c:v>
                </c:pt>
              </c:numCache>
            </c:numRef>
          </c:val>
          <c:smooth val="0"/>
          <c:extLst>
            <c:ext xmlns:c16="http://schemas.microsoft.com/office/drawing/2014/chart" uri="{C3380CC4-5D6E-409C-BE32-E72D297353CC}">
              <c16:uniqueId val="{00000005-6956-4E36-B03F-355E96C9E9BA}"/>
            </c:ext>
          </c:extLst>
        </c:ser>
        <c:dLbls>
          <c:showLegendKey val="0"/>
          <c:showVal val="0"/>
          <c:showCatName val="0"/>
          <c:showSerName val="0"/>
          <c:showPercent val="0"/>
          <c:showBubbleSize val="0"/>
        </c:dLbls>
        <c:marker val="1"/>
        <c:smooth val="0"/>
        <c:axId val="1872185728"/>
        <c:axId val="1872191968"/>
      </c:lineChart>
      <c:dateAx>
        <c:axId val="187218572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72191968"/>
        <c:crosses val="autoZero"/>
        <c:auto val="1"/>
        <c:lblOffset val="100"/>
        <c:baseTimeUnit val="months"/>
      </c:dateAx>
      <c:valAx>
        <c:axId val="18721919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72185728"/>
        <c:crosses val="autoZero"/>
        <c:crossBetween val="between"/>
      </c:valAx>
      <c:spPr>
        <a:noFill/>
        <a:ln>
          <a:noFill/>
        </a:ln>
        <a:effectLst/>
      </c:spPr>
    </c:plotArea>
    <c:legend>
      <c:legendPos val="t"/>
      <c:layout>
        <c:manualLayout>
          <c:xMode val="edge"/>
          <c:yMode val="edge"/>
          <c:x val="7.2928392774432624E-2"/>
          <c:y val="3.5118312913588502E-2"/>
          <c:w val="0.48708439092172301"/>
          <c:h val="0.186282982036716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148962800190577E-2"/>
          <c:y val="5.2115297609835555E-2"/>
          <c:w val="0.81701246007913886"/>
          <c:h val="0.66522980251480446"/>
        </c:manualLayout>
      </c:layout>
      <c:lineChart>
        <c:grouping val="standard"/>
        <c:varyColors val="0"/>
        <c:ser>
          <c:idx val="0"/>
          <c:order val="0"/>
          <c:tx>
            <c:strRef>
              <c:f>'[ASD 2022 vigente presupuesto.xlsm]Blanchard'!$A$27</c:f>
              <c:strCache>
                <c:ptCount val="1"/>
                <c:pt idx="0">
                  <c:v>Escenario base</c:v>
                </c:pt>
              </c:strCache>
            </c:strRef>
          </c:tx>
          <c:spPr>
            <a:ln w="28575" cap="rnd">
              <a:solidFill>
                <a:schemeClr val="tx2">
                  <a:lumMod val="75000"/>
                </a:schemeClr>
              </a:solidFill>
              <a:round/>
            </a:ln>
            <a:effectLst/>
          </c:spPr>
          <c:marker>
            <c:symbol val="none"/>
          </c:marker>
          <c:dLbls>
            <c:dLbl>
              <c:idx val="15"/>
              <c:layout>
                <c:manualLayout>
                  <c:x val="2.6410714285714284E-3"/>
                  <c:y val="2.82222222222222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0E-4BCC-9CE7-23E4F467ADE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cat>
            <c:numRef>
              <c:f>'[ASD 2022 vigente presupuesto.xlsm]Blanchard'!$B$37:$AF$37</c:f>
              <c:numCache>
                <c:formatCode>General</c:formatCode>
                <c:ptCount val="31"/>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pt idx="16">
                  <c:v>2043</c:v>
                </c:pt>
                <c:pt idx="17">
                  <c:v>2044</c:v>
                </c:pt>
                <c:pt idx="18">
                  <c:v>2045</c:v>
                </c:pt>
                <c:pt idx="19">
                  <c:v>2046</c:v>
                </c:pt>
                <c:pt idx="20">
                  <c:v>2047</c:v>
                </c:pt>
                <c:pt idx="21">
                  <c:v>2048</c:v>
                </c:pt>
                <c:pt idx="22">
                  <c:v>2049</c:v>
                </c:pt>
                <c:pt idx="23">
                  <c:v>2050</c:v>
                </c:pt>
                <c:pt idx="24">
                  <c:v>2051</c:v>
                </c:pt>
                <c:pt idx="25">
                  <c:v>2052</c:v>
                </c:pt>
                <c:pt idx="26">
                  <c:v>2053</c:v>
                </c:pt>
                <c:pt idx="27">
                  <c:v>2054</c:v>
                </c:pt>
                <c:pt idx="28">
                  <c:v>2055</c:v>
                </c:pt>
                <c:pt idx="29">
                  <c:v>2056</c:v>
                </c:pt>
                <c:pt idx="30">
                  <c:v>2057</c:v>
                </c:pt>
              </c:numCache>
            </c:numRef>
          </c:cat>
          <c:val>
            <c:numRef>
              <c:f>'[ASD 2022 vigente presupuesto.xlsm]Blanchard'!$B$29:$Q$29</c:f>
              <c:numCache>
                <c:formatCode>_-* #,##0.0_-;\-* #,##0.0_-;_-* "-"??_-;_-@_-</c:formatCode>
                <c:ptCount val="16"/>
                <c:pt idx="0">
                  <c:v>26.580865057277887</c:v>
                </c:pt>
                <c:pt idx="1">
                  <c:v>26.654129038639535</c:v>
                </c:pt>
                <c:pt idx="2">
                  <c:v>26.727043701599118</c:v>
                </c:pt>
                <c:pt idx="3">
                  <c:v>26.799610711686462</c:v>
                </c:pt>
                <c:pt idx="4">
                  <c:v>26.871831726490235</c:v>
                </c:pt>
                <c:pt idx="5">
                  <c:v>26.943708395695833</c:v>
                </c:pt>
                <c:pt idx="6">
                  <c:v>27.015242361123033</c:v>
                </c:pt>
                <c:pt idx="7">
                  <c:v>27.086435256763526</c:v>
                </c:pt>
                <c:pt idx="8">
                  <c:v>27.157288708818211</c:v>
                </c:pt>
                <c:pt idx="9">
                  <c:v>27.227804335734369</c:v>
                </c:pt>
                <c:pt idx="10">
                  <c:v>27.297983748242611</c:v>
                </c:pt>
                <c:pt idx="11">
                  <c:v>27.367828549393678</c:v>
                </c:pt>
                <c:pt idx="12">
                  <c:v>27.437340334595063</c:v>
                </c:pt>
                <c:pt idx="13">
                  <c:v>27.506520691647442</c:v>
                </c:pt>
                <c:pt idx="14">
                  <c:v>27.575371200780957</c:v>
                </c:pt>
                <c:pt idx="15">
                  <c:v>27.643893434691297</c:v>
                </c:pt>
              </c:numCache>
            </c:numRef>
          </c:val>
          <c:smooth val="0"/>
          <c:extLst>
            <c:ext xmlns:c16="http://schemas.microsoft.com/office/drawing/2014/chart" uri="{C3380CC4-5D6E-409C-BE32-E72D297353CC}">
              <c16:uniqueId val="{00000001-E90E-4BCC-9CE7-23E4F467ADEB}"/>
            </c:ext>
          </c:extLst>
        </c:ser>
        <c:ser>
          <c:idx val="1"/>
          <c:order val="1"/>
          <c:tx>
            <c:strRef>
              <c:f>'[ASD 2022 vigente presupuesto.xlsm]Blanchard'!$A$36</c:f>
              <c:strCache>
                <c:ptCount val="1"/>
                <c:pt idx="0">
                  <c:v>Choque de crecimiento</c:v>
                </c:pt>
              </c:strCache>
            </c:strRef>
          </c:tx>
          <c:spPr>
            <a:ln w="28575" cap="rnd" cmpd="sng">
              <a:solidFill>
                <a:srgbClr val="C00000"/>
              </a:solidFill>
              <a:prstDash val="lgDashDot"/>
              <a:round/>
            </a:ln>
            <a:effectLst/>
          </c:spPr>
          <c:marker>
            <c:symbol val="none"/>
          </c:marker>
          <c:dLbls>
            <c:dLbl>
              <c:idx val="15"/>
              <c:layout>
                <c:manualLayout>
                  <c:x val="0"/>
                  <c:y val="1.2513194726143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0E-4BCC-9CE7-23E4F467AD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'[ASD 2022 vigente presupuesto.xlsm]Blanchard'!$B$38:$Q$38</c:f>
              <c:numCache>
                <c:formatCode>_-* #,##0.0_-;\-* #,##0.0_-;_-* "-"??_-;_-@_-</c:formatCode>
                <c:ptCount val="16"/>
                <c:pt idx="0">
                  <c:v>26.580865057277887</c:v>
                </c:pt>
                <c:pt idx="1">
                  <c:v>26.91011171626883</c:v>
                </c:pt>
                <c:pt idx="2">
                  <c:v>27.240959302489454</c:v>
                </c:pt>
                <c:pt idx="3">
                  <c:v>27.573415600279926</c:v>
                </c:pt>
                <c:pt idx="4">
                  <c:v>27.907488431830956</c:v>
                </c:pt>
                <c:pt idx="5">
                  <c:v>28.243185657367832</c:v>
                </c:pt>
                <c:pt idx="6">
                  <c:v>28.308523790789547</c:v>
                </c:pt>
                <c:pt idx="7">
                  <c:v>28.373550395791202</c:v>
                </c:pt>
                <c:pt idx="8">
                  <c:v>28.438266957722185</c:v>
                </c:pt>
                <c:pt idx="9">
                  <c:v>28.502674954849827</c:v>
                </c:pt>
                <c:pt idx="10">
                  <c:v>28.566775858393161</c:v>
                </c:pt>
                <c:pt idx="11">
                  <c:v>28.630571132556536</c:v>
                </c:pt>
                <c:pt idx="12">
                  <c:v>28.694062234563063</c:v>
                </c:pt>
                <c:pt idx="13">
                  <c:v>28.757250614687891</c:v>
                </c:pt>
                <c:pt idx="14">
                  <c:v>28.820137716291349</c:v>
                </c:pt>
                <c:pt idx="15">
                  <c:v>28.882724975851904</c:v>
                </c:pt>
              </c:numCache>
            </c:numRef>
          </c:val>
          <c:smooth val="0"/>
          <c:extLst>
            <c:ext xmlns:c16="http://schemas.microsoft.com/office/drawing/2014/chart" uri="{C3380CC4-5D6E-409C-BE32-E72D297353CC}">
              <c16:uniqueId val="{00000003-E90E-4BCC-9CE7-23E4F467ADEB}"/>
            </c:ext>
          </c:extLst>
        </c:ser>
        <c:ser>
          <c:idx val="2"/>
          <c:order val="2"/>
          <c:tx>
            <c:strRef>
              <c:f>'[ASD 2022 vigente presupuesto.xlsm]Blanchard'!$A$45</c:f>
              <c:strCache>
                <c:ptCount val="1"/>
                <c:pt idx="0">
                  <c:v>Choque de tasa de interés</c:v>
                </c:pt>
              </c:strCache>
            </c:strRef>
          </c:tx>
          <c:spPr>
            <a:ln w="28575" cap="rnd">
              <a:solidFill>
                <a:schemeClr val="accent3">
                  <a:lumMod val="75000"/>
                </a:schemeClr>
              </a:solidFill>
              <a:prstDash val="sysDash"/>
              <a:round/>
            </a:ln>
            <a:effectLst/>
          </c:spPr>
          <c:marker>
            <c:symbol val="none"/>
          </c:marker>
          <c:dLbls>
            <c:dLbl>
              <c:idx val="15"/>
              <c:layout>
                <c:manualLayout>
                  <c:x val="0"/>
                  <c:y val="-8.7539943301117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0E-4BCC-9CE7-23E4F467AD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'[ASD 2022 vigente presupuesto.xlsm]Blanchard'!$B$47:$Q$47</c:f>
              <c:numCache>
                <c:formatCode>_-* #,##0.0_-;\-* #,##0.0_-;_-* "-"??_-;_-@_-</c:formatCode>
                <c:ptCount val="16"/>
                <c:pt idx="0">
                  <c:v>26.580865057277887</c:v>
                </c:pt>
                <c:pt idx="1">
                  <c:v>26.777839223022585</c:v>
                </c:pt>
                <c:pt idx="2">
                  <c:v>26.97479096620215</c:v>
                </c:pt>
                <c:pt idx="3">
                  <c:v>27.171720289369048</c:v>
                </c:pt>
                <c:pt idx="4">
                  <c:v>27.368627195075472</c:v>
                </c:pt>
                <c:pt idx="5">
                  <c:v>27.565511685873311</c:v>
                </c:pt>
                <c:pt idx="6">
                  <c:v>27.762373764314162</c:v>
                </c:pt>
                <c:pt idx="7">
                  <c:v>27.959213432949344</c:v>
                </c:pt>
                <c:pt idx="8">
                  <c:v>28.156030694329875</c:v>
                </c:pt>
                <c:pt idx="9">
                  <c:v>28.352825551006489</c:v>
                </c:pt>
                <c:pt idx="10">
                  <c:v>28.549598005529621</c:v>
                </c:pt>
                <c:pt idx="11">
                  <c:v>28.746348060449421</c:v>
                </c:pt>
                <c:pt idx="12">
                  <c:v>28.943075718315757</c:v>
                </c:pt>
                <c:pt idx="13">
                  <c:v>29.1397809816782</c:v>
                </c:pt>
                <c:pt idx="14">
                  <c:v>29.33646385308602</c:v>
                </c:pt>
                <c:pt idx="15">
                  <c:v>29.53312433508821</c:v>
                </c:pt>
              </c:numCache>
            </c:numRef>
          </c:val>
          <c:smooth val="0"/>
          <c:extLst>
            <c:ext xmlns:c16="http://schemas.microsoft.com/office/drawing/2014/chart" uri="{C3380CC4-5D6E-409C-BE32-E72D297353CC}">
              <c16:uniqueId val="{00000005-E90E-4BCC-9CE7-23E4F467ADEB}"/>
            </c:ext>
          </c:extLst>
        </c:ser>
        <c:ser>
          <c:idx val="3"/>
          <c:order val="3"/>
          <c:tx>
            <c:strRef>
              <c:f>'[ASD 2022 vigente presupuesto.xlsm]Blanchard'!$A$208</c:f>
              <c:strCache>
                <c:ptCount val="1"/>
                <c:pt idx="0">
                  <c:v>Choque de sp</c:v>
                </c:pt>
              </c:strCache>
            </c:strRef>
          </c:tx>
          <c:spPr>
            <a:ln w="28575" cap="rnd">
              <a:solidFill>
                <a:schemeClr val="accent4">
                  <a:lumMod val="75000"/>
                </a:schemeClr>
              </a:solidFill>
              <a:prstDash val="dashDot"/>
              <a:round/>
            </a:ln>
            <a:effectLst/>
          </c:spPr>
          <c:marker>
            <c:symbol val="none"/>
          </c:marker>
          <c:dLbls>
            <c:dLbl>
              <c:idx val="15"/>
              <c:layout>
                <c:manualLayout>
                  <c:x val="0"/>
                  <c:y val="-2.2770007238890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0E-4BCC-9CE7-23E4F467AD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'[ASD 2022 vigente presupuesto.xlsm]Blanchard'!$B$210:$Q$210</c:f>
              <c:numCache>
                <c:formatCode>_-* #,##0.0_-;\-* #,##0.0_-;_-* "-"??_-;_-@_-</c:formatCode>
                <c:ptCount val="16"/>
                <c:pt idx="0">
                  <c:v>26.580865057277887</c:v>
                </c:pt>
                <c:pt idx="1">
                  <c:v>27.254129038639537</c:v>
                </c:pt>
                <c:pt idx="2">
                  <c:v>27.924182936495384</c:v>
                </c:pt>
                <c:pt idx="3">
                  <c:v>28.391042056336886</c:v>
                </c:pt>
                <c:pt idx="4">
                  <c:v>28.855675219047711</c:v>
                </c:pt>
                <c:pt idx="5">
                  <c:v>29.118093037861996</c:v>
                </c:pt>
                <c:pt idx="6">
                  <c:v>29.179259663778513</c:v>
                </c:pt>
                <c:pt idx="7">
                  <c:v>29.240134650780135</c:v>
                </c:pt>
                <c:pt idx="8">
                  <c:v>29.300719389384255</c:v>
                </c:pt>
                <c:pt idx="9">
                  <c:v>29.36101526347834</c:v>
                </c:pt>
                <c:pt idx="10">
                  <c:v>29.421023650351579</c:v>
                </c:pt>
                <c:pt idx="11">
                  <c:v>29.480745920726324</c:v>
                </c:pt>
                <c:pt idx="12">
                  <c:v>29.540183438789398</c:v>
                </c:pt>
                <c:pt idx="13">
                  <c:v>29.599337562223255</c:v>
                </c:pt>
                <c:pt idx="14">
                  <c:v>29.658209642237011</c:v>
                </c:pt>
                <c:pt idx="15">
                  <c:v>29.716801023597284</c:v>
                </c:pt>
              </c:numCache>
            </c:numRef>
          </c:val>
          <c:smooth val="0"/>
          <c:extLst>
            <c:ext xmlns:c16="http://schemas.microsoft.com/office/drawing/2014/chart" uri="{C3380CC4-5D6E-409C-BE32-E72D297353CC}">
              <c16:uniqueId val="{00000007-E90E-4BCC-9CE7-23E4F467ADEB}"/>
            </c:ext>
          </c:extLst>
        </c:ser>
        <c:ser>
          <c:idx val="4"/>
          <c:order val="4"/>
          <c:tx>
            <c:strRef>
              <c:f>'[ASD 2022 vigente presupuesto.xlsm]Blanchard'!$A$217</c:f>
              <c:strCache>
                <c:ptCount val="1"/>
                <c:pt idx="0">
                  <c:v>Choque combinado </c:v>
                </c:pt>
              </c:strCache>
            </c:strRef>
          </c:tx>
          <c:spPr>
            <a:ln w="28575" cap="rnd">
              <a:solidFill>
                <a:schemeClr val="accent6"/>
              </a:solidFill>
              <a:prstDash val="dashDot"/>
              <a:round/>
            </a:ln>
            <a:effectLst/>
          </c:spPr>
          <c:marker>
            <c:symbol val="none"/>
          </c:marker>
          <c:dLbls>
            <c:dLbl>
              <c:idx val="0"/>
              <c:layout>
                <c:manualLayout>
                  <c:x val="-3.0154640907717533E-2"/>
                  <c:y val="-0.1104076688537349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0E-4BCC-9CE7-23E4F467ADEB}"/>
                </c:ext>
              </c:extLst>
            </c:dLbl>
            <c:dLbl>
              <c:idx val="15"/>
              <c:layout>
                <c:manualLayout>
                  <c:x val="0"/>
                  <c:y val="-1.4841887155690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0E-4BCC-9CE7-23E4F467AD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'[ASD 2022 vigente presupuesto.xlsm]Blanchard'!$B$219:$Q$219</c:f>
              <c:numCache>
                <c:formatCode>_-* #,##0.0_-;\-* #,##0.0_-;_-* "-"??_-;_-@_-</c:formatCode>
                <c:ptCount val="16"/>
                <c:pt idx="0">
                  <c:v>26.580865057277887</c:v>
                </c:pt>
                <c:pt idx="1">
                  <c:v>27.635018978968169</c:v>
                </c:pt>
                <c:pt idx="2">
                  <c:v>28.69925223226355</c:v>
                </c:pt>
                <c:pt idx="3">
                  <c:v>29.573661191064954</c:v>
                </c:pt>
                <c:pt idx="4">
                  <c:v>30.45643084337884</c:v>
                </c:pt>
                <c:pt idx="5">
                  <c:v>31.147641130284608</c:v>
                </c:pt>
                <c:pt idx="6">
                  <c:v>31.344095436820503</c:v>
                </c:pt>
                <c:pt idx="7">
                  <c:v>31.540527379969461</c:v>
                </c:pt>
                <c:pt idx="8">
                  <c:v>31.73693696227723</c:v>
                </c:pt>
                <c:pt idx="9">
                  <c:v>31.933324186289248</c:v>
                </c:pt>
                <c:pt idx="10">
                  <c:v>32.129689054550667</c:v>
                </c:pt>
                <c:pt idx="11">
                  <c:v>32.326031569606371</c:v>
                </c:pt>
                <c:pt idx="12">
                  <c:v>32.522351734000935</c:v>
                </c:pt>
                <c:pt idx="13">
                  <c:v>32.718649550278641</c:v>
                </c:pt>
                <c:pt idx="14">
                  <c:v>32.914925020983482</c:v>
                </c:pt>
                <c:pt idx="15">
                  <c:v>33.111178148659178</c:v>
                </c:pt>
              </c:numCache>
            </c:numRef>
          </c:val>
          <c:smooth val="0"/>
          <c:extLst>
            <c:ext xmlns:c16="http://schemas.microsoft.com/office/drawing/2014/chart" uri="{C3380CC4-5D6E-409C-BE32-E72D297353CC}">
              <c16:uniqueId val="{0000000A-E90E-4BCC-9CE7-23E4F467ADEB}"/>
            </c:ext>
          </c:extLst>
        </c:ser>
        <c:dLbls>
          <c:showLegendKey val="0"/>
          <c:showVal val="0"/>
          <c:showCatName val="0"/>
          <c:showSerName val="0"/>
          <c:showPercent val="0"/>
          <c:showBubbleSize val="0"/>
        </c:dLbls>
        <c:smooth val="0"/>
        <c:axId val="887694384"/>
        <c:axId val="887692416"/>
      </c:lineChart>
      <c:catAx>
        <c:axId val="88769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87692416"/>
        <c:crosses val="autoZero"/>
        <c:auto val="1"/>
        <c:lblAlgn val="ctr"/>
        <c:lblOffset val="100"/>
        <c:noMultiLvlLbl val="0"/>
      </c:catAx>
      <c:valAx>
        <c:axId val="887692416"/>
        <c:scaling>
          <c:orientation val="minMax"/>
          <c:max val="37"/>
          <c:min val="25"/>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87694384"/>
        <c:crosses val="autoZero"/>
        <c:crossBetween val="between"/>
      </c:valAx>
      <c:spPr>
        <a:noFill/>
        <a:ln>
          <a:noFill/>
        </a:ln>
        <a:effectLst/>
      </c:spPr>
    </c:plotArea>
    <c:legend>
      <c:legendPos val="b"/>
      <c:layout>
        <c:manualLayout>
          <c:xMode val="edge"/>
          <c:yMode val="edge"/>
          <c:x val="3.0167832606581547E-2"/>
          <c:y val="0.84796798393884032"/>
          <c:w val="0.95047523211495111"/>
          <c:h val="0.12377499714616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953548781025215E-2"/>
          <c:y val="2.9991169662995969E-2"/>
          <c:w val="0.8232220531904878"/>
          <c:h val="0.5720753086419752"/>
        </c:manualLayout>
      </c:layout>
      <c:lineChart>
        <c:grouping val="standard"/>
        <c:varyColors val="0"/>
        <c:ser>
          <c:idx val="0"/>
          <c:order val="0"/>
          <c:tx>
            <c:strRef>
              <c:f>'[ASD 2022 vigente presupuesto.xlsm]Blanchard'!$A$217</c:f>
              <c:strCache>
                <c:ptCount val="1"/>
                <c:pt idx="0">
                  <c:v>Choque combinado </c:v>
                </c:pt>
              </c:strCache>
            </c:strRef>
          </c:tx>
          <c:spPr>
            <a:ln w="28575" cap="rnd">
              <a:solidFill>
                <a:srgbClr val="FF9900"/>
              </a:solidFill>
              <a:prstDash val="dashDot"/>
              <a:round/>
            </a:ln>
            <a:effectLst/>
          </c:spPr>
          <c:marker>
            <c:symbol val="none"/>
          </c:marker>
          <c:dLbls>
            <c:dLbl>
              <c:idx val="1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99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E5-41FD-BF5D-EEF0F0058A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'[ASD 2022 vigente presupuesto.xlsm]Blanchard'!$B$218:$Q$218</c:f>
              <c:numCache>
                <c:formatCode>General</c:formatCode>
                <c:ptCount val="16"/>
                <c:pt idx="0">
                  <c:v>2027</c:v>
                </c:pt>
                <c:pt idx="1">
                  <c:v>2028</c:v>
                </c:pt>
                <c:pt idx="2">
                  <c:v>2029</c:v>
                </c:pt>
                <c:pt idx="3">
                  <c:v>2030</c:v>
                </c:pt>
                <c:pt idx="4">
                  <c:v>2031</c:v>
                </c:pt>
                <c:pt idx="5">
                  <c:v>2032</c:v>
                </c:pt>
                <c:pt idx="6">
                  <c:v>2033</c:v>
                </c:pt>
                <c:pt idx="7">
                  <c:v>2034</c:v>
                </c:pt>
                <c:pt idx="8">
                  <c:v>2035</c:v>
                </c:pt>
                <c:pt idx="9">
                  <c:v>2036</c:v>
                </c:pt>
                <c:pt idx="10">
                  <c:v>2037</c:v>
                </c:pt>
                <c:pt idx="11">
                  <c:v>2038</c:v>
                </c:pt>
                <c:pt idx="12">
                  <c:v>2039</c:v>
                </c:pt>
                <c:pt idx="13">
                  <c:v>2040</c:v>
                </c:pt>
                <c:pt idx="14">
                  <c:v>2041</c:v>
                </c:pt>
                <c:pt idx="15">
                  <c:v>2042</c:v>
                </c:pt>
              </c:numCache>
            </c:numRef>
          </c:cat>
          <c:val>
            <c:numRef>
              <c:f>'[ASD 2022 vigente presupuesto.xlsm]Blanchard'!$B$219:$Q$219</c:f>
              <c:numCache>
                <c:formatCode>_-* #,##0.0_-;\-* #,##0.0_-;_-* "-"??_-;_-@_-</c:formatCode>
                <c:ptCount val="16"/>
                <c:pt idx="0">
                  <c:v>26.580865057277887</c:v>
                </c:pt>
                <c:pt idx="1">
                  <c:v>27.635018978968169</c:v>
                </c:pt>
                <c:pt idx="2">
                  <c:v>28.69925223226355</c:v>
                </c:pt>
                <c:pt idx="3">
                  <c:v>29.573661191064954</c:v>
                </c:pt>
                <c:pt idx="4">
                  <c:v>30.45643084337884</c:v>
                </c:pt>
                <c:pt idx="5">
                  <c:v>31.147641130284608</c:v>
                </c:pt>
                <c:pt idx="6">
                  <c:v>31.344095436820503</c:v>
                </c:pt>
                <c:pt idx="7">
                  <c:v>31.540527379969461</c:v>
                </c:pt>
                <c:pt idx="8">
                  <c:v>31.73693696227723</c:v>
                </c:pt>
                <c:pt idx="9">
                  <c:v>31.933324186289248</c:v>
                </c:pt>
                <c:pt idx="10">
                  <c:v>32.129689054550667</c:v>
                </c:pt>
                <c:pt idx="11">
                  <c:v>32.326031569606371</c:v>
                </c:pt>
                <c:pt idx="12">
                  <c:v>32.522351734000935</c:v>
                </c:pt>
                <c:pt idx="13">
                  <c:v>32.718649550278641</c:v>
                </c:pt>
                <c:pt idx="14">
                  <c:v>32.914925020983482</c:v>
                </c:pt>
                <c:pt idx="15">
                  <c:v>33.111178148659178</c:v>
                </c:pt>
              </c:numCache>
            </c:numRef>
          </c:val>
          <c:smooth val="0"/>
          <c:extLst>
            <c:ext xmlns:c16="http://schemas.microsoft.com/office/drawing/2014/chart" uri="{C3380CC4-5D6E-409C-BE32-E72D297353CC}">
              <c16:uniqueId val="{00000001-E5E5-41FD-BF5D-EEF0F0058AF1}"/>
            </c:ext>
          </c:extLst>
        </c:ser>
        <c:ser>
          <c:idx val="1"/>
          <c:order val="1"/>
          <c:tx>
            <c:strRef>
              <c:f>'[ASD 2022 vigente presupuesto.xlsm]Blanchard'!$A$226</c:f>
              <c:strCache>
                <c:ptCount val="1"/>
                <c:pt idx="0">
                  <c:v>Choque combinado con balance primario en equilibrio</c:v>
                </c:pt>
              </c:strCache>
            </c:strRef>
          </c:tx>
          <c:spPr>
            <a:ln w="28575" cap="rnd">
              <a:solidFill>
                <a:srgbClr val="C00000"/>
              </a:solidFill>
              <a:prstDash val="dash"/>
              <a:round/>
            </a:ln>
            <a:effectLst/>
          </c:spPr>
          <c:marker>
            <c:symbol val="none"/>
          </c:marker>
          <c:dLbls>
            <c:dLbl>
              <c:idx val="1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E5-41FD-BF5D-EEF0F0058AF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'[ASD 2022 vigente presupuesto.xlsm]Blanchard'!$B$228:$Q$228</c:f>
              <c:numCache>
                <c:formatCode>_-* #,##0.0_-;\-* #,##0.0_-;_-* "-"??_-;_-@_-</c:formatCode>
                <c:ptCount val="16"/>
                <c:pt idx="0">
                  <c:v>26.580865057277887</c:v>
                </c:pt>
                <c:pt idx="1">
                  <c:v>27.635018978968169</c:v>
                </c:pt>
                <c:pt idx="2">
                  <c:v>28.69925223226355</c:v>
                </c:pt>
                <c:pt idx="3">
                  <c:v>29.573661191064954</c:v>
                </c:pt>
                <c:pt idx="4">
                  <c:v>29.856430843378838</c:v>
                </c:pt>
                <c:pt idx="5">
                  <c:v>30.141904208153385</c:v>
                </c:pt>
                <c:pt idx="6">
                  <c:v>30.138473002807871</c:v>
                </c:pt>
                <c:pt idx="7">
                  <c:v>30.135042188053802</c:v>
                </c:pt>
                <c:pt idx="8">
                  <c:v>30.13161176384672</c:v>
                </c:pt>
                <c:pt idx="9">
                  <c:v>30.128181730142174</c:v>
                </c:pt>
                <c:pt idx="10">
                  <c:v>30.1247520868957</c:v>
                </c:pt>
                <c:pt idx="11">
                  <c:v>30.121322834062862</c:v>
                </c:pt>
                <c:pt idx="12">
                  <c:v>30.117893971599212</c:v>
                </c:pt>
                <c:pt idx="13">
                  <c:v>30.114465499460312</c:v>
                </c:pt>
                <c:pt idx="14">
                  <c:v>30.111037417601729</c:v>
                </c:pt>
                <c:pt idx="15">
                  <c:v>30.107609725979028</c:v>
                </c:pt>
              </c:numCache>
            </c:numRef>
          </c:val>
          <c:smooth val="0"/>
          <c:extLst>
            <c:ext xmlns:c16="http://schemas.microsoft.com/office/drawing/2014/chart" uri="{C3380CC4-5D6E-409C-BE32-E72D297353CC}">
              <c16:uniqueId val="{00000003-E5E5-41FD-BF5D-EEF0F0058AF1}"/>
            </c:ext>
          </c:extLst>
        </c:ser>
        <c:ser>
          <c:idx val="2"/>
          <c:order val="2"/>
          <c:tx>
            <c:strRef>
              <c:f>'[ASD 2022 vigente presupuesto.xlsm]Blanchard'!$A$235</c:f>
              <c:strCache>
                <c:ptCount val="1"/>
                <c:pt idx="0">
                  <c:v>Choque combinado con reforma fiscal</c:v>
                </c:pt>
              </c:strCache>
            </c:strRef>
          </c:tx>
          <c:spPr>
            <a:ln w="28575" cap="rnd">
              <a:solidFill>
                <a:schemeClr val="accent3">
                  <a:lumMod val="75000"/>
                </a:schemeClr>
              </a:solidFill>
              <a:prstDash val="dashDot"/>
              <a:round/>
            </a:ln>
            <a:effectLst/>
          </c:spPr>
          <c:marker>
            <c:symbol val="none"/>
          </c:marker>
          <c:dLbls>
            <c:dLbl>
              <c:idx val="0"/>
              <c:layout>
                <c:manualLayout>
                  <c:x val="-7.5519194461925853E-3"/>
                  <c:y val="2.850017812611328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E5-41FD-BF5D-EEF0F0058AF1}"/>
                </c:ext>
              </c:extLst>
            </c:dLbl>
            <c:dLbl>
              <c:idx val="15"/>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E5-41FD-BF5D-EEF0F0058AF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val>
            <c:numRef>
              <c:f>'[ASD 2022 vigente presupuesto.xlsm]Blanchard'!$B$237:$Q$237</c:f>
              <c:numCache>
                <c:formatCode>_-* #,##0.0_-;\-* #,##0.0_-;_-* "-"??_-;_-@_-</c:formatCode>
                <c:ptCount val="16"/>
                <c:pt idx="0">
                  <c:v>26.580865057277887</c:v>
                </c:pt>
                <c:pt idx="1">
                  <c:v>27.635018978968169</c:v>
                </c:pt>
                <c:pt idx="2">
                  <c:v>28.69925223226355</c:v>
                </c:pt>
                <c:pt idx="3">
                  <c:v>29.573661191064954</c:v>
                </c:pt>
                <c:pt idx="4">
                  <c:v>29.656430843378839</c:v>
                </c:pt>
                <c:pt idx="5">
                  <c:v>29.739991900776314</c:v>
                </c:pt>
                <c:pt idx="6">
                  <c:v>29.536606447140706</c:v>
                </c:pt>
                <c:pt idx="7">
                  <c:v>29.333244145899549</c:v>
                </c:pt>
                <c:pt idx="8">
                  <c:v>29.129904994417288</c:v>
                </c:pt>
                <c:pt idx="9">
                  <c:v>28.926588990058672</c:v>
                </c:pt>
                <c:pt idx="10">
                  <c:v>28.723296130188743</c:v>
                </c:pt>
                <c:pt idx="11">
                  <c:v>28.520026412172843</c:v>
                </c:pt>
                <c:pt idx="12">
                  <c:v>28.316779833376625</c:v>
                </c:pt>
                <c:pt idx="13">
                  <c:v>28.113556391166032</c:v>
                </c:pt>
                <c:pt idx="14">
                  <c:v>27.910356082907313</c:v>
                </c:pt>
                <c:pt idx="15">
                  <c:v>27.707178905967005</c:v>
                </c:pt>
              </c:numCache>
            </c:numRef>
          </c:val>
          <c:smooth val="0"/>
          <c:extLst>
            <c:ext xmlns:c16="http://schemas.microsoft.com/office/drawing/2014/chart" uri="{C3380CC4-5D6E-409C-BE32-E72D297353CC}">
              <c16:uniqueId val="{00000006-E5E5-41FD-BF5D-EEF0F0058AF1}"/>
            </c:ext>
          </c:extLst>
        </c:ser>
        <c:dLbls>
          <c:showLegendKey val="0"/>
          <c:showVal val="0"/>
          <c:showCatName val="0"/>
          <c:showSerName val="0"/>
          <c:showPercent val="0"/>
          <c:showBubbleSize val="0"/>
        </c:dLbls>
        <c:smooth val="0"/>
        <c:axId val="1219086368"/>
        <c:axId val="1178303544"/>
      </c:lineChart>
      <c:catAx>
        <c:axId val="12190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8303544"/>
        <c:crosses val="autoZero"/>
        <c:auto val="1"/>
        <c:lblAlgn val="ctr"/>
        <c:lblOffset val="100"/>
        <c:noMultiLvlLbl val="0"/>
      </c:catAx>
      <c:valAx>
        <c:axId val="1178303544"/>
        <c:scaling>
          <c:orientation val="minMax"/>
          <c:min val="25"/>
        </c:scaling>
        <c:delete val="0"/>
        <c:axPos val="l"/>
        <c:majorGridlines>
          <c:spPr>
            <a:ln w="9525" cap="flat" cmpd="sng" algn="ctr">
              <a:no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1219086368"/>
        <c:crosses val="autoZero"/>
        <c:crossBetween val="midCat"/>
      </c:valAx>
      <c:spPr>
        <a:noFill/>
        <a:ln>
          <a:noFill/>
        </a:ln>
        <a:effectLst/>
      </c:spPr>
    </c:plotArea>
    <c:legend>
      <c:legendPos val="b"/>
      <c:layout>
        <c:manualLayout>
          <c:xMode val="edge"/>
          <c:yMode val="edge"/>
          <c:x val="7.5595238095238094E-3"/>
          <c:y val="0.78785864197530853"/>
          <c:w val="0.98713316518975303"/>
          <c:h val="0.2093253086419753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85739282589676E-2"/>
          <c:y val="6.1697009257317983E-2"/>
          <c:w val="0.92041426071741017"/>
          <c:h val="0.73311276457415298"/>
        </c:manualLayout>
      </c:layout>
      <c:barChart>
        <c:barDir val="col"/>
        <c:grouping val="clustered"/>
        <c:varyColors val="0"/>
        <c:ser>
          <c:idx val="0"/>
          <c:order val="0"/>
          <c:tx>
            <c:strRef>
              <c:f>'[Evaluación a Municipalidades.xlsx]Sector - Autonomía'!$D$3</c:f>
              <c:strCache>
                <c:ptCount val="1"/>
                <c:pt idx="0">
                  <c:v>Autonomía Financiera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731334408019993E-17"/>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36-45F7-8EC7-B1F679BBBC15}"/>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36-45F7-8EC7-B1F679BBBC15}"/>
                </c:ext>
              </c:extLst>
            </c:dLbl>
            <c:dLbl>
              <c:idx val="4"/>
              <c:layout>
                <c:manualLayout>
                  <c:x val="5.5555555555554534E-3"/>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36-45F7-8EC7-B1F679BBBC15}"/>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'[Evaluación a Municipalidades.xlsx]Sector - Autonomía'!$A$4:$A$9</c:f>
              <c:numCache>
                <c:formatCode>General</c:formatCode>
                <c:ptCount val="6"/>
                <c:pt idx="0">
                  <c:v>2016</c:v>
                </c:pt>
                <c:pt idx="1">
                  <c:v>2017</c:v>
                </c:pt>
                <c:pt idx="2">
                  <c:v>2018</c:v>
                </c:pt>
                <c:pt idx="3">
                  <c:v>2019</c:v>
                </c:pt>
                <c:pt idx="4">
                  <c:v>2020</c:v>
                </c:pt>
                <c:pt idx="5">
                  <c:v>2021</c:v>
                </c:pt>
              </c:numCache>
            </c:numRef>
          </c:cat>
          <c:val>
            <c:numRef>
              <c:f>'[Evaluación a Municipalidades.xlsx]Sector - Autonomía'!$D$4:$D$9</c:f>
              <c:numCache>
                <c:formatCode>0.0%</c:formatCode>
                <c:ptCount val="6"/>
                <c:pt idx="0">
                  <c:v>0.29714740042055615</c:v>
                </c:pt>
                <c:pt idx="1">
                  <c:v>0.30881031469278108</c:v>
                </c:pt>
                <c:pt idx="2">
                  <c:v>0.3167735719271555</c:v>
                </c:pt>
                <c:pt idx="3">
                  <c:v>0.28490835468578785</c:v>
                </c:pt>
                <c:pt idx="4">
                  <c:v>0.29643827812105555</c:v>
                </c:pt>
                <c:pt idx="5">
                  <c:v>0.30337341865647194</c:v>
                </c:pt>
              </c:numCache>
            </c:numRef>
          </c:val>
          <c:extLst>
            <c:ext xmlns:c16="http://schemas.microsoft.com/office/drawing/2014/chart" uri="{C3380CC4-5D6E-409C-BE32-E72D297353CC}">
              <c16:uniqueId val="{00000003-E136-45F7-8EC7-B1F679BBBC15}"/>
            </c:ext>
          </c:extLst>
        </c:ser>
        <c:dLbls>
          <c:showLegendKey val="0"/>
          <c:showVal val="0"/>
          <c:showCatName val="0"/>
          <c:showSerName val="0"/>
          <c:showPercent val="0"/>
          <c:showBubbleSize val="0"/>
        </c:dLbls>
        <c:gapWidth val="87"/>
        <c:overlap val="-27"/>
        <c:axId val="2051721359"/>
        <c:axId val="2051720527"/>
      </c:barChart>
      <c:lineChart>
        <c:grouping val="standard"/>
        <c:varyColors val="0"/>
        <c:ser>
          <c:idx val="1"/>
          <c:order val="1"/>
          <c:tx>
            <c:strRef>
              <c:f>'[Evaluación a Municipalidades.xlsx]Sector - Autonomía'!$E$3</c:f>
              <c:strCache>
                <c:ptCount val="1"/>
                <c:pt idx="0">
                  <c:v>Promedio 2016-2021</c:v>
                </c:pt>
              </c:strCache>
            </c:strRef>
          </c:tx>
          <c:spPr>
            <a:ln w="34925" cap="rnd">
              <a:solidFill>
                <a:srgbClr val="FF0000"/>
              </a:solidFill>
              <a:prstDash val="sysDot"/>
              <a:round/>
            </a:ln>
            <a:effectLst>
              <a:outerShdw blurRad="57150" dist="19050" dir="5400000" algn="ctr" rotWithShape="0">
                <a:srgbClr val="000000">
                  <a:alpha val="63000"/>
                </a:srgbClr>
              </a:outerShdw>
            </a:effectLst>
          </c:spPr>
          <c:marker>
            <c:symbol val="none"/>
          </c:marker>
          <c:dLbls>
            <c:dLbl>
              <c:idx val="3"/>
              <c:layout>
                <c:manualLayout>
                  <c:x val="-4.938730465300243E-2"/>
                  <c:y val="-0.11813620407664095"/>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1"/>
              <c:showPercent val="0"/>
              <c:showBubbleSize val="0"/>
              <c:separator>
</c:separator>
              <c:extLst>
                <c:ext xmlns:c15="http://schemas.microsoft.com/office/drawing/2012/chart" uri="{CE6537A1-D6FC-4f65-9D91-7224C49458BB}">
                  <c15:layout>
                    <c:manualLayout>
                      <c:w val="0.18311406086022433"/>
                      <c:h val="0.15756981990154453"/>
                    </c:manualLayout>
                  </c15:layout>
                </c:ext>
                <c:ext xmlns:c16="http://schemas.microsoft.com/office/drawing/2014/chart" uri="{C3380CC4-5D6E-409C-BE32-E72D297353CC}">
                  <c16:uniqueId val="{00000004-E136-45F7-8EC7-B1F679BBBC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7"/>
              <c:pt idx="0">
                <c:v>1</c:v>
              </c:pt>
              <c:pt idx="1">
                <c:v>2</c:v>
              </c:pt>
              <c:pt idx="2">
                <c:v>3</c:v>
              </c:pt>
              <c:pt idx="3">
                <c:v>4</c:v>
              </c:pt>
              <c:pt idx="4">
                <c:v>5</c:v>
              </c:pt>
              <c:pt idx="5">
                <c:v>6</c:v>
              </c:pt>
              <c:pt idx="6">
                <c:v>7</c:v>
              </c:pt>
            </c:numLit>
          </c:cat>
          <c:val>
            <c:numRef>
              <c:f>'[Evaluación a Municipalidades.xlsx]Sector - Autonomía'!$E$4:$E$9</c:f>
              <c:numCache>
                <c:formatCode>0.0%</c:formatCode>
                <c:ptCount val="6"/>
                <c:pt idx="0">
                  <c:v>0.30124188975063465</c:v>
                </c:pt>
                <c:pt idx="1">
                  <c:v>0.30124188975063465</c:v>
                </c:pt>
                <c:pt idx="2">
                  <c:v>0.30124188975063465</c:v>
                </c:pt>
                <c:pt idx="3">
                  <c:v>0.30124188975063465</c:v>
                </c:pt>
                <c:pt idx="4">
                  <c:v>0.30124188975063465</c:v>
                </c:pt>
                <c:pt idx="5">
                  <c:v>0.30124188975063465</c:v>
                </c:pt>
              </c:numCache>
            </c:numRef>
          </c:val>
          <c:smooth val="0"/>
          <c:extLst>
            <c:ext xmlns:c16="http://schemas.microsoft.com/office/drawing/2014/chart" uri="{C3380CC4-5D6E-409C-BE32-E72D297353CC}">
              <c16:uniqueId val="{00000005-E136-45F7-8EC7-B1F679BBBC15}"/>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1359"/>
        <c:crosses val="autoZero"/>
        <c:crossBetween val="between"/>
      </c:valAx>
      <c:spPr>
        <a:noFill/>
        <a:ln>
          <a:noFill/>
        </a:ln>
        <a:effectLst/>
      </c:spPr>
    </c:plotArea>
    <c:legend>
      <c:legendPos val="b"/>
      <c:layout>
        <c:manualLayout>
          <c:xMode val="edge"/>
          <c:yMode val="edge"/>
          <c:x val="0.13339085739282588"/>
          <c:y val="0.92654928550597826"/>
          <c:w val="0.73321806649168864"/>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solidFill>
                  <a:sysClr val="windowText" lastClr="000000"/>
                </a:solidFill>
              </a:rPr>
              <a:t>Con mayor autonomía</a:t>
            </a:r>
          </a:p>
        </c:rich>
      </c:tx>
      <c:layout>
        <c:manualLayout>
          <c:xMode val="edge"/>
          <c:yMode val="edge"/>
          <c:x val="0.34968245166537282"/>
          <c:y val="0"/>
        </c:manualLayout>
      </c:layout>
      <c:overlay val="0"/>
      <c:spPr>
        <a:noFill/>
        <a:ln>
          <a:noFill/>
        </a:ln>
        <a:effectLst/>
      </c:spPr>
      <c:txPr>
        <a:bodyPr rot="0" spcFirstLastPara="1" vertOverflow="ellipsis" vert="horz" wrap="square" anchor="ctr" anchorCtr="1"/>
        <a:lstStyle/>
        <a:p>
          <a:pPr>
            <a:defRPr sz="8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4.5580114250424575E-2"/>
          <c:w val="0.98216276477146047"/>
          <c:h val="0.52123355284353778"/>
        </c:manualLayout>
      </c:layout>
      <c:barChart>
        <c:barDir val="col"/>
        <c:grouping val="clustered"/>
        <c:varyColors val="0"/>
        <c:ser>
          <c:idx val="0"/>
          <c:order val="0"/>
          <c:tx>
            <c:strRef>
              <c:f>'[Evaluación a Municipalidades.xlsx]Individual - Autonomía'!$E$3</c:f>
              <c:strCache>
                <c:ptCount val="1"/>
                <c:pt idx="0">
                  <c:v>Autonomía Financiera</c:v>
                </c:pt>
              </c:strCache>
            </c:strRef>
          </c:tx>
          <c:spPr>
            <a:solidFill>
              <a:schemeClr val="accent6"/>
            </a:solidFill>
            <a:ln w="15875">
              <a:solidFill>
                <a:schemeClr val="tx1"/>
              </a:solid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Municipalidades.xlsx]Individual - Autonomía'!$C$5:$C$14</c:f>
              <c:strCache>
                <c:ptCount val="10"/>
                <c:pt idx="0">
                  <c:v>QUETZALTENANGO</c:v>
                </c:pt>
                <c:pt idx="1">
                  <c:v>GUATEMALA</c:v>
                </c:pt>
                <c:pt idx="2">
                  <c:v>MIXCO</c:v>
                </c:pt>
                <c:pt idx="3">
                  <c:v>VILLA NUEVA</c:v>
                </c:pt>
                <c:pt idx="4">
                  <c:v>SANTA CATARINA PINULA</c:v>
                </c:pt>
                <c:pt idx="5">
                  <c:v>SAN MIGUEL PETAPA</c:v>
                </c:pt>
                <c:pt idx="6">
                  <c:v>ANTIGUA GUATEMALA</c:v>
                </c:pt>
                <c:pt idx="7">
                  <c:v>RETALHULEU</c:v>
                </c:pt>
                <c:pt idx="8">
                  <c:v>SAN PEDRO SACATEPÉQUEZ (SAN MARCOS)</c:v>
                </c:pt>
                <c:pt idx="9">
                  <c:v>VILLA CANALES</c:v>
                </c:pt>
              </c:strCache>
            </c:strRef>
          </c:cat>
          <c:val>
            <c:numRef>
              <c:f>'[Evaluación a Municipalidades.xlsx]Individual - Autonomía'!$D$5:$D$14</c:f>
              <c:numCache>
                <c:formatCode>0.0%</c:formatCode>
                <c:ptCount val="10"/>
                <c:pt idx="0">
                  <c:v>0.78667068962233366</c:v>
                </c:pt>
                <c:pt idx="1">
                  <c:v>0.78008772488668043</c:v>
                </c:pt>
                <c:pt idx="2">
                  <c:v>0.75692493229151692</c:v>
                </c:pt>
                <c:pt idx="3">
                  <c:v>0.69315659648495986</c:v>
                </c:pt>
                <c:pt idx="4">
                  <c:v>0.66078691324870786</c:v>
                </c:pt>
                <c:pt idx="5">
                  <c:v>0.63650419247518597</c:v>
                </c:pt>
                <c:pt idx="6">
                  <c:v>0.56798067655640394</c:v>
                </c:pt>
                <c:pt idx="7">
                  <c:v>0.56656801644658228</c:v>
                </c:pt>
                <c:pt idx="8">
                  <c:v>0.54124602450086534</c:v>
                </c:pt>
                <c:pt idx="9">
                  <c:v>0.53957943269363895</c:v>
                </c:pt>
              </c:numCache>
            </c:numRef>
          </c:val>
          <c:extLst>
            <c:ext xmlns:c16="http://schemas.microsoft.com/office/drawing/2014/chart" uri="{C3380CC4-5D6E-409C-BE32-E72D297353CC}">
              <c16:uniqueId val="{00000000-1CE8-499E-836C-180118809B35}"/>
            </c:ext>
          </c:extLst>
        </c:ser>
        <c:dLbls>
          <c:showLegendKey val="0"/>
          <c:showVal val="0"/>
          <c:showCatName val="0"/>
          <c:showSerName val="0"/>
          <c:showPercent val="0"/>
          <c:showBubbleSize val="0"/>
        </c:dLbls>
        <c:gapWidth val="87"/>
        <c:overlap val="-27"/>
        <c:axId val="2051721359"/>
        <c:axId val="2051720527"/>
      </c:bar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840">
                <a:solidFill>
                  <a:sysClr val="windowText" lastClr="000000"/>
                </a:solidFill>
              </a:rPr>
              <a:t>Con menor autonomía</a:t>
            </a:r>
          </a:p>
        </c:rich>
      </c:tx>
      <c:layout>
        <c:manualLayout>
          <c:xMode val="edge"/>
          <c:yMode val="edge"/>
          <c:x val="0.34968245166537282"/>
          <c:y val="0"/>
        </c:manualLayout>
      </c:layout>
      <c:overlay val="0"/>
      <c:spPr>
        <a:noFill/>
        <a:ln>
          <a:noFill/>
        </a:ln>
        <a:effectLst/>
      </c:spPr>
      <c:txPr>
        <a:bodyPr rot="0" spcFirstLastPara="1" vertOverflow="ellipsis" vert="horz" wrap="square" anchor="ctr" anchorCtr="1"/>
        <a:lstStyle/>
        <a:p>
          <a:pPr>
            <a:defRPr sz="8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4.8717369152385372E-2"/>
          <c:w val="0.96715157203190993"/>
          <c:h val="0.51072893116083262"/>
        </c:manualLayout>
      </c:layout>
      <c:barChart>
        <c:barDir val="col"/>
        <c:grouping val="clustered"/>
        <c:varyColors val="0"/>
        <c:ser>
          <c:idx val="0"/>
          <c:order val="0"/>
          <c:tx>
            <c:strRef>
              <c:f>'[Evaluación a Municipalidades.xlsx]Individual - Autonomía'!$E$3</c:f>
              <c:strCache>
                <c:ptCount val="1"/>
                <c:pt idx="0">
                  <c:v>Autonomía Financiera</c:v>
                </c:pt>
              </c:strCache>
            </c:strRef>
          </c:tx>
          <c:spPr>
            <a:solidFill>
              <a:srgbClr val="FF0000"/>
            </a:solidFill>
            <a:ln w="15875">
              <a:solidFill>
                <a:schemeClr val="tx1"/>
              </a:solid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Municipalidades.xlsx]Individual - Autonomía'!$C$335:$C$344</c:f>
              <c:strCache>
                <c:ptCount val="10"/>
                <c:pt idx="0">
                  <c:v>PETATAN</c:v>
                </c:pt>
                <c:pt idx="1">
                  <c:v>EL QUETZAL</c:v>
                </c:pt>
                <c:pt idx="2">
                  <c:v>PATZITE</c:v>
                </c:pt>
                <c:pt idx="3">
                  <c:v>TECTITAN</c:v>
                </c:pt>
                <c:pt idx="4">
                  <c:v>CAMOTAN</c:v>
                </c:pt>
                <c:pt idx="5">
                  <c:v>SAN BARTOLOME JOCOTENANGO</c:v>
                </c:pt>
                <c:pt idx="6">
                  <c:v>TAJUMULCO</c:v>
                </c:pt>
                <c:pt idx="7">
                  <c:v>SANTA MARÍA VISITACIÓN</c:v>
                </c:pt>
                <c:pt idx="8">
                  <c:v>SAN MATEO IXTATAN</c:v>
                </c:pt>
                <c:pt idx="9">
                  <c:v>SAN GASPAR IXCHIL</c:v>
                </c:pt>
              </c:strCache>
            </c:strRef>
          </c:cat>
          <c:val>
            <c:numRef>
              <c:f>'[Evaluación a Municipalidades.xlsx]Individual - Autonomía'!$D$335:$D$344</c:f>
              <c:numCache>
                <c:formatCode>0.0%</c:formatCode>
                <c:ptCount val="10"/>
                <c:pt idx="0">
                  <c:v>3.1918034658602344E-2</c:v>
                </c:pt>
                <c:pt idx="1">
                  <c:v>3.0446813420160094E-2</c:v>
                </c:pt>
                <c:pt idx="2">
                  <c:v>2.9384068803748498E-2</c:v>
                </c:pt>
                <c:pt idx="3">
                  <c:v>2.7101306017361444E-2</c:v>
                </c:pt>
                <c:pt idx="4">
                  <c:v>2.6826832908877839E-2</c:v>
                </c:pt>
                <c:pt idx="5">
                  <c:v>2.4583398275268554E-2</c:v>
                </c:pt>
                <c:pt idx="6">
                  <c:v>2.3577417777717987E-2</c:v>
                </c:pt>
                <c:pt idx="7">
                  <c:v>2.1043395502286084E-2</c:v>
                </c:pt>
                <c:pt idx="8">
                  <c:v>1.8445269388439916E-2</c:v>
                </c:pt>
                <c:pt idx="9">
                  <c:v>1.4941997908664852E-2</c:v>
                </c:pt>
              </c:numCache>
            </c:numRef>
          </c:val>
          <c:extLst>
            <c:ext xmlns:c16="http://schemas.microsoft.com/office/drawing/2014/chart" uri="{C3380CC4-5D6E-409C-BE32-E72D297353CC}">
              <c16:uniqueId val="{00000000-3BAF-4ABF-8DE0-30EE0119BA00}"/>
            </c:ext>
          </c:extLst>
        </c:ser>
        <c:dLbls>
          <c:showLegendKey val="0"/>
          <c:showVal val="0"/>
          <c:showCatName val="0"/>
          <c:showSerName val="0"/>
          <c:showPercent val="0"/>
          <c:showBubbleSize val="0"/>
        </c:dLbls>
        <c:gapWidth val="87"/>
        <c:overlap val="-27"/>
        <c:axId val="2051721359"/>
        <c:axId val="2051720527"/>
      </c:bar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Serie 1</c:v>
                </c:pt>
              </c:strCache>
            </c:strRef>
          </c:tx>
          <c:spPr>
            <a:solidFill>
              <a:srgbClr val="FFC000"/>
            </a:solidFill>
            <a:ln w="19050">
              <a:solidFill>
                <a:schemeClr val="tx1">
                  <a:alpha val="75000"/>
                </a:schemeClr>
              </a:solidFill>
            </a:ln>
            <a:effectLst/>
          </c:spPr>
          <c:invertIfNegative val="0"/>
          <c:dLbls>
            <c:dLbl>
              <c:idx val="1"/>
              <c:layout>
                <c:manualLayout>
                  <c:x val="0"/>
                  <c:y val="2.92772698788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F8-49D9-BFF0-572E418F0B5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"Q"#,##0.0</c:formatCode>
                <c:ptCount val="6"/>
                <c:pt idx="0">
                  <c:v>362.78735309574517</c:v>
                </c:pt>
                <c:pt idx="1">
                  <c:v>433.44397404791732</c:v>
                </c:pt>
                <c:pt idx="2">
                  <c:v>477.91887358436895</c:v>
                </c:pt>
                <c:pt idx="3">
                  <c:v>586.94565138539258</c:v>
                </c:pt>
                <c:pt idx="4">
                  <c:v>472.96118268989005</c:v>
                </c:pt>
                <c:pt idx="5">
                  <c:v>631.92407374019399</c:v>
                </c:pt>
              </c:numCache>
            </c:numRef>
          </c:val>
          <c:extLst>
            <c:ext xmlns:c16="http://schemas.microsoft.com/office/drawing/2014/chart" uri="{C3380CC4-5D6E-409C-BE32-E72D297353CC}">
              <c16:uniqueId val="{00000000-D2F8-49D9-BFF0-572E418F0B5F}"/>
            </c:ext>
          </c:extLst>
        </c:ser>
        <c:dLbls>
          <c:showLegendKey val="0"/>
          <c:showVal val="0"/>
          <c:showCatName val="0"/>
          <c:showSerName val="0"/>
          <c:showPercent val="0"/>
          <c:showBubbleSize val="0"/>
        </c:dLbls>
        <c:gapWidth val="100"/>
        <c:overlap val="-27"/>
        <c:axId val="1925779839"/>
        <c:axId val="1925784831"/>
      </c:barChart>
      <c:lineChart>
        <c:grouping val="standard"/>
        <c:varyColors val="0"/>
        <c:ser>
          <c:idx val="1"/>
          <c:order val="1"/>
          <c:tx>
            <c:strRef>
              <c:f>Hoja1!$C$1</c:f>
              <c:strCache>
                <c:ptCount val="1"/>
                <c:pt idx="0">
                  <c:v>Promedio</c:v>
                </c:pt>
              </c:strCache>
            </c:strRef>
          </c:tx>
          <c:spPr>
            <a:ln w="28575" cap="rnd">
              <a:solidFill>
                <a:srgbClr val="C0000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D2F8-49D9-BFF0-572E418F0B5F}"/>
                </c:ext>
              </c:extLst>
            </c:dLbl>
            <c:dLbl>
              <c:idx val="1"/>
              <c:layout>
                <c:manualLayout>
                  <c:x val="-9.7222222222222224E-2"/>
                  <c:y val="-7.7907623817473598E-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D2F8-49D9-BFF0-572E418F0B5F}"/>
                </c:ext>
              </c:extLst>
            </c:dLbl>
            <c:dLbl>
              <c:idx val="2"/>
              <c:delete val="1"/>
              <c:extLst>
                <c:ext xmlns:c15="http://schemas.microsoft.com/office/drawing/2012/chart" uri="{CE6537A1-D6FC-4f65-9D91-7224C49458BB}"/>
                <c:ext xmlns:c16="http://schemas.microsoft.com/office/drawing/2014/chart" uri="{C3380CC4-5D6E-409C-BE32-E72D297353CC}">
                  <c16:uniqueId val="{00000007-D2F8-49D9-BFF0-572E418F0B5F}"/>
                </c:ext>
              </c:extLst>
            </c:dLbl>
            <c:dLbl>
              <c:idx val="3"/>
              <c:delete val="1"/>
              <c:extLst>
                <c:ext xmlns:c15="http://schemas.microsoft.com/office/drawing/2012/chart" uri="{CE6537A1-D6FC-4f65-9D91-7224C49458BB}"/>
                <c:ext xmlns:c16="http://schemas.microsoft.com/office/drawing/2014/chart" uri="{C3380CC4-5D6E-409C-BE32-E72D297353CC}">
                  <c16:uniqueId val="{00000008-D2F8-49D9-BFF0-572E418F0B5F}"/>
                </c:ext>
              </c:extLst>
            </c:dLbl>
            <c:dLbl>
              <c:idx val="4"/>
              <c:delete val="1"/>
              <c:extLst>
                <c:ext xmlns:c15="http://schemas.microsoft.com/office/drawing/2012/chart" uri="{CE6537A1-D6FC-4f65-9D91-7224C49458BB}"/>
                <c:ext xmlns:c16="http://schemas.microsoft.com/office/drawing/2014/chart" uri="{C3380CC4-5D6E-409C-BE32-E72D297353CC}">
                  <c16:uniqueId val="{00000009-D2F8-49D9-BFF0-572E418F0B5F}"/>
                </c:ext>
              </c:extLst>
            </c:dLbl>
            <c:dLbl>
              <c:idx val="5"/>
              <c:delete val="1"/>
              <c:extLst>
                <c:ext xmlns:c15="http://schemas.microsoft.com/office/drawing/2012/chart" uri="{CE6537A1-D6FC-4f65-9D91-7224C49458BB}"/>
                <c:ext xmlns:c16="http://schemas.microsoft.com/office/drawing/2014/chart" uri="{C3380CC4-5D6E-409C-BE32-E72D297353CC}">
                  <c16:uniqueId val="{0000000A-D2F8-49D9-BFF0-572E418F0B5F}"/>
                </c:ext>
              </c:extLst>
            </c:dLbl>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"Q"#,##0.0</c:formatCode>
                <c:ptCount val="6"/>
                <c:pt idx="0">
                  <c:v>494.33018475725129</c:v>
                </c:pt>
                <c:pt idx="1">
                  <c:v>494.33018475725129</c:v>
                </c:pt>
                <c:pt idx="2">
                  <c:v>494.33018475725129</c:v>
                </c:pt>
                <c:pt idx="3">
                  <c:v>494.33018475725129</c:v>
                </c:pt>
                <c:pt idx="4">
                  <c:v>494.33018475725129</c:v>
                </c:pt>
                <c:pt idx="5">
                  <c:v>494.33018475725129</c:v>
                </c:pt>
              </c:numCache>
            </c:numRef>
          </c:val>
          <c:smooth val="0"/>
          <c:extLst>
            <c:ext xmlns:c16="http://schemas.microsoft.com/office/drawing/2014/chart" uri="{C3380CC4-5D6E-409C-BE32-E72D297353CC}">
              <c16:uniqueId val="{00000004-D2F8-49D9-BFF0-572E418F0B5F}"/>
            </c:ext>
          </c:extLst>
        </c:ser>
        <c:dLbls>
          <c:showLegendKey val="0"/>
          <c:showVal val="0"/>
          <c:showCatName val="0"/>
          <c:showSerName val="0"/>
          <c:showPercent val="0"/>
          <c:showBubbleSize val="0"/>
        </c:dLbls>
        <c:marker val="1"/>
        <c:smooth val="0"/>
        <c:axId val="1925779839"/>
        <c:axId val="1925784831"/>
      </c:lineChart>
      <c:catAx>
        <c:axId val="192577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5784831"/>
        <c:crosses val="autoZero"/>
        <c:auto val="1"/>
        <c:lblAlgn val="ctr"/>
        <c:lblOffset val="100"/>
        <c:noMultiLvlLbl val="0"/>
      </c:catAx>
      <c:valAx>
        <c:axId val="1925784831"/>
        <c:scaling>
          <c:orientation val="minMax"/>
        </c:scaling>
        <c:delete val="1"/>
        <c:axPos val="l"/>
        <c:majorGridlines>
          <c:spPr>
            <a:ln w="9525" cap="flat" cmpd="sng" algn="ctr">
              <a:solidFill>
                <a:schemeClr val="tx1">
                  <a:lumMod val="15000"/>
                  <a:lumOff val="85000"/>
                </a:schemeClr>
              </a:solidFill>
              <a:round/>
            </a:ln>
            <a:effectLst/>
          </c:spPr>
        </c:majorGridlines>
        <c:numFmt formatCode="&quot;Q&quot;#,##0.0" sourceLinked="1"/>
        <c:majorTickMark val="none"/>
        <c:minorTickMark val="none"/>
        <c:tickLblPos val="nextTo"/>
        <c:crossAx val="19257798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521188757655297E-2"/>
          <c:y val="0.13643410852713178"/>
          <c:w val="0.72159305282152242"/>
          <c:h val="0.43013953488372092"/>
        </c:manualLayout>
      </c:layout>
      <c:barChart>
        <c:barDir val="col"/>
        <c:grouping val="clustered"/>
        <c:varyColors val="0"/>
        <c:ser>
          <c:idx val="0"/>
          <c:order val="0"/>
          <c:tx>
            <c:strRef>
              <c:f>Hoja1!$B$1</c:f>
              <c:strCache>
                <c:ptCount val="1"/>
                <c:pt idx="0">
                  <c:v>Serie 1</c:v>
                </c:pt>
              </c:strCache>
            </c:strRef>
          </c:tx>
          <c:spPr>
            <a:solidFill>
              <a:schemeClr val="accent6">
                <a:lumMod val="75000"/>
              </a:schemeClr>
            </a:solidFill>
            <a:ln>
              <a:solidFill>
                <a:schemeClr val="tx1"/>
              </a:solid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SAN MARCOS LA LAGUNA</c:v>
                </c:pt>
                <c:pt idx="1">
                  <c:v>SANTA MARÍA VISITACIÓN</c:v>
                </c:pt>
                <c:pt idx="2">
                  <c:v>SANTA CATARINA BARAHONA</c:v>
                </c:pt>
                <c:pt idx="3">
                  <c:v>SAN JOSÉ ACATEMPA</c:v>
                </c:pt>
                <c:pt idx="4">
                  <c:v>SANTA CATARINA PALOPÓ</c:v>
                </c:pt>
                <c:pt idx="5">
                  <c:v>SAN JOSÉ DEL GOLFO</c:v>
                </c:pt>
                <c:pt idx="6">
                  <c:v>RIO BLANCO</c:v>
                </c:pt>
                <c:pt idx="7">
                  <c:v>SN JOSÉ CHACAYA</c:v>
                </c:pt>
                <c:pt idx="8">
                  <c:v>CHUARRANCHO</c:v>
                </c:pt>
                <c:pt idx="9">
                  <c:v>SN CRISTÓBAL ACASAGUASTLAN</c:v>
                </c:pt>
              </c:strCache>
            </c:strRef>
          </c:cat>
          <c:val>
            <c:numRef>
              <c:f>Hoja1!$B$2:$B$11</c:f>
              <c:numCache>
                <c:formatCode>"Q"#,##0.0</c:formatCode>
                <c:ptCount val="10"/>
                <c:pt idx="0">
                  <c:v>6931.238515625002</c:v>
                </c:pt>
                <c:pt idx="1">
                  <c:v>6691.4675941583391</c:v>
                </c:pt>
                <c:pt idx="2">
                  <c:v>4813.3610133508428</c:v>
                </c:pt>
                <c:pt idx="3">
                  <c:v>4202.3004670131368</c:v>
                </c:pt>
                <c:pt idx="4">
                  <c:v>4085.5479311757472</c:v>
                </c:pt>
                <c:pt idx="5">
                  <c:v>3491.7812201212992</c:v>
                </c:pt>
                <c:pt idx="6">
                  <c:v>3133.5611125718974</c:v>
                </c:pt>
                <c:pt idx="7">
                  <c:v>3130.5071417624522</c:v>
                </c:pt>
                <c:pt idx="8">
                  <c:v>3064.6285567804644</c:v>
                </c:pt>
                <c:pt idx="9">
                  <c:v>2743.358347398917</c:v>
                </c:pt>
              </c:numCache>
            </c:numRef>
          </c:val>
          <c:extLst>
            <c:ext xmlns:c16="http://schemas.microsoft.com/office/drawing/2014/chart" uri="{C3380CC4-5D6E-409C-BE32-E72D297353CC}">
              <c16:uniqueId val="{00000000-C90E-4838-BA13-EF033B3B7D6A}"/>
            </c:ext>
          </c:extLst>
        </c:ser>
        <c:dLbls>
          <c:showLegendKey val="0"/>
          <c:showVal val="0"/>
          <c:showCatName val="0"/>
          <c:showSerName val="0"/>
          <c:showPercent val="0"/>
          <c:showBubbleSize val="0"/>
        </c:dLbls>
        <c:gapWidth val="100"/>
        <c:overlap val="-27"/>
        <c:axId val="1925787743"/>
        <c:axId val="1925781919"/>
      </c:barChart>
      <c:catAx>
        <c:axId val="192578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5781919"/>
        <c:crosses val="autoZero"/>
        <c:auto val="1"/>
        <c:lblAlgn val="ctr"/>
        <c:lblOffset val="100"/>
        <c:noMultiLvlLbl val="0"/>
      </c:catAx>
      <c:valAx>
        <c:axId val="1925781919"/>
        <c:scaling>
          <c:orientation val="minMax"/>
        </c:scaling>
        <c:delete val="1"/>
        <c:axPos val="l"/>
        <c:numFmt formatCode="&quot;Q&quot;#,##0.0" sourceLinked="1"/>
        <c:majorTickMark val="none"/>
        <c:minorTickMark val="none"/>
        <c:tickLblPos val="nextTo"/>
        <c:crossAx val="19257877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87473156764496E-2"/>
          <c:y val="0.20177315805564047"/>
          <c:w val="0.8619569712876799"/>
          <c:h val="0.41852596306843487"/>
        </c:manualLayout>
      </c:layout>
      <c:barChart>
        <c:barDir val="col"/>
        <c:grouping val="clustered"/>
        <c:varyColors val="0"/>
        <c:ser>
          <c:idx val="0"/>
          <c:order val="0"/>
          <c:tx>
            <c:strRef>
              <c:f>Hoja1!$B$1</c:f>
              <c:strCache>
                <c:ptCount val="1"/>
                <c:pt idx="0">
                  <c:v>Serie 1</c:v>
                </c:pt>
              </c:strCache>
            </c:strRef>
          </c:tx>
          <c:spPr>
            <a:solidFill>
              <a:srgbClr val="C00000"/>
            </a:solidFill>
            <a:ln w="12700">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SENAHU</c:v>
                </c:pt>
                <c:pt idx="1">
                  <c:v>ESCUINTLA</c:v>
                </c:pt>
                <c:pt idx="2">
                  <c:v>CHICHICASTENANGO</c:v>
                </c:pt>
                <c:pt idx="3">
                  <c:v>MOMOSTENANGO</c:v>
                </c:pt>
                <c:pt idx="4">
                  <c:v>SAN MARTIN JILOTEPEQUE</c:v>
                </c:pt>
                <c:pt idx="5">
                  <c:v>PLAYA GRANDE IXCAN</c:v>
                </c:pt>
                <c:pt idx="6">
                  <c:v>SANTA MARÍA NEBAJ</c:v>
                </c:pt>
                <c:pt idx="7">
                  <c:v>GUATEMALA</c:v>
                </c:pt>
                <c:pt idx="8">
                  <c:v>VILLA CANALES</c:v>
                </c:pt>
                <c:pt idx="9">
                  <c:v>SAN PEDRO CARCHA</c:v>
                </c:pt>
              </c:strCache>
            </c:strRef>
          </c:cat>
          <c:val>
            <c:numRef>
              <c:f>Hoja1!$B$2:$B$11</c:f>
              <c:numCache>
                <c:formatCode>"Q"#,##0.0</c:formatCode>
                <c:ptCount val="10"/>
                <c:pt idx="0">
                  <c:v>321.63044557916169</c:v>
                </c:pt>
                <c:pt idx="1">
                  <c:v>299.27004328360863</c:v>
                </c:pt>
                <c:pt idx="2">
                  <c:v>298.85886790077649</c:v>
                </c:pt>
                <c:pt idx="3">
                  <c:v>294.18110045001146</c:v>
                </c:pt>
                <c:pt idx="4">
                  <c:v>290.3532399456783</c:v>
                </c:pt>
                <c:pt idx="5">
                  <c:v>283.64510560289642</c:v>
                </c:pt>
                <c:pt idx="6">
                  <c:v>280.20811171278291</c:v>
                </c:pt>
                <c:pt idx="7">
                  <c:v>273.77519869473281</c:v>
                </c:pt>
                <c:pt idx="8">
                  <c:v>218.01936438671473</c:v>
                </c:pt>
                <c:pt idx="9">
                  <c:v>180.32815608260196</c:v>
                </c:pt>
              </c:numCache>
            </c:numRef>
          </c:val>
          <c:extLst>
            <c:ext xmlns:c16="http://schemas.microsoft.com/office/drawing/2014/chart" uri="{C3380CC4-5D6E-409C-BE32-E72D297353CC}">
              <c16:uniqueId val="{00000000-CED9-4DD9-B2B2-0D2052B62495}"/>
            </c:ext>
          </c:extLst>
        </c:ser>
        <c:dLbls>
          <c:showLegendKey val="0"/>
          <c:showVal val="0"/>
          <c:showCatName val="0"/>
          <c:showSerName val="0"/>
          <c:showPercent val="0"/>
          <c:showBubbleSize val="0"/>
        </c:dLbls>
        <c:gapWidth val="100"/>
        <c:overlap val="-27"/>
        <c:axId val="2091729631"/>
        <c:axId val="2091732127"/>
      </c:barChart>
      <c:catAx>
        <c:axId val="209172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91732127"/>
        <c:crosses val="autoZero"/>
        <c:auto val="1"/>
        <c:lblAlgn val="ctr"/>
        <c:lblOffset val="100"/>
        <c:noMultiLvlLbl val="0"/>
      </c:catAx>
      <c:valAx>
        <c:axId val="2091732127"/>
        <c:scaling>
          <c:orientation val="minMax"/>
        </c:scaling>
        <c:delete val="1"/>
        <c:axPos val="l"/>
        <c:numFmt formatCode="&quot;Q&quot;#,##0.0" sourceLinked="1"/>
        <c:majorTickMark val="none"/>
        <c:minorTickMark val="none"/>
        <c:tickLblPos val="nextTo"/>
        <c:crossAx val="20917296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Liquidez</c:v>
                </c:pt>
              </c:strCache>
            </c:strRef>
          </c:tx>
          <c:spPr>
            <a:solidFill>
              <a:schemeClr val="accent1"/>
            </a:solidFill>
            <a:ln w="19050">
              <a:solidFill>
                <a:schemeClr val="tx1"/>
              </a:solidFill>
            </a:ln>
            <a:effectLst>
              <a:outerShdw blurRad="50800" dist="38100" algn="l" rotWithShape="0">
                <a:prstClr val="black">
                  <a:alpha val="40000"/>
                </a:prstClr>
              </a:outerShdw>
            </a:effectLst>
          </c:spPr>
          <c:invertIfNegative val="0"/>
          <c:dLbls>
            <c:dLbl>
              <c:idx val="5"/>
              <c:layout>
                <c:manualLayout>
                  <c:x val="-2.3148148148148147E-3"/>
                  <c:y val="-3.7140204271123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80-409E-8C8E-7979BBB98E7A}"/>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0.0</c:formatCode>
                <c:ptCount val="6"/>
                <c:pt idx="0">
                  <c:v>11.071883858468164</c:v>
                </c:pt>
                <c:pt idx="1">
                  <c:v>18.947194086559008</c:v>
                </c:pt>
                <c:pt idx="2">
                  <c:v>16.634211744980675</c:v>
                </c:pt>
                <c:pt idx="3">
                  <c:v>11.999540074772003</c:v>
                </c:pt>
                <c:pt idx="4">
                  <c:v>14.832979714321182</c:v>
                </c:pt>
                <c:pt idx="5">
                  <c:v>13.747722824725034</c:v>
                </c:pt>
              </c:numCache>
            </c:numRef>
          </c:val>
          <c:extLst>
            <c:ext xmlns:c16="http://schemas.microsoft.com/office/drawing/2014/chart" uri="{C3380CC4-5D6E-409C-BE32-E72D297353CC}">
              <c16:uniqueId val="{00000000-0880-409E-8C8E-7979BBB98E7A}"/>
            </c:ext>
          </c:extLst>
        </c:ser>
        <c:dLbls>
          <c:showLegendKey val="0"/>
          <c:showVal val="0"/>
          <c:showCatName val="0"/>
          <c:showSerName val="0"/>
          <c:showPercent val="0"/>
          <c:showBubbleSize val="0"/>
        </c:dLbls>
        <c:gapWidth val="141"/>
        <c:overlap val="-27"/>
        <c:axId val="1939932463"/>
        <c:axId val="1939926223"/>
      </c:barChart>
      <c:lineChart>
        <c:grouping val="standard"/>
        <c:varyColors val="0"/>
        <c:ser>
          <c:idx val="1"/>
          <c:order val="1"/>
          <c:tx>
            <c:strRef>
              <c:f>Hoja1!$C$1</c:f>
              <c:strCache>
                <c:ptCount val="1"/>
                <c:pt idx="0">
                  <c:v>Promedio</c:v>
                </c:pt>
              </c:strCache>
            </c:strRef>
          </c:tx>
          <c:spPr>
            <a:ln w="28575" cap="rnd">
              <a:solidFill>
                <a:srgbClr val="FF0000"/>
              </a:solidFill>
              <a:prstDash val="sysDash"/>
              <a:round/>
            </a:ln>
            <a:effectLst/>
          </c:spPr>
          <c:marker>
            <c:symbol val="none"/>
          </c:marker>
          <c:dLbls>
            <c:dLbl>
              <c:idx val="3"/>
              <c:layout>
                <c:manualLayout>
                  <c:x val="-6.4814814814814894E-2"/>
                  <c:y val="-4.7619047619047616E-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0880-409E-8C8E-7979BBB98E7A}"/>
                </c:ext>
              </c:extLst>
            </c:dLbl>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0.0</c:formatCode>
                <c:ptCount val="6"/>
                <c:pt idx="0">
                  <c:v>14.538922050637678</c:v>
                </c:pt>
                <c:pt idx="1">
                  <c:v>14.538922050637678</c:v>
                </c:pt>
                <c:pt idx="2">
                  <c:v>14.538922050637678</c:v>
                </c:pt>
                <c:pt idx="3">
                  <c:v>14.538922050637678</c:v>
                </c:pt>
                <c:pt idx="4">
                  <c:v>14.538922050637678</c:v>
                </c:pt>
                <c:pt idx="5">
                  <c:v>14.538922050637678</c:v>
                </c:pt>
              </c:numCache>
            </c:numRef>
          </c:val>
          <c:smooth val="0"/>
          <c:extLst>
            <c:ext xmlns:c16="http://schemas.microsoft.com/office/drawing/2014/chart" uri="{C3380CC4-5D6E-409C-BE32-E72D297353CC}">
              <c16:uniqueId val="{00000004-0880-409E-8C8E-7979BBB98E7A}"/>
            </c:ext>
          </c:extLst>
        </c:ser>
        <c:dLbls>
          <c:showLegendKey val="0"/>
          <c:showVal val="0"/>
          <c:showCatName val="0"/>
          <c:showSerName val="0"/>
          <c:showPercent val="0"/>
          <c:showBubbleSize val="0"/>
        </c:dLbls>
        <c:marker val="1"/>
        <c:smooth val="0"/>
        <c:axId val="1939932463"/>
        <c:axId val="1939926223"/>
      </c:lineChart>
      <c:catAx>
        <c:axId val="193993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39926223"/>
        <c:crosses val="autoZero"/>
        <c:auto val="1"/>
        <c:lblAlgn val="ctr"/>
        <c:lblOffset val="100"/>
        <c:noMultiLvlLbl val="0"/>
      </c:catAx>
      <c:valAx>
        <c:axId val="1939926223"/>
        <c:scaling>
          <c:orientation val="minMax"/>
        </c:scaling>
        <c:delete val="1"/>
        <c:axPos val="l"/>
        <c:majorGridlines>
          <c:spPr>
            <a:ln w="9525" cap="sq" cmpd="sng" algn="ctr">
              <a:solidFill>
                <a:schemeClr val="tx1">
                  <a:lumMod val="15000"/>
                  <a:lumOff val="85000"/>
                </a:schemeClr>
              </a:solidFill>
              <a:prstDash val="sysDot"/>
              <a:round/>
              <a:headEnd type="none"/>
            </a:ln>
            <a:effectLst/>
          </c:spPr>
        </c:majorGridlines>
        <c:numFmt formatCode="0.0" sourceLinked="1"/>
        <c:majorTickMark val="none"/>
        <c:minorTickMark val="none"/>
        <c:tickLblPos val="nextTo"/>
        <c:crossAx val="1939932463"/>
        <c:crosses val="autoZero"/>
        <c:crossBetween val="between"/>
      </c:valAx>
      <c:spPr>
        <a:pattFill prst="lgGrid">
          <a:fgClr>
            <a:schemeClr val="bg1">
              <a:lumMod val="85000"/>
            </a:schemeClr>
          </a:fgClr>
          <a:bgClr>
            <a:schemeClr val="bg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78014727325752"/>
          <c:y val="0.10185794330994903"/>
          <c:w val="0.79134022309711283"/>
          <c:h val="0.89814205669005098"/>
        </c:manualLayout>
      </c:layout>
      <c:barChart>
        <c:barDir val="bar"/>
        <c:grouping val="clustered"/>
        <c:varyColors val="0"/>
        <c:ser>
          <c:idx val="0"/>
          <c:order val="0"/>
          <c:tx>
            <c:strRef>
              <c:f>Hoja1!$B$1</c:f>
              <c:strCache>
                <c:ptCount val="1"/>
                <c:pt idx="0">
                  <c:v>Serie 1</c:v>
                </c:pt>
              </c:strCache>
            </c:strRef>
          </c:tx>
          <c:spPr>
            <a:solidFill>
              <a:schemeClr val="accent5">
                <a:lumMod val="75000"/>
              </a:schemeClr>
            </a:solidFill>
            <a:ln>
              <a:solidFill>
                <a:schemeClr val="tx1"/>
              </a:solidFill>
            </a:ln>
            <a:effectLst>
              <a:outerShdw blurRad="50800" dist="38100" dir="2700000" algn="tl" rotWithShape="0">
                <a:prstClr val="black">
                  <a:alpha val="40000"/>
                </a:prstClr>
              </a:outerShdw>
            </a:effectLst>
          </c:spPr>
          <c:invertIfNegative val="0"/>
          <c:dPt>
            <c:idx val="8"/>
            <c:invertIfNegative val="0"/>
            <c:bubble3D val="0"/>
            <c:spPr>
              <a:solidFill>
                <a:srgbClr val="FF0000"/>
              </a:solidFill>
              <a:ln>
                <a:solidFill>
                  <a:schemeClr val="tx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BC91-45C0-AFD5-BACCD2F623C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mayor a 128</c:v>
                </c:pt>
                <c:pt idx="1">
                  <c:v>entre 64.1 a 128</c:v>
                </c:pt>
                <c:pt idx="2">
                  <c:v>Entre 32.1 a 64</c:v>
                </c:pt>
                <c:pt idx="3">
                  <c:v>Entre 16.1 a 32</c:v>
                </c:pt>
                <c:pt idx="4">
                  <c:v>Entre 8.1 a 16</c:v>
                </c:pt>
                <c:pt idx="5">
                  <c:v>Entre 4.1 a 8</c:v>
                </c:pt>
                <c:pt idx="6">
                  <c:v>Entre 2.1 a 4</c:v>
                </c:pt>
                <c:pt idx="7">
                  <c:v>Entre 1 a 2</c:v>
                </c:pt>
                <c:pt idx="8">
                  <c:v>Menos de 1</c:v>
                </c:pt>
              </c:strCache>
            </c:strRef>
          </c:cat>
          <c:val>
            <c:numRef>
              <c:f>Hoja1!$B$2:$B$10</c:f>
              <c:numCache>
                <c:formatCode>General</c:formatCode>
                <c:ptCount val="9"/>
                <c:pt idx="0">
                  <c:v>54</c:v>
                </c:pt>
                <c:pt idx="1">
                  <c:v>42</c:v>
                </c:pt>
                <c:pt idx="2">
                  <c:v>53</c:v>
                </c:pt>
                <c:pt idx="3">
                  <c:v>50</c:v>
                </c:pt>
                <c:pt idx="4">
                  <c:v>49</c:v>
                </c:pt>
                <c:pt idx="5">
                  <c:v>40</c:v>
                </c:pt>
                <c:pt idx="6">
                  <c:v>23</c:v>
                </c:pt>
                <c:pt idx="7">
                  <c:v>13</c:v>
                </c:pt>
                <c:pt idx="8">
                  <c:v>2</c:v>
                </c:pt>
              </c:numCache>
            </c:numRef>
          </c:val>
          <c:extLst>
            <c:ext xmlns:c16="http://schemas.microsoft.com/office/drawing/2014/chart" uri="{C3380CC4-5D6E-409C-BE32-E72D297353CC}">
              <c16:uniqueId val="{00000000-BC91-45C0-AFD5-BACCD2F623C2}"/>
            </c:ext>
          </c:extLst>
        </c:ser>
        <c:dLbls>
          <c:showLegendKey val="0"/>
          <c:showVal val="0"/>
          <c:showCatName val="0"/>
          <c:showSerName val="0"/>
          <c:showPercent val="0"/>
          <c:showBubbleSize val="0"/>
        </c:dLbls>
        <c:gapWidth val="182"/>
        <c:axId val="41767279"/>
        <c:axId val="41772687"/>
      </c:barChart>
      <c:catAx>
        <c:axId val="417672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1772687"/>
        <c:crosses val="autoZero"/>
        <c:auto val="1"/>
        <c:lblAlgn val="ctr"/>
        <c:lblOffset val="100"/>
        <c:noMultiLvlLbl val="0"/>
      </c:catAx>
      <c:valAx>
        <c:axId val="4177268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17672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3989233488671"/>
          <c:y val="8.59375E-2"/>
          <c:w val="0.76783236916813968"/>
          <c:h val="0.65405942421259844"/>
        </c:manualLayout>
      </c:layout>
      <c:barChart>
        <c:barDir val="col"/>
        <c:grouping val="clustered"/>
        <c:varyColors val="0"/>
        <c:ser>
          <c:idx val="1"/>
          <c:order val="1"/>
          <c:tx>
            <c:strRef>
              <c:f>'Revisión (2)'!$N$9</c:f>
              <c:strCache>
                <c:ptCount val="1"/>
                <c:pt idx="0">
                  <c:v>Pronostico PIB R 2021</c:v>
                </c:pt>
              </c:strCache>
            </c:strRef>
          </c:tx>
          <c:spPr>
            <a:solidFill>
              <a:srgbClr val="002060"/>
            </a:solidFill>
            <a:ln>
              <a:solidFill>
                <a:srgbClr val="00B0F0"/>
              </a:solidFill>
            </a:ln>
            <a:effectLst>
              <a:outerShdw blurRad="50800" dist="38100" dir="2700000" algn="tl" rotWithShape="0">
                <a:prstClr val="black">
                  <a:alpha val="40000"/>
                </a:prstClr>
              </a:outerShdw>
            </a:effectLst>
          </c:spPr>
          <c:invertIfNegative val="0"/>
          <c:dLbls>
            <c:dLbl>
              <c:idx val="3"/>
              <c:layout>
                <c:manualLayout>
                  <c:x val="0"/>
                  <c:y val="0.378348010774968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49-4EDA-9B75-8721FF4EE6E6}"/>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'Revisión (2)'!$L$10:$L$13</c:f>
              <c:strCache>
                <c:ptCount val="4"/>
                <c:pt idx="0">
                  <c:v>ENERO</c:v>
                </c:pt>
                <c:pt idx="1">
                  <c:v>MARZO</c:v>
                </c:pt>
                <c:pt idx="2">
                  <c:v>ABRIL</c:v>
                </c:pt>
                <c:pt idx="3">
                  <c:v>JULIO</c:v>
                </c:pt>
              </c:strCache>
            </c:strRef>
          </c:cat>
          <c:val>
            <c:numRef>
              <c:f>'Revisión (2)'!$N$10:$N$13</c:f>
              <c:numCache>
                <c:formatCode>0.0</c:formatCode>
                <c:ptCount val="4"/>
                <c:pt idx="0">
                  <c:v>3.5</c:v>
                </c:pt>
                <c:pt idx="1">
                  <c:v>3.5</c:v>
                </c:pt>
                <c:pt idx="2">
                  <c:v>4</c:v>
                </c:pt>
                <c:pt idx="3">
                  <c:v>5</c:v>
                </c:pt>
              </c:numCache>
            </c:numRef>
          </c:val>
          <c:extLst>
            <c:ext xmlns:c16="http://schemas.microsoft.com/office/drawing/2014/chart" uri="{C3380CC4-5D6E-409C-BE32-E72D297353CC}">
              <c16:uniqueId val="{00000001-7949-4EDA-9B75-8721FF4EE6E6}"/>
            </c:ext>
          </c:extLst>
        </c:ser>
        <c:dLbls>
          <c:showLegendKey val="0"/>
          <c:showVal val="0"/>
          <c:showCatName val="0"/>
          <c:showSerName val="0"/>
          <c:showPercent val="0"/>
          <c:showBubbleSize val="0"/>
        </c:dLbls>
        <c:gapWidth val="150"/>
        <c:axId val="1006907263"/>
        <c:axId val="901264751"/>
      </c:barChart>
      <c:lineChart>
        <c:grouping val="standard"/>
        <c:varyColors val="0"/>
        <c:ser>
          <c:idx val="0"/>
          <c:order val="0"/>
          <c:tx>
            <c:strRef>
              <c:f>'Revisión (2)'!$P$9</c:f>
              <c:strCache>
                <c:ptCount val="1"/>
                <c:pt idx="0">
                  <c:v>Desviaciones</c:v>
                </c:pt>
              </c:strCache>
            </c:strRef>
          </c:tx>
          <c:spPr>
            <a:ln w="28575" cap="rnd">
              <a:solidFill>
                <a:schemeClr val="accent1"/>
              </a:solidFill>
              <a:round/>
            </a:ln>
            <a:effectLst/>
          </c:spPr>
          <c:marker>
            <c:symbol val="circle"/>
            <c:size val="14"/>
            <c:spPr>
              <a:solidFill>
                <a:sysClr val="window" lastClr="FFFFFF"/>
              </a:solidFill>
              <a:ln w="9525">
                <a:solidFill>
                  <a:srgbClr val="FF0000"/>
                </a:solidFill>
              </a:ln>
              <a:effectLst>
                <a:outerShdw blurRad="50800" dist="38100" dir="2700000" algn="tl" rotWithShape="0">
                  <a:prstClr val="black">
                    <a:alpha val="40000"/>
                  </a:prstClr>
                </a:outerShdw>
              </a:effectLst>
            </c:spPr>
          </c:marker>
          <c:dLbls>
            <c:dLbl>
              <c:idx val="3"/>
              <c:layout>
                <c:manualLayout>
                  <c:x val="-7.6566498305220998E-2"/>
                  <c:y val="-5.32786730505988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9-4EDA-9B75-8721FF4EE6E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'Revisión (2)'!$L$10:$L$13</c:f>
              <c:strCache>
                <c:ptCount val="4"/>
                <c:pt idx="0">
                  <c:v>ENERO</c:v>
                </c:pt>
                <c:pt idx="1">
                  <c:v>MARZO</c:v>
                </c:pt>
                <c:pt idx="2">
                  <c:v>ABRIL</c:v>
                </c:pt>
                <c:pt idx="3">
                  <c:v>JULIO</c:v>
                </c:pt>
              </c:strCache>
            </c:strRef>
          </c:cat>
          <c:val>
            <c:numRef>
              <c:f>'Revisión (2)'!$P$10:$P$13</c:f>
              <c:numCache>
                <c:formatCode>0.0</c:formatCode>
                <c:ptCount val="4"/>
                <c:pt idx="0">
                  <c:v>4.5</c:v>
                </c:pt>
                <c:pt idx="1">
                  <c:v>4.5</c:v>
                </c:pt>
                <c:pt idx="2">
                  <c:v>4</c:v>
                </c:pt>
                <c:pt idx="3">
                  <c:v>3</c:v>
                </c:pt>
              </c:numCache>
            </c:numRef>
          </c:val>
          <c:smooth val="1"/>
          <c:extLst>
            <c:ext xmlns:c16="http://schemas.microsoft.com/office/drawing/2014/chart" uri="{C3380CC4-5D6E-409C-BE32-E72D297353CC}">
              <c16:uniqueId val="{00000003-7949-4EDA-9B75-8721FF4EE6E6}"/>
            </c:ext>
          </c:extLst>
        </c:ser>
        <c:dLbls>
          <c:showLegendKey val="0"/>
          <c:showVal val="0"/>
          <c:showCatName val="0"/>
          <c:showSerName val="0"/>
          <c:showPercent val="0"/>
          <c:showBubbleSize val="0"/>
        </c:dLbls>
        <c:marker val="1"/>
        <c:smooth val="0"/>
        <c:axId val="1006907263"/>
        <c:axId val="901264751"/>
      </c:lineChart>
      <c:catAx>
        <c:axId val="100690726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901264751"/>
        <c:crosses val="autoZero"/>
        <c:auto val="1"/>
        <c:lblAlgn val="ctr"/>
        <c:lblOffset val="100"/>
        <c:noMultiLvlLbl val="0"/>
      </c:catAx>
      <c:valAx>
        <c:axId val="901264751"/>
        <c:scaling>
          <c:orientation val="minMax"/>
          <c:max val="6"/>
        </c:scaling>
        <c:delete val="0"/>
        <c:axPos val="l"/>
        <c:title>
          <c:tx>
            <c:rich>
              <a:bodyPr rot="-540000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n-US" sz="800">
                    <a:solidFill>
                      <a:schemeClr val="bg1">
                        <a:lumMod val="50000"/>
                      </a:schemeClr>
                    </a:solidFill>
                  </a:rPr>
                  <a:t>Porcentajes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1006907263"/>
        <c:crosses val="autoZero"/>
        <c:crossBetween val="between"/>
      </c:valAx>
      <c:spPr>
        <a:noFill/>
        <a:ln>
          <a:noFill/>
        </a:ln>
        <a:effectLst/>
      </c:spPr>
    </c:plotArea>
    <c:legend>
      <c:legendPos val="b"/>
      <c:layout>
        <c:manualLayout>
          <c:xMode val="edge"/>
          <c:yMode val="edge"/>
          <c:x val="0.05"/>
          <c:y val="0.87605191929133863"/>
          <c:w val="0.9"/>
          <c:h val="0.123948080708661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56292394875255E-2"/>
          <c:y val="7.9912822375590262E-2"/>
          <c:w val="0.89535394891616382"/>
          <c:h val="0.4951448813177321"/>
        </c:manualLayout>
      </c:layout>
      <c:barChart>
        <c:barDir val="col"/>
        <c:grouping val="clustered"/>
        <c:varyColors val="0"/>
        <c:ser>
          <c:idx val="0"/>
          <c:order val="0"/>
          <c:tx>
            <c:strRef>
              <c:f>Hoja1!$B$1</c:f>
              <c:strCache>
                <c:ptCount val="1"/>
                <c:pt idx="0">
                  <c:v>Serie 1</c:v>
                </c:pt>
              </c:strCache>
            </c:strRef>
          </c:tx>
          <c:spPr>
            <a:solidFill>
              <a:schemeClr val="accent6">
                <a:lumMod val="75000"/>
              </a:schemeClr>
            </a:solidFill>
            <a:ln w="12700">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SAN MATEO</c:v>
                </c:pt>
                <c:pt idx="1">
                  <c:v>TACANA</c:v>
                </c:pt>
                <c:pt idx="2">
                  <c:v>RIO BLANCO</c:v>
                </c:pt>
                <c:pt idx="3">
                  <c:v>IZTAPA</c:v>
                </c:pt>
                <c:pt idx="4">
                  <c:v>BARBERENA</c:v>
                </c:pt>
                <c:pt idx="5">
                  <c:v>SALCAJA</c:v>
                </c:pt>
                <c:pt idx="6">
                  <c:v>ACATENANGO</c:v>
                </c:pt>
                <c:pt idx="7">
                  <c:v>SN AND. SEMETABAJ</c:v>
                </c:pt>
                <c:pt idx="8">
                  <c:v>CUILCO</c:v>
                </c:pt>
                <c:pt idx="9">
                  <c:v>PATZITE</c:v>
                </c:pt>
              </c:strCache>
            </c:strRef>
          </c:cat>
          <c:val>
            <c:numRef>
              <c:f>Hoja1!$B$2:$B$11</c:f>
              <c:numCache>
                <c:formatCode>#,##0.0</c:formatCode>
                <c:ptCount val="10"/>
                <c:pt idx="0">
                  <c:v>5750.9838252356776</c:v>
                </c:pt>
                <c:pt idx="1">
                  <c:v>2621.6969586746231</c:v>
                </c:pt>
                <c:pt idx="2">
                  <c:v>1459.1597959944984</c:v>
                </c:pt>
                <c:pt idx="3">
                  <c:v>930.58843388040066</c:v>
                </c:pt>
                <c:pt idx="4">
                  <c:v>846.96849495625258</c:v>
                </c:pt>
                <c:pt idx="5">
                  <c:v>792.9612076954711</c:v>
                </c:pt>
                <c:pt idx="6">
                  <c:v>646.22542649042032</c:v>
                </c:pt>
                <c:pt idx="7">
                  <c:v>603.43302464098133</c:v>
                </c:pt>
                <c:pt idx="8">
                  <c:v>545.90718900503111</c:v>
                </c:pt>
                <c:pt idx="9">
                  <c:v>544.66699179687498</c:v>
                </c:pt>
              </c:numCache>
            </c:numRef>
          </c:val>
          <c:extLst>
            <c:ext xmlns:c16="http://schemas.microsoft.com/office/drawing/2014/chart" uri="{C3380CC4-5D6E-409C-BE32-E72D297353CC}">
              <c16:uniqueId val="{00000000-225F-402D-A848-AC1507E10F09}"/>
            </c:ext>
          </c:extLst>
        </c:ser>
        <c:dLbls>
          <c:showLegendKey val="0"/>
          <c:showVal val="0"/>
          <c:showCatName val="0"/>
          <c:showSerName val="0"/>
          <c:showPercent val="0"/>
          <c:showBubbleSize val="0"/>
        </c:dLbls>
        <c:gapWidth val="80"/>
        <c:overlap val="-43"/>
        <c:axId val="2091774559"/>
        <c:axId val="2091784959"/>
      </c:barChart>
      <c:catAx>
        <c:axId val="209177455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91784959"/>
        <c:crosses val="autoZero"/>
        <c:auto val="1"/>
        <c:lblAlgn val="ctr"/>
        <c:lblOffset val="100"/>
        <c:noMultiLvlLbl val="0"/>
      </c:catAx>
      <c:valAx>
        <c:axId val="2091784959"/>
        <c:scaling>
          <c:orientation val="minMax"/>
        </c:scaling>
        <c:delete val="1"/>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209177455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rgbClr val="C00000"/>
            </a:solidFill>
            <a:ln w="12700">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LA GOMERA</c:v>
                </c:pt>
                <c:pt idx="1">
                  <c:v>SAN CARLOS ALZATATE</c:v>
                </c:pt>
                <c:pt idx="2">
                  <c:v>SAN GABRIEL</c:v>
                </c:pt>
                <c:pt idx="3">
                  <c:v>MIXCO</c:v>
                </c:pt>
                <c:pt idx="4">
                  <c:v>PATULUL</c:v>
                </c:pt>
                <c:pt idx="5">
                  <c:v>SAN FRANCISCO</c:v>
                </c:pt>
                <c:pt idx="6">
                  <c:v>FLORES COSTA CUCA</c:v>
                </c:pt>
                <c:pt idx="7">
                  <c:v>AGUA BLANCA</c:v>
                </c:pt>
                <c:pt idx="8">
                  <c:v>SAN JOSÉ (PETÉN)</c:v>
                </c:pt>
                <c:pt idx="9">
                  <c:v>SANTA CRUZ MULUA</c:v>
                </c:pt>
              </c:strCache>
            </c:strRef>
          </c:cat>
          <c:val>
            <c:numRef>
              <c:f>Hoja1!$B$2:$B$11</c:f>
              <c:numCache>
                <c:formatCode>0.0</c:formatCode>
                <c:ptCount val="10"/>
                <c:pt idx="0">
                  <c:v>1.7697934405295521</c:v>
                </c:pt>
                <c:pt idx="1">
                  <c:v>1.7332919949104497</c:v>
                </c:pt>
                <c:pt idx="2">
                  <c:v>1.6939916614068815</c:v>
                </c:pt>
                <c:pt idx="3">
                  <c:v>1.6780884179137208</c:v>
                </c:pt>
                <c:pt idx="4">
                  <c:v>1.4214320569337042</c:v>
                </c:pt>
                <c:pt idx="5">
                  <c:v>1.3792695627335556</c:v>
                </c:pt>
                <c:pt idx="6">
                  <c:v>1.1452499009057484</c:v>
                </c:pt>
                <c:pt idx="7">
                  <c:v>1.1055094441820474</c:v>
                </c:pt>
                <c:pt idx="8">
                  <c:v>1.0262525444391335</c:v>
                </c:pt>
                <c:pt idx="9">
                  <c:v>0.95564390434524549</c:v>
                </c:pt>
              </c:numCache>
            </c:numRef>
          </c:val>
          <c:extLst>
            <c:ext xmlns:c16="http://schemas.microsoft.com/office/drawing/2014/chart" uri="{C3380CC4-5D6E-409C-BE32-E72D297353CC}">
              <c16:uniqueId val="{00000000-C234-49A1-BF71-4C4831772EDB}"/>
            </c:ext>
          </c:extLst>
        </c:ser>
        <c:dLbls>
          <c:showLegendKey val="0"/>
          <c:showVal val="0"/>
          <c:showCatName val="0"/>
          <c:showSerName val="0"/>
          <c:showPercent val="0"/>
          <c:showBubbleSize val="0"/>
        </c:dLbls>
        <c:gapWidth val="80"/>
        <c:overlap val="-43"/>
        <c:axId val="9333839"/>
        <c:axId val="9325103"/>
      </c:barChart>
      <c:catAx>
        <c:axId val="933383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325103"/>
        <c:crosses val="autoZero"/>
        <c:auto val="1"/>
        <c:lblAlgn val="ctr"/>
        <c:lblOffset val="100"/>
        <c:noMultiLvlLbl val="0"/>
      </c:catAx>
      <c:valAx>
        <c:axId val="9325103"/>
        <c:scaling>
          <c:orientation val="minMax"/>
        </c:scaling>
        <c:delete val="1"/>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933383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GT"/>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8158355205599308E-2"/>
          <c:w val="1"/>
          <c:h val="0.73061388159813356"/>
        </c:manualLayout>
      </c:layout>
      <c:barChart>
        <c:barDir val="col"/>
        <c:grouping val="stacked"/>
        <c:varyColors val="0"/>
        <c:ser>
          <c:idx val="0"/>
          <c:order val="0"/>
          <c:tx>
            <c:strRef>
              <c:f>'[Evaluación a Municipalidades.xlsx]Sector - Obligaciones Financier'!$E$3</c:f>
              <c:strCache>
                <c:ptCount val="1"/>
                <c:pt idx="0">
                  <c:v>Endeudamiento</c:v>
                </c:pt>
              </c:strCache>
            </c:strRef>
          </c:tx>
          <c:spPr>
            <a:solidFill>
              <a:srgbClr val="FF0000"/>
            </a:solidFill>
            <a:ln w="15875">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Financier'!$A$4:$A$9</c:f>
              <c:numCache>
                <c:formatCode>General</c:formatCode>
                <c:ptCount val="6"/>
                <c:pt idx="0">
                  <c:v>2016</c:v>
                </c:pt>
                <c:pt idx="1">
                  <c:v>2017</c:v>
                </c:pt>
                <c:pt idx="2">
                  <c:v>2018</c:v>
                </c:pt>
                <c:pt idx="3">
                  <c:v>2019</c:v>
                </c:pt>
                <c:pt idx="4">
                  <c:v>2020</c:v>
                </c:pt>
                <c:pt idx="5">
                  <c:v>2021</c:v>
                </c:pt>
              </c:numCache>
            </c:numRef>
          </c:cat>
          <c:val>
            <c:numRef>
              <c:f>'[Evaluación a Municipalidades.xlsx]Sector - Obligaciones Financier'!$E$4:$E$9</c:f>
              <c:numCache>
                <c:formatCode>0.0%</c:formatCode>
                <c:ptCount val="6"/>
                <c:pt idx="0">
                  <c:v>0.12315326295156931</c:v>
                </c:pt>
                <c:pt idx="1">
                  <c:v>0.11275291123024354</c:v>
                </c:pt>
                <c:pt idx="2">
                  <c:v>9.9308861048951119E-2</c:v>
                </c:pt>
                <c:pt idx="3">
                  <c:v>5.9925928797315765E-2</c:v>
                </c:pt>
                <c:pt idx="4">
                  <c:v>8.1690908775347876E-2</c:v>
                </c:pt>
                <c:pt idx="5">
                  <c:v>7.9659113699382791E-2</c:v>
                </c:pt>
              </c:numCache>
            </c:numRef>
          </c:val>
          <c:extLst>
            <c:ext xmlns:c16="http://schemas.microsoft.com/office/drawing/2014/chart" uri="{C3380CC4-5D6E-409C-BE32-E72D297353CC}">
              <c16:uniqueId val="{00000000-A5AA-4841-BFF6-C974B82CED30}"/>
            </c:ext>
          </c:extLst>
        </c:ser>
        <c:ser>
          <c:idx val="1"/>
          <c:order val="1"/>
          <c:tx>
            <c:strRef>
              <c:f>'[Evaluación a Municipalidades.xlsx]Sector - Obligaciones Financier'!$F$3</c:f>
              <c:strCache>
                <c:ptCount val="1"/>
                <c:pt idx="0">
                  <c:v>Otras obligaciones</c:v>
                </c:pt>
              </c:strCache>
            </c:strRef>
          </c:tx>
          <c:spPr>
            <a:solidFill>
              <a:schemeClr val="accent1"/>
            </a:solidFill>
            <a:ln w="15875">
              <a:solidFill>
                <a:sysClr val="windowText" lastClr="000000"/>
              </a:solidFill>
            </a:ln>
            <a:effectLst>
              <a:outerShdw blurRad="50800" dist="38100" dir="18900000" algn="bl" rotWithShape="0">
                <a:prstClr val="black">
                  <a:alpha val="40000"/>
                </a:prstClr>
              </a:outerShdw>
            </a:effectLst>
          </c:spPr>
          <c:invertIfNegative val="0"/>
          <c:dLbls>
            <c:spPr>
              <a:no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Financier'!$A$4:$A$9</c:f>
              <c:numCache>
                <c:formatCode>General</c:formatCode>
                <c:ptCount val="6"/>
                <c:pt idx="0">
                  <c:v>2016</c:v>
                </c:pt>
                <c:pt idx="1">
                  <c:v>2017</c:v>
                </c:pt>
                <c:pt idx="2">
                  <c:v>2018</c:v>
                </c:pt>
                <c:pt idx="3">
                  <c:v>2019</c:v>
                </c:pt>
                <c:pt idx="4">
                  <c:v>2020</c:v>
                </c:pt>
                <c:pt idx="5">
                  <c:v>2021</c:v>
                </c:pt>
              </c:numCache>
            </c:numRef>
          </c:cat>
          <c:val>
            <c:numRef>
              <c:f>'[Evaluación a Municipalidades.xlsx]Sector - Obligaciones Financier'!$F$4:$F$9</c:f>
              <c:numCache>
                <c:formatCode>0.0%</c:formatCode>
                <c:ptCount val="6"/>
                <c:pt idx="0">
                  <c:v>6.3514671051396854E-2</c:v>
                </c:pt>
                <c:pt idx="1">
                  <c:v>7.0864305883868148E-2</c:v>
                </c:pt>
                <c:pt idx="2">
                  <c:v>6.7906601782443565E-2</c:v>
                </c:pt>
                <c:pt idx="3">
                  <c:v>6.2418960731335654E-2</c:v>
                </c:pt>
                <c:pt idx="4">
                  <c:v>6.7752613432039796E-2</c:v>
                </c:pt>
                <c:pt idx="5">
                  <c:v>5.7475457456920433E-2</c:v>
                </c:pt>
              </c:numCache>
            </c:numRef>
          </c:val>
          <c:extLst>
            <c:ext xmlns:c16="http://schemas.microsoft.com/office/drawing/2014/chart" uri="{C3380CC4-5D6E-409C-BE32-E72D297353CC}">
              <c16:uniqueId val="{00000001-A5AA-4841-BFF6-C974B82CED30}"/>
            </c:ext>
          </c:extLst>
        </c:ser>
        <c:dLbls>
          <c:showLegendKey val="0"/>
          <c:showVal val="0"/>
          <c:showCatName val="0"/>
          <c:showSerName val="0"/>
          <c:showPercent val="0"/>
          <c:showBubbleSize val="0"/>
        </c:dLbls>
        <c:gapWidth val="150"/>
        <c:overlap val="100"/>
        <c:axId val="2051721359"/>
        <c:axId val="2051720527"/>
      </c:barChart>
      <c:lineChart>
        <c:grouping val="standard"/>
        <c:varyColors val="0"/>
        <c:ser>
          <c:idx val="2"/>
          <c:order val="2"/>
          <c:tx>
            <c:strRef>
              <c:f>'[Evaluación a Municipalidades.xlsx]Sector - Obligaciones Financier'!$G$3</c:f>
              <c:strCache>
                <c:ptCount val="1"/>
                <c:pt idx="0">
                  <c:v>Total Obligaciones Financieras</c:v>
                </c:pt>
              </c:strCache>
            </c:strRef>
          </c:tx>
          <c:spPr>
            <a:ln w="34925" cap="rnd">
              <a:noFill/>
              <a:round/>
            </a:ln>
            <a:effectLst>
              <a:outerShdw blurRad="57150" dist="19050" dir="5400000" algn="ctr" rotWithShape="0">
                <a:srgbClr val="000000">
                  <a:alpha val="63000"/>
                </a:srgbClr>
              </a:outerShdw>
            </a:effectLst>
          </c:spPr>
          <c:marker>
            <c:symbol val="dash"/>
            <c:size val="3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5875">
                <a:solidFill>
                  <a:schemeClr val="tx1"/>
                </a:solidFill>
                <a:round/>
              </a:ln>
              <a:effectLst>
                <a:outerShdw blurRad="57150" dist="19050" dir="5400000" algn="ctr" rotWithShape="0">
                  <a:srgbClr val="000000">
                    <a:alpha val="63000"/>
                  </a:srgbClr>
                </a:outerShdw>
              </a:effectLst>
            </c:spPr>
          </c:marker>
          <c:dLbls>
            <c:dLbl>
              <c:idx val="0"/>
              <c:layout>
                <c:manualLayout>
                  <c:x val="-8.9108748004437605E-2"/>
                  <c:y val="-8.66566147316691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AA-4841-BFF6-C974B82CED30}"/>
                </c:ext>
              </c:extLst>
            </c:dLbl>
            <c:dLbl>
              <c:idx val="1"/>
              <c:layout>
                <c:manualLayout>
                  <c:x val="-8.0889899071894367E-2"/>
                  <c:y val="-9.1748478248729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AA-4841-BFF6-C974B82CED30}"/>
                </c:ext>
              </c:extLst>
            </c:dLbl>
            <c:dLbl>
              <c:idx val="2"/>
              <c:layout>
                <c:manualLayout>
                  <c:x val="-8.0889899071894408E-2"/>
                  <c:y val="-8.2784944435137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AA-4841-BFF6-C974B82CED30}"/>
                </c:ext>
              </c:extLst>
            </c:dLbl>
            <c:dLbl>
              <c:idx val="3"/>
              <c:layout>
                <c:manualLayout>
                  <c:x val="-8.3610466217496016E-2"/>
                  <c:y val="-7.7997431172167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AA-4841-BFF6-C974B82CED30}"/>
                </c:ext>
              </c:extLst>
            </c:dLbl>
            <c:dLbl>
              <c:idx val="4"/>
              <c:layout>
                <c:manualLayout>
                  <c:x val="-8.0832535108369186E-2"/>
                  <c:y val="-8.0951024738928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AA-4841-BFF6-C974B82CED30}"/>
                </c:ext>
              </c:extLst>
            </c:dLbl>
            <c:dLbl>
              <c:idx val="5"/>
              <c:layout>
                <c:manualLayout>
                  <c:x val="-4.3680818248234533E-2"/>
                  <c:y val="-8.6128888144301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AA-4841-BFF6-C974B82CED30}"/>
                </c:ext>
              </c:extLst>
            </c:dLbl>
            <c:spPr>
              <a:noFill/>
              <a:ln w="6350">
                <a:solidFill>
                  <a:sysClr val="windowText" lastClr="000000"/>
                </a:solidFill>
              </a:ln>
              <a:effectLst>
                <a:outerShdw blurRad="50800" dist="38100" dir="18900000" algn="bl" rotWithShape="0">
                  <a:prstClr val="black">
                    <a:alpha val="40000"/>
                  </a:prstClr>
                </a:outerShdw>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Financier'!$A$4:$A$9</c:f>
              <c:numCache>
                <c:formatCode>General</c:formatCode>
                <c:ptCount val="6"/>
                <c:pt idx="0">
                  <c:v>2016</c:v>
                </c:pt>
                <c:pt idx="1">
                  <c:v>2017</c:v>
                </c:pt>
                <c:pt idx="2">
                  <c:v>2018</c:v>
                </c:pt>
                <c:pt idx="3">
                  <c:v>2019</c:v>
                </c:pt>
                <c:pt idx="4">
                  <c:v>2020</c:v>
                </c:pt>
                <c:pt idx="5">
                  <c:v>2021</c:v>
                </c:pt>
              </c:numCache>
            </c:numRef>
          </c:cat>
          <c:val>
            <c:numRef>
              <c:f>'[Evaluación a Municipalidades.xlsx]Sector - Obligaciones Financier'!$G$4:$G$9</c:f>
              <c:numCache>
                <c:formatCode>0.0%</c:formatCode>
                <c:ptCount val="6"/>
                <c:pt idx="0">
                  <c:v>0.18666793400296616</c:v>
                </c:pt>
                <c:pt idx="1">
                  <c:v>0.18361721711411169</c:v>
                </c:pt>
                <c:pt idx="2">
                  <c:v>0.16721546283139468</c:v>
                </c:pt>
                <c:pt idx="3">
                  <c:v>0.12234488952865143</c:v>
                </c:pt>
                <c:pt idx="4">
                  <c:v>0.14944352220738766</c:v>
                </c:pt>
                <c:pt idx="5">
                  <c:v>0.1371345711563032</c:v>
                </c:pt>
              </c:numCache>
            </c:numRef>
          </c:val>
          <c:smooth val="0"/>
          <c:extLst>
            <c:ext xmlns:c16="http://schemas.microsoft.com/office/drawing/2014/chart" uri="{C3380CC4-5D6E-409C-BE32-E72D297353CC}">
              <c16:uniqueId val="{00000008-A5AA-4841-BFF6-C974B82CED30}"/>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none"/>
        <c:minorTickMark val="none"/>
        <c:tickLblPos val="nextTo"/>
        <c:crossAx val="2051721359"/>
        <c:crosses val="autoZero"/>
        <c:crossBetween val="between"/>
      </c:valAx>
      <c:spPr>
        <a:noFill/>
        <a:ln>
          <a:noFill/>
        </a:ln>
        <a:effectLst/>
      </c:spPr>
    </c:plotArea>
    <c:legend>
      <c:legendPos val="b"/>
      <c:layout>
        <c:manualLayout>
          <c:xMode val="edge"/>
          <c:yMode val="edge"/>
          <c:x val="6.1539627134237086E-2"/>
          <c:y val="0.91334896967666279"/>
          <c:w val="0.87692060367454072"/>
          <c:h val="8.0716696127269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i="1">
                <a:solidFill>
                  <a:sysClr val="windowText" lastClr="000000"/>
                </a:solidFill>
              </a:rPr>
              <a:t>Cantidad de Municipalidades según el valor de sus</a:t>
            </a:r>
            <a:r>
              <a:rPr lang="en-US" sz="900" b="0" i="1" baseline="0">
                <a:solidFill>
                  <a:sysClr val="windowText" lastClr="000000"/>
                </a:solidFill>
              </a:rPr>
              <a:t> obligaciones financieras</a:t>
            </a:r>
            <a:endParaRPr lang="en-US" sz="900" b="0" i="1">
              <a:solidFill>
                <a:sysClr val="windowText" lastClr="000000"/>
              </a:solidFill>
            </a:endParaRPr>
          </a:p>
        </c:rich>
      </c:tx>
      <c:layout>
        <c:manualLayout>
          <c:xMode val="edge"/>
          <c:yMode val="edge"/>
          <c:x val="0.23731285101459093"/>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27597340986582286"/>
          <c:y val="0.12096979540992817"/>
          <c:w val="0.69225088919959776"/>
          <c:h val="0.66648978881517285"/>
        </c:manualLayout>
      </c:layout>
      <c:barChart>
        <c:barDir val="bar"/>
        <c:grouping val="clustered"/>
        <c:varyColors val="0"/>
        <c:ser>
          <c:idx val="0"/>
          <c:order val="0"/>
          <c:tx>
            <c:strRef>
              <c:f>'[Evaluación a Municipalidades.xlsx]Individual - Obligaciones Finan'!$M$4</c:f>
              <c:strCache>
                <c:ptCount val="1"/>
                <c:pt idx="0">
                  <c:v>Total Obligaciones Financieras</c:v>
                </c:pt>
              </c:strCache>
            </c:strRef>
          </c:tx>
          <c:spPr>
            <a:solidFill>
              <a:srgbClr val="FF0000"/>
            </a:solidFill>
            <a:ln w="15875">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solidFill>
              <a:ln w="15875">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8C3-406B-B2E1-95B2A960F115}"/>
              </c:ext>
            </c:extLst>
          </c:dPt>
          <c:dPt>
            <c:idx val="1"/>
            <c:invertIfNegative val="0"/>
            <c:bubble3D val="0"/>
            <c:spPr>
              <a:solidFill>
                <a:schemeClr val="accent6"/>
              </a:solidFill>
              <a:ln w="15875">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8C3-406B-B2E1-95B2A960F115}"/>
              </c:ext>
            </c:extLst>
          </c:dPt>
          <c:dPt>
            <c:idx val="2"/>
            <c:invertIfNegative val="0"/>
            <c:bubble3D val="0"/>
            <c:spPr>
              <a:solidFill>
                <a:schemeClr val="accent4"/>
              </a:solidFill>
              <a:ln w="15875">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8C3-406B-B2E1-95B2A960F115}"/>
              </c:ext>
            </c:extLst>
          </c:dPt>
          <c:dPt>
            <c:idx val="3"/>
            <c:invertIfNegative val="0"/>
            <c:bubble3D val="0"/>
            <c:spPr>
              <a:solidFill>
                <a:schemeClr val="accent4"/>
              </a:solidFill>
              <a:ln w="15875">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8C3-406B-B2E1-95B2A960F1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Municipalidades.xlsx]Individual - Obligaciones Finan'!$J$5:$J$10</c:f>
              <c:strCache>
                <c:ptCount val="6"/>
                <c:pt idx="0">
                  <c:v>Entidades con 0%</c:v>
                </c:pt>
                <c:pt idx="1">
                  <c:v>Entidades entre 0.01 y 5%</c:v>
                </c:pt>
                <c:pt idx="2">
                  <c:v>Entidades entre 5.01 y 10%</c:v>
                </c:pt>
                <c:pt idx="3">
                  <c:v>Entidades entre 10.01 y 20%</c:v>
                </c:pt>
                <c:pt idx="4">
                  <c:v>Entidades entre 20.01 y 50%</c:v>
                </c:pt>
                <c:pt idx="5">
                  <c:v>Mas de 50%</c:v>
                </c:pt>
              </c:strCache>
            </c:strRef>
          </c:cat>
          <c:val>
            <c:numRef>
              <c:f>'[Evaluación a Municipalidades.xlsx]Individual - Obligaciones Finan'!$M$5:$M$10</c:f>
              <c:numCache>
                <c:formatCode>General</c:formatCode>
                <c:ptCount val="6"/>
                <c:pt idx="0">
                  <c:v>9</c:v>
                </c:pt>
                <c:pt idx="1">
                  <c:v>209</c:v>
                </c:pt>
                <c:pt idx="2">
                  <c:v>47</c:v>
                </c:pt>
                <c:pt idx="3">
                  <c:v>40</c:v>
                </c:pt>
                <c:pt idx="4">
                  <c:v>31</c:v>
                </c:pt>
                <c:pt idx="5">
                  <c:v>4</c:v>
                </c:pt>
              </c:numCache>
            </c:numRef>
          </c:val>
          <c:extLst>
            <c:ext xmlns:c16="http://schemas.microsoft.com/office/drawing/2014/chart" uri="{C3380CC4-5D6E-409C-BE32-E72D297353CC}">
              <c16:uniqueId val="{00000008-B8C3-406B-B2E1-95B2A960F115}"/>
            </c:ext>
          </c:extLst>
        </c:ser>
        <c:dLbls>
          <c:showLegendKey val="0"/>
          <c:showVal val="0"/>
          <c:showCatName val="0"/>
          <c:showSerName val="0"/>
          <c:showPercent val="0"/>
          <c:showBubbleSize val="0"/>
        </c:dLbls>
        <c:gapWidth val="115"/>
        <c:overlap val="-20"/>
        <c:axId val="2104965104"/>
        <c:axId val="2104967600"/>
      </c:barChart>
      <c:catAx>
        <c:axId val="210496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a:t>Valor de sus</a:t>
                </a:r>
                <a:r>
                  <a:rPr lang="es-GT" sz="700" baseline="0"/>
                  <a:t>  Obligaciones</a:t>
                </a:r>
                <a:endParaRPr lang="es-GT" sz="700"/>
              </a:p>
              <a:p>
                <a:pPr>
                  <a:defRPr sz="700"/>
                </a:pPr>
                <a:r>
                  <a:rPr lang="es-GT" sz="700"/>
                  <a:t>respecto a sus ingresos</a:t>
                </a:r>
              </a:p>
            </c:rich>
          </c:tx>
          <c:layout>
            <c:manualLayout>
              <c:xMode val="edge"/>
              <c:yMode val="edge"/>
              <c:x val="1.0752688172043011E-3"/>
              <c:y val="0.17045366421093447"/>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104967600"/>
        <c:crosses val="autoZero"/>
        <c:auto val="1"/>
        <c:lblAlgn val="ctr"/>
        <c:lblOffset val="100"/>
        <c:noMultiLvlLbl val="0"/>
      </c:catAx>
      <c:valAx>
        <c:axId val="2104967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Cantidad de Municipalidades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496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900" b="0" i="1" u="sng">
                <a:solidFill>
                  <a:sysClr val="windowText" lastClr="000000"/>
                </a:solidFill>
              </a:rPr>
              <a:t>Con </a:t>
            </a:r>
            <a:r>
              <a:rPr lang="es-GT" sz="900" b="1" i="1" u="sng">
                <a:solidFill>
                  <a:sysClr val="windowText" lastClr="000000"/>
                </a:solidFill>
              </a:rPr>
              <a:t>mayores</a:t>
            </a:r>
            <a:r>
              <a:rPr lang="es-GT" sz="900" b="0" i="1" u="sng">
                <a:solidFill>
                  <a:sysClr val="windowText" lastClr="000000"/>
                </a:solidFill>
              </a:rPr>
              <a:t> obligaciones financieras</a:t>
            </a:r>
          </a:p>
        </c:rich>
      </c:tx>
      <c:layout>
        <c:manualLayout>
          <c:xMode val="edge"/>
          <c:yMode val="edge"/>
          <c:x val="0.3623122929305968"/>
          <c:y val="0"/>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20630175178441296"/>
          <c:y val="0"/>
          <c:w val="0.7936982482155871"/>
          <c:h val="0.52640842495307283"/>
        </c:manualLayout>
      </c:layout>
      <c:barChart>
        <c:barDir val="col"/>
        <c:grouping val="stacked"/>
        <c:varyColors val="0"/>
        <c:ser>
          <c:idx val="0"/>
          <c:order val="0"/>
          <c:tx>
            <c:strRef>
              <c:f>'[Evaluación a Municipalidades.xlsx]Individual - Obligaciones Finan'!$K$4</c:f>
              <c:strCache>
                <c:ptCount val="1"/>
                <c:pt idx="0">
                  <c:v>Endeudamiento</c:v>
                </c:pt>
              </c:strCache>
            </c:strRef>
          </c:tx>
          <c:spPr>
            <a:solidFill>
              <a:srgbClr val="FF0000"/>
            </a:solidFill>
            <a:ln w="15875">
              <a:solidFill>
                <a:sysClr val="windowText" lastClr="000000"/>
              </a:solidFill>
            </a:ln>
            <a:effectLst>
              <a:outerShdw blurRad="57150" dist="19050" dir="5400000" algn="ctr" rotWithShape="0">
                <a:srgbClr val="000000">
                  <a:alpha val="63000"/>
                </a:srgbClr>
              </a:outerShdw>
            </a:effectLst>
          </c:spPr>
          <c:invertIfNegative val="0"/>
          <c:cat>
            <c:strRef>
              <c:f>'[Evaluación a Municipalidades.xlsx]Individual - Obligaciones Finan'!$C$5:$C$14</c:f>
              <c:strCache>
                <c:ptCount val="10"/>
                <c:pt idx="0">
                  <c:v>SAN MIGUEL POCHUTA</c:v>
                </c:pt>
                <c:pt idx="1">
                  <c:v>GUATEMALA</c:v>
                </c:pt>
                <c:pt idx="2">
                  <c:v>SAN LORENZO (SUCHITEPÉQUEZ)</c:v>
                </c:pt>
                <c:pt idx="3">
                  <c:v>CATARINA</c:v>
                </c:pt>
                <c:pt idx="4">
                  <c:v>ESCUINTLA</c:v>
                </c:pt>
                <c:pt idx="5">
                  <c:v>SAN ANTONIO ILOTENANGO</c:v>
                </c:pt>
                <c:pt idx="6">
                  <c:v>SANTO DOMINGO SUCHITEPÉQUEZ</c:v>
                </c:pt>
                <c:pt idx="7">
                  <c:v>SAN MANUEL CHAPARRÓN</c:v>
                </c:pt>
                <c:pt idx="8">
                  <c:v>EL JÍCARO</c:v>
                </c:pt>
                <c:pt idx="9">
                  <c:v>LA LIBERTAD (PETÉN)</c:v>
                </c:pt>
              </c:strCache>
            </c:strRef>
          </c:cat>
          <c:val>
            <c:numRef>
              <c:f>'[Evaluación a Municipalidades.xlsx]Individual - Obligaciones Finan'!$D$5:$D$14</c:f>
              <c:numCache>
                <c:formatCode>0.0%</c:formatCode>
                <c:ptCount val="10"/>
                <c:pt idx="0">
                  <c:v>0.75595324922646112</c:v>
                </c:pt>
                <c:pt idx="1">
                  <c:v>0.38150715102603172</c:v>
                </c:pt>
                <c:pt idx="2">
                  <c:v>0.49984603144544854</c:v>
                </c:pt>
                <c:pt idx="3">
                  <c:v>0.59213308583255997</c:v>
                </c:pt>
                <c:pt idx="4">
                  <c:v>7.7181276326624901E-2</c:v>
                </c:pt>
                <c:pt idx="5">
                  <c:v>0.41589068366800358</c:v>
                </c:pt>
                <c:pt idx="6">
                  <c:v>0.2479295419703012</c:v>
                </c:pt>
                <c:pt idx="7">
                  <c:v>0.37446468215936346</c:v>
                </c:pt>
                <c:pt idx="8">
                  <c:v>0.34130694239902676</c:v>
                </c:pt>
                <c:pt idx="9">
                  <c:v>0.31302679671018979</c:v>
                </c:pt>
              </c:numCache>
            </c:numRef>
          </c:val>
          <c:extLst>
            <c:ext xmlns:c16="http://schemas.microsoft.com/office/drawing/2014/chart" uri="{C3380CC4-5D6E-409C-BE32-E72D297353CC}">
              <c16:uniqueId val="{00000000-AB1A-4516-A240-5CE6FCF3A0EC}"/>
            </c:ext>
          </c:extLst>
        </c:ser>
        <c:ser>
          <c:idx val="1"/>
          <c:order val="1"/>
          <c:tx>
            <c:strRef>
              <c:f>'[Evaluación a Municipalidades.xlsx]Individual - Obligaciones Finan'!$L$4</c:f>
              <c:strCache>
                <c:ptCount val="1"/>
                <c:pt idx="0">
                  <c:v>Otras Obligaciones</c:v>
                </c:pt>
              </c:strCache>
            </c:strRef>
          </c:tx>
          <c:spPr>
            <a:solidFill>
              <a:srgbClr val="FFB3B3"/>
            </a:solidFill>
            <a:ln w="15875">
              <a:solidFill>
                <a:sysClr val="windowText" lastClr="000000"/>
              </a:solidFill>
            </a:ln>
            <a:effectLst>
              <a:outerShdw blurRad="57150" dist="19050" dir="5400000" algn="ctr" rotWithShape="0">
                <a:srgbClr val="000000">
                  <a:alpha val="63000"/>
                </a:srgbClr>
              </a:outerShdw>
            </a:effectLst>
          </c:spPr>
          <c:invertIfNegative val="0"/>
          <c:cat>
            <c:strRef>
              <c:f>'[Evaluación a Municipalidades.xlsx]Individual - Obligaciones Finan'!$C$5:$C$14</c:f>
              <c:strCache>
                <c:ptCount val="10"/>
                <c:pt idx="0">
                  <c:v>SAN MIGUEL POCHUTA</c:v>
                </c:pt>
                <c:pt idx="1">
                  <c:v>GUATEMALA</c:v>
                </c:pt>
                <c:pt idx="2">
                  <c:v>SAN LORENZO (SUCHITEPÉQUEZ)</c:v>
                </c:pt>
                <c:pt idx="3">
                  <c:v>CATARINA</c:v>
                </c:pt>
                <c:pt idx="4">
                  <c:v>ESCUINTLA</c:v>
                </c:pt>
                <c:pt idx="5">
                  <c:v>SAN ANTONIO ILOTENANGO</c:v>
                </c:pt>
                <c:pt idx="6">
                  <c:v>SANTO DOMINGO SUCHITEPÉQUEZ</c:v>
                </c:pt>
                <c:pt idx="7">
                  <c:v>SAN MANUEL CHAPARRÓN</c:v>
                </c:pt>
                <c:pt idx="8">
                  <c:v>EL JÍCARO</c:v>
                </c:pt>
                <c:pt idx="9">
                  <c:v>LA LIBERTAD (PETÉN)</c:v>
                </c:pt>
              </c:strCache>
            </c:strRef>
          </c:cat>
          <c:val>
            <c:numRef>
              <c:f>'[Evaluación a Municipalidades.xlsx]Individual - Obligaciones Finan'!$E$5:$E$14</c:f>
              <c:numCache>
                <c:formatCode>0.0%</c:formatCode>
                <c:ptCount val="10"/>
                <c:pt idx="0">
                  <c:v>1.7472083459252771E-2</c:v>
                </c:pt>
                <c:pt idx="1">
                  <c:v>0.337298922231281</c:v>
                </c:pt>
                <c:pt idx="2">
                  <c:v>0.12547939267007902</c:v>
                </c:pt>
                <c:pt idx="3">
                  <c:v>6.1718833118288956E-3</c:v>
                </c:pt>
                <c:pt idx="4">
                  <c:v>0.3826687595935318</c:v>
                </c:pt>
                <c:pt idx="5">
                  <c:v>2.5122087504105831E-2</c:v>
                </c:pt>
                <c:pt idx="6">
                  <c:v>0.16560848853795543</c:v>
                </c:pt>
                <c:pt idx="7">
                  <c:v>2.1616499311387868E-2</c:v>
                </c:pt>
                <c:pt idx="8">
                  <c:v>3.2818699606451895E-2</c:v>
                </c:pt>
                <c:pt idx="9">
                  <c:v>5.0522642955875011E-2</c:v>
                </c:pt>
              </c:numCache>
            </c:numRef>
          </c:val>
          <c:extLst>
            <c:ext xmlns:c16="http://schemas.microsoft.com/office/drawing/2014/chart" uri="{C3380CC4-5D6E-409C-BE32-E72D297353CC}">
              <c16:uniqueId val="{00000001-AB1A-4516-A240-5CE6FCF3A0EC}"/>
            </c:ext>
          </c:extLst>
        </c:ser>
        <c:dLbls>
          <c:showLegendKey val="0"/>
          <c:showVal val="0"/>
          <c:showCatName val="0"/>
          <c:showSerName val="0"/>
          <c:showPercent val="0"/>
          <c:showBubbleSize val="0"/>
        </c:dLbls>
        <c:gapWidth val="87"/>
        <c:overlap val="100"/>
        <c:axId val="2051721359"/>
        <c:axId val="2051720527"/>
      </c:barChart>
      <c:lineChart>
        <c:grouping val="stacked"/>
        <c:varyColors val="0"/>
        <c:ser>
          <c:idx val="2"/>
          <c:order val="2"/>
          <c:tx>
            <c:strRef>
              <c:f>'[Evaluación a Municipalidades.xlsx]Individual - Obligaciones Finan'!$M$4</c:f>
              <c:strCache>
                <c:ptCount val="1"/>
                <c:pt idx="0">
                  <c:v>Total Obligaciones Financieras</c:v>
                </c:pt>
              </c:strCache>
            </c:strRef>
          </c:tx>
          <c:spPr>
            <a:ln w="34925" cap="rnd">
              <a:noFill/>
              <a:round/>
            </a:ln>
            <a:effectLst>
              <a:outerShdw blurRad="57150" dist="19050" dir="5400000" algn="ctr" rotWithShape="0">
                <a:srgbClr val="000000">
                  <a:alpha val="63000"/>
                </a:srgbClr>
              </a:outerShdw>
            </a:effectLst>
          </c:spPr>
          <c:marker>
            <c:symbol val="dash"/>
            <c:size val="2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5875">
                <a:solidFill>
                  <a:sysClr val="windowText" lastClr="000000"/>
                </a:solidFill>
                <a:round/>
              </a:ln>
              <a:effectLst>
                <a:outerShdw blurRad="57150" dist="19050" dir="5400000" algn="ctr" rotWithShape="0">
                  <a:srgbClr val="000000">
                    <a:alpha val="63000"/>
                  </a:srgbClr>
                </a:outerShdw>
              </a:effectLst>
            </c:spPr>
          </c:marker>
          <c:cat>
            <c:strRef>
              <c:f>'[Evaluación a Municipalidades.xlsx]Individual - Obligaciones Finan'!$C$5:$C$14</c:f>
              <c:strCache>
                <c:ptCount val="10"/>
                <c:pt idx="0">
                  <c:v>SAN MIGUEL POCHUTA</c:v>
                </c:pt>
                <c:pt idx="1">
                  <c:v>GUATEMALA</c:v>
                </c:pt>
                <c:pt idx="2">
                  <c:v>SAN LORENZO (SUCHITEPÉQUEZ)</c:v>
                </c:pt>
                <c:pt idx="3">
                  <c:v>CATARINA</c:v>
                </c:pt>
                <c:pt idx="4">
                  <c:v>ESCUINTLA</c:v>
                </c:pt>
                <c:pt idx="5">
                  <c:v>SAN ANTONIO ILOTENANGO</c:v>
                </c:pt>
                <c:pt idx="6">
                  <c:v>SANTO DOMINGO SUCHITEPÉQUEZ</c:v>
                </c:pt>
                <c:pt idx="7">
                  <c:v>SAN MANUEL CHAPARRÓN</c:v>
                </c:pt>
                <c:pt idx="8">
                  <c:v>EL JÍCARO</c:v>
                </c:pt>
                <c:pt idx="9">
                  <c:v>LA LIBERTAD (PETÉN)</c:v>
                </c:pt>
              </c:strCache>
            </c:strRef>
          </c:cat>
          <c:val>
            <c:numRef>
              <c:f>'[Evaluación a Municipalidades.xlsx]Individual - Obligaciones Finan'!$F$5:$F$14</c:f>
              <c:numCache>
                <c:formatCode>0.0%</c:formatCode>
                <c:ptCount val="10"/>
                <c:pt idx="0">
                  <c:v>0.7734253326857139</c:v>
                </c:pt>
                <c:pt idx="1">
                  <c:v>0.71880607325731272</c:v>
                </c:pt>
                <c:pt idx="2">
                  <c:v>0.6253254241155275</c:v>
                </c:pt>
                <c:pt idx="3">
                  <c:v>0.5983049691443888</c:v>
                </c:pt>
                <c:pt idx="4">
                  <c:v>0.45985003592015666</c:v>
                </c:pt>
                <c:pt idx="5">
                  <c:v>0.44101277117210946</c:v>
                </c:pt>
                <c:pt idx="6">
                  <c:v>0.41353803050825666</c:v>
                </c:pt>
                <c:pt idx="7">
                  <c:v>0.39608118147075139</c:v>
                </c:pt>
                <c:pt idx="8">
                  <c:v>0.37412564200547865</c:v>
                </c:pt>
                <c:pt idx="9">
                  <c:v>0.36354943966606479</c:v>
                </c:pt>
              </c:numCache>
            </c:numRef>
          </c:val>
          <c:smooth val="0"/>
          <c:extLst>
            <c:ext xmlns:c16="http://schemas.microsoft.com/office/drawing/2014/chart" uri="{C3380CC4-5D6E-409C-BE32-E72D297353CC}">
              <c16:uniqueId val="{00000002-AB1A-4516-A240-5CE6FCF3A0EC}"/>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900" b="0" i="1" u="sng">
                <a:solidFill>
                  <a:sysClr val="windowText" lastClr="000000"/>
                </a:solidFill>
              </a:rPr>
              <a:t>Con </a:t>
            </a:r>
            <a:r>
              <a:rPr lang="es-GT" sz="900" b="1" i="1" u="sng">
                <a:solidFill>
                  <a:sysClr val="windowText" lastClr="000000"/>
                </a:solidFill>
              </a:rPr>
              <a:t>menores</a:t>
            </a:r>
            <a:r>
              <a:rPr lang="es-GT" sz="900" b="0" i="1" u="sng">
                <a:solidFill>
                  <a:sysClr val="windowText" lastClr="000000"/>
                </a:solidFill>
              </a:rPr>
              <a:t> obligaciones financieras</a:t>
            </a:r>
          </a:p>
        </c:rich>
      </c:tx>
      <c:layout>
        <c:manualLayout>
          <c:xMode val="edge"/>
          <c:yMode val="edge"/>
          <c:x val="0.3623122929305968"/>
          <c:y val="0"/>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20630175178441296"/>
          <c:y val="0"/>
          <c:w val="0.7936982482155871"/>
          <c:h val="0.52640842495307283"/>
        </c:manualLayout>
      </c:layout>
      <c:barChart>
        <c:barDir val="col"/>
        <c:grouping val="stacked"/>
        <c:varyColors val="0"/>
        <c:ser>
          <c:idx val="0"/>
          <c:order val="0"/>
          <c:tx>
            <c:strRef>
              <c:f>'[Evaluación a Municipalidades.xlsx]Individual - Obligaciones Finan'!$K$4</c:f>
              <c:strCache>
                <c:ptCount val="1"/>
                <c:pt idx="0">
                  <c:v>Endeudamiento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5875">
              <a:solidFill>
                <a:sysClr val="windowText" lastClr="000000"/>
              </a:solidFill>
            </a:ln>
            <a:effectLst>
              <a:outerShdw blurRad="57150" dist="19050" dir="5400000" algn="ctr" rotWithShape="0">
                <a:srgbClr val="000000">
                  <a:alpha val="63000"/>
                </a:srgbClr>
              </a:outerShdw>
            </a:effectLst>
          </c:spPr>
          <c:invertIfNegative val="0"/>
          <c:cat>
            <c:strRef>
              <c:f>'[Evaluación a Municipalidades.xlsx]Individual - Obligaciones Finan'!$C$326:$C$335</c:f>
              <c:strCache>
                <c:ptCount val="10"/>
                <c:pt idx="0">
                  <c:v>SAN JUAN OLINTEPEQUE</c:v>
                </c:pt>
                <c:pt idx="1">
                  <c:v>SAN PABLO</c:v>
                </c:pt>
                <c:pt idx="2">
                  <c:v>SAN CARLOS SIJA</c:v>
                </c:pt>
                <c:pt idx="3">
                  <c:v>SANTO TOMAS CHICHICASTENANGO</c:v>
                </c:pt>
                <c:pt idx="4">
                  <c:v>NUEVO SAN CARLOS</c:v>
                </c:pt>
                <c:pt idx="5">
                  <c:v>BARBERENA</c:v>
                </c:pt>
                <c:pt idx="6">
                  <c:v>PATZITE</c:v>
                </c:pt>
                <c:pt idx="7">
                  <c:v>TACANA</c:v>
                </c:pt>
                <c:pt idx="8">
                  <c:v>RIO BLANCO</c:v>
                </c:pt>
                <c:pt idx="9">
                  <c:v>SAN ANDRÉS SEMETABAJ</c:v>
                </c:pt>
              </c:strCache>
            </c:strRef>
          </c:cat>
          <c:val>
            <c:numRef>
              <c:f>'[Evaluación a Municipalidades.xlsx]Individual - Obligaciones Finan'!$D$326:$D$335</c:f>
              <c:numCache>
                <c:formatCode>0.00%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2614-493C-BF8F-EE19EC1001E1}"/>
            </c:ext>
          </c:extLst>
        </c:ser>
        <c:ser>
          <c:idx val="1"/>
          <c:order val="1"/>
          <c:tx>
            <c:strRef>
              <c:f>'[Evaluación a Municipalidades.xlsx]Individual - Obligaciones Finan'!$L$4</c:f>
              <c:strCache>
                <c:ptCount val="1"/>
                <c:pt idx="0">
                  <c:v>Otras Obligaciones</c:v>
                </c:pt>
              </c:strCache>
            </c:strRef>
          </c:tx>
          <c:spPr>
            <a:solidFill>
              <a:srgbClr val="70AD47"/>
            </a:solidFill>
            <a:ln w="15875">
              <a:solidFill>
                <a:sysClr val="windowText" lastClr="000000"/>
              </a:solidFill>
            </a:ln>
            <a:effectLst>
              <a:outerShdw blurRad="57150" dist="19050" dir="5400000" algn="ctr" rotWithShape="0">
                <a:srgbClr val="000000">
                  <a:alpha val="63000"/>
                </a:srgbClr>
              </a:outerShdw>
            </a:effectLst>
          </c:spPr>
          <c:invertIfNegative val="0"/>
          <c:cat>
            <c:strRef>
              <c:f>'[Evaluación a Municipalidades.xlsx]Individual - Obligaciones Finan'!$C$326:$C$335</c:f>
              <c:strCache>
                <c:ptCount val="10"/>
                <c:pt idx="0">
                  <c:v>SAN JUAN OLINTEPEQUE</c:v>
                </c:pt>
                <c:pt idx="1">
                  <c:v>SAN PABLO</c:v>
                </c:pt>
                <c:pt idx="2">
                  <c:v>SAN CARLOS SIJA</c:v>
                </c:pt>
                <c:pt idx="3">
                  <c:v>SANTO TOMAS CHICHICASTENANGO</c:v>
                </c:pt>
                <c:pt idx="4">
                  <c:v>NUEVO SAN CARLOS</c:v>
                </c:pt>
                <c:pt idx="5">
                  <c:v>BARBERENA</c:v>
                </c:pt>
                <c:pt idx="6">
                  <c:v>PATZITE</c:v>
                </c:pt>
                <c:pt idx="7">
                  <c:v>TACANA</c:v>
                </c:pt>
                <c:pt idx="8">
                  <c:v>RIO BLANCO</c:v>
                </c:pt>
                <c:pt idx="9">
                  <c:v>SAN ANDRÉS SEMETABAJ</c:v>
                </c:pt>
              </c:strCache>
            </c:strRef>
          </c:cat>
          <c:val>
            <c:numRef>
              <c:f>'[Evaluación a Municipalidades.xlsx]Individual - Obligaciones Finan'!$E$326:$E$335</c:f>
              <c:numCache>
                <c:formatCode>0.00%</c:formatCode>
                <c:ptCount val="10"/>
                <c:pt idx="0">
                  <c:v>6.016245275728304E-4</c:v>
                </c:pt>
                <c:pt idx="1">
                  <c:v>5.7272357002165772E-4</c:v>
                </c:pt>
                <c:pt idx="2">
                  <c:v>5.0764003463479065E-4</c:v>
                </c:pt>
                <c:pt idx="3">
                  <c:v>3.8270017411056877E-4</c:v>
                </c:pt>
                <c:pt idx="4">
                  <c:v>3.772460354218533E-4</c:v>
                </c:pt>
                <c:pt idx="5">
                  <c:v>2.9305153435325366E-4</c:v>
                </c:pt>
                <c:pt idx="6">
                  <c:v>2.7754878060897467E-4</c:v>
                </c:pt>
                <c:pt idx="7">
                  <c:v>2.7401125860386212E-4</c:v>
                </c:pt>
                <c:pt idx="8">
                  <c:v>2.1287941702094834E-4</c:v>
                </c:pt>
                <c:pt idx="9">
                  <c:v>1.601980469600505E-4</c:v>
                </c:pt>
              </c:numCache>
            </c:numRef>
          </c:val>
          <c:extLst>
            <c:ext xmlns:c16="http://schemas.microsoft.com/office/drawing/2014/chart" uri="{C3380CC4-5D6E-409C-BE32-E72D297353CC}">
              <c16:uniqueId val="{00000001-2614-493C-BF8F-EE19EC1001E1}"/>
            </c:ext>
          </c:extLst>
        </c:ser>
        <c:dLbls>
          <c:showLegendKey val="0"/>
          <c:showVal val="0"/>
          <c:showCatName val="0"/>
          <c:showSerName val="0"/>
          <c:showPercent val="0"/>
          <c:showBubbleSize val="0"/>
        </c:dLbls>
        <c:gapWidth val="87"/>
        <c:overlap val="100"/>
        <c:axId val="2051721359"/>
        <c:axId val="2051720527"/>
      </c:barChart>
      <c:lineChart>
        <c:grouping val="stacked"/>
        <c:varyColors val="0"/>
        <c:ser>
          <c:idx val="2"/>
          <c:order val="2"/>
          <c:tx>
            <c:strRef>
              <c:f>'[Evaluación a Municipalidades.xlsx]Individual - Obligaciones Finan'!$M$4</c:f>
              <c:strCache>
                <c:ptCount val="1"/>
                <c:pt idx="0">
                  <c:v>Total Obligaciones Financieras</c:v>
                </c:pt>
              </c:strCache>
            </c:strRef>
          </c:tx>
          <c:spPr>
            <a:ln w="25400" cap="rnd">
              <a:noFill/>
              <a:round/>
            </a:ln>
            <a:effectLst>
              <a:outerShdw blurRad="57150" dist="19050" dir="5400000" algn="ctr" rotWithShape="0">
                <a:srgbClr val="000000">
                  <a:alpha val="63000"/>
                </a:srgbClr>
              </a:outerShdw>
            </a:effectLst>
          </c:spPr>
          <c:marker>
            <c:symbol val="dash"/>
            <c:size val="2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5875">
                <a:solidFill>
                  <a:sysClr val="windowText" lastClr="000000"/>
                </a:solidFill>
                <a:round/>
              </a:ln>
              <a:effectLst>
                <a:outerShdw blurRad="57150" dist="19050" dir="5400000" algn="ctr" rotWithShape="0">
                  <a:srgbClr val="000000">
                    <a:alpha val="63000"/>
                  </a:srgbClr>
                </a:outerShdw>
              </a:effectLst>
            </c:spPr>
          </c:marker>
          <c:cat>
            <c:strRef>
              <c:f>'[Evaluación a Municipalidades.xlsx]Individual - Obligaciones Finan'!$C$326:$C$335</c:f>
              <c:strCache>
                <c:ptCount val="10"/>
                <c:pt idx="0">
                  <c:v>SAN JUAN OLINTEPEQUE</c:v>
                </c:pt>
                <c:pt idx="1">
                  <c:v>SAN PABLO</c:v>
                </c:pt>
                <c:pt idx="2">
                  <c:v>SAN CARLOS SIJA</c:v>
                </c:pt>
                <c:pt idx="3">
                  <c:v>SANTO TOMAS CHICHICASTENANGO</c:v>
                </c:pt>
                <c:pt idx="4">
                  <c:v>NUEVO SAN CARLOS</c:v>
                </c:pt>
                <c:pt idx="5">
                  <c:v>BARBERENA</c:v>
                </c:pt>
                <c:pt idx="6">
                  <c:v>PATZITE</c:v>
                </c:pt>
                <c:pt idx="7">
                  <c:v>TACANA</c:v>
                </c:pt>
                <c:pt idx="8">
                  <c:v>RIO BLANCO</c:v>
                </c:pt>
                <c:pt idx="9">
                  <c:v>SAN ANDRÉS SEMETABAJ</c:v>
                </c:pt>
              </c:strCache>
            </c:strRef>
          </c:cat>
          <c:val>
            <c:numRef>
              <c:f>'[Evaluación a Municipalidades.xlsx]Individual - Obligaciones Finan'!$F$326:$F$335</c:f>
              <c:numCache>
                <c:formatCode>0.00%</c:formatCode>
                <c:ptCount val="10"/>
                <c:pt idx="0">
                  <c:v>6.016245275728304E-4</c:v>
                </c:pt>
                <c:pt idx="1">
                  <c:v>5.7272357002165772E-4</c:v>
                </c:pt>
                <c:pt idx="2">
                  <c:v>5.0764003463479065E-4</c:v>
                </c:pt>
                <c:pt idx="3">
                  <c:v>3.8270017411056877E-4</c:v>
                </c:pt>
                <c:pt idx="4">
                  <c:v>3.772460354218533E-4</c:v>
                </c:pt>
                <c:pt idx="5">
                  <c:v>2.9305153435325366E-4</c:v>
                </c:pt>
                <c:pt idx="6">
                  <c:v>2.7754878060897467E-4</c:v>
                </c:pt>
                <c:pt idx="7">
                  <c:v>2.7401125860386212E-4</c:v>
                </c:pt>
                <c:pt idx="8">
                  <c:v>2.1287941702094834E-4</c:v>
                </c:pt>
                <c:pt idx="9">
                  <c:v>1.601980469600505E-4</c:v>
                </c:pt>
              </c:numCache>
            </c:numRef>
          </c:val>
          <c:smooth val="0"/>
          <c:extLst>
            <c:ext xmlns:c16="http://schemas.microsoft.com/office/drawing/2014/chart" uri="{C3380CC4-5D6E-409C-BE32-E72D297353CC}">
              <c16:uniqueId val="{00000002-2614-493C-BF8F-EE19EC1001E1}"/>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out"/>
        <c:minorTickMark val="none"/>
        <c:tickLblPos val="nextTo"/>
        <c:crossAx val="205172135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Table>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9181783692967583"/>
          <c:w val="1"/>
          <c:h val="0.72840111800184271"/>
        </c:manualLayout>
      </c:layout>
      <c:areaChart>
        <c:grouping val="stacked"/>
        <c:varyColors val="0"/>
        <c:ser>
          <c:idx val="0"/>
          <c:order val="0"/>
          <c:tx>
            <c:strRef>
              <c:f>'[Evaluación a Municipalidades.xlsx]Sector - Obligaciones Fin (PIB)'!$E$3</c:f>
              <c:strCache>
                <c:ptCount val="1"/>
                <c:pt idx="0">
                  <c:v>Endeudamiento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 (PIB)'!$A$4:$A$9</c:f>
              <c:numCache>
                <c:formatCode>General</c:formatCode>
                <c:ptCount val="6"/>
                <c:pt idx="0">
                  <c:v>2016</c:v>
                </c:pt>
                <c:pt idx="1">
                  <c:v>2017</c:v>
                </c:pt>
                <c:pt idx="2">
                  <c:v>2018</c:v>
                </c:pt>
                <c:pt idx="3">
                  <c:v>2019</c:v>
                </c:pt>
                <c:pt idx="4">
                  <c:v>2020</c:v>
                </c:pt>
                <c:pt idx="5">
                  <c:v>2021</c:v>
                </c:pt>
              </c:numCache>
            </c:numRef>
          </c:cat>
          <c:val>
            <c:numRef>
              <c:f>'[Evaluación a Municipalidades.xlsx]Sector - Obligaciones Fin (PIB)'!$E$4:$E$9</c:f>
              <c:numCache>
                <c:formatCode>0.0%</c:formatCode>
                <c:ptCount val="6"/>
                <c:pt idx="0">
                  <c:v>2.7769571770184481E-3</c:v>
                </c:pt>
                <c:pt idx="1">
                  <c:v>2.5809536912111777E-3</c:v>
                </c:pt>
                <c:pt idx="2">
                  <c:v>2.2419718582377163E-3</c:v>
                </c:pt>
                <c:pt idx="3">
                  <c:v>1.4260463234412686E-3</c:v>
                </c:pt>
                <c:pt idx="4">
                  <c:v>1.8290690872399718E-3</c:v>
                </c:pt>
                <c:pt idx="5">
                  <c:v>1.8749410628583012E-3</c:v>
                </c:pt>
              </c:numCache>
            </c:numRef>
          </c:val>
          <c:extLst>
            <c:ext xmlns:c16="http://schemas.microsoft.com/office/drawing/2014/chart" uri="{C3380CC4-5D6E-409C-BE32-E72D297353CC}">
              <c16:uniqueId val="{00000000-FF80-49DF-AA4C-1CC9F71C0714}"/>
            </c:ext>
          </c:extLst>
        </c:ser>
        <c:ser>
          <c:idx val="1"/>
          <c:order val="1"/>
          <c:tx>
            <c:strRef>
              <c:f>'[Evaluación a Municipalidades.xlsx]Sector - Obligaciones Fin (PIB)'!$F$3</c:f>
              <c:strCache>
                <c:ptCount val="1"/>
                <c:pt idx="0">
                  <c:v>Otras obligaciones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dLbls>
            <c:dLbl>
              <c:idx val="5"/>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80-49DF-AA4C-1CC9F71C0714}"/>
                </c:ext>
              </c:extLst>
            </c:dLbl>
            <c:numFmt formatCode="0.00%" sourceLinked="0"/>
            <c:spPr>
              <a:noFill/>
              <a:ln w="12700" cap="flat" cmpd="sng" algn="ctr">
                <a:no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 (PIB)'!$A$4:$A$9</c:f>
              <c:numCache>
                <c:formatCode>General</c:formatCode>
                <c:ptCount val="6"/>
                <c:pt idx="0">
                  <c:v>2016</c:v>
                </c:pt>
                <c:pt idx="1">
                  <c:v>2017</c:v>
                </c:pt>
                <c:pt idx="2">
                  <c:v>2018</c:v>
                </c:pt>
                <c:pt idx="3">
                  <c:v>2019</c:v>
                </c:pt>
                <c:pt idx="4">
                  <c:v>2020</c:v>
                </c:pt>
                <c:pt idx="5">
                  <c:v>2021</c:v>
                </c:pt>
              </c:numCache>
            </c:numRef>
          </c:cat>
          <c:val>
            <c:numRef>
              <c:f>'[Evaluación a Municipalidades.xlsx]Sector - Obligaciones Fin (PIB)'!$F$4:$F$9</c:f>
              <c:numCache>
                <c:formatCode>0.0%</c:formatCode>
                <c:ptCount val="6"/>
                <c:pt idx="0">
                  <c:v>1.4321790376882161E-3</c:v>
                </c:pt>
                <c:pt idx="1">
                  <c:v>1.6221088205217815E-3</c:v>
                </c:pt>
                <c:pt idx="2">
                  <c:v>1.5330423546973263E-3</c:v>
                </c:pt>
                <c:pt idx="3">
                  <c:v>1.4853725465817597E-3</c:v>
                </c:pt>
                <c:pt idx="4">
                  <c:v>1.51698900974475E-3</c:v>
                </c:pt>
                <c:pt idx="5">
                  <c:v>1.3528030916741224E-3</c:v>
                </c:pt>
              </c:numCache>
            </c:numRef>
          </c:val>
          <c:extLst>
            <c:ext xmlns:c16="http://schemas.microsoft.com/office/drawing/2014/chart" uri="{C3380CC4-5D6E-409C-BE32-E72D297353CC}">
              <c16:uniqueId val="{00000001-FF80-49DF-AA4C-1CC9F71C0714}"/>
            </c:ext>
          </c:extLst>
        </c:ser>
        <c:dLbls>
          <c:showLegendKey val="0"/>
          <c:showVal val="0"/>
          <c:showCatName val="0"/>
          <c:showSerName val="0"/>
          <c:showPercent val="0"/>
          <c:showBubbleSize val="0"/>
        </c:dLbls>
        <c:axId val="2051721359"/>
        <c:axId val="2051720527"/>
      </c:areaChart>
      <c:lineChart>
        <c:grouping val="stacked"/>
        <c:varyColors val="0"/>
        <c:ser>
          <c:idx val="2"/>
          <c:order val="2"/>
          <c:tx>
            <c:strRef>
              <c:f>'[Evaluación a Municipalidades.xlsx]Sector - Obligaciones Fin (PIB)'!$G$3</c:f>
              <c:strCache>
                <c:ptCount val="1"/>
                <c:pt idx="0">
                  <c:v>Total Obligaciones Financieras</c:v>
                </c:pt>
              </c:strCache>
            </c:strRef>
          </c:tx>
          <c:spPr>
            <a:ln w="34925" cap="rnd">
              <a:solidFill>
                <a:schemeClr val="accent4"/>
              </a:solidFill>
              <a:round/>
            </a:ln>
            <a:effectLst>
              <a:outerShdw blurRad="57150" dist="19050" dir="5400000" algn="ctr" rotWithShape="0">
                <a:srgbClr val="000000">
                  <a:alpha val="63000"/>
                </a:srgbClr>
              </a:outerShdw>
            </a:effectLst>
          </c:spPr>
          <c:marker>
            <c:symbol val="dash"/>
            <c:size val="3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a:solidFill>
                  <a:schemeClr val="accent4"/>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0"/>
              <c:layout>
                <c:manualLayout>
                  <c:x val="-6.7201443569553806E-2"/>
                  <c:y val="-9.8298995811364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80-49DF-AA4C-1CC9F71C0714}"/>
                </c:ext>
              </c:extLst>
            </c:dLbl>
            <c:dLbl>
              <c:idx val="1"/>
              <c:layout>
                <c:manualLayout>
                  <c:x val="-6.4423665791776025E-2"/>
                  <c:y val="-9.0432722458365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80-49DF-AA4C-1CC9F71C0714}"/>
                </c:ext>
              </c:extLst>
            </c:dLbl>
            <c:dLbl>
              <c:idx val="2"/>
              <c:layout>
                <c:manualLayout>
                  <c:x val="-6.4423665791776025E-2"/>
                  <c:y val="-9.8298995811364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80-49DF-AA4C-1CC9F71C0714}"/>
                </c:ext>
              </c:extLst>
            </c:dLbl>
            <c:dLbl>
              <c:idx val="3"/>
              <c:layout>
                <c:manualLayout>
                  <c:x val="-5.6090332458442693E-2"/>
                  <c:y val="-0.10319584224157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80-49DF-AA4C-1CC9F71C0714}"/>
                </c:ext>
              </c:extLst>
            </c:dLbl>
            <c:dLbl>
              <c:idx val="4"/>
              <c:layout>
                <c:manualLayout>
                  <c:x val="-5.6090332458442693E-2"/>
                  <c:y val="-0.1022321324878638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80-49DF-AA4C-1CC9F71C0714}"/>
                </c:ext>
              </c:extLst>
            </c:dLbl>
            <c:dLbl>
              <c:idx val="5"/>
              <c:layout>
                <c:manualLayout>
                  <c:x val="-2.168766404199475E-2"/>
                  <c:y val="-0.114031542517362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80-49DF-AA4C-1CC9F71C0714}"/>
                </c:ext>
              </c:extLst>
            </c:dLbl>
            <c:numFmt formatCode="0.00%" sourceLinked="0"/>
            <c:spPr>
              <a:noFill/>
              <a:ln w="6350">
                <a:solidFill>
                  <a:sysClr val="windowText" lastClr="000000"/>
                </a:solidFill>
              </a:ln>
              <a:effectLst>
                <a:outerShdw blurRad="50800" dist="38100" dir="18900000" algn="bl" rotWithShape="0">
                  <a:prstClr val="black">
                    <a:alpha val="40000"/>
                  </a:prst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'[Evaluación a Municipalidades.xlsx]Sector - Obligaciones Fin (PIB)'!$A$4:$A$9</c:f>
              <c:numCache>
                <c:formatCode>General</c:formatCode>
                <c:ptCount val="6"/>
                <c:pt idx="0">
                  <c:v>2016</c:v>
                </c:pt>
                <c:pt idx="1">
                  <c:v>2017</c:v>
                </c:pt>
                <c:pt idx="2">
                  <c:v>2018</c:v>
                </c:pt>
                <c:pt idx="3">
                  <c:v>2019</c:v>
                </c:pt>
                <c:pt idx="4">
                  <c:v>2020</c:v>
                </c:pt>
                <c:pt idx="5">
                  <c:v>2021</c:v>
                </c:pt>
              </c:numCache>
            </c:numRef>
          </c:cat>
          <c:val>
            <c:numRef>
              <c:f>'[Evaluación a Municipalidades.xlsx]Sector - Obligaciones Fin (PIB)'!$G$4:$G$9</c:f>
              <c:numCache>
                <c:formatCode>0.0%</c:formatCode>
                <c:ptCount val="6"/>
                <c:pt idx="0">
                  <c:v>4.2091362147066644E-3</c:v>
                </c:pt>
                <c:pt idx="1">
                  <c:v>4.2030625117329594E-3</c:v>
                </c:pt>
                <c:pt idx="2">
                  <c:v>3.775014212935043E-3</c:v>
                </c:pt>
                <c:pt idx="3">
                  <c:v>2.9114188700230287E-3</c:v>
                </c:pt>
                <c:pt idx="4">
                  <c:v>3.3460580969847217E-3</c:v>
                </c:pt>
                <c:pt idx="5">
                  <c:v>3.2277441545324236E-3</c:v>
                </c:pt>
              </c:numCache>
            </c:numRef>
          </c:val>
          <c:smooth val="0"/>
          <c:extLst>
            <c:ext xmlns:c16="http://schemas.microsoft.com/office/drawing/2014/chart" uri="{C3380CC4-5D6E-409C-BE32-E72D297353CC}">
              <c16:uniqueId val="{00000008-FF80-49DF-AA4C-1CC9F71C0714}"/>
            </c:ext>
          </c:extLst>
        </c:ser>
        <c:dLbls>
          <c:showLegendKey val="0"/>
          <c:showVal val="0"/>
          <c:showCatName val="0"/>
          <c:showSerName val="0"/>
          <c:showPercent val="0"/>
          <c:showBubbleSize val="0"/>
        </c:dLbls>
        <c:marker val="1"/>
        <c:smooth val="0"/>
        <c:axId val="2051721359"/>
        <c:axId val="2051720527"/>
      </c:lineChart>
      <c:catAx>
        <c:axId val="2051721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051720527"/>
        <c:crosses val="autoZero"/>
        <c:auto val="1"/>
        <c:lblAlgn val="ctr"/>
        <c:lblOffset val="100"/>
        <c:noMultiLvlLbl val="0"/>
      </c:catAx>
      <c:valAx>
        <c:axId val="2051720527"/>
        <c:scaling>
          <c:orientation val="minMax"/>
        </c:scaling>
        <c:delete val="1"/>
        <c:axPos val="l"/>
        <c:numFmt formatCode="0%" sourceLinked="0"/>
        <c:majorTickMark val="none"/>
        <c:minorTickMark val="none"/>
        <c:tickLblPos val="nextTo"/>
        <c:crossAx val="2051721359"/>
        <c:crosses val="autoZero"/>
        <c:crossBetween val="between"/>
      </c:valAx>
      <c:spPr>
        <a:noFill/>
        <a:ln>
          <a:noFill/>
        </a:ln>
        <a:effectLst/>
      </c:spPr>
    </c:plotArea>
    <c:legend>
      <c:legendPos val="b"/>
      <c:layout>
        <c:manualLayout>
          <c:xMode val="edge"/>
          <c:yMode val="edge"/>
          <c:x val="0"/>
          <c:y val="6.1951548091886792E-3"/>
          <c:w val="1"/>
          <c:h val="0.137508032734846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Nacionales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8070421861329834"/>
          <c:h val="0.74117204083068178"/>
        </c:manualLayout>
      </c:layout>
      <c:barChart>
        <c:barDir val="col"/>
        <c:grouping val="clustered"/>
        <c:varyColors val="0"/>
        <c:ser>
          <c:idx val="0"/>
          <c:order val="0"/>
          <c:tx>
            <c:strRef>
              <c:f>Hoja1!$B$1</c:f>
              <c:strCache>
                <c:ptCount val="1"/>
                <c:pt idx="0">
                  <c:v>Resultado Presupuestario</c:v>
                </c:pt>
              </c:strCache>
            </c:strRef>
          </c:tx>
          <c:spPr>
            <a:solidFill>
              <a:schemeClr val="accent5"/>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#,##0.00</c:formatCode>
                <c:ptCount val="6"/>
                <c:pt idx="0" formatCode="General">
                  <c:v>844.9</c:v>
                </c:pt>
                <c:pt idx="1">
                  <c:v>1047.8</c:v>
                </c:pt>
                <c:pt idx="2" formatCode="General">
                  <c:v>945.4</c:v>
                </c:pt>
                <c:pt idx="3" formatCode="General">
                  <c:v>89.1</c:v>
                </c:pt>
                <c:pt idx="4" formatCode="General">
                  <c:v>638</c:v>
                </c:pt>
                <c:pt idx="5">
                  <c:v>1158.2</c:v>
                </c:pt>
              </c:numCache>
            </c:numRef>
          </c:val>
          <c:extLst>
            <c:ext xmlns:c16="http://schemas.microsoft.com/office/drawing/2014/chart" uri="{C3380CC4-5D6E-409C-BE32-E72D297353CC}">
              <c16:uniqueId val="{00000000-D24A-4978-B4FF-A9F6939B1644}"/>
            </c:ext>
          </c:extLst>
        </c:ser>
        <c:ser>
          <c:idx val="1"/>
          <c:order val="1"/>
          <c:tx>
            <c:strRef>
              <c:f>Hoja1!$C$1</c:f>
              <c:strCache>
                <c:ptCount val="1"/>
                <c:pt idx="0">
                  <c:v>Resultado Presupuestario (sin considerar transferencias)</c:v>
                </c:pt>
              </c:strCache>
            </c:strRef>
          </c:tx>
          <c:spPr>
            <a:solidFill>
              <a:schemeClr val="accent6"/>
            </a:solidFill>
            <a:ln w="158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General</c:formatCode>
                <c:ptCount val="6"/>
                <c:pt idx="0">
                  <c:v>625</c:v>
                </c:pt>
                <c:pt idx="1">
                  <c:v>665.9</c:v>
                </c:pt>
                <c:pt idx="2">
                  <c:v>618.9</c:v>
                </c:pt>
                <c:pt idx="3">
                  <c:v>49.2</c:v>
                </c:pt>
                <c:pt idx="4">
                  <c:v>-29.8</c:v>
                </c:pt>
                <c:pt idx="5">
                  <c:v>775.4</c:v>
                </c:pt>
              </c:numCache>
            </c:numRef>
          </c:val>
          <c:extLst>
            <c:ext xmlns:c16="http://schemas.microsoft.com/office/drawing/2014/chart" uri="{C3380CC4-5D6E-409C-BE32-E72D297353CC}">
              <c16:uniqueId val="{00000001-D24A-4978-B4FF-A9F6939B1644}"/>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21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3">
            <a:lumMod val="20000"/>
            <a:lumOff val="80000"/>
          </a:schemeClr>
        </a:solidFill>
        <a:ln>
          <a:noFill/>
        </a:ln>
        <a:effectLst/>
      </c:spPr>
    </c:plotArea>
    <c:legend>
      <c:legendPos val="b"/>
      <c:layout>
        <c:manualLayout>
          <c:xMode val="edge"/>
          <c:yMode val="edge"/>
          <c:x val="0"/>
          <c:y val="0.88388826593733039"/>
          <c:w val="0.80902777777777779"/>
          <c:h val="0.1161117340626693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Municipales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90686857502187224"/>
          <c:h val="0.74117204083068178"/>
        </c:manualLayout>
      </c:layout>
      <c:barChart>
        <c:barDir val="col"/>
        <c:grouping val="clustered"/>
        <c:varyColors val="0"/>
        <c:ser>
          <c:idx val="0"/>
          <c:order val="0"/>
          <c:tx>
            <c:strRef>
              <c:f>Hoja1!$B$1</c:f>
              <c:strCache>
                <c:ptCount val="1"/>
                <c:pt idx="0">
                  <c:v>Resultado Presupuestario</c:v>
                </c:pt>
              </c:strCache>
            </c:strRef>
          </c:tx>
          <c:spPr>
            <a:solidFill>
              <a:schemeClr val="accent4"/>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_(* #,##0.00_);_(* \(#,##0.00\);_(* "-"??_);_(@_)</c:formatCode>
                <c:ptCount val="6"/>
                <c:pt idx="0">
                  <c:v>21.432211469999316</c:v>
                </c:pt>
                <c:pt idx="1">
                  <c:v>65.094069569999803</c:v>
                </c:pt>
                <c:pt idx="2">
                  <c:v>-10.286558920000317</c:v>
                </c:pt>
                <c:pt idx="3">
                  <c:v>-25.938513390000331</c:v>
                </c:pt>
                <c:pt idx="4">
                  <c:v>63.9453345229999</c:v>
                </c:pt>
                <c:pt idx="5">
                  <c:v>21.741919880999941</c:v>
                </c:pt>
              </c:numCache>
            </c:numRef>
          </c:val>
          <c:extLst>
            <c:ext xmlns:c16="http://schemas.microsoft.com/office/drawing/2014/chart" uri="{C3380CC4-5D6E-409C-BE32-E72D297353CC}">
              <c16:uniqueId val="{00000000-04FA-4FD6-B0A5-AD1A73B2C9B5}"/>
            </c:ext>
          </c:extLst>
        </c:ser>
        <c:ser>
          <c:idx val="1"/>
          <c:order val="1"/>
          <c:tx>
            <c:strRef>
              <c:f>Hoja1!$C$1</c:f>
              <c:strCache>
                <c:ptCount val="1"/>
                <c:pt idx="0">
                  <c:v>Resultado Presupuestario (sin considerar transferencias)</c:v>
                </c:pt>
              </c:strCache>
            </c:strRef>
          </c:tx>
          <c:spPr>
            <a:solidFill>
              <a:schemeClr val="tx2">
                <a:lumMod val="75000"/>
              </a:schemeClr>
            </a:solidFill>
            <a:ln w="158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_(* #,##0.00_);_(* \(#,##0.00\);_(* "-"??_);_(@_)</c:formatCode>
                <c:ptCount val="6"/>
                <c:pt idx="0">
                  <c:v>-57.665714240000625</c:v>
                </c:pt>
                <c:pt idx="1">
                  <c:v>-16.374700090000207</c:v>
                </c:pt>
                <c:pt idx="2">
                  <c:v>-99.964835210000317</c:v>
                </c:pt>
                <c:pt idx="3">
                  <c:v>-37.780884300000338</c:v>
                </c:pt>
                <c:pt idx="4">
                  <c:v>-26.967578947000135</c:v>
                </c:pt>
                <c:pt idx="5">
                  <c:v>-12.311410979000065</c:v>
                </c:pt>
              </c:numCache>
            </c:numRef>
          </c:val>
          <c:extLst>
            <c:ext xmlns:c16="http://schemas.microsoft.com/office/drawing/2014/chart" uri="{C3380CC4-5D6E-409C-BE32-E72D297353CC}">
              <c16:uniqueId val="{00000001-04FA-4FD6-B0A5-AD1A73B2C9B5}"/>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130"/>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6">
            <a:lumMod val="20000"/>
            <a:lumOff val="80000"/>
          </a:schemeClr>
        </a:solidFill>
        <a:ln>
          <a:noFill/>
        </a:ln>
        <a:effectLst/>
      </c:spPr>
    </c:plotArea>
    <c:legend>
      <c:legendPos val="b"/>
      <c:layout>
        <c:manualLayout>
          <c:xMode val="edge"/>
          <c:yMode val="edge"/>
          <c:x val="0"/>
          <c:y val="0.88388826593733039"/>
          <c:w val="0.80902777777777779"/>
          <c:h val="0.1161117340626693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56532721864811E-2"/>
          <c:y val="6.2232599473961654E-2"/>
          <c:w val="0.95434346727813524"/>
          <c:h val="0.7639246986871121"/>
        </c:manualLayout>
      </c:layout>
      <c:barChart>
        <c:barDir val="col"/>
        <c:grouping val="clustered"/>
        <c:varyColors val="0"/>
        <c:ser>
          <c:idx val="0"/>
          <c:order val="0"/>
          <c:tx>
            <c:strRef>
              <c:f>Hoja1!$B$1</c:f>
              <c:strCache>
                <c:ptCount val="1"/>
                <c:pt idx="0">
                  <c:v>Resultado Presupuestario</c:v>
                </c:pt>
              </c:strCache>
            </c:strRef>
          </c:tx>
          <c:spPr>
            <a:solidFill>
              <a:schemeClr val="accent5"/>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INDE</c:v>
                </c:pt>
                <c:pt idx="1">
                  <c:v>EPQ</c:v>
                </c:pt>
                <c:pt idx="2">
                  <c:v>EMPORNAC</c:v>
                </c:pt>
                <c:pt idx="3">
                  <c:v>ZOLIC</c:v>
                </c:pt>
                <c:pt idx="4">
                  <c:v>EPNCH</c:v>
                </c:pt>
                <c:pt idx="5">
                  <c:v>FEGUA</c:v>
                </c:pt>
                <c:pt idx="6">
                  <c:v>INDECA</c:v>
                </c:pt>
                <c:pt idx="7">
                  <c:v>GUATEL</c:v>
                </c:pt>
              </c:strCache>
            </c:strRef>
          </c:cat>
          <c:val>
            <c:numRef>
              <c:f>Hoja1!$B$2:$B$9</c:f>
              <c:numCache>
                <c:formatCode>#,##0.00</c:formatCode>
                <c:ptCount val="8"/>
                <c:pt idx="0" formatCode="General">
                  <c:v>692.07</c:v>
                </c:pt>
                <c:pt idx="1">
                  <c:v>290.61</c:v>
                </c:pt>
                <c:pt idx="2" formatCode="General">
                  <c:v>174.43</c:v>
                </c:pt>
                <c:pt idx="3" formatCode="General">
                  <c:v>2.99</c:v>
                </c:pt>
                <c:pt idx="4" formatCode="General">
                  <c:v>1.22</c:v>
                </c:pt>
                <c:pt idx="5">
                  <c:v>0.61</c:v>
                </c:pt>
                <c:pt idx="6" formatCode="General">
                  <c:v>0.56000000000000005</c:v>
                </c:pt>
                <c:pt idx="7" formatCode="General">
                  <c:v>-4.29</c:v>
                </c:pt>
              </c:numCache>
            </c:numRef>
          </c:val>
          <c:extLst>
            <c:ext xmlns:c16="http://schemas.microsoft.com/office/drawing/2014/chart" uri="{C3380CC4-5D6E-409C-BE32-E72D297353CC}">
              <c16:uniqueId val="{00000000-FDF4-4C1F-8FDA-B6C9A8C91868}"/>
            </c:ext>
          </c:extLst>
        </c:ser>
        <c:ser>
          <c:idx val="1"/>
          <c:order val="1"/>
          <c:tx>
            <c:strRef>
              <c:f>Hoja1!$C$1</c:f>
              <c:strCache>
                <c:ptCount val="1"/>
                <c:pt idx="0">
                  <c:v>Resultado Presupuestario (sin considerar transferencias)</c:v>
                </c:pt>
              </c:strCache>
            </c:strRef>
          </c:tx>
          <c:spPr>
            <a:solidFill>
              <a:schemeClr val="accent6"/>
            </a:solidFill>
            <a:ln w="158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INDE</c:v>
                </c:pt>
                <c:pt idx="1">
                  <c:v>EPQ</c:v>
                </c:pt>
                <c:pt idx="2">
                  <c:v>EMPORNAC</c:v>
                </c:pt>
                <c:pt idx="3">
                  <c:v>ZOLIC</c:v>
                </c:pt>
                <c:pt idx="4">
                  <c:v>EPNCH</c:v>
                </c:pt>
                <c:pt idx="5">
                  <c:v>FEGUA</c:v>
                </c:pt>
                <c:pt idx="6">
                  <c:v>INDECA</c:v>
                </c:pt>
                <c:pt idx="7">
                  <c:v>GUATEL</c:v>
                </c:pt>
              </c:strCache>
            </c:strRef>
          </c:cat>
          <c:val>
            <c:numRef>
              <c:f>Hoja1!$C$2:$C$9</c:f>
              <c:numCache>
                <c:formatCode>General</c:formatCode>
                <c:ptCount val="8"/>
                <c:pt idx="0">
                  <c:v>332.07</c:v>
                </c:pt>
                <c:pt idx="1">
                  <c:v>290.61</c:v>
                </c:pt>
                <c:pt idx="2">
                  <c:v>174.43</c:v>
                </c:pt>
                <c:pt idx="3">
                  <c:v>2.99</c:v>
                </c:pt>
                <c:pt idx="4">
                  <c:v>-4.41</c:v>
                </c:pt>
                <c:pt idx="5">
                  <c:v>-3.6</c:v>
                </c:pt>
                <c:pt idx="6">
                  <c:v>-12.44</c:v>
                </c:pt>
                <c:pt idx="7">
                  <c:v>-4.29</c:v>
                </c:pt>
              </c:numCache>
            </c:numRef>
          </c:val>
          <c:extLst>
            <c:ext xmlns:c16="http://schemas.microsoft.com/office/drawing/2014/chart" uri="{C3380CC4-5D6E-409C-BE32-E72D297353CC}">
              <c16:uniqueId val="{00000001-FDF4-4C1F-8FDA-B6C9A8C91868}"/>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11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noFill/>
        <a:ln w="25400">
          <a:noFill/>
        </a:ln>
        <a:effectLst/>
      </c:spPr>
    </c:plotArea>
    <c:legend>
      <c:legendPos val="b"/>
      <c:layout>
        <c:manualLayout>
          <c:xMode val="edge"/>
          <c:yMode val="edge"/>
          <c:x val="0"/>
          <c:y val="0.91757048839905764"/>
          <c:w val="1"/>
          <c:h val="8.24295116009421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47552268367509"/>
          <c:y val="8.6274509803921567E-2"/>
          <c:w val="0.73615156614657995"/>
          <c:h val="0.62917338273892232"/>
        </c:manualLayout>
      </c:layout>
      <c:barChart>
        <c:barDir val="col"/>
        <c:grouping val="clustered"/>
        <c:varyColors val="0"/>
        <c:ser>
          <c:idx val="1"/>
          <c:order val="1"/>
          <c:tx>
            <c:strRef>
              <c:f>'Revisión (2)'!$N$37</c:f>
              <c:strCache>
                <c:ptCount val="1"/>
                <c:pt idx="0">
                  <c:v>Pronostico PIB N 2021</c:v>
                </c:pt>
              </c:strCache>
            </c:strRef>
          </c:tx>
          <c:spPr>
            <a:solidFill>
              <a:srgbClr val="002060"/>
            </a:solidFill>
            <a:ln>
              <a:solidFill>
                <a:srgbClr val="00B0F0"/>
              </a:solidFill>
            </a:ln>
            <a:effectLst/>
          </c:spPr>
          <c:invertIfNegative val="0"/>
          <c:dLbls>
            <c:dLbl>
              <c:idx val="0"/>
              <c:layout>
                <c:manualLayout>
                  <c:x val="-4.4395116537180911E-3"/>
                  <c:y val="0.332661915284304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E8-4F91-8DCB-9A248681366F}"/>
                </c:ext>
              </c:extLst>
            </c:dLbl>
            <c:dLbl>
              <c:idx val="1"/>
              <c:layout>
                <c:manualLayout>
                  <c:x val="0"/>
                  <c:y val="0.337932007510918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E8-4F91-8DCB-9A248681366F}"/>
                </c:ext>
              </c:extLst>
            </c:dLbl>
            <c:dLbl>
              <c:idx val="2"/>
              <c:layout>
                <c:manualLayout>
                  <c:x val="4.4388125180245923E-3"/>
                  <c:y val="0.372622493334578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E8-4F91-8DCB-9A248681366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'Revisión (2)'!$L$38:$L$41</c:f>
              <c:strCache>
                <c:ptCount val="4"/>
                <c:pt idx="0">
                  <c:v>ENERO</c:v>
                </c:pt>
                <c:pt idx="1">
                  <c:v>MARZO</c:v>
                </c:pt>
                <c:pt idx="2">
                  <c:v>ABRIL</c:v>
                </c:pt>
                <c:pt idx="3">
                  <c:v>JULIO</c:v>
                </c:pt>
              </c:strCache>
            </c:strRef>
          </c:cat>
          <c:val>
            <c:numRef>
              <c:f>'Revisión (2)'!$N$38:$N$41</c:f>
              <c:numCache>
                <c:formatCode>#,##0.0</c:formatCode>
                <c:ptCount val="4"/>
                <c:pt idx="0">
                  <c:v>6.2</c:v>
                </c:pt>
                <c:pt idx="1">
                  <c:v>6.2</c:v>
                </c:pt>
                <c:pt idx="2">
                  <c:v>7.2</c:v>
                </c:pt>
                <c:pt idx="3">
                  <c:v>8.6999999999999993</c:v>
                </c:pt>
              </c:numCache>
            </c:numRef>
          </c:val>
          <c:extLst>
            <c:ext xmlns:c16="http://schemas.microsoft.com/office/drawing/2014/chart" uri="{C3380CC4-5D6E-409C-BE32-E72D297353CC}">
              <c16:uniqueId val="{00000003-FCE8-4F91-8DCB-9A248681366F}"/>
            </c:ext>
          </c:extLst>
        </c:ser>
        <c:dLbls>
          <c:showLegendKey val="0"/>
          <c:showVal val="0"/>
          <c:showCatName val="0"/>
          <c:showSerName val="0"/>
          <c:showPercent val="0"/>
          <c:showBubbleSize val="0"/>
        </c:dLbls>
        <c:gapWidth val="150"/>
        <c:axId val="1006907263"/>
        <c:axId val="901264751"/>
      </c:barChart>
      <c:lineChart>
        <c:grouping val="standard"/>
        <c:varyColors val="0"/>
        <c:ser>
          <c:idx val="0"/>
          <c:order val="0"/>
          <c:tx>
            <c:strRef>
              <c:f>'Revisión (2)'!$P$37</c:f>
              <c:strCache>
                <c:ptCount val="1"/>
                <c:pt idx="0">
                  <c:v>Desviaciones</c:v>
                </c:pt>
              </c:strCache>
            </c:strRef>
          </c:tx>
          <c:spPr>
            <a:ln w="28575" cap="rnd">
              <a:solidFill>
                <a:schemeClr val="accent1"/>
              </a:solidFill>
              <a:round/>
            </a:ln>
            <a:effectLst/>
          </c:spPr>
          <c:marker>
            <c:symbol val="circle"/>
            <c:size val="14"/>
            <c:spPr>
              <a:solidFill>
                <a:sysClr val="window" lastClr="FFFFFF"/>
              </a:solidFill>
              <a:ln w="9525">
                <a:solidFill>
                  <a:srgbClr val="FF0000"/>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'Revisión (2)'!$L$38:$L$41</c:f>
              <c:strCache>
                <c:ptCount val="4"/>
                <c:pt idx="0">
                  <c:v>ENERO</c:v>
                </c:pt>
                <c:pt idx="1">
                  <c:v>MARZO</c:v>
                </c:pt>
                <c:pt idx="2">
                  <c:v>ABRIL</c:v>
                </c:pt>
                <c:pt idx="3">
                  <c:v>JULIO</c:v>
                </c:pt>
              </c:strCache>
            </c:strRef>
          </c:cat>
          <c:val>
            <c:numRef>
              <c:f>'Revisión (2)'!$P$38:$P$41</c:f>
              <c:numCache>
                <c:formatCode>0.0</c:formatCode>
                <c:ptCount val="4"/>
                <c:pt idx="0">
                  <c:v>4.8</c:v>
                </c:pt>
                <c:pt idx="1">
                  <c:v>4.8</c:v>
                </c:pt>
                <c:pt idx="2">
                  <c:v>3.8</c:v>
                </c:pt>
                <c:pt idx="3">
                  <c:v>2.3000000000000007</c:v>
                </c:pt>
              </c:numCache>
            </c:numRef>
          </c:val>
          <c:smooth val="1"/>
          <c:extLst>
            <c:ext xmlns:c16="http://schemas.microsoft.com/office/drawing/2014/chart" uri="{C3380CC4-5D6E-409C-BE32-E72D297353CC}">
              <c16:uniqueId val="{00000004-FCE8-4F91-8DCB-9A248681366F}"/>
            </c:ext>
          </c:extLst>
        </c:ser>
        <c:dLbls>
          <c:showLegendKey val="0"/>
          <c:showVal val="0"/>
          <c:showCatName val="0"/>
          <c:showSerName val="0"/>
          <c:showPercent val="0"/>
          <c:showBubbleSize val="0"/>
        </c:dLbls>
        <c:marker val="1"/>
        <c:smooth val="0"/>
        <c:axId val="1006907263"/>
        <c:axId val="901264751"/>
      </c:lineChart>
      <c:catAx>
        <c:axId val="100690726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901264751"/>
        <c:crosses val="autoZero"/>
        <c:auto val="1"/>
        <c:lblAlgn val="ctr"/>
        <c:lblOffset val="100"/>
        <c:noMultiLvlLbl val="0"/>
      </c:catAx>
      <c:valAx>
        <c:axId val="9012647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latin typeface="Times New Roman" panose="02020603050405020304" pitchFamily="18" charset="0"/>
                    <a:cs typeface="Times New Roman" panose="02020603050405020304" pitchFamily="18" charset="0"/>
                  </a:rPr>
                  <a:t>Porcentaje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s-GT"/>
          </a:p>
        </c:txPr>
        <c:crossAx val="1006907263"/>
        <c:crosses val="autoZero"/>
        <c:crossBetween val="between"/>
      </c:valAx>
      <c:spPr>
        <a:noFill/>
        <a:ln>
          <a:noFill/>
        </a:ln>
        <a:effectLst/>
      </c:spPr>
    </c:plotArea>
    <c:legend>
      <c:legendPos val="b"/>
      <c:layout>
        <c:manualLayout>
          <c:xMode val="edge"/>
          <c:yMode val="edge"/>
          <c:x val="4.9999999999999989E-2"/>
          <c:y val="0.86772271113169697"/>
          <c:w val="0.9"/>
          <c:h val="0.12443415161340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779858928683761E-2"/>
          <c:y val="3.4532399046449468E-2"/>
          <c:w val="0.96222014107131626"/>
          <c:h val="0.48650031526684939"/>
        </c:manualLayout>
      </c:layout>
      <c:barChart>
        <c:barDir val="col"/>
        <c:grouping val="clustered"/>
        <c:varyColors val="0"/>
        <c:ser>
          <c:idx val="0"/>
          <c:order val="0"/>
          <c:tx>
            <c:strRef>
              <c:f>Hoja1!$B$1</c:f>
              <c:strCache>
                <c:ptCount val="1"/>
                <c:pt idx="0">
                  <c:v>Resultado Presupuestario</c:v>
                </c:pt>
              </c:strCache>
            </c:strRef>
          </c:tx>
          <c:spPr>
            <a:solidFill>
              <a:srgbClr val="FFC000"/>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4"/>
                <c:pt idx="0">
                  <c:v>EMPAGUA</c:v>
                </c:pt>
                <c:pt idx="1">
                  <c:v>Elect. de Gualan</c:v>
                </c:pt>
                <c:pt idx="2">
                  <c:v>Elect. de Guastatoya</c:v>
                </c:pt>
                <c:pt idx="3">
                  <c:v>Elect. de Jalapa</c:v>
                </c:pt>
                <c:pt idx="4">
                  <c:v>Elect. de Zacapa</c:v>
                </c:pt>
                <c:pt idx="5">
                  <c:v>Vivienda de Santa Catarina Pinula</c:v>
                </c:pt>
                <c:pt idx="6">
                  <c:v>EMAPET</c:v>
                </c:pt>
                <c:pt idx="7">
                  <c:v>Agua de Jalapagua</c:v>
                </c:pt>
                <c:pt idx="8">
                  <c:v>EMRE</c:v>
                </c:pt>
                <c:pt idx="9">
                  <c:v>Elect. San Pedro Pinula</c:v>
                </c:pt>
                <c:pt idx="10">
                  <c:v>Elect. de Joyabaj </c:v>
                </c:pt>
                <c:pt idx="11">
                  <c:v>Elect. de Huehuetenango</c:v>
                </c:pt>
                <c:pt idx="12">
                  <c:v>Emp. de Transporte de Gua</c:v>
                </c:pt>
                <c:pt idx="13">
                  <c:v>Elect. de Puerto Barrios</c:v>
                </c:pt>
              </c:strCache>
            </c:strRef>
          </c:cat>
          <c:val>
            <c:numRef>
              <c:f>Hoja1!$B$2:$B$15</c:f>
              <c:numCache>
                <c:formatCode>#,##0.00</c:formatCode>
                <c:ptCount val="14"/>
                <c:pt idx="0">
                  <c:v>14.356011369999919</c:v>
                </c:pt>
                <c:pt idx="1">
                  <c:v>5.3840439700000076</c:v>
                </c:pt>
                <c:pt idx="2">
                  <c:v>5.2348990899999919</c:v>
                </c:pt>
                <c:pt idx="3">
                  <c:v>3.5220541609999856</c:v>
                </c:pt>
                <c:pt idx="4">
                  <c:v>2.9917988000000548</c:v>
                </c:pt>
                <c:pt idx="5">
                  <c:v>1.4867124499999997</c:v>
                </c:pt>
                <c:pt idx="6">
                  <c:v>1.1396505599999998</c:v>
                </c:pt>
                <c:pt idx="7">
                  <c:v>0.18828491000000014</c:v>
                </c:pt>
                <c:pt idx="8">
                  <c:v>-1.7258009999999047E-2</c:v>
                </c:pt>
                <c:pt idx="9">
                  <c:v>-2.5624869999998801E-2</c:v>
                </c:pt>
                <c:pt idx="10">
                  <c:v>-0.38786762999999524</c:v>
                </c:pt>
                <c:pt idx="11">
                  <c:v>-1.3257486999999912</c:v>
                </c:pt>
                <c:pt idx="12">
                  <c:v>-3.9725266699999935</c:v>
                </c:pt>
                <c:pt idx="13">
                  <c:v>-6.8325095500000401</c:v>
                </c:pt>
              </c:numCache>
            </c:numRef>
          </c:val>
          <c:extLst>
            <c:ext xmlns:c16="http://schemas.microsoft.com/office/drawing/2014/chart" uri="{C3380CC4-5D6E-409C-BE32-E72D297353CC}">
              <c16:uniqueId val="{00000000-BB8C-4FDE-85B7-B22F1FAB3409}"/>
            </c:ext>
          </c:extLst>
        </c:ser>
        <c:ser>
          <c:idx val="1"/>
          <c:order val="1"/>
          <c:tx>
            <c:strRef>
              <c:f>Hoja1!$C$1</c:f>
              <c:strCache>
                <c:ptCount val="1"/>
                <c:pt idx="0">
                  <c:v>Resultado Presupuestario (sin considerar transferencias)</c:v>
                </c:pt>
              </c:strCache>
            </c:strRef>
          </c:tx>
          <c:spPr>
            <a:solidFill>
              <a:schemeClr val="tx2">
                <a:lumMod val="75000"/>
              </a:schemeClr>
            </a:solidFill>
            <a:ln w="158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4"/>
                <c:pt idx="0">
                  <c:v>EMPAGUA</c:v>
                </c:pt>
                <c:pt idx="1">
                  <c:v>Elect. de Gualan</c:v>
                </c:pt>
                <c:pt idx="2">
                  <c:v>Elect. de Guastatoya</c:v>
                </c:pt>
                <c:pt idx="3">
                  <c:v>Elect. de Jalapa</c:v>
                </c:pt>
                <c:pt idx="4">
                  <c:v>Elect. de Zacapa</c:v>
                </c:pt>
                <c:pt idx="5">
                  <c:v>Vivienda de Santa Catarina Pinula</c:v>
                </c:pt>
                <c:pt idx="6">
                  <c:v>EMAPET</c:v>
                </c:pt>
                <c:pt idx="7">
                  <c:v>Agua de Jalapagua</c:v>
                </c:pt>
                <c:pt idx="8">
                  <c:v>EMRE</c:v>
                </c:pt>
                <c:pt idx="9">
                  <c:v>Elect. San Pedro Pinula</c:v>
                </c:pt>
                <c:pt idx="10">
                  <c:v>Elect. de Joyabaj </c:v>
                </c:pt>
                <c:pt idx="11">
                  <c:v>Elect. de Huehuetenango</c:v>
                </c:pt>
                <c:pt idx="12">
                  <c:v>Emp. de Transporte de Gua</c:v>
                </c:pt>
                <c:pt idx="13">
                  <c:v>Elect. de Puerto Barrios</c:v>
                </c:pt>
              </c:strCache>
            </c:strRef>
          </c:cat>
          <c:val>
            <c:numRef>
              <c:f>Hoja1!$C$2:$C$15</c:f>
              <c:numCache>
                <c:formatCode>#,##0.00</c:formatCode>
                <c:ptCount val="14"/>
                <c:pt idx="0">
                  <c:v>14.356011369999919</c:v>
                </c:pt>
                <c:pt idx="1">
                  <c:v>5.3840439700000076</c:v>
                </c:pt>
                <c:pt idx="2">
                  <c:v>5.2348990899999919</c:v>
                </c:pt>
                <c:pt idx="3">
                  <c:v>3.5220541609999856</c:v>
                </c:pt>
                <c:pt idx="4">
                  <c:v>2.9917988000000548</c:v>
                </c:pt>
                <c:pt idx="5">
                  <c:v>-2.5162039500000004</c:v>
                </c:pt>
                <c:pt idx="6">
                  <c:v>1.1396505599999998</c:v>
                </c:pt>
                <c:pt idx="7">
                  <c:v>-0.84074509000000042</c:v>
                </c:pt>
                <c:pt idx="8">
                  <c:v>-1.7258009999999047E-2</c:v>
                </c:pt>
                <c:pt idx="9">
                  <c:v>-2.5624869999998801E-2</c:v>
                </c:pt>
                <c:pt idx="10">
                  <c:v>-0.38786762999999524</c:v>
                </c:pt>
                <c:pt idx="11">
                  <c:v>-1.5091051599999901</c:v>
                </c:pt>
                <c:pt idx="12">
                  <c:v>-32.810554670000002</c:v>
                </c:pt>
                <c:pt idx="13">
                  <c:v>-6.8325095500000401</c:v>
                </c:pt>
              </c:numCache>
            </c:numRef>
          </c:val>
          <c:extLst>
            <c:ext xmlns:c16="http://schemas.microsoft.com/office/drawing/2014/chart" uri="{C3380CC4-5D6E-409C-BE32-E72D297353CC}">
              <c16:uniqueId val="{00000001-BB8C-4FDE-85B7-B22F1FAB3409}"/>
            </c:ext>
          </c:extLst>
        </c:ser>
        <c:dLbls>
          <c:showLegendKey val="0"/>
          <c:showVal val="0"/>
          <c:showCatName val="0"/>
          <c:showSerName val="0"/>
          <c:showPercent val="0"/>
          <c:showBubbleSize val="0"/>
        </c:dLbls>
        <c:gapWidth val="100"/>
        <c:overlap val="-24"/>
        <c:axId val="2052477007"/>
        <c:axId val="2052474095"/>
      </c:bar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noFill/>
        <a:ln w="25400">
          <a:noFill/>
        </a:ln>
        <a:effectLst/>
      </c:spPr>
    </c:plotArea>
    <c:legend>
      <c:legendPos val="b"/>
      <c:layout>
        <c:manualLayout>
          <c:xMode val="edge"/>
          <c:yMode val="edge"/>
          <c:x val="0.15303251941037471"/>
          <c:y val="0.91687090948493821"/>
          <c:w val="0.69168448295262752"/>
          <c:h val="6.84502238828725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Nacionales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90686857502187224"/>
          <c:h val="0.74117204083068178"/>
        </c:manualLayout>
      </c:layout>
      <c:barChart>
        <c:barDir val="col"/>
        <c:grouping val="stacked"/>
        <c:varyColors val="0"/>
        <c:ser>
          <c:idx val="0"/>
          <c:order val="0"/>
          <c:tx>
            <c:strRef>
              <c:f>Hoja1!$B$1</c:f>
              <c:strCache>
                <c:ptCount val="1"/>
                <c:pt idx="0">
                  <c:v>Endeudamiento</c:v>
                </c:pt>
              </c:strCache>
            </c:strRef>
          </c:tx>
          <c:spPr>
            <a:solidFill>
              <a:schemeClr val="accent5"/>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0.0%</c:formatCode>
                <c:ptCount val="6"/>
                <c:pt idx="0">
                  <c:v>0.25839639524334457</c:v>
                </c:pt>
                <c:pt idx="1">
                  <c:v>0.24175784451285104</c:v>
                </c:pt>
                <c:pt idx="2">
                  <c:v>0.23494764126427187</c:v>
                </c:pt>
                <c:pt idx="3">
                  <c:v>0.24626398001470101</c:v>
                </c:pt>
                <c:pt idx="4">
                  <c:v>0.21443130882109618</c:v>
                </c:pt>
                <c:pt idx="5">
                  <c:v>0.19091404987033062</c:v>
                </c:pt>
              </c:numCache>
            </c:numRef>
          </c:val>
          <c:extLst>
            <c:ext xmlns:c16="http://schemas.microsoft.com/office/drawing/2014/chart" uri="{C3380CC4-5D6E-409C-BE32-E72D297353CC}">
              <c16:uniqueId val="{00000000-F0BA-4205-BCD4-524220EAD1DA}"/>
            </c:ext>
          </c:extLst>
        </c:ser>
        <c:ser>
          <c:idx val="1"/>
          <c:order val="1"/>
          <c:tx>
            <c:strRef>
              <c:f>Hoja1!$C$1</c:f>
              <c:strCache>
                <c:ptCount val="1"/>
                <c:pt idx="0">
                  <c:v>Otras obligaciones</c:v>
                </c:pt>
              </c:strCache>
            </c:strRef>
          </c:tx>
          <c:spPr>
            <a:solidFill>
              <a:schemeClr val="accent6"/>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0.0%</c:formatCode>
                <c:ptCount val="6"/>
                <c:pt idx="0">
                  <c:v>4.1483282864302043E-2</c:v>
                </c:pt>
                <c:pt idx="1">
                  <c:v>3.8881197663421387E-2</c:v>
                </c:pt>
                <c:pt idx="2">
                  <c:v>4.1288657747848651E-2</c:v>
                </c:pt>
                <c:pt idx="3">
                  <c:v>4.2951991451961553E-2</c:v>
                </c:pt>
                <c:pt idx="4">
                  <c:v>4.636250310215792E-2</c:v>
                </c:pt>
                <c:pt idx="5">
                  <c:v>5.1866229204422659E-2</c:v>
                </c:pt>
              </c:numCache>
            </c:numRef>
          </c:val>
          <c:extLst>
            <c:ext xmlns:c16="http://schemas.microsoft.com/office/drawing/2014/chart" uri="{C3380CC4-5D6E-409C-BE32-E72D297353CC}">
              <c16:uniqueId val="{00000001-F0BA-4205-BCD4-524220EAD1DA}"/>
            </c:ext>
          </c:extLst>
        </c:ser>
        <c:dLbls>
          <c:showLegendKey val="0"/>
          <c:showVal val="0"/>
          <c:showCatName val="0"/>
          <c:showSerName val="0"/>
          <c:showPercent val="0"/>
          <c:showBubbleSize val="0"/>
        </c:dLbls>
        <c:gapWidth val="100"/>
        <c:overlap val="100"/>
        <c:axId val="2052477007"/>
        <c:axId val="2052474095"/>
      </c:barChart>
      <c:lineChart>
        <c:grouping val="stacked"/>
        <c:varyColors val="0"/>
        <c:ser>
          <c:idx val="2"/>
          <c:order val="2"/>
          <c:tx>
            <c:strRef>
              <c:f>Hoja1!$D$1</c:f>
              <c:strCache>
                <c:ptCount val="1"/>
                <c:pt idx="0">
                  <c:v>Total Obligaciones Financieras</c:v>
                </c:pt>
              </c:strCache>
            </c:strRef>
          </c:tx>
          <c:spPr>
            <a:ln w="34925" cap="rnd">
              <a:noFill/>
              <a:round/>
            </a:ln>
            <a:effectLst>
              <a:outerShdw blurRad="50800" dist="38100" dir="18900000" algn="bl" rotWithShape="0">
                <a:prstClr val="black">
                  <a:alpha val="40000"/>
                </a:prstClr>
              </a:outerShdw>
            </a:effectLst>
          </c:spPr>
          <c:marker>
            <c:symbol val="dash"/>
            <c:size val="2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5875">
                <a:solidFill>
                  <a:schemeClr val="tx1"/>
                </a:solidFill>
                <a:round/>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marker>
          <c:dLbls>
            <c:numFmt formatCode="0.0%" sourceLinked="0"/>
            <c:spPr>
              <a:solidFill>
                <a:schemeClr val="lt1"/>
              </a:solidFill>
              <a:ln w="12700" cap="flat" cmpd="sng" algn="ctr">
                <a:solidFill>
                  <a:schemeClr val="dk1"/>
                </a:solidFill>
                <a:prstDash val="solid"/>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Hoja1!$D$2:$D$7</c:f>
              <c:numCache>
                <c:formatCode>0.0%</c:formatCode>
                <c:ptCount val="6"/>
                <c:pt idx="0">
                  <c:v>0.2998796781076466</c:v>
                </c:pt>
                <c:pt idx="1">
                  <c:v>0.28063904217627245</c:v>
                </c:pt>
                <c:pt idx="2">
                  <c:v>0.27623629901212055</c:v>
                </c:pt>
                <c:pt idx="3">
                  <c:v>0.28921597146666256</c:v>
                </c:pt>
                <c:pt idx="4">
                  <c:v>0.26079381192325407</c:v>
                </c:pt>
                <c:pt idx="5">
                  <c:v>0.2427802790747533</c:v>
                </c:pt>
              </c:numCache>
            </c:numRef>
          </c:val>
          <c:smooth val="0"/>
          <c:extLst>
            <c:ext xmlns:c16="http://schemas.microsoft.com/office/drawing/2014/chart" uri="{C3380CC4-5D6E-409C-BE32-E72D297353CC}">
              <c16:uniqueId val="{00000002-F0BA-4205-BCD4-524220EAD1DA}"/>
            </c:ext>
          </c:extLst>
        </c:ser>
        <c:dLbls>
          <c:showLegendKey val="0"/>
          <c:showVal val="0"/>
          <c:showCatName val="0"/>
          <c:showSerName val="0"/>
          <c:showPercent val="0"/>
          <c:showBubbleSize val="0"/>
        </c:dLbls>
        <c:marker val="1"/>
        <c:smooth val="0"/>
        <c:axId val="2052477007"/>
        <c:axId val="2052474095"/>
      </c:line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3">
            <a:lumMod val="20000"/>
            <a:lumOff val="80000"/>
          </a:schemeClr>
        </a:solidFill>
        <a:ln>
          <a:noFill/>
        </a:ln>
        <a:effectLst/>
      </c:spPr>
    </c:plotArea>
    <c:legend>
      <c:legendPos val="b"/>
      <c:layout>
        <c:manualLayout>
          <c:xMode val="edge"/>
          <c:yMode val="edge"/>
          <c:x val="0"/>
          <c:y val="0.87863340519114019"/>
          <c:w val="0.57925688976377954"/>
          <c:h val="0.113912140383397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Municipales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90686857502187224"/>
          <c:h val="0.74117204083068178"/>
        </c:manualLayout>
      </c:layout>
      <c:barChart>
        <c:barDir val="col"/>
        <c:grouping val="stacked"/>
        <c:varyColors val="0"/>
        <c:ser>
          <c:idx val="0"/>
          <c:order val="0"/>
          <c:tx>
            <c:strRef>
              <c:f>Hoja1!$B$1</c:f>
              <c:strCache>
                <c:ptCount val="1"/>
                <c:pt idx="0">
                  <c:v>Endeudamiento</c:v>
                </c:pt>
              </c:strCache>
            </c:strRef>
          </c:tx>
          <c:spPr>
            <a:solidFill>
              <a:schemeClr val="tx2">
                <a:lumMod val="75000"/>
              </a:schemeClr>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0%</c:formatCode>
                <c:ptCount val="6"/>
                <c:pt idx="0">
                  <c:v>0.2307914379184956</c:v>
                </c:pt>
                <c:pt idx="1">
                  <c:v>0.16643179592370322</c:v>
                </c:pt>
                <c:pt idx="2">
                  <c:v>0.14647265976967874</c:v>
                </c:pt>
                <c:pt idx="3">
                  <c:v>0.12553897364034611</c:v>
                </c:pt>
                <c:pt idx="4">
                  <c:v>0.10499985505362343</c:v>
                </c:pt>
                <c:pt idx="5">
                  <c:v>0.11766839272107746</c:v>
                </c:pt>
              </c:numCache>
            </c:numRef>
          </c:val>
          <c:extLst>
            <c:ext xmlns:c16="http://schemas.microsoft.com/office/drawing/2014/chart" uri="{C3380CC4-5D6E-409C-BE32-E72D297353CC}">
              <c16:uniqueId val="{00000000-3042-4D08-8D64-320295AABB8D}"/>
            </c:ext>
          </c:extLst>
        </c:ser>
        <c:ser>
          <c:idx val="1"/>
          <c:order val="1"/>
          <c:tx>
            <c:strRef>
              <c:f>Hoja1!$C$1</c:f>
              <c:strCache>
                <c:ptCount val="1"/>
                <c:pt idx="0">
                  <c:v>Otras obligaciones</c:v>
                </c:pt>
              </c:strCache>
            </c:strRef>
          </c:tx>
          <c:spPr>
            <a:solidFill>
              <a:schemeClr val="accent4"/>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0%</c:formatCode>
                <c:ptCount val="6"/>
                <c:pt idx="0">
                  <c:v>0.66149480143917627</c:v>
                </c:pt>
                <c:pt idx="1">
                  <c:v>0.9094356184323229</c:v>
                </c:pt>
                <c:pt idx="2">
                  <c:v>1.0182391362160721</c:v>
                </c:pt>
                <c:pt idx="3">
                  <c:v>0.98904861556639223</c:v>
                </c:pt>
                <c:pt idx="4">
                  <c:v>0.97349117942245322</c:v>
                </c:pt>
                <c:pt idx="5">
                  <c:v>1.0919281158131366</c:v>
                </c:pt>
              </c:numCache>
            </c:numRef>
          </c:val>
          <c:extLst>
            <c:ext xmlns:c16="http://schemas.microsoft.com/office/drawing/2014/chart" uri="{C3380CC4-5D6E-409C-BE32-E72D297353CC}">
              <c16:uniqueId val="{00000001-3042-4D08-8D64-320295AABB8D}"/>
            </c:ext>
          </c:extLst>
        </c:ser>
        <c:dLbls>
          <c:showLegendKey val="0"/>
          <c:showVal val="0"/>
          <c:showCatName val="0"/>
          <c:showSerName val="0"/>
          <c:showPercent val="0"/>
          <c:showBubbleSize val="0"/>
        </c:dLbls>
        <c:gapWidth val="100"/>
        <c:overlap val="100"/>
        <c:axId val="2052477007"/>
        <c:axId val="2052474095"/>
      </c:barChart>
      <c:lineChart>
        <c:grouping val="stacked"/>
        <c:varyColors val="0"/>
        <c:ser>
          <c:idx val="2"/>
          <c:order val="2"/>
          <c:tx>
            <c:strRef>
              <c:f>Hoja1!$D$1</c:f>
              <c:strCache>
                <c:ptCount val="1"/>
                <c:pt idx="0">
                  <c:v>Total Obligaciones Financieras</c:v>
                </c:pt>
              </c:strCache>
            </c:strRef>
          </c:tx>
          <c:spPr>
            <a:ln w="34925" cap="rnd">
              <a:noFill/>
              <a:round/>
            </a:ln>
            <a:effectLst>
              <a:outerShdw blurRad="50800" dist="38100" dir="18900000" algn="bl" rotWithShape="0">
                <a:prstClr val="black">
                  <a:alpha val="40000"/>
                </a:prstClr>
              </a:outerShdw>
            </a:effectLst>
          </c:spPr>
          <c:marker>
            <c:symbol val="dash"/>
            <c:size val="2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5875">
                <a:solidFill>
                  <a:schemeClr val="tx1"/>
                </a:solidFill>
                <a:round/>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marker>
          <c:dLbls>
            <c:dLbl>
              <c:idx val="2"/>
              <c:layout>
                <c:manualLayout>
                  <c:x val="-0.10940780839895013"/>
                  <c:y val="-7.8153019889854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42-4D08-8D64-320295AABB8D}"/>
                </c:ext>
              </c:extLst>
            </c:dLbl>
            <c:dLbl>
              <c:idx val="5"/>
              <c:layout>
                <c:manualLayout>
                  <c:x val="-2.8256233595800685E-2"/>
                  <c:y val="-7.2898159143664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42-4D08-8D64-320295AABB8D}"/>
                </c:ext>
              </c:extLst>
            </c:dLbl>
            <c:numFmt formatCode="0.0%" sourceLinked="0"/>
            <c:spPr>
              <a:solidFill>
                <a:schemeClr val="lt1"/>
              </a:solidFill>
              <a:ln w="12700" cap="flat" cmpd="sng" algn="ctr">
                <a:solidFill>
                  <a:schemeClr val="dk1"/>
                </a:solidFill>
                <a:prstDash val="solid"/>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Hoja1!$D$2:$D$7</c:f>
              <c:numCache>
                <c:formatCode>0%</c:formatCode>
                <c:ptCount val="6"/>
                <c:pt idx="0">
                  <c:v>0.89228623935767193</c:v>
                </c:pt>
                <c:pt idx="1">
                  <c:v>1.0758674143560261</c:v>
                </c:pt>
                <c:pt idx="2">
                  <c:v>1.1647117959857507</c:v>
                </c:pt>
                <c:pt idx="3">
                  <c:v>1.1145875892067385</c:v>
                </c:pt>
                <c:pt idx="4">
                  <c:v>1.0784910344760767</c:v>
                </c:pt>
                <c:pt idx="5">
                  <c:v>1.2095965085342142</c:v>
                </c:pt>
              </c:numCache>
            </c:numRef>
          </c:val>
          <c:smooth val="0"/>
          <c:extLst>
            <c:ext xmlns:c16="http://schemas.microsoft.com/office/drawing/2014/chart" uri="{C3380CC4-5D6E-409C-BE32-E72D297353CC}">
              <c16:uniqueId val="{00000004-3042-4D08-8D64-320295AABB8D}"/>
            </c:ext>
          </c:extLst>
        </c:ser>
        <c:dLbls>
          <c:showLegendKey val="0"/>
          <c:showVal val="0"/>
          <c:showCatName val="0"/>
          <c:showSerName val="0"/>
          <c:showPercent val="0"/>
          <c:showBubbleSize val="0"/>
        </c:dLbls>
        <c:marker val="1"/>
        <c:smooth val="0"/>
        <c:axId val="2052477007"/>
        <c:axId val="2052474095"/>
      </c:line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6">
            <a:lumMod val="20000"/>
            <a:lumOff val="80000"/>
          </a:schemeClr>
        </a:solidFill>
        <a:ln>
          <a:noFill/>
        </a:ln>
        <a:effectLst/>
      </c:spPr>
    </c:plotArea>
    <c:legend>
      <c:legendPos val="b"/>
      <c:layout>
        <c:manualLayout>
          <c:xMode val="edge"/>
          <c:yMode val="edge"/>
          <c:x val="0"/>
          <c:y val="0.87863340519114019"/>
          <c:w val="0.57925688976377954"/>
          <c:h val="0.113912140383397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Nacionales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7.873105457193573E-2"/>
          <c:w val="0.90686857502187224"/>
          <c:h val="0.90932758470876895"/>
        </c:manualLayout>
      </c:layout>
      <c:barChart>
        <c:barDir val="bar"/>
        <c:grouping val="stacked"/>
        <c:varyColors val="0"/>
        <c:ser>
          <c:idx val="0"/>
          <c:order val="0"/>
          <c:tx>
            <c:strRef>
              <c:f>Hoja1!$B$1</c:f>
              <c:strCache>
                <c:ptCount val="1"/>
                <c:pt idx="0">
                  <c:v>Otras obligaciones</c:v>
                </c:pt>
              </c:strCache>
            </c:strRef>
          </c:tx>
          <c:spPr>
            <a:solidFill>
              <a:schemeClr val="accent6"/>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5"/>
              <c:layout>
                <c:manualLayout>
                  <c:x val="9.114583333333337E-2"/>
                  <c:y val="5.2548607461901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4E-44DA-B217-67F3010EFA73}"/>
                </c:ext>
              </c:extLst>
            </c:dLbl>
            <c:dLbl>
              <c:idx val="6"/>
              <c:layout>
                <c:manualLayout>
                  <c:x val="6.94444444444444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4E-44DA-B217-67F3010EFA73}"/>
                </c:ext>
              </c:extLst>
            </c:dLbl>
            <c:dLbl>
              <c:idx val="7"/>
              <c:layout>
                <c:manualLayout>
                  <c:x val="5.6423611111111112E-2"/>
                  <c:y val="5.2548607461902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4E-44DA-B217-67F3010EFA7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FEGUA</c:v>
                </c:pt>
                <c:pt idx="1">
                  <c:v>GUATEL</c:v>
                </c:pt>
                <c:pt idx="2">
                  <c:v>INDECA</c:v>
                </c:pt>
                <c:pt idx="3">
                  <c:v>ZOLIC</c:v>
                </c:pt>
                <c:pt idx="4">
                  <c:v>INDE</c:v>
                </c:pt>
                <c:pt idx="5">
                  <c:v>EPQ</c:v>
                </c:pt>
                <c:pt idx="6">
                  <c:v>EMPORNAC</c:v>
                </c:pt>
                <c:pt idx="7">
                  <c:v>EPNCH</c:v>
                </c:pt>
              </c:strCache>
            </c:strRef>
          </c:cat>
          <c:val>
            <c:numRef>
              <c:f>Hoja1!$B$2:$B$9</c:f>
              <c:numCache>
                <c:formatCode>0.0%</c:formatCode>
                <c:ptCount val="8"/>
                <c:pt idx="0">
                  <c:v>1.0870650914069571</c:v>
                </c:pt>
                <c:pt idx="1">
                  <c:v>0.90138553134305699</c:v>
                </c:pt>
                <c:pt idx="2">
                  <c:v>0.39475071252021388</c:v>
                </c:pt>
                <c:pt idx="3">
                  <c:v>0.34634574376806632</c:v>
                </c:pt>
                <c:pt idx="4">
                  <c:v>0.32841055061067093</c:v>
                </c:pt>
                <c:pt idx="5">
                  <c:v>9.6349022663903272E-2</c:v>
                </c:pt>
                <c:pt idx="6">
                  <c:v>4.757868726461395E-2</c:v>
                </c:pt>
                <c:pt idx="7">
                  <c:v>1.75959508424514E-3</c:v>
                </c:pt>
              </c:numCache>
            </c:numRef>
          </c:val>
          <c:extLst>
            <c:ext xmlns:c16="http://schemas.microsoft.com/office/drawing/2014/chart" uri="{C3380CC4-5D6E-409C-BE32-E72D297353CC}">
              <c16:uniqueId val="{00000003-964E-44DA-B217-67F3010EFA73}"/>
            </c:ext>
          </c:extLst>
        </c:ser>
        <c:dLbls>
          <c:showLegendKey val="0"/>
          <c:showVal val="0"/>
          <c:showCatName val="0"/>
          <c:showSerName val="0"/>
          <c:showPercent val="0"/>
          <c:showBubbleSize val="0"/>
        </c:dLbls>
        <c:gapWidth val="100"/>
        <c:overlap val="100"/>
        <c:axId val="2052477007"/>
        <c:axId val="2052474095"/>
      </c:barChart>
      <c:catAx>
        <c:axId val="2052477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0.1"/>
        </c:scaling>
        <c:delete val="1"/>
        <c:axPos val="b"/>
        <c:numFmt formatCode="0.0%" sourceLinked="1"/>
        <c:majorTickMark val="none"/>
        <c:minorTickMark val="none"/>
        <c:tickLblPos val="nextTo"/>
        <c:crossAx val="2052477007"/>
        <c:crosses val="autoZero"/>
        <c:crossBetween val="between"/>
      </c:valAx>
      <c:spPr>
        <a:solidFill>
          <a:schemeClr val="accent3">
            <a:lumMod val="20000"/>
            <a:lumOff val="80000"/>
          </a:schemeClr>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Municipales</a:t>
            </a:r>
          </a:p>
        </c:rich>
      </c:tx>
      <c:layout>
        <c:manualLayout>
          <c:xMode val="edge"/>
          <c:yMode val="edge"/>
          <c:x val="0.3689017388451443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46201368383639546"/>
          <c:y val="0.10285996830532809"/>
          <c:w val="0.79836163057742782"/>
          <c:h val="0.88766680045183532"/>
        </c:manualLayout>
      </c:layout>
      <c:barChart>
        <c:barDir val="bar"/>
        <c:grouping val="stacked"/>
        <c:varyColors val="0"/>
        <c:ser>
          <c:idx val="0"/>
          <c:order val="0"/>
          <c:tx>
            <c:strRef>
              <c:f>Hoja1!$B$1</c:f>
              <c:strCache>
                <c:ptCount val="1"/>
                <c:pt idx="0">
                  <c:v>Otras obligaciones</c:v>
                </c:pt>
              </c:strCache>
            </c:strRef>
          </c:tx>
          <c:spPr>
            <a:solidFill>
              <a:srgbClr val="FFC000"/>
            </a:solidFill>
            <a:ln w="15875">
              <a:solidFill>
                <a:schemeClr val="tx1"/>
              </a:solidFill>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invertIfNegative val="0"/>
          <c:dLbls>
            <c:dLbl>
              <c:idx val="4"/>
              <c:layout>
                <c:manualLayout>
                  <c:x val="5.2083333333333336E-2"/>
                  <c:y val="-9.63380007753483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DE-49F3-91C8-C47C99DC1A95}"/>
                </c:ext>
              </c:extLst>
            </c:dLbl>
            <c:dLbl>
              <c:idx val="5"/>
              <c:layout>
                <c:manualLayout>
                  <c:x val="4.77430555555555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DE-49F3-91C8-C47C99DC1A95}"/>
                </c:ext>
              </c:extLst>
            </c:dLbl>
            <c:dLbl>
              <c:idx val="6"/>
              <c:layout>
                <c:manualLayout>
                  <c:x val="4.77430555555554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DE-49F3-91C8-C47C99DC1A95}"/>
                </c:ext>
              </c:extLst>
            </c:dLbl>
            <c:dLbl>
              <c:idx val="7"/>
              <c:layout>
                <c:manualLayout>
                  <c:x val="5.2083333333333336E-2"/>
                  <c:y val="-9.63380007753483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DE-49F3-91C8-C47C99DC1A95}"/>
                </c:ext>
              </c:extLst>
            </c:dLbl>
            <c:dLbl>
              <c:idx val="8"/>
              <c:layout>
                <c:manualLayout>
                  <c:x val="4.7743055555555552E-2"/>
                  <c:y val="-5.25486074619027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DE-49F3-91C8-C47C99DC1A95}"/>
                </c:ext>
              </c:extLst>
            </c:dLbl>
            <c:dLbl>
              <c:idx val="9"/>
              <c:layout>
                <c:manualLayout>
                  <c:x val="4.340277777777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DE-49F3-91C8-C47C99DC1A95}"/>
                </c:ext>
              </c:extLst>
            </c:dLbl>
            <c:dLbl>
              <c:idx val="10"/>
              <c:layout>
                <c:manualLayout>
                  <c:x val="4.340277777777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DE-49F3-91C8-C47C99DC1A95}"/>
                </c:ext>
              </c:extLst>
            </c:dLbl>
            <c:dLbl>
              <c:idx val="11"/>
              <c:layout>
                <c:manualLayout>
                  <c:x val="3.9062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DE-49F3-91C8-C47C99DC1A95}"/>
                </c:ext>
              </c:extLst>
            </c:dLbl>
            <c:dLbl>
              <c:idx val="12"/>
              <c:layout>
                <c:manualLayout>
                  <c:x val="3.90625E-2"/>
                  <c:y val="-2.408450019383708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DE-49F3-91C8-C47C99DC1A95}"/>
                </c:ext>
              </c:extLst>
            </c:dLbl>
            <c:dLbl>
              <c:idx val="13"/>
              <c:layout>
                <c:manualLayout>
                  <c:x val="3.4722222222222224E-2"/>
                  <c:y val="-1.20422500969185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DE-49F3-91C8-C47C99DC1A9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Hoja1!$A$2:$A$15</c:f>
              <c:strCache>
                <c:ptCount val="14"/>
                <c:pt idx="0">
                  <c:v>Elect. de Jalapa</c:v>
                </c:pt>
                <c:pt idx="1">
                  <c:v>Elect. de Puerto Barrios</c:v>
                </c:pt>
                <c:pt idx="2">
                  <c:v>Elect. de Guastatoya</c:v>
                </c:pt>
                <c:pt idx="3">
                  <c:v>EMPAGUA</c:v>
                </c:pt>
                <c:pt idx="4">
                  <c:v>EMAPET</c:v>
                </c:pt>
                <c:pt idx="5">
                  <c:v>Elect. de Huehuetenango</c:v>
                </c:pt>
                <c:pt idx="6">
                  <c:v>Elect. de Zacapa</c:v>
                </c:pt>
                <c:pt idx="7">
                  <c:v>Agua de Jalapagua</c:v>
                </c:pt>
                <c:pt idx="8">
                  <c:v>Emp. de Transporte de Guatemala</c:v>
                </c:pt>
                <c:pt idx="9">
                  <c:v>Elect. de Gualan</c:v>
                </c:pt>
                <c:pt idx="10">
                  <c:v>Vivienda de Santa Catarina Pinula</c:v>
                </c:pt>
                <c:pt idx="11">
                  <c:v>Elect. de Joyabaj</c:v>
                </c:pt>
                <c:pt idx="12">
                  <c:v>Elect. de San Pedro Pinula</c:v>
                </c:pt>
                <c:pt idx="13">
                  <c:v>EMRE</c:v>
                </c:pt>
              </c:strCache>
            </c:strRef>
          </c:cat>
          <c:val>
            <c:numRef>
              <c:f>Hoja1!$B$2:$B$15</c:f>
              <c:numCache>
                <c:formatCode>0.0%</c:formatCode>
                <c:ptCount val="14"/>
                <c:pt idx="0">
                  <c:v>3.9383003706983568</c:v>
                </c:pt>
                <c:pt idx="1">
                  <c:v>2.8395410548504429</c:v>
                </c:pt>
                <c:pt idx="2">
                  <c:v>2.3564544514683075</c:v>
                </c:pt>
                <c:pt idx="3">
                  <c:v>1.301860374559116</c:v>
                </c:pt>
                <c:pt idx="4">
                  <c:v>0.11946556921553926</c:v>
                </c:pt>
                <c:pt idx="5">
                  <c:v>9.878447601858581E-2</c:v>
                </c:pt>
                <c:pt idx="6">
                  <c:v>9.2380775780622107E-2</c:v>
                </c:pt>
                <c:pt idx="7">
                  <c:v>7.2829202009924876E-2</c:v>
                </c:pt>
                <c:pt idx="8">
                  <c:v>4.0583864499088809E-2</c:v>
                </c:pt>
                <c:pt idx="9">
                  <c:v>7.7525456688518901E-3</c:v>
                </c:pt>
                <c:pt idx="10">
                  <c:v>4.7591717292459774E-3</c:v>
                </c:pt>
                <c:pt idx="11">
                  <c:v>1.5323369248301691E-3</c:v>
                </c:pt>
                <c:pt idx="12">
                  <c:v>0</c:v>
                </c:pt>
                <c:pt idx="13">
                  <c:v>0</c:v>
                </c:pt>
              </c:numCache>
            </c:numRef>
          </c:val>
          <c:extLst>
            <c:ext xmlns:c16="http://schemas.microsoft.com/office/drawing/2014/chart" uri="{C3380CC4-5D6E-409C-BE32-E72D297353CC}">
              <c16:uniqueId val="{0000000A-BCDE-49F3-91C8-C47C99DC1A95}"/>
            </c:ext>
          </c:extLst>
        </c:ser>
        <c:dLbls>
          <c:showLegendKey val="0"/>
          <c:showVal val="0"/>
          <c:showCatName val="0"/>
          <c:showSerName val="0"/>
          <c:showPercent val="0"/>
          <c:showBubbleSize val="0"/>
        </c:dLbls>
        <c:gapWidth val="100"/>
        <c:overlap val="100"/>
        <c:axId val="2052477007"/>
        <c:axId val="2052474095"/>
      </c:barChart>
      <c:catAx>
        <c:axId val="2052477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min val="-0.2"/>
        </c:scaling>
        <c:delete val="1"/>
        <c:axPos val="b"/>
        <c:numFmt formatCode="0.0%" sourceLinked="1"/>
        <c:majorTickMark val="out"/>
        <c:minorTickMark val="none"/>
        <c:tickLblPos val="nextTo"/>
        <c:crossAx val="2052477007"/>
        <c:crosses val="autoZero"/>
        <c:crossBetween val="between"/>
      </c:valAx>
      <c:spPr>
        <a:solidFill>
          <a:schemeClr val="accent6">
            <a:lumMod val="20000"/>
            <a:lumOff val="80000"/>
          </a:schemeClr>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72911169744945E-2"/>
          <c:y val="5.7471264367816091E-2"/>
          <c:w val="0.95162708883025504"/>
          <c:h val="0.8285702531697644"/>
        </c:manualLayout>
      </c:layout>
      <c:barChart>
        <c:barDir val="col"/>
        <c:grouping val="clustered"/>
        <c:varyColors val="0"/>
        <c:ser>
          <c:idx val="0"/>
          <c:order val="0"/>
          <c:tx>
            <c:strRef>
              <c:f>Hoja1!$B$1</c:f>
              <c:strCache>
                <c:ptCount val="1"/>
                <c:pt idx="0">
                  <c:v>Serie 1</c:v>
                </c:pt>
              </c:strCache>
            </c:strRef>
          </c:tx>
          <c:spPr>
            <a:solidFill>
              <a:schemeClr val="accent3">
                <a:lumMod val="75000"/>
              </a:schemeClr>
            </a:solidFill>
            <a:ln w="19050">
              <a:solidFill>
                <a:schemeClr val="tx1"/>
              </a:solidFill>
            </a:ln>
            <a:effectLst/>
          </c:spPr>
          <c:invertIfNegative val="0"/>
          <c:dLbls>
            <c:dLbl>
              <c:idx val="4"/>
              <c:layout>
                <c:manualLayout>
                  <c:x val="-8.0620587280337684E-17"/>
                  <c:y val="-6.7920585161964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38-4F03-8636-52076BF9053E}"/>
                </c:ext>
              </c:extLst>
            </c:dLbl>
            <c:dLbl>
              <c:idx val="5"/>
              <c:layout>
                <c:manualLayout>
                  <c:x val="-8.7950747581356046E-3"/>
                  <c:y val="-6.7920585161964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38-4F03-8636-52076BF9053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0.0</c:formatCode>
                <c:ptCount val="6"/>
                <c:pt idx="0">
                  <c:v>21.4</c:v>
                </c:pt>
                <c:pt idx="1">
                  <c:v>16.197353723073356</c:v>
                </c:pt>
                <c:pt idx="2">
                  <c:v>18.865960216859328</c:v>
                </c:pt>
                <c:pt idx="3">
                  <c:v>13.085417090099236</c:v>
                </c:pt>
                <c:pt idx="4">
                  <c:v>14.46536863364649</c:v>
                </c:pt>
                <c:pt idx="5">
                  <c:v>14.275561786668918</c:v>
                </c:pt>
              </c:numCache>
            </c:numRef>
          </c:val>
          <c:extLst>
            <c:ext xmlns:c16="http://schemas.microsoft.com/office/drawing/2014/chart" uri="{C3380CC4-5D6E-409C-BE32-E72D297353CC}">
              <c16:uniqueId val="{00000000-5738-4F03-8636-52076BF9053E}"/>
            </c:ext>
          </c:extLst>
        </c:ser>
        <c:dLbls>
          <c:showLegendKey val="0"/>
          <c:showVal val="0"/>
          <c:showCatName val="0"/>
          <c:showSerName val="0"/>
          <c:showPercent val="0"/>
          <c:showBubbleSize val="0"/>
        </c:dLbls>
        <c:gapWidth val="100"/>
        <c:overlap val="-27"/>
        <c:axId val="697518216"/>
        <c:axId val="697518544"/>
      </c:barChart>
      <c:lineChart>
        <c:grouping val="standard"/>
        <c:varyColors val="0"/>
        <c:ser>
          <c:idx val="1"/>
          <c:order val="1"/>
          <c:tx>
            <c:strRef>
              <c:f>Hoja1!$C$1</c:f>
              <c:strCache>
                <c:ptCount val="1"/>
                <c:pt idx="0">
                  <c:v>Promedio</c:v>
                </c:pt>
              </c:strCache>
            </c:strRef>
          </c:tx>
          <c:spPr>
            <a:ln w="22225" cap="rnd">
              <a:solidFill>
                <a:srgbClr val="C0000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5738-4F03-8636-52076BF9053E}"/>
                </c:ext>
              </c:extLst>
            </c:dLbl>
            <c:dLbl>
              <c:idx val="1"/>
              <c:delete val="1"/>
              <c:extLst>
                <c:ext xmlns:c15="http://schemas.microsoft.com/office/drawing/2012/chart" uri="{CE6537A1-D6FC-4f65-9D91-7224C49458BB}"/>
                <c:ext xmlns:c16="http://schemas.microsoft.com/office/drawing/2014/chart" uri="{C3380CC4-5D6E-409C-BE32-E72D297353CC}">
                  <c16:uniqueId val="{00000007-5738-4F03-8636-52076BF9053E}"/>
                </c:ext>
              </c:extLst>
            </c:dLbl>
            <c:dLbl>
              <c:idx val="2"/>
              <c:delete val="1"/>
              <c:extLst>
                <c:ext xmlns:c15="http://schemas.microsoft.com/office/drawing/2012/chart" uri="{CE6537A1-D6FC-4f65-9D91-7224C49458BB}"/>
                <c:ext xmlns:c16="http://schemas.microsoft.com/office/drawing/2014/chart" uri="{C3380CC4-5D6E-409C-BE32-E72D297353CC}">
                  <c16:uniqueId val="{00000005-5738-4F03-8636-52076BF9053E}"/>
                </c:ext>
              </c:extLst>
            </c:dLbl>
            <c:dLbl>
              <c:idx val="3"/>
              <c:layout>
                <c:manualLayout>
                  <c:x val="-5.7167985927880374E-2"/>
                  <c:y val="-0.13061650992685478"/>
                </c:manualLayout>
              </c:layout>
              <c:showLegendKey val="0"/>
              <c:showVal val="1"/>
              <c:showCatName val="0"/>
              <c:showSerName val="1"/>
              <c:showPercent val="0"/>
              <c:showBubbleSize val="0"/>
              <c:extLst>
                <c:ext xmlns:c15="http://schemas.microsoft.com/office/drawing/2012/chart" uri="{CE6537A1-D6FC-4f65-9D91-7224C49458BB}">
                  <c15:layout>
                    <c:manualLayout>
                      <c:w val="0.29678979771328057"/>
                      <c:h val="0.12377220480668756"/>
                    </c:manualLayout>
                  </c15:layout>
                </c:ext>
                <c:ext xmlns:c16="http://schemas.microsoft.com/office/drawing/2014/chart" uri="{C3380CC4-5D6E-409C-BE32-E72D297353CC}">
                  <c16:uniqueId val="{00000004-5738-4F03-8636-52076BF9053E}"/>
                </c:ext>
              </c:extLst>
            </c:dLbl>
            <c:dLbl>
              <c:idx val="4"/>
              <c:delete val="1"/>
              <c:extLst>
                <c:ext xmlns:c15="http://schemas.microsoft.com/office/drawing/2012/chart" uri="{CE6537A1-D6FC-4f65-9D91-7224C49458BB}"/>
                <c:ext xmlns:c16="http://schemas.microsoft.com/office/drawing/2014/chart" uri="{C3380CC4-5D6E-409C-BE32-E72D297353CC}">
                  <c16:uniqueId val="{00000009-5738-4F03-8636-52076BF9053E}"/>
                </c:ext>
              </c:extLst>
            </c:dLbl>
            <c:dLbl>
              <c:idx val="5"/>
              <c:delete val="1"/>
              <c:extLst>
                <c:ext xmlns:c15="http://schemas.microsoft.com/office/drawing/2012/chart" uri="{CE6537A1-D6FC-4f65-9D91-7224C49458BB}"/>
                <c:ext xmlns:c16="http://schemas.microsoft.com/office/drawing/2014/chart" uri="{C3380CC4-5D6E-409C-BE32-E72D297353CC}">
                  <c16:uniqueId val="{00000008-5738-4F03-8636-52076BF905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0.0</c:formatCode>
                <c:ptCount val="6"/>
                <c:pt idx="0">
                  <c:v>16.342465396615605</c:v>
                </c:pt>
                <c:pt idx="1">
                  <c:v>16.342465396615605</c:v>
                </c:pt>
                <c:pt idx="2">
                  <c:v>16.342465396615605</c:v>
                </c:pt>
                <c:pt idx="3">
                  <c:v>16.342465396615605</c:v>
                </c:pt>
                <c:pt idx="4">
                  <c:v>16.342465396615605</c:v>
                </c:pt>
                <c:pt idx="5">
                  <c:v>16.342465396615605</c:v>
                </c:pt>
              </c:numCache>
            </c:numRef>
          </c:val>
          <c:smooth val="0"/>
          <c:extLst>
            <c:ext xmlns:c16="http://schemas.microsoft.com/office/drawing/2014/chart" uri="{C3380CC4-5D6E-409C-BE32-E72D297353CC}">
              <c16:uniqueId val="{00000001-5738-4F03-8636-52076BF9053E}"/>
            </c:ext>
          </c:extLst>
        </c:ser>
        <c:dLbls>
          <c:showLegendKey val="0"/>
          <c:showVal val="0"/>
          <c:showCatName val="0"/>
          <c:showSerName val="0"/>
          <c:showPercent val="0"/>
          <c:showBubbleSize val="0"/>
        </c:dLbls>
        <c:marker val="1"/>
        <c:smooth val="0"/>
        <c:axId val="697518216"/>
        <c:axId val="697518544"/>
      </c:lineChart>
      <c:catAx>
        <c:axId val="6975182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97518544"/>
        <c:crosses val="autoZero"/>
        <c:auto val="1"/>
        <c:lblAlgn val="ctr"/>
        <c:lblOffset val="100"/>
        <c:noMultiLvlLbl val="0"/>
      </c:catAx>
      <c:valAx>
        <c:axId val="697518544"/>
        <c:scaling>
          <c:orientation val="minMax"/>
        </c:scaling>
        <c:delete val="1"/>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6975182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6">
                <a:lumMod val="40000"/>
                <a:lumOff val="60000"/>
              </a:schemeClr>
            </a:solid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0.0</c:formatCode>
                <c:ptCount val="6"/>
                <c:pt idx="0">
                  <c:v>2.9169436602930285</c:v>
                </c:pt>
                <c:pt idx="1">
                  <c:v>3.7877523637984205</c:v>
                </c:pt>
                <c:pt idx="2">
                  <c:v>4.218159743197254</c:v>
                </c:pt>
                <c:pt idx="3">
                  <c:v>2.7048969372549818</c:v>
                </c:pt>
                <c:pt idx="4">
                  <c:v>3.8395140505181304</c:v>
                </c:pt>
                <c:pt idx="5">
                  <c:v>3.8695356652391757</c:v>
                </c:pt>
              </c:numCache>
            </c:numRef>
          </c:val>
          <c:extLst>
            <c:ext xmlns:c16="http://schemas.microsoft.com/office/drawing/2014/chart" uri="{C3380CC4-5D6E-409C-BE32-E72D297353CC}">
              <c16:uniqueId val="{00000000-58FE-46BE-A5B0-4E631A683DB1}"/>
            </c:ext>
          </c:extLst>
        </c:ser>
        <c:dLbls>
          <c:showLegendKey val="0"/>
          <c:showVal val="0"/>
          <c:showCatName val="0"/>
          <c:showSerName val="0"/>
          <c:showPercent val="0"/>
          <c:showBubbleSize val="0"/>
        </c:dLbls>
        <c:gapWidth val="100"/>
        <c:overlap val="-43"/>
        <c:axId val="611465248"/>
        <c:axId val="611465576"/>
      </c:barChart>
      <c:lineChart>
        <c:grouping val="standard"/>
        <c:varyColors val="0"/>
        <c:ser>
          <c:idx val="1"/>
          <c:order val="1"/>
          <c:tx>
            <c:strRef>
              <c:f>Hoja1!$C$1</c:f>
              <c:strCache>
                <c:ptCount val="1"/>
                <c:pt idx="0">
                  <c:v>Promedio</c:v>
                </c:pt>
              </c:strCache>
            </c:strRef>
          </c:tx>
          <c:spPr>
            <a:ln w="22225" cap="rnd">
              <a:solidFill>
                <a:srgbClr val="C0000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D268-4FCB-A7E7-D65C26083766}"/>
                </c:ext>
              </c:extLst>
            </c:dLbl>
            <c:dLbl>
              <c:idx val="1"/>
              <c:delete val="1"/>
              <c:extLst>
                <c:ext xmlns:c15="http://schemas.microsoft.com/office/drawing/2012/chart" uri="{CE6537A1-D6FC-4f65-9D91-7224C49458BB}"/>
                <c:ext xmlns:c16="http://schemas.microsoft.com/office/drawing/2014/chart" uri="{C3380CC4-5D6E-409C-BE32-E72D297353CC}">
                  <c16:uniqueId val="{00000002-D268-4FCB-A7E7-D65C26083766}"/>
                </c:ext>
              </c:extLst>
            </c:dLbl>
            <c:dLbl>
              <c:idx val="2"/>
              <c:delete val="1"/>
              <c:extLst>
                <c:ext xmlns:c15="http://schemas.microsoft.com/office/drawing/2012/chart" uri="{CE6537A1-D6FC-4f65-9D91-7224C49458BB}"/>
                <c:ext xmlns:c16="http://schemas.microsoft.com/office/drawing/2014/chart" uri="{C3380CC4-5D6E-409C-BE32-E72D297353CC}">
                  <c16:uniqueId val="{00000001-D268-4FCB-A7E7-D65C26083766}"/>
                </c:ext>
              </c:extLst>
            </c:dLbl>
            <c:dLbl>
              <c:idx val="3"/>
              <c:layout>
                <c:manualLayout>
                  <c:x val="-0.1100244498777506"/>
                  <c:y val="-8.4121976866456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D268-4FCB-A7E7-D65C26083766}"/>
                </c:ext>
              </c:extLst>
            </c:dLbl>
            <c:dLbl>
              <c:idx val="4"/>
              <c:delete val="1"/>
              <c:extLst>
                <c:ext xmlns:c15="http://schemas.microsoft.com/office/drawing/2012/chart" uri="{CE6537A1-D6FC-4f65-9D91-7224C49458BB}"/>
                <c:ext xmlns:c16="http://schemas.microsoft.com/office/drawing/2014/chart" uri="{C3380CC4-5D6E-409C-BE32-E72D297353CC}">
                  <c16:uniqueId val="{00000004-D268-4FCB-A7E7-D65C26083766}"/>
                </c:ext>
              </c:extLst>
            </c:dLbl>
            <c:dLbl>
              <c:idx val="5"/>
              <c:delete val="1"/>
              <c:extLst>
                <c:ext xmlns:c15="http://schemas.microsoft.com/office/drawing/2012/chart" uri="{CE6537A1-D6FC-4f65-9D91-7224C49458BB}"/>
                <c:ext xmlns:c16="http://schemas.microsoft.com/office/drawing/2014/chart" uri="{C3380CC4-5D6E-409C-BE32-E72D297353CC}">
                  <c16:uniqueId val="{00000005-D268-4FCB-A7E7-D65C260837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0.0</c:formatCode>
                <c:ptCount val="6"/>
                <c:pt idx="0">
                  <c:v>3.556133736716832</c:v>
                </c:pt>
                <c:pt idx="1">
                  <c:v>3.556133736716832</c:v>
                </c:pt>
                <c:pt idx="2">
                  <c:v>3.556133736716832</c:v>
                </c:pt>
                <c:pt idx="3">
                  <c:v>3.556133736716832</c:v>
                </c:pt>
                <c:pt idx="4">
                  <c:v>3.556133736716832</c:v>
                </c:pt>
                <c:pt idx="5">
                  <c:v>3.556133736716832</c:v>
                </c:pt>
              </c:numCache>
            </c:numRef>
          </c:val>
          <c:smooth val="0"/>
          <c:extLst>
            <c:ext xmlns:c16="http://schemas.microsoft.com/office/drawing/2014/chart" uri="{C3380CC4-5D6E-409C-BE32-E72D297353CC}">
              <c16:uniqueId val="{00000001-58FE-46BE-A5B0-4E631A683DB1}"/>
            </c:ext>
          </c:extLst>
        </c:ser>
        <c:dLbls>
          <c:showLegendKey val="0"/>
          <c:showVal val="0"/>
          <c:showCatName val="0"/>
          <c:showSerName val="0"/>
          <c:showPercent val="0"/>
          <c:showBubbleSize val="0"/>
        </c:dLbls>
        <c:marker val="1"/>
        <c:smooth val="0"/>
        <c:axId val="611465248"/>
        <c:axId val="611465576"/>
      </c:lineChart>
      <c:catAx>
        <c:axId val="611465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465576"/>
        <c:crosses val="autoZero"/>
        <c:auto val="1"/>
        <c:lblAlgn val="ctr"/>
        <c:lblOffset val="100"/>
        <c:noMultiLvlLbl val="0"/>
      </c:catAx>
      <c:valAx>
        <c:axId val="611465576"/>
        <c:scaling>
          <c:orientation val="minMax"/>
        </c:scaling>
        <c:delete val="1"/>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6114652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Liquidez Financiera </c:v>
                </c:pt>
              </c:strCache>
            </c:strRef>
          </c:tx>
          <c:spPr>
            <a:solidFill>
              <a:schemeClr val="accent2">
                <a:lumMod val="40000"/>
                <a:lumOff val="60000"/>
              </a:schemeClr>
            </a:solidFill>
            <a:ln>
              <a:solidFill>
                <a:schemeClr val="tx1"/>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EPNCH</c:v>
                </c:pt>
                <c:pt idx="1">
                  <c:v>INDECA</c:v>
                </c:pt>
                <c:pt idx="2">
                  <c:v>EMPORNAC</c:v>
                </c:pt>
                <c:pt idx="3">
                  <c:v>EPQ</c:v>
                </c:pt>
                <c:pt idx="4">
                  <c:v>INDE</c:v>
                </c:pt>
                <c:pt idx="5">
                  <c:v>GUATEL</c:v>
                </c:pt>
                <c:pt idx="6">
                  <c:v>ZOLIC</c:v>
                </c:pt>
                <c:pt idx="7">
                  <c:v>FEGUA</c:v>
                </c:pt>
              </c:strCache>
            </c:strRef>
          </c:cat>
          <c:val>
            <c:numRef>
              <c:f>Hoja1!$B$2:$B$9</c:f>
              <c:numCache>
                <c:formatCode>0.0</c:formatCode>
                <c:ptCount val="8"/>
                <c:pt idx="0">
                  <c:v>220.46664546805141</c:v>
                </c:pt>
                <c:pt idx="1">
                  <c:v>50.224320746683681</c:v>
                </c:pt>
                <c:pt idx="2">
                  <c:v>17.519112416117274</c:v>
                </c:pt>
                <c:pt idx="3">
                  <c:v>16.977949471671842</c:v>
                </c:pt>
                <c:pt idx="4">
                  <c:v>13.997151958186716</c:v>
                </c:pt>
                <c:pt idx="5">
                  <c:v>4.9747379850381712</c:v>
                </c:pt>
                <c:pt idx="6">
                  <c:v>2.8382784204032765</c:v>
                </c:pt>
                <c:pt idx="7">
                  <c:v>0.60087310534590244</c:v>
                </c:pt>
              </c:numCache>
            </c:numRef>
          </c:val>
          <c:extLst>
            <c:ext xmlns:c16="http://schemas.microsoft.com/office/drawing/2014/chart" uri="{C3380CC4-5D6E-409C-BE32-E72D297353CC}">
              <c16:uniqueId val="{00000000-C799-4048-8B3D-2505D80721CF}"/>
            </c:ext>
          </c:extLst>
        </c:ser>
        <c:dLbls>
          <c:showLegendKey val="0"/>
          <c:showVal val="0"/>
          <c:showCatName val="0"/>
          <c:showSerName val="0"/>
          <c:showPercent val="0"/>
          <c:showBubbleSize val="0"/>
        </c:dLbls>
        <c:gapWidth val="199"/>
        <c:axId val="483664224"/>
        <c:axId val="483669144"/>
      </c:barChart>
      <c:catAx>
        <c:axId val="48366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83669144"/>
        <c:crosses val="autoZero"/>
        <c:auto val="1"/>
        <c:lblAlgn val="ctr"/>
        <c:lblOffset val="100"/>
        <c:noMultiLvlLbl val="0"/>
      </c:catAx>
      <c:valAx>
        <c:axId val="483669144"/>
        <c:scaling>
          <c:orientation val="minMax"/>
          <c:max val="23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extTo"/>
        <c:crossAx val="483664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Hoja1!$B$1</c:f>
              <c:strCache>
                <c:ptCount val="1"/>
                <c:pt idx="0">
                  <c:v>Liquidez</c:v>
                </c:pt>
              </c:strCache>
            </c:strRef>
          </c:tx>
          <c:spPr>
            <a:solidFill>
              <a:schemeClr val="accent4"/>
            </a:solidFill>
            <a:ln>
              <a:solidFill>
                <a:schemeClr val="tx1">
                  <a:lumMod val="95000"/>
                  <a:lumOff val="5000"/>
                </a:schemeClr>
              </a:solidFill>
            </a:ln>
            <a:effectLst/>
            <a:scene3d>
              <a:camera prst="orthographicFront"/>
              <a:lightRig rig="threePt" dir="t"/>
            </a:scene3d>
            <a:sp3d>
              <a:bevel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Hoja1!$A$2:$A$14</c:f>
              <c:strCache>
                <c:ptCount val="13"/>
                <c:pt idx="0">
                  <c:v>VIVIENDA STA CAT PINULA</c:v>
                </c:pt>
                <c:pt idx="1">
                  <c:v>ELEC. DE GUALAN</c:v>
                </c:pt>
                <c:pt idx="2">
                  <c:v>ELEC. DE JOYABAJ</c:v>
                </c:pt>
                <c:pt idx="3">
                  <c:v>ELEC. DE GUASTATOYA</c:v>
                </c:pt>
                <c:pt idx="4">
                  <c:v>ELEC. DE ZACAPA</c:v>
                </c:pt>
                <c:pt idx="5">
                  <c:v>ELEC. DE PUERTO BARRIOS</c:v>
                </c:pt>
                <c:pt idx="6">
                  <c:v>ELEC. DE HUEHUETENANGO</c:v>
                </c:pt>
                <c:pt idx="7">
                  <c:v>EMPAGUA</c:v>
                </c:pt>
                <c:pt idx="8">
                  <c:v>EMAPET</c:v>
                </c:pt>
                <c:pt idx="9">
                  <c:v>ELEC. SAN PEDRO PINULA</c:v>
                </c:pt>
                <c:pt idx="10">
                  <c:v>AGUA DE JALAPAGUA</c:v>
                </c:pt>
                <c:pt idx="11">
                  <c:v>EMP. DE TRANSPORTE DE GUA</c:v>
                </c:pt>
                <c:pt idx="12">
                  <c:v>ELEC. DE JALAPA</c:v>
                </c:pt>
              </c:strCache>
            </c:strRef>
          </c:cat>
          <c:val>
            <c:numRef>
              <c:f>Hoja1!$B$2:$B$14</c:f>
              <c:numCache>
                <c:formatCode>0.0</c:formatCode>
                <c:ptCount val="13"/>
                <c:pt idx="0">
                  <c:v>78.652348432419728</c:v>
                </c:pt>
                <c:pt idx="1">
                  <c:v>73.214602939861507</c:v>
                </c:pt>
                <c:pt idx="2">
                  <c:v>53.669830693638865</c:v>
                </c:pt>
                <c:pt idx="3">
                  <c:v>43.542797869572397</c:v>
                </c:pt>
                <c:pt idx="4">
                  <c:v>25.303648451961532</c:v>
                </c:pt>
                <c:pt idx="5">
                  <c:v>17.83340316212168</c:v>
                </c:pt>
                <c:pt idx="6">
                  <c:v>6.905069120997263</c:v>
                </c:pt>
                <c:pt idx="7">
                  <c:v>4.6440610654892502</c:v>
                </c:pt>
                <c:pt idx="8">
                  <c:v>1.3089347495086028</c:v>
                </c:pt>
                <c:pt idx="9">
                  <c:v>1.2080913727909492</c:v>
                </c:pt>
                <c:pt idx="10">
                  <c:v>1.0033197577009667</c:v>
                </c:pt>
                <c:pt idx="11">
                  <c:v>0.47396067830198918</c:v>
                </c:pt>
                <c:pt idx="12">
                  <c:v>0.22662246082778975</c:v>
                </c:pt>
              </c:numCache>
            </c:numRef>
          </c:val>
          <c:extLst>
            <c:ext xmlns:c16="http://schemas.microsoft.com/office/drawing/2014/chart" uri="{C3380CC4-5D6E-409C-BE32-E72D297353CC}">
              <c16:uniqueId val="{00000000-5474-4FBD-8D8E-F571B1B3430E}"/>
            </c:ext>
          </c:extLst>
        </c:ser>
        <c:dLbls>
          <c:dLblPos val="outEnd"/>
          <c:showLegendKey val="0"/>
          <c:showVal val="1"/>
          <c:showCatName val="0"/>
          <c:showSerName val="0"/>
          <c:showPercent val="0"/>
          <c:showBubbleSize val="0"/>
        </c:dLbls>
        <c:gapWidth val="100"/>
        <c:overlap val="-90"/>
        <c:axId val="1399689232"/>
        <c:axId val="1399683408"/>
      </c:barChart>
      <c:catAx>
        <c:axId val="139968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399683408"/>
        <c:crosses val="autoZero"/>
        <c:auto val="1"/>
        <c:lblAlgn val="ctr"/>
        <c:lblOffset val="100"/>
        <c:noMultiLvlLbl val="0"/>
      </c:catAx>
      <c:valAx>
        <c:axId val="1399683408"/>
        <c:scaling>
          <c:orientation val="minMax"/>
        </c:scaling>
        <c:delete val="1"/>
        <c:axPos val="l"/>
        <c:numFmt formatCode="0.0" sourceLinked="1"/>
        <c:majorTickMark val="none"/>
        <c:minorTickMark val="none"/>
        <c:tickLblPos val="nextTo"/>
        <c:crossAx val="1399689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Nacionales</a:t>
            </a:r>
          </a:p>
        </c:rich>
      </c:tx>
      <c:layout>
        <c:manualLayout>
          <c:xMode val="edge"/>
          <c:yMode val="edge"/>
          <c:x val="0.39494340551181101"/>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90686857502187224"/>
          <c:h val="0.74117204083068178"/>
        </c:manualLayout>
      </c:layout>
      <c:areaChart>
        <c:grouping val="stacked"/>
        <c:varyColors val="0"/>
        <c:ser>
          <c:idx val="0"/>
          <c:order val="0"/>
          <c:tx>
            <c:strRef>
              <c:f>'[Evaluación a Empresas - Nacionales y Municipales.xlsx]Sector - Obligaciones Fin'!$F$4</c:f>
              <c:strCache>
                <c:ptCount val="1"/>
                <c:pt idx="0">
                  <c:v>Endeudamiento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dLbl>
              <c:idx val="0"/>
              <c:layout>
                <c:manualLayout>
                  <c:x val="3.906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AD-4C94-BE81-3D7FF978697A}"/>
                </c:ext>
              </c:extLst>
            </c:dLbl>
            <c:dLbl>
              <c:idx val="5"/>
              <c:layout>
                <c:manualLayout>
                  <c:x val="-1.3020833333333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AD-4C94-BE81-3D7FF978697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Empresas - Nacionales y Municipales.xlsx]Sector - Obligaciones Fin'!$A$13:$A$19</c:f>
              <c:strCache>
                <c:ptCount val="7"/>
                <c:pt idx="0">
                  <c:v>2016</c:v>
                </c:pt>
                <c:pt idx="1">
                  <c:v>2017</c:v>
                </c:pt>
                <c:pt idx="2">
                  <c:v>2018</c:v>
                </c:pt>
                <c:pt idx="3">
                  <c:v>2019</c:v>
                </c:pt>
                <c:pt idx="4">
                  <c:v>2020</c:v>
                </c:pt>
                <c:pt idx="5">
                  <c:v>2021</c:v>
                </c:pt>
                <c:pt idx="6">
                  <c:v>Total general</c:v>
                </c:pt>
              </c:strCache>
            </c:strRef>
          </c:cat>
          <c:val>
            <c:numRef>
              <c:f>'[Evaluación a Empresas - Nacionales y Municipales.xlsx]Sector - Obligaciones Fin'!$F$13:$F$18</c:f>
              <c:numCache>
                <c:formatCode>0.00%</c:formatCode>
                <c:ptCount val="6"/>
                <c:pt idx="0">
                  <c:v>2.0766210655087593E-3</c:v>
                </c:pt>
                <c:pt idx="1">
                  <c:v>1.9029413144810497E-3</c:v>
                </c:pt>
                <c:pt idx="2">
                  <c:v>1.7751123017635585E-3</c:v>
                </c:pt>
                <c:pt idx="3">
                  <c:v>1.5775905597470257E-3</c:v>
                </c:pt>
                <c:pt idx="4">
                  <c:v>1.5073621520128354E-3</c:v>
                </c:pt>
                <c:pt idx="5">
                  <c:v>1.2894529433656087E-3</c:v>
                </c:pt>
              </c:numCache>
            </c:numRef>
          </c:val>
          <c:extLst>
            <c:ext xmlns:c16="http://schemas.microsoft.com/office/drawing/2014/chart" uri="{C3380CC4-5D6E-409C-BE32-E72D297353CC}">
              <c16:uniqueId val="{00000002-1DAD-4C94-BE81-3D7FF978697A}"/>
            </c:ext>
          </c:extLst>
        </c:ser>
        <c:ser>
          <c:idx val="1"/>
          <c:order val="1"/>
          <c:tx>
            <c:strRef>
              <c:f>'[Evaluación a Empresas - Nacionales y Municipales.xlsx]Sector - Obligaciones Fin'!$G$4</c:f>
              <c:strCache>
                <c:ptCount val="1"/>
                <c:pt idx="0">
                  <c:v>Otras obligaciones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25400">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dLbl>
              <c:idx val="0"/>
              <c:layout>
                <c:manualLayout>
                  <c:x val="3.906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AD-4C94-BE81-3D7FF978697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Empresas - Nacionales y Municipales.xlsx]Sector - Obligaciones Fin'!$A$13:$A$19</c:f>
              <c:strCache>
                <c:ptCount val="7"/>
                <c:pt idx="0">
                  <c:v>2016</c:v>
                </c:pt>
                <c:pt idx="1">
                  <c:v>2017</c:v>
                </c:pt>
                <c:pt idx="2">
                  <c:v>2018</c:v>
                </c:pt>
                <c:pt idx="3">
                  <c:v>2019</c:v>
                </c:pt>
                <c:pt idx="4">
                  <c:v>2020</c:v>
                </c:pt>
                <c:pt idx="5">
                  <c:v>2021</c:v>
                </c:pt>
                <c:pt idx="6">
                  <c:v>Total general</c:v>
                </c:pt>
              </c:strCache>
            </c:strRef>
          </c:cat>
          <c:val>
            <c:numRef>
              <c:f>'[Evaluación a Empresas - Nacionales y Municipales.xlsx]Sector - Obligaciones Fin'!$G$13:$G$18</c:f>
              <c:numCache>
                <c:formatCode>0.00%</c:formatCode>
                <c:ptCount val="6"/>
                <c:pt idx="0">
                  <c:v>3.333833623388637E-4</c:v>
                </c:pt>
                <c:pt idx="1">
                  <c:v>3.0604441208233733E-4</c:v>
                </c:pt>
                <c:pt idx="2">
                  <c:v>3.1195037284529155E-4</c:v>
                </c:pt>
                <c:pt idx="3">
                  <c:v>2.7515455663838632E-4</c:v>
                </c:pt>
                <c:pt idx="4">
                  <c:v>3.2590894880503142E-4</c:v>
                </c:pt>
                <c:pt idx="5">
                  <c:v>3.5030979623732535E-4</c:v>
                </c:pt>
              </c:numCache>
            </c:numRef>
          </c:val>
          <c:extLst>
            <c:ext xmlns:c16="http://schemas.microsoft.com/office/drawing/2014/chart" uri="{C3380CC4-5D6E-409C-BE32-E72D297353CC}">
              <c16:uniqueId val="{00000004-1DAD-4C94-BE81-3D7FF978697A}"/>
            </c:ext>
          </c:extLst>
        </c:ser>
        <c:dLbls>
          <c:showLegendKey val="0"/>
          <c:showVal val="0"/>
          <c:showCatName val="0"/>
          <c:showSerName val="0"/>
          <c:showPercent val="0"/>
          <c:showBubbleSize val="0"/>
        </c:dLbls>
        <c:axId val="2052477007"/>
        <c:axId val="2052474095"/>
      </c:areaChart>
      <c:lineChart>
        <c:grouping val="stacked"/>
        <c:varyColors val="0"/>
        <c:ser>
          <c:idx val="2"/>
          <c:order val="2"/>
          <c:tx>
            <c:strRef>
              <c:f>'[Evaluación a Empresas - Nacionales y Municipales.xlsx]Sector - Obligaciones Fin'!$H$4</c:f>
              <c:strCache>
                <c:ptCount val="1"/>
                <c:pt idx="0">
                  <c:v>Total Obligaciones Financieras</c:v>
                </c:pt>
              </c:strCache>
            </c:strRef>
          </c:tx>
          <c:spPr>
            <a:ln w="34925" cap="rnd">
              <a:solidFill>
                <a:schemeClr val="accent3"/>
              </a:solidFill>
              <a:round/>
            </a:ln>
            <a:effectLst>
              <a:outerShdw blurRad="57150" dist="19050" dir="5400000" algn="ctr" rotWithShape="0">
                <a:srgbClr val="000000">
                  <a:alpha val="63000"/>
                </a:srgbClr>
              </a:outerShdw>
            </a:effectLst>
          </c:spPr>
          <c:marker>
            <c:symbol val="dash"/>
            <c:size val="2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5875">
                <a:solidFill>
                  <a:schemeClr val="tx1"/>
                </a:solidFill>
                <a:round/>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0</c:v>
                </c:pt>
                <c:pt idx="1">
                  <c:v>0</c:v>
                </c:pt>
                <c:pt idx="2">
                  <c:v>0</c:v>
                </c:pt>
                <c:pt idx="3">
                  <c:v>0</c:v>
                </c:pt>
                <c:pt idx="4">
                  <c:v>0</c:v>
                </c:pt>
                <c:pt idx="5">
                  <c:v>0</c:v>
                </c:pt>
              </c:numCache>
            </c:numRef>
          </c:cat>
          <c:val>
            <c:numRef>
              <c:f>'[Evaluación a Empresas - Nacionales y Municipales.xlsx]Sector - Obligaciones Fin'!$H$13:$H$18</c:f>
              <c:numCache>
                <c:formatCode>0.00%</c:formatCode>
                <c:ptCount val="6"/>
                <c:pt idx="0">
                  <c:v>2.4100044278476231E-3</c:v>
                </c:pt>
                <c:pt idx="1">
                  <c:v>2.2089857265633873E-3</c:v>
                </c:pt>
                <c:pt idx="2">
                  <c:v>2.0870626746088503E-3</c:v>
                </c:pt>
                <c:pt idx="3">
                  <c:v>1.8527451163854118E-3</c:v>
                </c:pt>
                <c:pt idx="4">
                  <c:v>1.8332711008178667E-3</c:v>
                </c:pt>
                <c:pt idx="5">
                  <c:v>1.6397627396029344E-3</c:v>
                </c:pt>
              </c:numCache>
            </c:numRef>
          </c:val>
          <c:smooth val="0"/>
          <c:extLst>
            <c:ext xmlns:c16="http://schemas.microsoft.com/office/drawing/2014/chart" uri="{C3380CC4-5D6E-409C-BE32-E72D297353CC}">
              <c16:uniqueId val="{00000005-1DAD-4C94-BE81-3D7FF978697A}"/>
            </c:ext>
          </c:extLst>
        </c:ser>
        <c:dLbls>
          <c:showLegendKey val="0"/>
          <c:showVal val="0"/>
          <c:showCatName val="0"/>
          <c:showSerName val="0"/>
          <c:showPercent val="0"/>
          <c:showBubbleSize val="0"/>
        </c:dLbls>
        <c:marker val="1"/>
        <c:smooth val="0"/>
        <c:axId val="2052477007"/>
        <c:axId val="2052474095"/>
      </c:line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3">
            <a:lumMod val="20000"/>
            <a:lumOff val="80000"/>
          </a:schemeClr>
        </a:solidFill>
        <a:ln>
          <a:noFill/>
        </a:ln>
        <a:effectLst/>
      </c:spPr>
    </c:plotArea>
    <c:legend>
      <c:legendPos val="b"/>
      <c:layout>
        <c:manualLayout>
          <c:xMode val="edge"/>
          <c:yMode val="edge"/>
          <c:x val="0"/>
          <c:y val="0.87863340519114019"/>
          <c:w val="0.57925688976377954"/>
          <c:h val="0.113912140383397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3692205271829"/>
          <c:y val="6.3400576368876083E-2"/>
          <c:w val="0.84792183551624334"/>
          <c:h val="0.60206131294106968"/>
        </c:manualLayout>
      </c:layout>
      <c:barChart>
        <c:barDir val="col"/>
        <c:grouping val="clustered"/>
        <c:varyColors val="0"/>
        <c:ser>
          <c:idx val="1"/>
          <c:order val="1"/>
          <c:tx>
            <c:strRef>
              <c:f>'[DESVIACIONES MACROECONOMICAS 2da revision.xlsx]Revisión (2)'!$N$93</c:f>
              <c:strCache>
                <c:ptCount val="1"/>
                <c:pt idx="0">
                  <c:v>Pronostico Exportaciones 2021</c:v>
                </c:pt>
              </c:strCache>
            </c:strRef>
          </c:tx>
          <c:spPr>
            <a:solidFill>
              <a:schemeClr val="accent2"/>
            </a:solidFill>
            <a:ln>
              <a:solidFill>
                <a:srgbClr val="002060"/>
              </a:solid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'[DESVIACIONES MACROECONOMICAS 2da revision.xlsx]Revisión (2)'!$L$94:$L$97</c:f>
              <c:strCache>
                <c:ptCount val="4"/>
                <c:pt idx="0">
                  <c:v>ENERO</c:v>
                </c:pt>
                <c:pt idx="1">
                  <c:v>MARZO</c:v>
                </c:pt>
                <c:pt idx="2">
                  <c:v>ABRIL</c:v>
                </c:pt>
                <c:pt idx="3">
                  <c:v>JULIO</c:v>
                </c:pt>
              </c:strCache>
            </c:strRef>
          </c:cat>
          <c:val>
            <c:numRef>
              <c:f>'[DESVIACIONES MACROECONOMICAS 2da revision.xlsx]Revisión (2)'!$N$94:$N$97</c:f>
              <c:numCache>
                <c:formatCode>#,##0.0</c:formatCode>
                <c:ptCount val="4"/>
                <c:pt idx="0">
                  <c:v>9</c:v>
                </c:pt>
                <c:pt idx="1">
                  <c:v>9</c:v>
                </c:pt>
                <c:pt idx="2">
                  <c:v>10</c:v>
                </c:pt>
                <c:pt idx="3">
                  <c:v>12</c:v>
                </c:pt>
              </c:numCache>
            </c:numRef>
          </c:val>
          <c:extLst>
            <c:ext xmlns:c16="http://schemas.microsoft.com/office/drawing/2014/chart" uri="{C3380CC4-5D6E-409C-BE32-E72D297353CC}">
              <c16:uniqueId val="{00000000-4066-4721-8B10-074BD489B138}"/>
            </c:ext>
          </c:extLst>
        </c:ser>
        <c:dLbls>
          <c:showLegendKey val="0"/>
          <c:showVal val="0"/>
          <c:showCatName val="0"/>
          <c:showSerName val="0"/>
          <c:showPercent val="0"/>
          <c:showBubbleSize val="0"/>
        </c:dLbls>
        <c:gapWidth val="125"/>
        <c:axId val="1006907263"/>
        <c:axId val="901264751"/>
      </c:barChart>
      <c:lineChart>
        <c:grouping val="standard"/>
        <c:varyColors val="0"/>
        <c:ser>
          <c:idx val="0"/>
          <c:order val="0"/>
          <c:tx>
            <c:strRef>
              <c:f>'[DESVIACIONES MACROECONOMICAS 2da revision.xlsx]Revisión (2)'!$P$93</c:f>
              <c:strCache>
                <c:ptCount val="1"/>
                <c:pt idx="0">
                  <c:v>Desviaciones</c:v>
                </c:pt>
              </c:strCache>
            </c:strRef>
          </c:tx>
          <c:spPr>
            <a:ln w="28575" cap="rnd">
              <a:solidFill>
                <a:schemeClr val="accent1"/>
              </a:solidFill>
              <a:round/>
            </a:ln>
            <a:effectLst/>
          </c:spPr>
          <c:marker>
            <c:symbol val="circle"/>
            <c:size val="17"/>
            <c:spPr>
              <a:solidFill>
                <a:sysClr val="window" lastClr="FFFFFF"/>
              </a:solidFill>
              <a:ln w="9525">
                <a:solidFill>
                  <a:schemeClr val="accent1"/>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'[DESVIACIONES MACROECONOMICAS 2da revision.xlsx]Revisión (2)'!$L$94:$L$97</c:f>
              <c:strCache>
                <c:ptCount val="4"/>
                <c:pt idx="0">
                  <c:v>ENERO</c:v>
                </c:pt>
                <c:pt idx="1">
                  <c:v>MARZO</c:v>
                </c:pt>
                <c:pt idx="2">
                  <c:v>ABRIL</c:v>
                </c:pt>
                <c:pt idx="3">
                  <c:v>JULIO</c:v>
                </c:pt>
              </c:strCache>
            </c:strRef>
          </c:cat>
          <c:val>
            <c:numRef>
              <c:f>'[DESVIACIONES MACROECONOMICAS 2da revision.xlsx]Revisión (2)'!$P$94:$P$97</c:f>
              <c:numCache>
                <c:formatCode>0.0</c:formatCode>
                <c:ptCount val="4"/>
                <c:pt idx="0">
                  <c:v>13.600000000000001</c:v>
                </c:pt>
                <c:pt idx="1">
                  <c:v>13.600000000000001</c:v>
                </c:pt>
                <c:pt idx="2">
                  <c:v>12.600000000000001</c:v>
                </c:pt>
                <c:pt idx="3">
                  <c:v>10.600000000000001</c:v>
                </c:pt>
              </c:numCache>
            </c:numRef>
          </c:val>
          <c:smooth val="1"/>
          <c:extLst>
            <c:ext xmlns:c16="http://schemas.microsoft.com/office/drawing/2014/chart" uri="{C3380CC4-5D6E-409C-BE32-E72D297353CC}">
              <c16:uniqueId val="{00000001-4066-4721-8B10-074BD489B138}"/>
            </c:ext>
          </c:extLst>
        </c:ser>
        <c:dLbls>
          <c:showLegendKey val="0"/>
          <c:showVal val="0"/>
          <c:showCatName val="0"/>
          <c:showSerName val="0"/>
          <c:showPercent val="0"/>
          <c:showBubbleSize val="0"/>
        </c:dLbls>
        <c:marker val="1"/>
        <c:smooth val="0"/>
        <c:axId val="1006907263"/>
        <c:axId val="901264751"/>
      </c:lineChart>
      <c:catAx>
        <c:axId val="100690726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01264751"/>
        <c:crosses val="autoZero"/>
        <c:auto val="1"/>
        <c:lblAlgn val="ctr"/>
        <c:lblOffset val="100"/>
        <c:noMultiLvlLbl val="0"/>
      </c:catAx>
      <c:valAx>
        <c:axId val="901264751"/>
        <c:scaling>
          <c:orientation val="minMax"/>
          <c:max val="14"/>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06907263"/>
        <c:crosses val="autoZero"/>
        <c:crossBetween val="between"/>
      </c:valAx>
      <c:spPr>
        <a:noFill/>
        <a:ln>
          <a:noFill/>
        </a:ln>
        <a:effectLst/>
      </c:spPr>
    </c:plotArea>
    <c:legend>
      <c:legendPos val="b"/>
      <c:layout>
        <c:manualLayout>
          <c:xMode val="edge"/>
          <c:yMode val="edge"/>
          <c:x val="4.4786701503545792E-3"/>
          <c:y val="0.79117747169211927"/>
          <c:w val="0.99104230252007797"/>
          <c:h val="0.1742403957430393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sz="1050">
                <a:solidFill>
                  <a:sysClr val="windowText" lastClr="000000"/>
                </a:solidFill>
              </a:rPr>
              <a:t>Municipales</a:t>
            </a:r>
          </a:p>
        </c:rich>
      </c:tx>
      <c:layout>
        <c:manualLayout>
          <c:xMode val="edge"/>
          <c:yMode val="edge"/>
          <c:x val="0.39494340551181101"/>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131424978127736E-2"/>
          <c:y val="6.2966472333365053E-2"/>
          <c:w val="0.90686857502187224"/>
          <c:h val="0.74117204083068178"/>
        </c:manualLayout>
      </c:layout>
      <c:areaChart>
        <c:grouping val="stacked"/>
        <c:varyColors val="0"/>
        <c:ser>
          <c:idx val="0"/>
          <c:order val="0"/>
          <c:tx>
            <c:strRef>
              <c:f>'[Evaluación a Empresas - Nacionales y Municipales.xlsx]Sector - Obligaciones Fin'!$F$4</c:f>
              <c:strCache>
                <c:ptCount val="1"/>
                <c:pt idx="0">
                  <c:v>Endeudamiento</c:v>
                </c:pt>
              </c:strCache>
            </c:strRef>
          </c:tx>
          <c:spPr>
            <a:solidFill>
              <a:schemeClr val="accent6">
                <a:lumMod val="75000"/>
              </a:schemeClr>
            </a:solidFill>
            <a:ln w="25400">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dLbl>
              <c:idx val="0"/>
              <c:layout>
                <c:manualLayout>
                  <c:x val="2.60416666666666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9A-4501-A6BF-3A55B9C14267}"/>
                </c:ext>
              </c:extLst>
            </c:dLbl>
            <c:dLbl>
              <c:idx val="5"/>
              <c:layout>
                <c:manualLayout>
                  <c:x val="-2.60416666666668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9A-4501-A6BF-3A55B9C1426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Empresas - Nacionales y Municipales.xlsx]Sector - Obligaciones Fin'!$A$13:$A$19</c:f>
              <c:strCache>
                <c:ptCount val="7"/>
                <c:pt idx="0">
                  <c:v>2016</c:v>
                </c:pt>
                <c:pt idx="1">
                  <c:v>2017</c:v>
                </c:pt>
                <c:pt idx="2">
                  <c:v>2018</c:v>
                </c:pt>
                <c:pt idx="3">
                  <c:v>2019</c:v>
                </c:pt>
                <c:pt idx="4">
                  <c:v>2020</c:v>
                </c:pt>
                <c:pt idx="5">
                  <c:v>2021</c:v>
                </c:pt>
                <c:pt idx="6">
                  <c:v>Total general</c:v>
                </c:pt>
              </c:strCache>
            </c:strRef>
          </c:cat>
          <c:val>
            <c:numRef>
              <c:f>'[Evaluación a Empresas - Nacionales y Municipales.xlsx]Sector - Obligaciones Fin'!$F$6:$F$11</c:f>
              <c:numCache>
                <c:formatCode>0.00%</c:formatCode>
                <c:ptCount val="6"/>
                <c:pt idx="0">
                  <c:v>4.5197032150049121E-4</c:v>
                </c:pt>
                <c:pt idx="1">
                  <c:v>3.0413552622432277E-4</c:v>
                </c:pt>
                <c:pt idx="2">
                  <c:v>2.6688328096964624E-4</c:v>
                </c:pt>
                <c:pt idx="3">
                  <c:v>2.2331932218730766E-4</c:v>
                </c:pt>
                <c:pt idx="4">
                  <c:v>1.8633124917938869E-4</c:v>
                </c:pt>
                <c:pt idx="5">
                  <c:v>2.0440480159182446E-4</c:v>
                </c:pt>
              </c:numCache>
            </c:numRef>
          </c:val>
          <c:extLst>
            <c:ext xmlns:c16="http://schemas.microsoft.com/office/drawing/2014/chart" uri="{C3380CC4-5D6E-409C-BE32-E72D297353CC}">
              <c16:uniqueId val="{00000001-AA9A-4501-A6BF-3A55B9C14267}"/>
            </c:ext>
          </c:extLst>
        </c:ser>
        <c:ser>
          <c:idx val="1"/>
          <c:order val="1"/>
          <c:tx>
            <c:strRef>
              <c:f>'[Evaluación a Empresas - Nacionales y Municipales.xlsx]Sector - Obligaciones Fin'!$G$4</c:f>
              <c:strCache>
                <c:ptCount val="1"/>
                <c:pt idx="0">
                  <c:v>Otras obligaciones</c:v>
                </c:pt>
              </c:strCache>
            </c:strRef>
          </c:tx>
          <c:spPr>
            <a:solidFill>
              <a:schemeClr val="accent4">
                <a:lumMod val="75000"/>
              </a:schemeClr>
            </a:solidFill>
            <a:ln w="25400">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s>
            <c:dLbl>
              <c:idx val="0"/>
              <c:layout>
                <c:manualLayout>
                  <c:x val="2.60416666666666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9A-4501-A6BF-3A55B9C14267}"/>
                </c:ext>
              </c:extLst>
            </c:dLbl>
            <c:dLbl>
              <c:idx val="5"/>
              <c:layout>
                <c:manualLayout>
                  <c:x val="-6.0763888888889048E-2"/>
                  <c:y val="-5.254860746190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9A-4501-A6BF-3A55B9C1426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'[Evaluación a Empresas - Nacionales y Municipales.xlsx]Sector - Obligaciones Fin'!$A$13:$A$19</c:f>
              <c:strCache>
                <c:ptCount val="7"/>
                <c:pt idx="0">
                  <c:v>2016</c:v>
                </c:pt>
                <c:pt idx="1">
                  <c:v>2017</c:v>
                </c:pt>
                <c:pt idx="2">
                  <c:v>2018</c:v>
                </c:pt>
                <c:pt idx="3">
                  <c:v>2019</c:v>
                </c:pt>
                <c:pt idx="4">
                  <c:v>2020</c:v>
                </c:pt>
                <c:pt idx="5">
                  <c:v>2021</c:v>
                </c:pt>
                <c:pt idx="6">
                  <c:v>Total general</c:v>
                </c:pt>
              </c:strCache>
            </c:strRef>
          </c:cat>
          <c:val>
            <c:numRef>
              <c:f>'[Evaluación a Empresas - Nacionales y Municipales.xlsx]Sector - Obligaciones Fin'!$G$6:$G$11</c:f>
              <c:numCache>
                <c:formatCode>0.00%</c:formatCode>
                <c:ptCount val="6"/>
                <c:pt idx="0">
                  <c:v>1.295438083725411E-3</c:v>
                </c:pt>
                <c:pt idx="1">
                  <c:v>1.6618920612131948E-3</c:v>
                </c:pt>
                <c:pt idx="2">
                  <c:v>1.8553018830432882E-3</c:v>
                </c:pt>
                <c:pt idx="3">
                  <c:v>1.7594031561175413E-3</c:v>
                </c:pt>
                <c:pt idx="4">
                  <c:v>1.7275435993151162E-3</c:v>
                </c:pt>
                <c:pt idx="5">
                  <c:v>1.8968165086981664E-3</c:v>
                </c:pt>
              </c:numCache>
            </c:numRef>
          </c:val>
          <c:extLst>
            <c:ext xmlns:c16="http://schemas.microsoft.com/office/drawing/2014/chart" uri="{C3380CC4-5D6E-409C-BE32-E72D297353CC}">
              <c16:uniqueId val="{00000004-AA9A-4501-A6BF-3A55B9C14267}"/>
            </c:ext>
          </c:extLst>
        </c:ser>
        <c:dLbls>
          <c:showLegendKey val="0"/>
          <c:showVal val="0"/>
          <c:showCatName val="0"/>
          <c:showSerName val="0"/>
          <c:showPercent val="0"/>
          <c:showBubbleSize val="0"/>
        </c:dLbls>
        <c:axId val="2052477007"/>
        <c:axId val="2052474095"/>
      </c:areaChart>
      <c:lineChart>
        <c:grouping val="stacked"/>
        <c:varyColors val="0"/>
        <c:ser>
          <c:idx val="2"/>
          <c:order val="2"/>
          <c:tx>
            <c:strRef>
              <c:f>'[Evaluación a Empresas - Nacionales y Municipales.xlsx]Sector - Obligaciones Fin'!$H$4</c:f>
              <c:strCache>
                <c:ptCount val="1"/>
                <c:pt idx="0">
                  <c:v>Total Obligaciones Financieras</c:v>
                </c:pt>
              </c:strCache>
            </c:strRef>
          </c:tx>
          <c:spPr>
            <a:ln w="34925" cap="rnd">
              <a:solidFill>
                <a:schemeClr val="accent2"/>
              </a:solidFill>
              <a:round/>
            </a:ln>
            <a:effectLst>
              <a:outerShdw blurRad="57150" dist="19050" dir="5400000" algn="ctr" rotWithShape="0">
                <a:srgbClr val="000000">
                  <a:alpha val="63000"/>
                </a:srgbClr>
              </a:outerShdw>
            </a:effectLst>
          </c:spPr>
          <c:marker>
            <c:symbol val="dash"/>
            <c:size val="21"/>
            <c:spPr>
              <a:solidFill>
                <a:schemeClr val="accent2"/>
              </a:solidFill>
              <a:ln w="15875">
                <a:solidFill>
                  <a:schemeClr val="tx1"/>
                </a:solidFill>
                <a:round/>
              </a:ln>
              <a:effectLst>
                <a:outerShdw blurRad="50800" dist="38100" dir="18900000" algn="bl" rotWithShape="0">
                  <a:prstClr val="black">
                    <a:alpha val="40000"/>
                  </a:prst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0</c:v>
                </c:pt>
                <c:pt idx="1">
                  <c:v>0</c:v>
                </c:pt>
                <c:pt idx="2">
                  <c:v>0</c:v>
                </c:pt>
                <c:pt idx="3">
                  <c:v>0</c:v>
                </c:pt>
                <c:pt idx="4">
                  <c:v>0</c:v>
                </c:pt>
                <c:pt idx="5">
                  <c:v>0</c:v>
                </c:pt>
              </c:numCache>
            </c:numRef>
          </c:cat>
          <c:val>
            <c:numRef>
              <c:f>'[Evaluación a Empresas - Nacionales y Municipales.xlsx]Sector - Obligaciones Fin'!$H$6:$H$11</c:f>
              <c:numCache>
                <c:formatCode>0.00%</c:formatCode>
                <c:ptCount val="6"/>
                <c:pt idx="0">
                  <c:v>1.7474084052259023E-3</c:v>
                </c:pt>
                <c:pt idx="1">
                  <c:v>1.9660275874375174E-3</c:v>
                </c:pt>
                <c:pt idx="2">
                  <c:v>2.1221851640129343E-3</c:v>
                </c:pt>
                <c:pt idx="3">
                  <c:v>1.982722478304849E-3</c:v>
                </c:pt>
                <c:pt idx="4">
                  <c:v>1.9138748484945052E-3</c:v>
                </c:pt>
                <c:pt idx="5">
                  <c:v>2.1012213102899911E-3</c:v>
                </c:pt>
              </c:numCache>
            </c:numRef>
          </c:val>
          <c:smooth val="0"/>
          <c:extLst>
            <c:ext xmlns:c16="http://schemas.microsoft.com/office/drawing/2014/chart" uri="{C3380CC4-5D6E-409C-BE32-E72D297353CC}">
              <c16:uniqueId val="{00000005-AA9A-4501-A6BF-3A55B9C14267}"/>
            </c:ext>
          </c:extLst>
        </c:ser>
        <c:dLbls>
          <c:showLegendKey val="0"/>
          <c:showVal val="0"/>
          <c:showCatName val="0"/>
          <c:showSerName val="0"/>
          <c:showPercent val="0"/>
          <c:showBubbleSize val="0"/>
        </c:dLbls>
        <c:marker val="1"/>
        <c:smooth val="0"/>
        <c:axId val="2052477007"/>
        <c:axId val="2052474095"/>
      </c:lineChart>
      <c:catAx>
        <c:axId val="205247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2052474095"/>
        <c:crosses val="autoZero"/>
        <c:auto val="1"/>
        <c:lblAlgn val="ctr"/>
        <c:lblOffset val="100"/>
        <c:noMultiLvlLbl val="0"/>
      </c:catAx>
      <c:valAx>
        <c:axId val="2052474095"/>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2477007"/>
        <c:crosses val="autoZero"/>
        <c:crossBetween val="between"/>
      </c:valAx>
      <c:spPr>
        <a:solidFill>
          <a:schemeClr val="accent6">
            <a:lumMod val="40000"/>
            <a:lumOff val="60000"/>
            <a:alpha val="51000"/>
          </a:schemeClr>
        </a:solidFill>
        <a:ln>
          <a:noFill/>
        </a:ln>
        <a:effectLst/>
      </c:spPr>
    </c:plotArea>
    <c:legend>
      <c:legendPos val="b"/>
      <c:layout>
        <c:manualLayout>
          <c:xMode val="edge"/>
          <c:yMode val="edge"/>
          <c:x val="0"/>
          <c:y val="0.87863340519114019"/>
          <c:w val="0.57925688976377954"/>
          <c:h val="0.113912140383397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36507936507937E-2"/>
          <c:y val="2.296587926509182E-3"/>
          <c:w val="0.8891269841269841"/>
          <c:h val="0.75486679790026245"/>
        </c:manualLayout>
      </c:layout>
      <c:barChart>
        <c:barDir val="col"/>
        <c:grouping val="stacked"/>
        <c:varyColors val="0"/>
        <c:ser>
          <c:idx val="0"/>
          <c:order val="0"/>
          <c:tx>
            <c:strRef>
              <c:f>Hoja5!$C$50</c:f>
              <c:strCache>
                <c:ptCount val="1"/>
                <c:pt idx="0">
                  <c:v>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Hoja5!$B$51:$B$55</c:f>
              <c:strCache>
                <c:ptCount val="5"/>
                <c:pt idx="0">
                  <c:v>Mundo</c:v>
                </c:pt>
                <c:pt idx="1">
                  <c:v>Europa</c:v>
                </c:pt>
                <c:pt idx="2">
                  <c:v>Norteamérica</c:v>
                </c:pt>
                <c:pt idx="3">
                  <c:v>Suramérica</c:v>
                </c:pt>
                <c:pt idx="4">
                  <c:v>Guatemala</c:v>
                </c:pt>
              </c:strCache>
            </c:strRef>
          </c:cat>
          <c:val>
            <c:numRef>
              <c:f>Hoja5!$C$51:$C$55</c:f>
              <c:numCache>
                <c:formatCode>_-* #,##0.0_-;\-* #,##0.0_-;_-* "-"??_-;_-@_-</c:formatCode>
                <c:ptCount val="5"/>
                <c:pt idx="0">
                  <c:v>40.711801157391022</c:v>
                </c:pt>
                <c:pt idx="1">
                  <c:v>26.231293358340107</c:v>
                </c:pt>
                <c:pt idx="2">
                  <c:v>30.685189834977251</c:v>
                </c:pt>
                <c:pt idx="3">
                  <c:v>37.869400418652113</c:v>
                </c:pt>
                <c:pt idx="4">
                  <c:v>53.12737265850059</c:v>
                </c:pt>
              </c:numCache>
            </c:numRef>
          </c:val>
          <c:extLst>
            <c:ext xmlns:c16="http://schemas.microsoft.com/office/drawing/2014/chart" uri="{C3380CC4-5D6E-409C-BE32-E72D297353CC}">
              <c16:uniqueId val="{00000000-AC54-4A0F-AC93-2742FCA01F14}"/>
            </c:ext>
          </c:extLst>
        </c:ser>
        <c:ser>
          <c:idx val="1"/>
          <c:order val="1"/>
          <c:tx>
            <c:strRef>
              <c:f>Hoja5!$D$50</c:f>
              <c:strCache>
                <c:ptCount val="1"/>
                <c:pt idx="0">
                  <c:v>25-59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Hoja5!$B$51:$B$55</c:f>
              <c:strCache>
                <c:ptCount val="5"/>
                <c:pt idx="0">
                  <c:v>Mundo</c:v>
                </c:pt>
                <c:pt idx="1">
                  <c:v>Europa</c:v>
                </c:pt>
                <c:pt idx="2">
                  <c:v>Norteamérica</c:v>
                </c:pt>
                <c:pt idx="3">
                  <c:v>Suramérica</c:v>
                </c:pt>
                <c:pt idx="4">
                  <c:v>Guatemala</c:v>
                </c:pt>
              </c:strCache>
            </c:strRef>
          </c:cat>
          <c:val>
            <c:numRef>
              <c:f>Hoja5!$D$51:$D$55</c:f>
              <c:numCache>
                <c:formatCode>_-* #,##0.0_-;\-* #,##0.0_-;_-* "-"??_-;_-@_-</c:formatCode>
                <c:ptCount val="5"/>
                <c:pt idx="0">
                  <c:v>45.387642425049158</c:v>
                </c:pt>
                <c:pt idx="1">
                  <c:v>47.448143314442596</c:v>
                </c:pt>
                <c:pt idx="2">
                  <c:v>45.617044605664965</c:v>
                </c:pt>
                <c:pt idx="3">
                  <c:v>48.00170257720994</c:v>
                </c:pt>
                <c:pt idx="4">
                  <c:v>39.756288252550945</c:v>
                </c:pt>
              </c:numCache>
            </c:numRef>
          </c:val>
          <c:extLst>
            <c:ext xmlns:c16="http://schemas.microsoft.com/office/drawing/2014/chart" uri="{C3380CC4-5D6E-409C-BE32-E72D297353CC}">
              <c16:uniqueId val="{00000001-AC54-4A0F-AC93-2742FCA01F14}"/>
            </c:ext>
          </c:extLst>
        </c:ser>
        <c:ser>
          <c:idx val="2"/>
          <c:order val="2"/>
          <c:tx>
            <c:strRef>
              <c:f>Hoja5!$E$50</c:f>
              <c:strCache>
                <c:ptCount val="1"/>
                <c:pt idx="0">
                  <c:v>60+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Hoja5!$B$51:$B$55</c:f>
              <c:strCache>
                <c:ptCount val="5"/>
                <c:pt idx="0">
                  <c:v>Mundo</c:v>
                </c:pt>
                <c:pt idx="1">
                  <c:v>Europa</c:v>
                </c:pt>
                <c:pt idx="2">
                  <c:v>Norteamérica</c:v>
                </c:pt>
                <c:pt idx="3">
                  <c:v>Suramérica</c:v>
                </c:pt>
                <c:pt idx="4">
                  <c:v>Guatemala</c:v>
                </c:pt>
              </c:strCache>
            </c:strRef>
          </c:cat>
          <c:val>
            <c:numRef>
              <c:f>Hoja5!$E$51:$E$55</c:f>
              <c:numCache>
                <c:formatCode>_-* #,##0.0_-;\-* #,##0.0_-;_-* "-"??_-;_-@_-</c:formatCode>
                <c:ptCount val="5"/>
                <c:pt idx="0">
                  <c:v>13.900556417559828</c:v>
                </c:pt>
                <c:pt idx="1">
                  <c:v>26.320563327217293</c:v>
                </c:pt>
                <c:pt idx="2">
                  <c:v>23.697765559357791</c:v>
                </c:pt>
                <c:pt idx="3">
                  <c:v>14.128897004137938</c:v>
                </c:pt>
                <c:pt idx="4">
                  <c:v>7.1163390889484539</c:v>
                </c:pt>
              </c:numCache>
            </c:numRef>
          </c:val>
          <c:extLst>
            <c:ext xmlns:c16="http://schemas.microsoft.com/office/drawing/2014/chart" uri="{C3380CC4-5D6E-409C-BE32-E72D297353CC}">
              <c16:uniqueId val="{00000002-AC54-4A0F-AC93-2742FCA01F14}"/>
            </c:ext>
          </c:extLst>
        </c:ser>
        <c:dLbls>
          <c:showLegendKey val="0"/>
          <c:showVal val="0"/>
          <c:showCatName val="0"/>
          <c:showSerName val="0"/>
          <c:showPercent val="0"/>
          <c:showBubbleSize val="0"/>
        </c:dLbls>
        <c:gapWidth val="80"/>
        <c:overlap val="100"/>
        <c:axId val="1117881024"/>
        <c:axId val="1117877280"/>
      </c:barChart>
      <c:catAx>
        <c:axId val="11178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17877280"/>
        <c:crosses val="autoZero"/>
        <c:auto val="1"/>
        <c:lblAlgn val="ctr"/>
        <c:lblOffset val="100"/>
        <c:noMultiLvlLbl val="0"/>
      </c:catAx>
      <c:valAx>
        <c:axId val="1117877280"/>
        <c:scaling>
          <c:orientation val="minMax"/>
        </c:scaling>
        <c:delete val="1"/>
        <c:axPos val="l"/>
        <c:numFmt formatCode="_-* #,##0.0_-;\-* #,##0.0_-;_-* &quot;-&quot;??_-;_-@_-" sourceLinked="1"/>
        <c:majorTickMark val="none"/>
        <c:minorTickMark val="none"/>
        <c:tickLblPos val="nextTo"/>
        <c:crossAx val="1117881024"/>
        <c:crosses val="autoZero"/>
        <c:crossBetween val="between"/>
      </c:valAx>
      <c:spPr>
        <a:noFill/>
        <a:ln>
          <a:noFill/>
        </a:ln>
        <a:effectLst/>
      </c:spPr>
    </c:plotArea>
    <c:legend>
      <c:legendPos val="b"/>
      <c:layout>
        <c:manualLayout>
          <c:xMode val="edge"/>
          <c:yMode val="edge"/>
          <c:x val="0.20240863919227839"/>
          <c:y val="0.86133661417322838"/>
          <c:w val="0.63046418592837183"/>
          <c:h val="0.138177083333333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36507936507937E-2"/>
          <c:y val="2.8216994348099132E-2"/>
          <c:w val="0.8891269841269841"/>
          <c:h val="0.72894707180007412"/>
        </c:manualLayout>
      </c:layout>
      <c:barChart>
        <c:barDir val="col"/>
        <c:grouping val="stacked"/>
        <c:varyColors val="0"/>
        <c:ser>
          <c:idx val="0"/>
          <c:order val="0"/>
          <c:tx>
            <c:strRef>
              <c:f>Hoja5!$C$50</c:f>
              <c:strCache>
                <c:ptCount val="1"/>
                <c:pt idx="0">
                  <c:v>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Hoja5!$B$58:$B$62</c:f>
              <c:strCache>
                <c:ptCount val="5"/>
                <c:pt idx="0">
                  <c:v>Mundo</c:v>
                </c:pt>
                <c:pt idx="1">
                  <c:v>Europa</c:v>
                </c:pt>
                <c:pt idx="2">
                  <c:v>Norteamérica</c:v>
                </c:pt>
                <c:pt idx="3">
                  <c:v>Suramérica</c:v>
                </c:pt>
                <c:pt idx="4">
                  <c:v>Guatemala</c:v>
                </c:pt>
              </c:strCache>
            </c:strRef>
          </c:cat>
          <c:val>
            <c:numRef>
              <c:f>Hoja5!$C$58:$C$62</c:f>
              <c:numCache>
                <c:formatCode>_-* #,##0.0_-;\-* #,##0.0_-;_-* "-"??_-;_-@_-</c:formatCode>
                <c:ptCount val="5"/>
                <c:pt idx="0">
                  <c:v>35.292512672510306</c:v>
                </c:pt>
                <c:pt idx="1">
                  <c:v>23.34803206124424</c:v>
                </c:pt>
                <c:pt idx="2">
                  <c:v>26.581710309492262</c:v>
                </c:pt>
                <c:pt idx="3">
                  <c:v>30.065661479506357</c:v>
                </c:pt>
                <c:pt idx="4">
                  <c:v>39.747047750157918</c:v>
                </c:pt>
              </c:numCache>
            </c:numRef>
          </c:val>
          <c:extLst>
            <c:ext xmlns:c16="http://schemas.microsoft.com/office/drawing/2014/chart" uri="{C3380CC4-5D6E-409C-BE32-E72D297353CC}">
              <c16:uniqueId val="{00000000-3EB6-491F-AAD7-50C6C8379B7E}"/>
            </c:ext>
          </c:extLst>
        </c:ser>
        <c:ser>
          <c:idx val="1"/>
          <c:order val="1"/>
          <c:tx>
            <c:strRef>
              <c:f>Hoja5!$D$50</c:f>
              <c:strCache>
                <c:ptCount val="1"/>
                <c:pt idx="0">
                  <c:v>25-59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Hoja5!$B$58:$B$62</c:f>
              <c:strCache>
                <c:ptCount val="5"/>
                <c:pt idx="0">
                  <c:v>Mundo</c:v>
                </c:pt>
                <c:pt idx="1">
                  <c:v>Europa</c:v>
                </c:pt>
                <c:pt idx="2">
                  <c:v>Norteamérica</c:v>
                </c:pt>
                <c:pt idx="3">
                  <c:v>Suramérica</c:v>
                </c:pt>
                <c:pt idx="4">
                  <c:v>Guatemala</c:v>
                </c:pt>
              </c:strCache>
            </c:strRef>
          </c:cat>
          <c:val>
            <c:numRef>
              <c:f>Hoja5!$D$58:$D$62</c:f>
              <c:numCache>
                <c:formatCode>_-* #,##0.0_-;\-* #,##0.0_-;_-* "-"??_-;_-@_-</c:formatCode>
                <c:ptCount val="5"/>
                <c:pt idx="0">
                  <c:v>33.183819507135667</c:v>
                </c:pt>
                <c:pt idx="1">
                  <c:v>29.1524213907343</c:v>
                </c:pt>
                <c:pt idx="2">
                  <c:v>32.446179188706459</c:v>
                </c:pt>
                <c:pt idx="3">
                  <c:v>34.177733227728723</c:v>
                </c:pt>
                <c:pt idx="4">
                  <c:v>38.350936305347929</c:v>
                </c:pt>
              </c:numCache>
            </c:numRef>
          </c:val>
          <c:extLst>
            <c:ext xmlns:c16="http://schemas.microsoft.com/office/drawing/2014/chart" uri="{C3380CC4-5D6E-409C-BE32-E72D297353CC}">
              <c16:uniqueId val="{00000001-3EB6-491F-AAD7-50C6C8379B7E}"/>
            </c:ext>
          </c:extLst>
        </c:ser>
        <c:ser>
          <c:idx val="2"/>
          <c:order val="2"/>
          <c:tx>
            <c:strRef>
              <c:f>Hoja5!$E$50</c:f>
              <c:strCache>
                <c:ptCount val="1"/>
                <c:pt idx="0">
                  <c:v>60+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Hoja5!$B$58:$B$62</c:f>
              <c:strCache>
                <c:ptCount val="5"/>
                <c:pt idx="0">
                  <c:v>Mundo</c:v>
                </c:pt>
                <c:pt idx="1">
                  <c:v>Europa</c:v>
                </c:pt>
                <c:pt idx="2">
                  <c:v>Norteamérica</c:v>
                </c:pt>
                <c:pt idx="3">
                  <c:v>Suramérica</c:v>
                </c:pt>
                <c:pt idx="4">
                  <c:v>Guatemala</c:v>
                </c:pt>
              </c:strCache>
            </c:strRef>
          </c:cat>
          <c:val>
            <c:numRef>
              <c:f>Hoja5!$E$58:$E$62</c:f>
              <c:numCache>
                <c:formatCode>_-* #,##0.0_-;\-* #,##0.0_-;_-* "-"??_-;_-@_-</c:formatCode>
                <c:ptCount val="5"/>
                <c:pt idx="0">
                  <c:v>19.7421380150113</c:v>
                </c:pt>
                <c:pt idx="1">
                  <c:v>33.50008085105636</c:v>
                </c:pt>
                <c:pt idx="2">
                  <c:v>28.398633936262861</c:v>
                </c:pt>
                <c:pt idx="3">
                  <c:v>22.42709931691045</c:v>
                </c:pt>
                <c:pt idx="4">
                  <c:v>11.490644987748428</c:v>
                </c:pt>
              </c:numCache>
            </c:numRef>
          </c:val>
          <c:extLst>
            <c:ext xmlns:c16="http://schemas.microsoft.com/office/drawing/2014/chart" uri="{C3380CC4-5D6E-409C-BE32-E72D297353CC}">
              <c16:uniqueId val="{00000002-3EB6-491F-AAD7-50C6C8379B7E}"/>
            </c:ext>
          </c:extLst>
        </c:ser>
        <c:dLbls>
          <c:showLegendKey val="0"/>
          <c:showVal val="0"/>
          <c:showCatName val="0"/>
          <c:showSerName val="0"/>
          <c:showPercent val="0"/>
          <c:showBubbleSize val="0"/>
        </c:dLbls>
        <c:gapWidth val="80"/>
        <c:overlap val="100"/>
        <c:axId val="1117881024"/>
        <c:axId val="1117877280"/>
      </c:barChart>
      <c:catAx>
        <c:axId val="11178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1117877280"/>
        <c:crosses val="autoZero"/>
        <c:auto val="1"/>
        <c:lblAlgn val="ctr"/>
        <c:lblOffset val="100"/>
        <c:noMultiLvlLbl val="0"/>
      </c:catAx>
      <c:valAx>
        <c:axId val="1117877280"/>
        <c:scaling>
          <c:orientation val="minMax"/>
        </c:scaling>
        <c:delete val="1"/>
        <c:axPos val="l"/>
        <c:numFmt formatCode="_-* #,##0.0_-;\-* #,##0.0_-;_-* &quot;-&quot;??_-;_-@_-" sourceLinked="1"/>
        <c:majorTickMark val="none"/>
        <c:minorTickMark val="none"/>
        <c:tickLblPos val="nextTo"/>
        <c:crossAx val="1117881024"/>
        <c:crosses val="autoZero"/>
        <c:crossBetween val="between"/>
      </c:valAx>
    </c:plotArea>
    <c:legend>
      <c:legendPos val="b"/>
      <c:layout>
        <c:manualLayout>
          <c:xMode val="edge"/>
          <c:yMode val="edge"/>
          <c:x val="0.31515549593599185"/>
          <c:y val="0.86365900336564694"/>
          <c:w val="0.37976944444444444"/>
          <c:h val="0.1275243055555555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22173075233811"/>
          <c:y val="3.5277777777777776E-2"/>
          <c:w val="0.57461724836908723"/>
          <c:h val="0.7177472222222222"/>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DB0C-4766-ACA4-65833A0EF0D2}"/>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DB0C-4766-ACA4-65833A0EF0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0C-4766-ACA4-65833A0EF0D2}"/>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DB0C-4766-ACA4-65833A0EF0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0C-4766-ACA4-65833A0EF0D2}"/>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6="http://schemas.microsoft.com/office/drawing/2014/chart" uri="{C3380CC4-5D6E-409C-BE32-E72D297353CC}">
                  <c16:uniqueId val="{00000001-DB0C-4766-ACA4-65833A0EF0D2}"/>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6="http://schemas.microsoft.com/office/drawing/2014/chart" uri="{C3380CC4-5D6E-409C-BE32-E72D297353CC}">
                  <c16:uniqueId val="{00000003-DB0C-4766-ACA4-65833A0EF0D2}"/>
                </c:ext>
              </c:extLst>
            </c:dLbl>
            <c:dLbl>
              <c:idx val="2"/>
              <c:layout>
                <c:manualLayout>
                  <c:x val="0.20063924442620892"/>
                  <c:y val="2.223680555555555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0C-4766-ACA4-65833A0EF0D2}"/>
                </c:ext>
              </c:extLst>
            </c:dLbl>
            <c:dLbl>
              <c:idx val="3"/>
              <c:layout>
                <c:manualLayout>
                  <c:x val="0.14474399645074237"/>
                  <c:y val="0.1161805555555555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0C-4766-ACA4-65833A0EF0D2}"/>
                </c:ext>
              </c:extLst>
            </c:dLbl>
            <c:dLbl>
              <c:idx val="4"/>
              <c:layout>
                <c:manualLayout>
                  <c:x val="0.10672346368404491"/>
                  <c:y val="8.157986111111109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0C-4766-ACA4-65833A0EF0D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'[Nomina .xlsx]Actuales'!$E$3:$E$7</c:f>
              <c:strCache>
                <c:ptCount val="5"/>
                <c:pt idx="0">
                  <c:v>MINEDUC</c:v>
                </c:pt>
                <c:pt idx="1">
                  <c:v>MINGOB</c:v>
                </c:pt>
                <c:pt idx="2">
                  <c:v>MSPAS</c:v>
                </c:pt>
                <c:pt idx="3">
                  <c:v>Otros NM.</c:v>
                </c:pt>
                <c:pt idx="4">
                  <c:v>Otras N.NM.</c:v>
                </c:pt>
              </c:strCache>
            </c:strRef>
          </c:cat>
          <c:val>
            <c:numRef>
              <c:f>'[Nomina .xlsx]Actuales'!$F$3:$F$7</c:f>
              <c:numCache>
                <c:formatCode>_-* #,##0.0_-;\-* #,##0.0_-;_-* "-"??_-;_-@_-</c:formatCode>
                <c:ptCount val="5"/>
                <c:pt idx="0">
                  <c:v>127532.60763730966</c:v>
                </c:pt>
                <c:pt idx="1">
                  <c:v>45097.484718103588</c:v>
                </c:pt>
                <c:pt idx="2">
                  <c:v>28495.092150744993</c:v>
                </c:pt>
                <c:pt idx="3">
                  <c:v>18681.815493841757</c:v>
                </c:pt>
                <c:pt idx="4">
                  <c:v>20784</c:v>
                </c:pt>
              </c:numCache>
            </c:numRef>
          </c:val>
          <c:extLst>
            <c:ext xmlns:c16="http://schemas.microsoft.com/office/drawing/2014/chart" uri="{C3380CC4-5D6E-409C-BE32-E72D297353CC}">
              <c16:uniqueId val="{0000000A-DB0C-4766-ACA4-65833A0EF0D2}"/>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6.6666666666671576E-5"/>
          <c:y val="0.74636458333333333"/>
          <c:w val="0.97164444444444453"/>
          <c:h val="0.2007187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Hoja2!$K$4:$K$9</c:f>
              <c:strCache>
                <c:ptCount val="6"/>
                <c:pt idx="0">
                  <c:v>20 o menos</c:v>
                </c:pt>
                <c:pt idx="1">
                  <c:v>21 a 29</c:v>
                </c:pt>
                <c:pt idx="2">
                  <c:v>30 a 39</c:v>
                </c:pt>
                <c:pt idx="3">
                  <c:v>40 a 49</c:v>
                </c:pt>
                <c:pt idx="4">
                  <c:v>50 a 59</c:v>
                </c:pt>
                <c:pt idx="5">
                  <c:v>60 o más</c:v>
                </c:pt>
              </c:strCache>
            </c:strRef>
          </c:cat>
          <c:val>
            <c:numRef>
              <c:f>Hoja2!$M$4:$M$9</c:f>
              <c:numCache>
                <c:formatCode>0.0</c:formatCode>
                <c:ptCount val="6"/>
                <c:pt idx="0">
                  <c:v>0.15272920448005667</c:v>
                </c:pt>
                <c:pt idx="1">
                  <c:v>11.373234760281553</c:v>
                </c:pt>
                <c:pt idx="2">
                  <c:v>41.045641684005489</c:v>
                </c:pt>
                <c:pt idx="3">
                  <c:v>27.99327106113595</c:v>
                </c:pt>
                <c:pt idx="4">
                  <c:v>13.54597370401523</c:v>
                </c:pt>
                <c:pt idx="5">
                  <c:v>5.8891495860817216</c:v>
                </c:pt>
              </c:numCache>
            </c:numRef>
          </c:val>
          <c:extLst>
            <c:ext xmlns:c16="http://schemas.microsoft.com/office/drawing/2014/chart" uri="{C3380CC4-5D6E-409C-BE32-E72D297353CC}">
              <c16:uniqueId val="{00000000-8CA2-44A8-AF42-79A92E90A8F1}"/>
            </c:ext>
          </c:extLst>
        </c:ser>
        <c:dLbls>
          <c:showLegendKey val="0"/>
          <c:showVal val="0"/>
          <c:showCatName val="0"/>
          <c:showSerName val="0"/>
          <c:showPercent val="0"/>
          <c:showBubbleSize val="0"/>
        </c:dLbls>
        <c:gapWidth val="100"/>
        <c:overlap val="-27"/>
        <c:axId val="615497616"/>
        <c:axId val="615498032"/>
      </c:barChart>
      <c:catAx>
        <c:axId val="61549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5498032"/>
        <c:crosses val="autoZero"/>
        <c:auto val="1"/>
        <c:lblAlgn val="ctr"/>
        <c:lblOffset val="100"/>
        <c:noMultiLvlLbl val="0"/>
      </c:catAx>
      <c:valAx>
        <c:axId val="615498032"/>
        <c:scaling>
          <c:orientation val="minMax"/>
        </c:scaling>
        <c:delete val="1"/>
        <c:axPos val="l"/>
        <c:numFmt formatCode="0.0" sourceLinked="1"/>
        <c:majorTickMark val="none"/>
        <c:minorTickMark val="none"/>
        <c:tickLblPos val="nextTo"/>
        <c:crossAx val="615497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'[Nomina .xlsx]Actuales'!$E$3:$E$7</c:f>
              <c:strCache>
                <c:ptCount val="5"/>
                <c:pt idx="0">
                  <c:v>MINEDUC</c:v>
                </c:pt>
                <c:pt idx="1">
                  <c:v>MINGOB</c:v>
                </c:pt>
                <c:pt idx="2">
                  <c:v>MSPAS</c:v>
                </c:pt>
                <c:pt idx="3">
                  <c:v>Otros NM.</c:v>
                </c:pt>
                <c:pt idx="4">
                  <c:v>Otras N.NM.</c:v>
                </c:pt>
              </c:strCache>
            </c:strRef>
          </c:cat>
          <c:val>
            <c:numRef>
              <c:f>'[Nomina .xlsx]Actuales'!$H$3:$H$7</c:f>
              <c:numCache>
                <c:formatCode>_-* #,##0.0_-;\-* #,##0.0_-;_-* "-"??_-;_-@_-</c:formatCode>
                <c:ptCount val="5"/>
                <c:pt idx="0">
                  <c:v>7.2983269889787215</c:v>
                </c:pt>
                <c:pt idx="1">
                  <c:v>4.554289326535133</c:v>
                </c:pt>
                <c:pt idx="2">
                  <c:v>6.4234829074132147</c:v>
                </c:pt>
                <c:pt idx="3">
                  <c:v>6.6457427029484029</c:v>
                </c:pt>
                <c:pt idx="4">
                  <c:v>8.5982389119721709</c:v>
                </c:pt>
              </c:numCache>
            </c:numRef>
          </c:val>
          <c:extLst>
            <c:ext xmlns:c16="http://schemas.microsoft.com/office/drawing/2014/chart" uri="{C3380CC4-5D6E-409C-BE32-E72D297353CC}">
              <c16:uniqueId val="{00000000-782B-4B70-A16D-4E777D1294CD}"/>
            </c:ext>
          </c:extLst>
        </c:ser>
        <c:dLbls>
          <c:showLegendKey val="0"/>
          <c:showVal val="0"/>
          <c:showCatName val="0"/>
          <c:showSerName val="0"/>
          <c:showPercent val="0"/>
          <c:showBubbleSize val="0"/>
        </c:dLbls>
        <c:gapWidth val="150"/>
        <c:overlap val="-27"/>
        <c:axId val="1524277648"/>
        <c:axId val="1524273904"/>
      </c:barChart>
      <c:catAx>
        <c:axId val="152427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4273904"/>
        <c:crosses val="autoZero"/>
        <c:auto val="1"/>
        <c:lblAlgn val="ctr"/>
        <c:lblOffset val="100"/>
        <c:noMultiLvlLbl val="0"/>
      </c:catAx>
      <c:valAx>
        <c:axId val="1524273904"/>
        <c:scaling>
          <c:orientation val="minMax"/>
        </c:scaling>
        <c:delete val="1"/>
        <c:axPos val="l"/>
        <c:numFmt formatCode="_-* #,##0.0_-;\-* #,##0.0_-;_-* &quot;-&quot;??_-;_-@_-" sourceLinked="1"/>
        <c:majorTickMark val="none"/>
        <c:minorTickMark val="none"/>
        <c:tickLblPos val="nextTo"/>
        <c:crossAx val="1524277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9960768841791"/>
          <c:y val="0.105866784296427"/>
          <c:w val="0.58497213254130109"/>
          <c:h val="0.73127967517514214"/>
        </c:manualLayout>
      </c:layout>
      <c:pieChart>
        <c:varyColors val="1"/>
        <c:ser>
          <c:idx val="0"/>
          <c:order val="0"/>
          <c:explosion val="5"/>
          <c:dPt>
            <c:idx val="0"/>
            <c:bubble3D val="0"/>
            <c:spPr>
              <a:solidFill>
                <a:srgbClr val="002060"/>
              </a:solidFill>
              <a:ln w="19050">
                <a:solidFill>
                  <a:schemeClr val="lt1"/>
                </a:solidFill>
              </a:ln>
              <a:effectLst/>
            </c:spPr>
            <c:extLst>
              <c:ext xmlns:c16="http://schemas.microsoft.com/office/drawing/2014/chart" uri="{C3380CC4-5D6E-409C-BE32-E72D297353CC}">
                <c16:uniqueId val="{00000001-987E-4A22-94A2-CF4B24845955}"/>
              </c:ext>
            </c:extLst>
          </c:dPt>
          <c:dPt>
            <c:idx val="1"/>
            <c:bubble3D val="0"/>
            <c:explosion val="16"/>
            <c:spPr>
              <a:solidFill>
                <a:srgbClr val="FFFF00"/>
              </a:solidFill>
              <a:ln w="19050">
                <a:solidFill>
                  <a:schemeClr val="lt1"/>
                </a:solidFill>
              </a:ln>
              <a:effectLst/>
            </c:spPr>
            <c:extLst>
              <c:ext xmlns:c16="http://schemas.microsoft.com/office/drawing/2014/chart" uri="{C3380CC4-5D6E-409C-BE32-E72D297353CC}">
                <c16:uniqueId val="{00000003-987E-4A22-94A2-CF4B248459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7E-4A22-94A2-CF4B24845955}"/>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987E-4A22-94A2-CF4B248459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7E-4A22-94A2-CF4B2484595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7E-4A22-94A2-CF4B2484595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7E-4A22-94A2-CF4B248459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extLst>
          </c:dLbls>
          <c:cat>
            <c:strRef>
              <c:f>'JP4'!$F$27:$F$31</c:f>
              <c:strCache>
                <c:ptCount val="5"/>
                <c:pt idx="0">
                  <c:v>PC.J</c:v>
                </c:pt>
                <c:pt idx="1">
                  <c:v>PC.S</c:v>
                </c:pt>
                <c:pt idx="2">
                  <c:v>PC.I</c:v>
                </c:pt>
                <c:pt idx="3">
                  <c:v>PM</c:v>
                </c:pt>
                <c:pt idx="4">
                  <c:v>Otras</c:v>
                </c:pt>
              </c:strCache>
            </c:strRef>
          </c:cat>
          <c:val>
            <c:numRef>
              <c:f>'JP4'!$H$27:$H$31</c:f>
              <c:numCache>
                <c:formatCode>0.0</c:formatCode>
                <c:ptCount val="5"/>
                <c:pt idx="0">
                  <c:v>74.41699660901358</c:v>
                </c:pt>
                <c:pt idx="1">
                  <c:v>20.031447136605603</c:v>
                </c:pt>
                <c:pt idx="2">
                  <c:v>2.5072461022600261</c:v>
                </c:pt>
                <c:pt idx="3">
                  <c:v>1.2455718263966509</c:v>
                </c:pt>
                <c:pt idx="4">
                  <c:v>1.7987383257241367</c:v>
                </c:pt>
              </c:numCache>
            </c:numRef>
          </c:val>
          <c:extLst>
            <c:ext xmlns:c16="http://schemas.microsoft.com/office/drawing/2014/chart" uri="{C3380CC4-5D6E-409C-BE32-E72D297353CC}">
              <c16:uniqueId val="{0000000A-987E-4A22-94A2-CF4B2484595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4582043687728869E-2"/>
          <c:y val="0.8724353875703782"/>
          <c:w val="0.83083591262454226"/>
          <c:h val="0.1275646124296218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'JP4'!$V$4:$V$6</c:f>
              <c:strCache>
                <c:ptCount val="3"/>
                <c:pt idx="0">
                  <c:v>40 o menos</c:v>
                </c:pt>
                <c:pt idx="1">
                  <c:v>41 a 59</c:v>
                </c:pt>
                <c:pt idx="2">
                  <c:v>60 o más</c:v>
                </c:pt>
              </c:strCache>
            </c:strRef>
          </c:cat>
          <c:val>
            <c:numRef>
              <c:f>'JP4'!$X$4:$X$6</c:f>
              <c:numCache>
                <c:formatCode>_-* #,##0.0_-;\-* #,##0.0_-;_-* "-"??_-;_-@_-</c:formatCode>
                <c:ptCount val="3"/>
                <c:pt idx="0">
                  <c:v>1.0654710249734838</c:v>
                </c:pt>
                <c:pt idx="1">
                  <c:v>25.260823450004821</c:v>
                </c:pt>
                <c:pt idx="2">
                  <c:v>73.673705525021688</c:v>
                </c:pt>
              </c:numCache>
            </c:numRef>
          </c:val>
          <c:extLst>
            <c:ext xmlns:c16="http://schemas.microsoft.com/office/drawing/2014/chart" uri="{C3380CC4-5D6E-409C-BE32-E72D297353CC}">
              <c16:uniqueId val="{00000000-7D57-40DC-8D89-48787988757C}"/>
            </c:ext>
          </c:extLst>
        </c:ser>
        <c:dLbls>
          <c:showLegendKey val="0"/>
          <c:showVal val="0"/>
          <c:showCatName val="0"/>
          <c:showSerName val="0"/>
          <c:showPercent val="0"/>
          <c:showBubbleSize val="0"/>
        </c:dLbls>
        <c:gapWidth val="100"/>
        <c:overlap val="-27"/>
        <c:axId val="615493872"/>
        <c:axId val="615489296"/>
      </c:barChart>
      <c:catAx>
        <c:axId val="61549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5489296"/>
        <c:crosses val="autoZero"/>
        <c:auto val="1"/>
        <c:lblAlgn val="ctr"/>
        <c:lblOffset val="100"/>
        <c:noMultiLvlLbl val="0"/>
      </c:catAx>
      <c:valAx>
        <c:axId val="615489296"/>
        <c:scaling>
          <c:orientation val="minMax"/>
        </c:scaling>
        <c:delete val="1"/>
        <c:axPos val="l"/>
        <c:numFmt formatCode="_-* #,##0.0_-;\-* #,##0.0_-;_-* &quot;-&quot;??_-;_-@_-" sourceLinked="1"/>
        <c:majorTickMark val="none"/>
        <c:minorTickMark val="none"/>
        <c:tickLblPos val="nextTo"/>
        <c:crossAx val="615493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'JP4'!$J$33:$J$37</c:f>
              <c:strCache>
                <c:ptCount val="5"/>
                <c:pt idx="0">
                  <c:v>PC.J</c:v>
                </c:pt>
                <c:pt idx="1">
                  <c:v>PC.S</c:v>
                </c:pt>
                <c:pt idx="2">
                  <c:v>PC.I</c:v>
                </c:pt>
                <c:pt idx="3">
                  <c:v>PM</c:v>
                </c:pt>
                <c:pt idx="4">
                  <c:v>Otras</c:v>
                </c:pt>
              </c:strCache>
            </c:strRef>
          </c:cat>
          <c:val>
            <c:numRef>
              <c:f>'JP4'!$K$33:$K$37</c:f>
              <c:numCache>
                <c:formatCode>_-* #,##0.0_-;\-* #,##0.0_-;_-* "-"??_-;_-@_-</c:formatCode>
                <c:ptCount val="5"/>
                <c:pt idx="0">
                  <c:v>3.5856131385901273</c:v>
                </c:pt>
                <c:pt idx="1">
                  <c:v>3.2468124807958696</c:v>
                </c:pt>
                <c:pt idx="2">
                  <c:v>2.7018882816341971</c:v>
                </c:pt>
                <c:pt idx="3">
                  <c:v>2.7609077452471484</c:v>
                </c:pt>
                <c:pt idx="4">
                  <c:v>2.6115218013866945</c:v>
                </c:pt>
              </c:numCache>
            </c:numRef>
          </c:val>
          <c:extLst>
            <c:ext xmlns:c16="http://schemas.microsoft.com/office/drawing/2014/chart" uri="{C3380CC4-5D6E-409C-BE32-E72D297353CC}">
              <c16:uniqueId val="{00000000-7AF8-4C0A-9783-670D3685537C}"/>
            </c:ext>
          </c:extLst>
        </c:ser>
        <c:dLbls>
          <c:showLegendKey val="0"/>
          <c:showVal val="0"/>
          <c:showCatName val="0"/>
          <c:showSerName val="0"/>
          <c:showPercent val="0"/>
          <c:showBubbleSize val="0"/>
        </c:dLbls>
        <c:gapWidth val="100"/>
        <c:overlap val="-27"/>
        <c:axId val="615493872"/>
        <c:axId val="615489296"/>
      </c:barChart>
      <c:catAx>
        <c:axId val="61549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5489296"/>
        <c:crosses val="autoZero"/>
        <c:auto val="1"/>
        <c:lblAlgn val="ctr"/>
        <c:lblOffset val="100"/>
        <c:noMultiLvlLbl val="0"/>
      </c:catAx>
      <c:valAx>
        <c:axId val="615489296"/>
        <c:scaling>
          <c:orientation val="minMax"/>
        </c:scaling>
        <c:delete val="1"/>
        <c:axPos val="l"/>
        <c:numFmt formatCode="_-* #,##0.0_-;\-* #,##0.0_-;_-* &quot;-&quot;??_-;_-@_-" sourceLinked="1"/>
        <c:majorTickMark val="none"/>
        <c:minorTickMark val="none"/>
        <c:tickLblPos val="nextTo"/>
        <c:crossAx val="615493872"/>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11111111111117E-2"/>
          <c:y val="9.7013888888888886E-2"/>
          <c:w val="0.8771566666666667"/>
          <c:h val="0.63594861111111123"/>
        </c:manualLayout>
      </c:layout>
      <c:areaChart>
        <c:grouping val="stacked"/>
        <c:varyColors val="0"/>
        <c:ser>
          <c:idx val="0"/>
          <c:order val="0"/>
          <c:tx>
            <c:strRef>
              <c:f>'[Nomina .xlsx]Proyecciones financieras'!$M$2</c:f>
              <c:strCache>
                <c:ptCount val="1"/>
                <c:pt idx="0">
                  <c:v>Trabajadores</c:v>
                </c:pt>
              </c:strCache>
            </c:strRef>
          </c:tx>
          <c:spPr>
            <a:solidFill>
              <a:schemeClr val="accent6"/>
            </a:solidFill>
            <a:ln>
              <a:noFill/>
            </a:ln>
            <a:effectLst/>
          </c:spPr>
          <c:dLbls>
            <c:dLbl>
              <c:idx val="0"/>
              <c:layout>
                <c:manualLayout>
                  <c:x val="1.76388888888888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B5-4EA0-82F3-7D44BD1205B6}"/>
                </c:ext>
              </c:extLst>
            </c:dLbl>
            <c:dLbl>
              <c:idx val="1"/>
              <c:delete val="1"/>
              <c:extLst>
                <c:ext xmlns:c15="http://schemas.microsoft.com/office/drawing/2012/chart" uri="{CE6537A1-D6FC-4f65-9D91-7224C49458BB}"/>
                <c:ext xmlns:c16="http://schemas.microsoft.com/office/drawing/2014/chart" uri="{C3380CC4-5D6E-409C-BE32-E72D297353CC}">
                  <c16:uniqueId val="{00000001-83B5-4EA0-82F3-7D44BD1205B6}"/>
                </c:ext>
              </c:extLst>
            </c:dLbl>
            <c:dLbl>
              <c:idx val="2"/>
              <c:delete val="1"/>
              <c:extLst>
                <c:ext xmlns:c15="http://schemas.microsoft.com/office/drawing/2012/chart" uri="{CE6537A1-D6FC-4f65-9D91-7224C49458BB}"/>
                <c:ext xmlns:c16="http://schemas.microsoft.com/office/drawing/2014/chart" uri="{C3380CC4-5D6E-409C-BE32-E72D297353CC}">
                  <c16:uniqueId val="{00000002-83B5-4EA0-82F3-7D44BD1205B6}"/>
                </c:ext>
              </c:extLst>
            </c:dLbl>
            <c:dLbl>
              <c:idx val="3"/>
              <c:delete val="1"/>
              <c:extLst>
                <c:ext xmlns:c15="http://schemas.microsoft.com/office/drawing/2012/chart" uri="{CE6537A1-D6FC-4f65-9D91-7224C49458BB}"/>
                <c:ext xmlns:c16="http://schemas.microsoft.com/office/drawing/2014/chart" uri="{C3380CC4-5D6E-409C-BE32-E72D297353CC}">
                  <c16:uniqueId val="{00000003-83B5-4EA0-82F3-7D44BD1205B6}"/>
                </c:ext>
              </c:extLst>
            </c:dLbl>
            <c:dLbl>
              <c:idx val="4"/>
              <c:delete val="1"/>
              <c:extLst>
                <c:ext xmlns:c15="http://schemas.microsoft.com/office/drawing/2012/chart" uri="{CE6537A1-D6FC-4f65-9D91-7224C49458BB}"/>
                <c:ext xmlns:c16="http://schemas.microsoft.com/office/drawing/2014/chart" uri="{C3380CC4-5D6E-409C-BE32-E72D297353CC}">
                  <c16:uniqueId val="{00000004-83B5-4EA0-82F3-7D44BD1205B6}"/>
                </c:ext>
              </c:extLst>
            </c:dLbl>
            <c:dLbl>
              <c:idx val="6"/>
              <c:delete val="1"/>
              <c:extLst>
                <c:ext xmlns:c15="http://schemas.microsoft.com/office/drawing/2012/chart" uri="{CE6537A1-D6FC-4f65-9D91-7224C49458BB}"/>
                <c:ext xmlns:c16="http://schemas.microsoft.com/office/drawing/2014/chart" uri="{C3380CC4-5D6E-409C-BE32-E72D297353CC}">
                  <c16:uniqueId val="{00000005-83B5-4EA0-82F3-7D44BD1205B6}"/>
                </c:ext>
              </c:extLst>
            </c:dLbl>
            <c:dLbl>
              <c:idx val="7"/>
              <c:delete val="1"/>
              <c:extLst>
                <c:ext xmlns:c15="http://schemas.microsoft.com/office/drawing/2012/chart" uri="{CE6537A1-D6FC-4f65-9D91-7224C49458BB}"/>
                <c:ext xmlns:c16="http://schemas.microsoft.com/office/drawing/2014/chart" uri="{C3380CC4-5D6E-409C-BE32-E72D297353CC}">
                  <c16:uniqueId val="{00000006-83B5-4EA0-82F3-7D44BD1205B6}"/>
                </c:ext>
              </c:extLst>
            </c:dLbl>
            <c:dLbl>
              <c:idx val="8"/>
              <c:delete val="1"/>
              <c:extLst>
                <c:ext xmlns:c15="http://schemas.microsoft.com/office/drawing/2012/chart" uri="{CE6537A1-D6FC-4f65-9D91-7224C49458BB}"/>
                <c:ext xmlns:c16="http://schemas.microsoft.com/office/drawing/2014/chart" uri="{C3380CC4-5D6E-409C-BE32-E72D297353CC}">
                  <c16:uniqueId val="{00000007-83B5-4EA0-82F3-7D44BD1205B6}"/>
                </c:ext>
              </c:extLst>
            </c:dLbl>
            <c:dLbl>
              <c:idx val="10"/>
              <c:delete val="1"/>
              <c:extLst>
                <c:ext xmlns:c15="http://schemas.microsoft.com/office/drawing/2012/chart" uri="{CE6537A1-D6FC-4f65-9D91-7224C49458BB}"/>
                <c:ext xmlns:c16="http://schemas.microsoft.com/office/drawing/2014/chart" uri="{C3380CC4-5D6E-409C-BE32-E72D297353CC}">
                  <c16:uniqueId val="{00000008-83B5-4EA0-82F3-7D44BD1205B6}"/>
                </c:ext>
              </c:extLst>
            </c:dLbl>
            <c:dLbl>
              <c:idx val="11"/>
              <c:delete val="1"/>
              <c:extLst>
                <c:ext xmlns:c15="http://schemas.microsoft.com/office/drawing/2012/chart" uri="{CE6537A1-D6FC-4f65-9D91-7224C49458BB}"/>
                <c:ext xmlns:c16="http://schemas.microsoft.com/office/drawing/2014/chart" uri="{C3380CC4-5D6E-409C-BE32-E72D297353CC}">
                  <c16:uniqueId val="{00000009-83B5-4EA0-82F3-7D44BD1205B6}"/>
                </c:ext>
              </c:extLst>
            </c:dLbl>
            <c:dLbl>
              <c:idx val="12"/>
              <c:delete val="1"/>
              <c:extLst>
                <c:ext xmlns:c15="http://schemas.microsoft.com/office/drawing/2012/chart" uri="{CE6537A1-D6FC-4f65-9D91-7224C49458BB}"/>
                <c:ext xmlns:c16="http://schemas.microsoft.com/office/drawing/2014/chart" uri="{C3380CC4-5D6E-409C-BE32-E72D297353CC}">
                  <c16:uniqueId val="{0000000A-83B5-4EA0-82F3-7D44BD1205B6}"/>
                </c:ext>
              </c:extLst>
            </c:dLbl>
            <c:dLbl>
              <c:idx val="14"/>
              <c:delete val="1"/>
              <c:extLst>
                <c:ext xmlns:c15="http://schemas.microsoft.com/office/drawing/2012/chart" uri="{CE6537A1-D6FC-4f65-9D91-7224C49458BB}"/>
                <c:ext xmlns:c16="http://schemas.microsoft.com/office/drawing/2014/chart" uri="{C3380CC4-5D6E-409C-BE32-E72D297353CC}">
                  <c16:uniqueId val="{0000000B-83B5-4EA0-82F3-7D44BD1205B6}"/>
                </c:ext>
              </c:extLst>
            </c:dLbl>
            <c:dLbl>
              <c:idx val="15"/>
              <c:delete val="1"/>
              <c:extLst>
                <c:ext xmlns:c15="http://schemas.microsoft.com/office/drawing/2012/chart" uri="{CE6537A1-D6FC-4f65-9D91-7224C49458BB}"/>
                <c:ext xmlns:c16="http://schemas.microsoft.com/office/drawing/2014/chart" uri="{C3380CC4-5D6E-409C-BE32-E72D297353CC}">
                  <c16:uniqueId val="{0000000C-83B5-4EA0-82F3-7D44BD1205B6}"/>
                </c:ext>
              </c:extLst>
            </c:dLbl>
            <c:dLbl>
              <c:idx val="17"/>
              <c:delete val="1"/>
              <c:extLst>
                <c:ext xmlns:c15="http://schemas.microsoft.com/office/drawing/2012/chart" uri="{CE6537A1-D6FC-4f65-9D91-7224C49458BB}"/>
                <c:ext xmlns:c16="http://schemas.microsoft.com/office/drawing/2014/chart" uri="{C3380CC4-5D6E-409C-BE32-E72D297353CC}">
                  <c16:uniqueId val="{0000000D-83B5-4EA0-82F3-7D44BD1205B6}"/>
                </c:ext>
              </c:extLst>
            </c:dLbl>
            <c:dLbl>
              <c:idx val="19"/>
              <c:delete val="1"/>
              <c:extLst>
                <c:ext xmlns:c15="http://schemas.microsoft.com/office/drawing/2012/chart" uri="{CE6537A1-D6FC-4f65-9D91-7224C49458BB}"/>
                <c:ext xmlns:c16="http://schemas.microsoft.com/office/drawing/2014/chart" uri="{C3380CC4-5D6E-409C-BE32-E72D297353CC}">
                  <c16:uniqueId val="{0000000E-83B5-4EA0-82F3-7D44BD1205B6}"/>
                </c:ext>
              </c:extLst>
            </c:dLbl>
            <c:dLbl>
              <c:idx val="20"/>
              <c:layout>
                <c:manualLayout>
                  <c:x val="-2.2048611111111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3B5-4EA0-82F3-7D44BD1205B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'[Nomina .xlsx]Proyecciones financieras'!$K$3:$K$23</c:f>
              <c:numCache>
                <c:formatCode>0</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'[Nomina .xlsx]Proyecciones financieras'!$M$3:$M$23</c:f>
              <c:numCache>
                <c:formatCode>_-* #,##0.0_-;\-* #,##0.0_-;_-* "-"??_-;_-@_-</c:formatCode>
                <c:ptCount val="21"/>
                <c:pt idx="0">
                  <c:v>0.41421654515</c:v>
                </c:pt>
                <c:pt idx="1">
                  <c:v>0.46622195608000006</c:v>
                </c:pt>
                <c:pt idx="2">
                  <c:v>0.50170133246000004</c:v>
                </c:pt>
                <c:pt idx="3">
                  <c:v>0.53573786217999997</c:v>
                </c:pt>
                <c:pt idx="4">
                  <c:v>0.54434271418000002</c:v>
                </c:pt>
                <c:pt idx="5">
                  <c:v>0.57859728496000007</c:v>
                </c:pt>
                <c:pt idx="6">
                  <c:v>0.64789318707999999</c:v>
                </c:pt>
                <c:pt idx="7">
                  <c:v>0.73017859831999998</c:v>
                </c:pt>
                <c:pt idx="8">
                  <c:v>0.90301352778999999</c:v>
                </c:pt>
                <c:pt idx="9">
                  <c:v>1.04978049666</c:v>
                </c:pt>
                <c:pt idx="10">
                  <c:v>1.1926054928500001</c:v>
                </c:pt>
                <c:pt idx="11">
                  <c:v>1.2504114393600001</c:v>
                </c:pt>
                <c:pt idx="12">
                  <c:v>1.40252351616</c:v>
                </c:pt>
                <c:pt idx="13">
                  <c:v>1.58841950909</c:v>
                </c:pt>
                <c:pt idx="14">
                  <c:v>1.6166687361800001</c:v>
                </c:pt>
                <c:pt idx="15">
                  <c:v>1.9873396043399998</c:v>
                </c:pt>
                <c:pt idx="16">
                  <c:v>1.8467578145400001</c:v>
                </c:pt>
                <c:pt idx="17">
                  <c:v>1.91825441445</c:v>
                </c:pt>
                <c:pt idx="18">
                  <c:v>2.2866323639799999</c:v>
                </c:pt>
                <c:pt idx="19">
                  <c:v>2.5085430692200004</c:v>
                </c:pt>
                <c:pt idx="20">
                  <c:v>2.6168453297499998</c:v>
                </c:pt>
              </c:numCache>
            </c:numRef>
          </c:val>
          <c:extLst>
            <c:ext xmlns:c16="http://schemas.microsoft.com/office/drawing/2014/chart" uri="{C3380CC4-5D6E-409C-BE32-E72D297353CC}">
              <c16:uniqueId val="{00000010-83B5-4EA0-82F3-7D44BD1205B6}"/>
            </c:ext>
          </c:extLst>
        </c:ser>
        <c:ser>
          <c:idx val="1"/>
          <c:order val="1"/>
          <c:tx>
            <c:strRef>
              <c:f>'[Nomina .xlsx]Proyecciones financieras'!$N$2</c:f>
              <c:strCache>
                <c:ptCount val="1"/>
                <c:pt idx="0">
                  <c:v>Patrono</c:v>
                </c:pt>
              </c:strCache>
            </c:strRef>
          </c:tx>
          <c:spPr>
            <a:solidFill>
              <a:schemeClr val="bg1">
                <a:lumMod val="75000"/>
              </a:schemeClr>
            </a:solidFill>
            <a:ln>
              <a:noFill/>
            </a:ln>
            <a:effectLst/>
          </c:spPr>
          <c:dLbls>
            <c:dLbl>
              <c:idx val="0"/>
              <c:layout>
                <c:manualLayout>
                  <c:x val="1.76388888888888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3B5-4EA0-82F3-7D44BD1205B6}"/>
                </c:ext>
              </c:extLst>
            </c:dLbl>
            <c:dLbl>
              <c:idx val="1"/>
              <c:delete val="1"/>
              <c:extLst>
                <c:ext xmlns:c15="http://schemas.microsoft.com/office/drawing/2012/chart" uri="{CE6537A1-D6FC-4f65-9D91-7224C49458BB}"/>
                <c:ext xmlns:c16="http://schemas.microsoft.com/office/drawing/2014/chart" uri="{C3380CC4-5D6E-409C-BE32-E72D297353CC}">
                  <c16:uniqueId val="{00000012-83B5-4EA0-82F3-7D44BD1205B6}"/>
                </c:ext>
              </c:extLst>
            </c:dLbl>
            <c:dLbl>
              <c:idx val="2"/>
              <c:delete val="1"/>
              <c:extLst>
                <c:ext xmlns:c15="http://schemas.microsoft.com/office/drawing/2012/chart" uri="{CE6537A1-D6FC-4f65-9D91-7224C49458BB}"/>
                <c:ext xmlns:c16="http://schemas.microsoft.com/office/drawing/2014/chart" uri="{C3380CC4-5D6E-409C-BE32-E72D297353CC}">
                  <c16:uniqueId val="{00000013-83B5-4EA0-82F3-7D44BD1205B6}"/>
                </c:ext>
              </c:extLst>
            </c:dLbl>
            <c:dLbl>
              <c:idx val="3"/>
              <c:delete val="1"/>
              <c:extLst>
                <c:ext xmlns:c15="http://schemas.microsoft.com/office/drawing/2012/chart" uri="{CE6537A1-D6FC-4f65-9D91-7224C49458BB}"/>
                <c:ext xmlns:c16="http://schemas.microsoft.com/office/drawing/2014/chart" uri="{C3380CC4-5D6E-409C-BE32-E72D297353CC}">
                  <c16:uniqueId val="{00000014-83B5-4EA0-82F3-7D44BD1205B6}"/>
                </c:ext>
              </c:extLst>
            </c:dLbl>
            <c:dLbl>
              <c:idx val="4"/>
              <c:delete val="1"/>
              <c:extLst>
                <c:ext xmlns:c15="http://schemas.microsoft.com/office/drawing/2012/chart" uri="{CE6537A1-D6FC-4f65-9D91-7224C49458BB}"/>
                <c:ext xmlns:c16="http://schemas.microsoft.com/office/drawing/2014/chart" uri="{C3380CC4-5D6E-409C-BE32-E72D297353CC}">
                  <c16:uniqueId val="{00000015-83B5-4EA0-82F3-7D44BD1205B6}"/>
                </c:ext>
              </c:extLst>
            </c:dLbl>
            <c:dLbl>
              <c:idx val="6"/>
              <c:delete val="1"/>
              <c:extLst>
                <c:ext xmlns:c15="http://schemas.microsoft.com/office/drawing/2012/chart" uri="{CE6537A1-D6FC-4f65-9D91-7224C49458BB}"/>
                <c:ext xmlns:c16="http://schemas.microsoft.com/office/drawing/2014/chart" uri="{C3380CC4-5D6E-409C-BE32-E72D297353CC}">
                  <c16:uniqueId val="{00000016-83B5-4EA0-82F3-7D44BD1205B6}"/>
                </c:ext>
              </c:extLst>
            </c:dLbl>
            <c:dLbl>
              <c:idx val="7"/>
              <c:delete val="1"/>
              <c:extLst>
                <c:ext xmlns:c15="http://schemas.microsoft.com/office/drawing/2012/chart" uri="{CE6537A1-D6FC-4f65-9D91-7224C49458BB}"/>
                <c:ext xmlns:c16="http://schemas.microsoft.com/office/drawing/2014/chart" uri="{C3380CC4-5D6E-409C-BE32-E72D297353CC}">
                  <c16:uniqueId val="{00000017-83B5-4EA0-82F3-7D44BD1205B6}"/>
                </c:ext>
              </c:extLst>
            </c:dLbl>
            <c:dLbl>
              <c:idx val="8"/>
              <c:delete val="1"/>
              <c:extLst>
                <c:ext xmlns:c15="http://schemas.microsoft.com/office/drawing/2012/chart" uri="{CE6537A1-D6FC-4f65-9D91-7224C49458BB}"/>
                <c:ext xmlns:c16="http://schemas.microsoft.com/office/drawing/2014/chart" uri="{C3380CC4-5D6E-409C-BE32-E72D297353CC}">
                  <c16:uniqueId val="{00000018-83B5-4EA0-82F3-7D44BD1205B6}"/>
                </c:ext>
              </c:extLst>
            </c:dLbl>
            <c:dLbl>
              <c:idx val="10"/>
              <c:delete val="1"/>
              <c:extLst>
                <c:ext xmlns:c15="http://schemas.microsoft.com/office/drawing/2012/chart" uri="{CE6537A1-D6FC-4f65-9D91-7224C49458BB}"/>
                <c:ext xmlns:c16="http://schemas.microsoft.com/office/drawing/2014/chart" uri="{C3380CC4-5D6E-409C-BE32-E72D297353CC}">
                  <c16:uniqueId val="{00000019-83B5-4EA0-82F3-7D44BD1205B6}"/>
                </c:ext>
              </c:extLst>
            </c:dLbl>
            <c:dLbl>
              <c:idx val="11"/>
              <c:delete val="1"/>
              <c:extLst>
                <c:ext xmlns:c15="http://schemas.microsoft.com/office/drawing/2012/chart" uri="{CE6537A1-D6FC-4f65-9D91-7224C49458BB}"/>
                <c:ext xmlns:c16="http://schemas.microsoft.com/office/drawing/2014/chart" uri="{C3380CC4-5D6E-409C-BE32-E72D297353CC}">
                  <c16:uniqueId val="{0000001A-83B5-4EA0-82F3-7D44BD1205B6}"/>
                </c:ext>
              </c:extLst>
            </c:dLbl>
            <c:dLbl>
              <c:idx val="12"/>
              <c:delete val="1"/>
              <c:extLst>
                <c:ext xmlns:c15="http://schemas.microsoft.com/office/drawing/2012/chart" uri="{CE6537A1-D6FC-4f65-9D91-7224C49458BB}"/>
                <c:ext xmlns:c16="http://schemas.microsoft.com/office/drawing/2014/chart" uri="{C3380CC4-5D6E-409C-BE32-E72D297353CC}">
                  <c16:uniqueId val="{0000001B-83B5-4EA0-82F3-7D44BD1205B6}"/>
                </c:ext>
              </c:extLst>
            </c:dLbl>
            <c:dLbl>
              <c:idx val="14"/>
              <c:delete val="1"/>
              <c:extLst>
                <c:ext xmlns:c15="http://schemas.microsoft.com/office/drawing/2012/chart" uri="{CE6537A1-D6FC-4f65-9D91-7224C49458BB}"/>
                <c:ext xmlns:c16="http://schemas.microsoft.com/office/drawing/2014/chart" uri="{C3380CC4-5D6E-409C-BE32-E72D297353CC}">
                  <c16:uniqueId val="{0000001C-83B5-4EA0-82F3-7D44BD1205B6}"/>
                </c:ext>
              </c:extLst>
            </c:dLbl>
            <c:dLbl>
              <c:idx val="15"/>
              <c:delete val="1"/>
              <c:extLst>
                <c:ext xmlns:c15="http://schemas.microsoft.com/office/drawing/2012/chart" uri="{CE6537A1-D6FC-4f65-9D91-7224C49458BB}"/>
                <c:ext xmlns:c16="http://schemas.microsoft.com/office/drawing/2014/chart" uri="{C3380CC4-5D6E-409C-BE32-E72D297353CC}">
                  <c16:uniqueId val="{0000001D-83B5-4EA0-82F3-7D44BD1205B6}"/>
                </c:ext>
              </c:extLst>
            </c:dLbl>
            <c:dLbl>
              <c:idx val="17"/>
              <c:delete val="1"/>
              <c:extLst>
                <c:ext xmlns:c15="http://schemas.microsoft.com/office/drawing/2012/chart" uri="{CE6537A1-D6FC-4f65-9D91-7224C49458BB}"/>
                <c:ext xmlns:c16="http://schemas.microsoft.com/office/drawing/2014/chart" uri="{C3380CC4-5D6E-409C-BE32-E72D297353CC}">
                  <c16:uniqueId val="{0000001E-83B5-4EA0-82F3-7D44BD1205B6}"/>
                </c:ext>
              </c:extLst>
            </c:dLbl>
            <c:dLbl>
              <c:idx val="19"/>
              <c:delete val="1"/>
              <c:extLst>
                <c:ext xmlns:c15="http://schemas.microsoft.com/office/drawing/2012/chart" uri="{CE6537A1-D6FC-4f65-9D91-7224C49458BB}"/>
                <c:ext xmlns:c16="http://schemas.microsoft.com/office/drawing/2014/chart" uri="{C3380CC4-5D6E-409C-BE32-E72D297353CC}">
                  <c16:uniqueId val="{0000001F-83B5-4EA0-82F3-7D44BD1205B6}"/>
                </c:ext>
              </c:extLst>
            </c:dLbl>
            <c:dLbl>
              <c:idx val="20"/>
              <c:layout>
                <c:manualLayout>
                  <c:x val="-1.76388888888890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3B5-4EA0-82F3-7D44BD1205B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'[Nomina .xlsx]Proyecciones financieras'!$K$3:$K$23</c:f>
              <c:numCache>
                <c:formatCode>0</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'[Nomina .xlsx]Proyecciones financieras'!$N$3:$N$23</c:f>
              <c:numCache>
                <c:formatCode>_-* #,##0.0_-;\-* #,##0.0_-;_-* "-"??_-;_-@_-</c:formatCode>
                <c:ptCount val="21"/>
                <c:pt idx="0">
                  <c:v>0.71649265418000008</c:v>
                </c:pt>
                <c:pt idx="1">
                  <c:v>0.79654986554000007</c:v>
                </c:pt>
                <c:pt idx="2">
                  <c:v>0.88019667789</c:v>
                </c:pt>
                <c:pt idx="3">
                  <c:v>0.97987125613000003</c:v>
                </c:pt>
                <c:pt idx="4">
                  <c:v>1.1208867282599999</c:v>
                </c:pt>
                <c:pt idx="5">
                  <c:v>1.24977489721</c:v>
                </c:pt>
                <c:pt idx="6">
                  <c:v>1.33500779848</c:v>
                </c:pt>
                <c:pt idx="7">
                  <c:v>1.4654898555400002</c:v>
                </c:pt>
                <c:pt idx="8">
                  <c:v>1.48307432228</c:v>
                </c:pt>
                <c:pt idx="9">
                  <c:v>1.4749672471399995</c:v>
                </c:pt>
                <c:pt idx="10">
                  <c:v>1.4798032965500003</c:v>
                </c:pt>
                <c:pt idx="11">
                  <c:v>1.6092733964999995</c:v>
                </c:pt>
                <c:pt idx="12">
                  <c:v>1.7260047138800001</c:v>
                </c:pt>
                <c:pt idx="13">
                  <c:v>1.7024867995400004</c:v>
                </c:pt>
                <c:pt idx="14">
                  <c:v>1.7938500780199995</c:v>
                </c:pt>
                <c:pt idx="15">
                  <c:v>1.8260249113100002</c:v>
                </c:pt>
                <c:pt idx="16">
                  <c:v>2.4340947130600004</c:v>
                </c:pt>
                <c:pt idx="17">
                  <c:v>2.3368479049699999</c:v>
                </c:pt>
                <c:pt idx="18">
                  <c:v>2.4047727313600005</c:v>
                </c:pt>
                <c:pt idx="19">
                  <c:v>2.1882206172499994</c:v>
                </c:pt>
                <c:pt idx="20">
                  <c:v>2.2306680020300003</c:v>
                </c:pt>
              </c:numCache>
            </c:numRef>
          </c:val>
          <c:extLst>
            <c:ext xmlns:c16="http://schemas.microsoft.com/office/drawing/2014/chart" uri="{C3380CC4-5D6E-409C-BE32-E72D297353CC}">
              <c16:uniqueId val="{00000021-83B5-4EA0-82F3-7D44BD1205B6}"/>
            </c:ext>
          </c:extLst>
        </c:ser>
        <c:dLbls>
          <c:showLegendKey val="0"/>
          <c:showVal val="0"/>
          <c:showCatName val="0"/>
          <c:showSerName val="0"/>
          <c:showPercent val="0"/>
          <c:showBubbleSize val="0"/>
        </c:dLbls>
        <c:axId val="787441680"/>
        <c:axId val="787439600"/>
      </c:areaChart>
      <c:lineChart>
        <c:grouping val="standard"/>
        <c:varyColors val="0"/>
        <c:ser>
          <c:idx val="2"/>
          <c:order val="2"/>
          <c:tx>
            <c:strRef>
              <c:f>'[Nomina .xlsx]Proyecciones financieras'!$L$2</c:f>
              <c:strCache>
                <c:ptCount val="1"/>
                <c:pt idx="0">
                  <c:v>Pago de pensiones</c:v>
                </c:pt>
              </c:strCache>
            </c:strRef>
          </c:tx>
          <c:spPr>
            <a:ln w="22225" cap="rnd">
              <a:solidFill>
                <a:schemeClr val="tx1"/>
              </a:solidFill>
              <a:round/>
            </a:ln>
            <a:effectLst/>
          </c:spPr>
          <c:marker>
            <c:symbol val="none"/>
          </c:marker>
          <c:dLbls>
            <c:dLbl>
              <c:idx val="0"/>
              <c:layout>
                <c:manualLayout>
                  <c:x val="-4.3116319444444433E-2"/>
                  <c:y val="-9.9569342649405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3B5-4EA0-82F3-7D44BD1205B6}"/>
                </c:ext>
              </c:extLst>
            </c:dLbl>
            <c:dLbl>
              <c:idx val="1"/>
              <c:delete val="1"/>
              <c:extLst>
                <c:ext xmlns:c15="http://schemas.microsoft.com/office/drawing/2012/chart" uri="{CE6537A1-D6FC-4f65-9D91-7224C49458BB}"/>
                <c:ext xmlns:c16="http://schemas.microsoft.com/office/drawing/2014/chart" uri="{C3380CC4-5D6E-409C-BE32-E72D297353CC}">
                  <c16:uniqueId val="{00000023-83B5-4EA0-82F3-7D44BD1205B6}"/>
                </c:ext>
              </c:extLst>
            </c:dLbl>
            <c:dLbl>
              <c:idx val="2"/>
              <c:delete val="1"/>
              <c:extLst>
                <c:ext xmlns:c15="http://schemas.microsoft.com/office/drawing/2012/chart" uri="{CE6537A1-D6FC-4f65-9D91-7224C49458BB}"/>
                <c:ext xmlns:c16="http://schemas.microsoft.com/office/drawing/2014/chart" uri="{C3380CC4-5D6E-409C-BE32-E72D297353CC}">
                  <c16:uniqueId val="{00000024-83B5-4EA0-82F3-7D44BD1205B6}"/>
                </c:ext>
              </c:extLst>
            </c:dLbl>
            <c:dLbl>
              <c:idx val="3"/>
              <c:delete val="1"/>
              <c:extLst>
                <c:ext xmlns:c15="http://schemas.microsoft.com/office/drawing/2012/chart" uri="{CE6537A1-D6FC-4f65-9D91-7224C49458BB}"/>
                <c:ext xmlns:c16="http://schemas.microsoft.com/office/drawing/2014/chart" uri="{C3380CC4-5D6E-409C-BE32-E72D297353CC}">
                  <c16:uniqueId val="{00000025-83B5-4EA0-82F3-7D44BD1205B6}"/>
                </c:ext>
              </c:extLst>
            </c:dLbl>
            <c:dLbl>
              <c:idx val="4"/>
              <c:delete val="1"/>
              <c:extLst>
                <c:ext xmlns:c15="http://schemas.microsoft.com/office/drawing/2012/chart" uri="{CE6537A1-D6FC-4f65-9D91-7224C49458BB}"/>
                <c:ext xmlns:c16="http://schemas.microsoft.com/office/drawing/2014/chart" uri="{C3380CC4-5D6E-409C-BE32-E72D297353CC}">
                  <c16:uniqueId val="{00000026-83B5-4EA0-82F3-7D44BD1205B6}"/>
                </c:ext>
              </c:extLst>
            </c:dLbl>
            <c:dLbl>
              <c:idx val="6"/>
              <c:delete val="1"/>
              <c:extLst>
                <c:ext xmlns:c15="http://schemas.microsoft.com/office/drawing/2012/chart" uri="{CE6537A1-D6FC-4f65-9D91-7224C49458BB}"/>
                <c:ext xmlns:c16="http://schemas.microsoft.com/office/drawing/2014/chart" uri="{C3380CC4-5D6E-409C-BE32-E72D297353CC}">
                  <c16:uniqueId val="{00000027-83B5-4EA0-82F3-7D44BD1205B6}"/>
                </c:ext>
              </c:extLst>
            </c:dLbl>
            <c:dLbl>
              <c:idx val="7"/>
              <c:delete val="1"/>
              <c:extLst>
                <c:ext xmlns:c15="http://schemas.microsoft.com/office/drawing/2012/chart" uri="{CE6537A1-D6FC-4f65-9D91-7224C49458BB}"/>
                <c:ext xmlns:c16="http://schemas.microsoft.com/office/drawing/2014/chart" uri="{C3380CC4-5D6E-409C-BE32-E72D297353CC}">
                  <c16:uniqueId val="{00000028-83B5-4EA0-82F3-7D44BD1205B6}"/>
                </c:ext>
              </c:extLst>
            </c:dLbl>
            <c:dLbl>
              <c:idx val="8"/>
              <c:delete val="1"/>
              <c:extLst>
                <c:ext xmlns:c15="http://schemas.microsoft.com/office/drawing/2012/chart" uri="{CE6537A1-D6FC-4f65-9D91-7224C49458BB}"/>
                <c:ext xmlns:c16="http://schemas.microsoft.com/office/drawing/2014/chart" uri="{C3380CC4-5D6E-409C-BE32-E72D297353CC}">
                  <c16:uniqueId val="{00000029-83B5-4EA0-82F3-7D44BD1205B6}"/>
                </c:ext>
              </c:extLst>
            </c:dLbl>
            <c:dLbl>
              <c:idx val="10"/>
              <c:delete val="1"/>
              <c:extLst>
                <c:ext xmlns:c15="http://schemas.microsoft.com/office/drawing/2012/chart" uri="{CE6537A1-D6FC-4f65-9D91-7224C49458BB}"/>
                <c:ext xmlns:c16="http://schemas.microsoft.com/office/drawing/2014/chart" uri="{C3380CC4-5D6E-409C-BE32-E72D297353CC}">
                  <c16:uniqueId val="{0000002A-83B5-4EA0-82F3-7D44BD1205B6}"/>
                </c:ext>
              </c:extLst>
            </c:dLbl>
            <c:dLbl>
              <c:idx val="11"/>
              <c:delete val="1"/>
              <c:extLst>
                <c:ext xmlns:c15="http://schemas.microsoft.com/office/drawing/2012/chart" uri="{CE6537A1-D6FC-4f65-9D91-7224C49458BB}"/>
                <c:ext xmlns:c16="http://schemas.microsoft.com/office/drawing/2014/chart" uri="{C3380CC4-5D6E-409C-BE32-E72D297353CC}">
                  <c16:uniqueId val="{0000002B-83B5-4EA0-82F3-7D44BD1205B6}"/>
                </c:ext>
              </c:extLst>
            </c:dLbl>
            <c:dLbl>
              <c:idx val="12"/>
              <c:delete val="1"/>
              <c:extLst>
                <c:ext xmlns:c15="http://schemas.microsoft.com/office/drawing/2012/chart" uri="{CE6537A1-D6FC-4f65-9D91-7224C49458BB}"/>
                <c:ext xmlns:c16="http://schemas.microsoft.com/office/drawing/2014/chart" uri="{C3380CC4-5D6E-409C-BE32-E72D297353CC}">
                  <c16:uniqueId val="{0000002C-83B5-4EA0-82F3-7D44BD1205B6}"/>
                </c:ext>
              </c:extLst>
            </c:dLbl>
            <c:dLbl>
              <c:idx val="14"/>
              <c:delete val="1"/>
              <c:extLst>
                <c:ext xmlns:c15="http://schemas.microsoft.com/office/drawing/2012/chart" uri="{CE6537A1-D6FC-4f65-9D91-7224C49458BB}"/>
                <c:ext xmlns:c16="http://schemas.microsoft.com/office/drawing/2014/chart" uri="{C3380CC4-5D6E-409C-BE32-E72D297353CC}">
                  <c16:uniqueId val="{0000002D-83B5-4EA0-82F3-7D44BD1205B6}"/>
                </c:ext>
              </c:extLst>
            </c:dLbl>
            <c:dLbl>
              <c:idx val="15"/>
              <c:delete val="1"/>
              <c:extLst>
                <c:ext xmlns:c15="http://schemas.microsoft.com/office/drawing/2012/chart" uri="{CE6537A1-D6FC-4f65-9D91-7224C49458BB}"/>
                <c:ext xmlns:c16="http://schemas.microsoft.com/office/drawing/2014/chart" uri="{C3380CC4-5D6E-409C-BE32-E72D297353CC}">
                  <c16:uniqueId val="{0000002E-83B5-4EA0-82F3-7D44BD1205B6}"/>
                </c:ext>
              </c:extLst>
            </c:dLbl>
            <c:dLbl>
              <c:idx val="16"/>
              <c:layout>
                <c:manualLayout>
                  <c:x val="-6.2406666666666666E-2"/>
                  <c:y val="-7.1018750000000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83B5-4EA0-82F3-7D44BD1205B6}"/>
                </c:ext>
              </c:extLst>
            </c:dLbl>
            <c:dLbl>
              <c:idx val="17"/>
              <c:delete val="1"/>
              <c:extLst>
                <c:ext xmlns:c15="http://schemas.microsoft.com/office/drawing/2012/chart" uri="{CE6537A1-D6FC-4f65-9D91-7224C49458BB}"/>
                <c:ext xmlns:c16="http://schemas.microsoft.com/office/drawing/2014/chart" uri="{C3380CC4-5D6E-409C-BE32-E72D297353CC}">
                  <c16:uniqueId val="{00000030-83B5-4EA0-82F3-7D44BD1205B6}"/>
                </c:ext>
              </c:extLst>
            </c:dLbl>
            <c:dLbl>
              <c:idx val="18"/>
              <c:layout>
                <c:manualLayout>
                  <c:x val="-6.5164930555555722E-2"/>
                  <c:y val="-7.3070561871523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83B5-4EA0-82F3-7D44BD1205B6}"/>
                </c:ext>
              </c:extLst>
            </c:dLbl>
            <c:dLbl>
              <c:idx val="19"/>
              <c:delete val="1"/>
              <c:extLst>
                <c:ext xmlns:c15="http://schemas.microsoft.com/office/drawing/2012/chart" uri="{CE6537A1-D6FC-4f65-9D91-7224C49458BB}"/>
                <c:ext xmlns:c16="http://schemas.microsoft.com/office/drawing/2014/chart" uri="{C3380CC4-5D6E-409C-BE32-E72D297353CC}">
                  <c16:uniqueId val="{00000032-83B5-4EA0-82F3-7D44BD1205B6}"/>
                </c:ext>
              </c:extLst>
            </c:dLbl>
            <c:dLbl>
              <c:idx val="20"/>
              <c:layout>
                <c:manualLayout>
                  <c:x val="-3.8435069444444442E-2"/>
                  <c:y val="-8.1903488797483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83B5-4EA0-82F3-7D44BD1205B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'[Nomina .xlsx]Proyecciones financieras'!$L$3:$L$23</c:f>
              <c:numCache>
                <c:formatCode>_-* #,##0.0_-;\-* #,##0.0_-;_-* "-"??_-;_-@_-</c:formatCode>
                <c:ptCount val="21"/>
                <c:pt idx="0">
                  <c:v>1.13070919933</c:v>
                </c:pt>
                <c:pt idx="1">
                  <c:v>1.2627718216200001</c:v>
                </c:pt>
                <c:pt idx="2">
                  <c:v>1.38189801035</c:v>
                </c:pt>
                <c:pt idx="3">
                  <c:v>1.51560911831</c:v>
                </c:pt>
                <c:pt idx="4">
                  <c:v>1.66522944244</c:v>
                </c:pt>
                <c:pt idx="5">
                  <c:v>1.8283721821700001</c:v>
                </c:pt>
                <c:pt idx="6">
                  <c:v>1.9829009855599999</c:v>
                </c:pt>
                <c:pt idx="7">
                  <c:v>2.1956684538600002</c:v>
                </c:pt>
                <c:pt idx="8">
                  <c:v>2.38608785007</c:v>
                </c:pt>
                <c:pt idx="9">
                  <c:v>2.5247477437999994</c:v>
                </c:pt>
                <c:pt idx="10">
                  <c:v>2.6724087894000004</c:v>
                </c:pt>
                <c:pt idx="11">
                  <c:v>2.8596848358599996</c:v>
                </c:pt>
                <c:pt idx="12">
                  <c:v>3.1285282300400001</c:v>
                </c:pt>
                <c:pt idx="13">
                  <c:v>3.2909063086300003</c:v>
                </c:pt>
                <c:pt idx="14">
                  <c:v>3.4105188141999996</c:v>
                </c:pt>
                <c:pt idx="15">
                  <c:v>3.81336451565</c:v>
                </c:pt>
                <c:pt idx="16">
                  <c:v>4.2808525276000005</c:v>
                </c:pt>
                <c:pt idx="17">
                  <c:v>4.2551023194199997</c:v>
                </c:pt>
                <c:pt idx="18">
                  <c:v>4.6914050953400004</c:v>
                </c:pt>
                <c:pt idx="19">
                  <c:v>4.6967636864699998</c:v>
                </c:pt>
                <c:pt idx="20">
                  <c:v>4.8475133317800001</c:v>
                </c:pt>
              </c:numCache>
            </c:numRef>
          </c:val>
          <c:smooth val="0"/>
          <c:extLst>
            <c:ext xmlns:c16="http://schemas.microsoft.com/office/drawing/2014/chart" uri="{C3380CC4-5D6E-409C-BE32-E72D297353CC}">
              <c16:uniqueId val="{00000034-83B5-4EA0-82F3-7D44BD1205B6}"/>
            </c:ext>
          </c:extLst>
        </c:ser>
        <c:dLbls>
          <c:showLegendKey val="0"/>
          <c:showVal val="0"/>
          <c:showCatName val="0"/>
          <c:showSerName val="0"/>
          <c:showPercent val="0"/>
          <c:showBubbleSize val="0"/>
        </c:dLbls>
        <c:marker val="1"/>
        <c:smooth val="0"/>
        <c:axId val="787441680"/>
        <c:axId val="787439600"/>
      </c:lineChart>
      <c:catAx>
        <c:axId val="787441680"/>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87439600"/>
        <c:crosses val="autoZero"/>
        <c:auto val="1"/>
        <c:lblAlgn val="ctr"/>
        <c:lblOffset val="100"/>
        <c:noMultiLvlLbl val="0"/>
      </c:catAx>
      <c:valAx>
        <c:axId val="787439600"/>
        <c:scaling>
          <c:orientation val="minMax"/>
        </c:scaling>
        <c:delete val="1"/>
        <c:axPos val="l"/>
        <c:numFmt formatCode="_-* #,##0.0_-;\-* #,##0.0_-;_-* &quot;-&quot;??_-;_-@_-" sourceLinked="1"/>
        <c:majorTickMark val="none"/>
        <c:minorTickMark val="none"/>
        <c:tickLblPos val="nextTo"/>
        <c:crossAx val="787441680"/>
        <c:crosses val="autoZero"/>
        <c:crossBetween val="between"/>
      </c:valAx>
      <c:spPr>
        <a:noFill/>
        <a:ln>
          <a:noFill/>
        </a:ln>
        <a:effectLst/>
      </c:spPr>
    </c:plotArea>
    <c:legend>
      <c:legendPos val="b"/>
      <c:layout>
        <c:manualLayout>
          <c:xMode val="edge"/>
          <c:yMode val="edge"/>
          <c:x val="7.0555555555555554E-3"/>
          <c:y val="0.88016249999999996"/>
          <c:w val="0.9721211111111111"/>
          <c:h val="0.1021986111111111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56975324892899"/>
          <c:y val="8.4942084942084939E-2"/>
          <c:w val="0.83366646038546088"/>
          <c:h val="0.58807770650290336"/>
        </c:manualLayout>
      </c:layout>
      <c:barChart>
        <c:barDir val="col"/>
        <c:grouping val="clustered"/>
        <c:varyColors val="0"/>
        <c:ser>
          <c:idx val="1"/>
          <c:order val="1"/>
          <c:tx>
            <c:strRef>
              <c:f>'Revisión (2)'!$N$65</c:f>
              <c:strCache>
                <c:ptCount val="1"/>
                <c:pt idx="0">
                  <c:v>Pronostico Importaciones 2021</c:v>
                </c:pt>
              </c:strCache>
            </c:strRef>
          </c:tx>
          <c:spPr>
            <a:solidFill>
              <a:schemeClr val="accent2"/>
            </a:solidFill>
            <a:ln>
              <a:solidFill>
                <a:srgbClr val="002060"/>
              </a:solidFill>
            </a:ln>
            <a:effectLst/>
          </c:spPr>
          <c:invertIfNegative val="0"/>
          <c:dLbls>
            <c:numFmt formatCode="#,##0.0" sourceLinked="0"/>
            <c:spPr>
              <a:noFill/>
              <a:ln>
                <a:noFill/>
              </a:ln>
              <a:effectLst/>
            </c:spPr>
            <c:txPr>
              <a:bodyPr rot="0" spcFirstLastPara="1" vertOverflow="ellipsis" vert="horz" wrap="square" anchor="ctr" anchorCtr="1"/>
              <a:lstStyle/>
              <a:p>
                <a:pPr>
                  <a:defRPr lang="en-US"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'Revisión (2)'!$L$66:$L$69</c:f>
              <c:strCache>
                <c:ptCount val="4"/>
                <c:pt idx="0">
                  <c:v>ENERO</c:v>
                </c:pt>
                <c:pt idx="1">
                  <c:v>MARZO</c:v>
                </c:pt>
                <c:pt idx="2">
                  <c:v>ABRIL</c:v>
                </c:pt>
                <c:pt idx="3">
                  <c:v>JULIO</c:v>
                </c:pt>
              </c:strCache>
            </c:strRef>
          </c:cat>
          <c:val>
            <c:numRef>
              <c:f>'Revisión (2)'!$N$66:$N$69</c:f>
              <c:numCache>
                <c:formatCode>#,##0.0</c:formatCode>
                <c:ptCount val="4"/>
                <c:pt idx="0">
                  <c:v>9.5</c:v>
                </c:pt>
                <c:pt idx="1">
                  <c:v>9.5</c:v>
                </c:pt>
                <c:pt idx="2">
                  <c:v>11</c:v>
                </c:pt>
                <c:pt idx="3">
                  <c:v>20</c:v>
                </c:pt>
              </c:numCache>
            </c:numRef>
          </c:val>
          <c:extLst>
            <c:ext xmlns:c16="http://schemas.microsoft.com/office/drawing/2014/chart" uri="{C3380CC4-5D6E-409C-BE32-E72D297353CC}">
              <c16:uniqueId val="{00000000-F357-4695-A102-B6BAFDE55788}"/>
            </c:ext>
          </c:extLst>
        </c:ser>
        <c:dLbls>
          <c:showLegendKey val="0"/>
          <c:showVal val="0"/>
          <c:showCatName val="0"/>
          <c:showSerName val="0"/>
          <c:showPercent val="0"/>
          <c:showBubbleSize val="0"/>
        </c:dLbls>
        <c:gapWidth val="125"/>
        <c:axId val="1006907263"/>
        <c:axId val="901264751"/>
      </c:barChart>
      <c:lineChart>
        <c:grouping val="standard"/>
        <c:varyColors val="0"/>
        <c:ser>
          <c:idx val="0"/>
          <c:order val="0"/>
          <c:tx>
            <c:strRef>
              <c:f>'Revisión (2)'!$P$65</c:f>
              <c:strCache>
                <c:ptCount val="1"/>
                <c:pt idx="0">
                  <c:v>Desviaciones</c:v>
                </c:pt>
              </c:strCache>
            </c:strRef>
          </c:tx>
          <c:spPr>
            <a:ln w="28575" cap="rnd">
              <a:solidFill>
                <a:schemeClr val="accent1"/>
              </a:solidFill>
              <a:round/>
            </a:ln>
            <a:effectLst/>
          </c:spPr>
          <c:marker>
            <c:symbol val="circle"/>
            <c:size val="17"/>
            <c:spPr>
              <a:solidFill>
                <a:sysClr val="window" lastClr="FFFFFF"/>
              </a:solidFill>
              <a:ln w="9525">
                <a:solidFill>
                  <a:schemeClr val="accent1"/>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'Revisión (2)'!$L$66:$L$69</c:f>
              <c:strCache>
                <c:ptCount val="4"/>
                <c:pt idx="0">
                  <c:v>ENERO</c:v>
                </c:pt>
                <c:pt idx="1">
                  <c:v>MARZO</c:v>
                </c:pt>
                <c:pt idx="2">
                  <c:v>ABRIL</c:v>
                </c:pt>
                <c:pt idx="3">
                  <c:v>JULIO</c:v>
                </c:pt>
              </c:strCache>
            </c:strRef>
          </c:cat>
          <c:val>
            <c:numRef>
              <c:f>'Revisión (2)'!$P$66:$P$69</c:f>
              <c:numCache>
                <c:formatCode>0.0</c:formatCode>
                <c:ptCount val="4"/>
                <c:pt idx="0">
                  <c:v>32.4</c:v>
                </c:pt>
                <c:pt idx="1">
                  <c:v>32.4</c:v>
                </c:pt>
                <c:pt idx="2">
                  <c:v>30.9</c:v>
                </c:pt>
                <c:pt idx="3">
                  <c:v>21.9</c:v>
                </c:pt>
              </c:numCache>
            </c:numRef>
          </c:val>
          <c:smooth val="1"/>
          <c:extLst>
            <c:ext xmlns:c16="http://schemas.microsoft.com/office/drawing/2014/chart" uri="{C3380CC4-5D6E-409C-BE32-E72D297353CC}">
              <c16:uniqueId val="{00000001-F357-4695-A102-B6BAFDE55788}"/>
            </c:ext>
          </c:extLst>
        </c:ser>
        <c:dLbls>
          <c:showLegendKey val="0"/>
          <c:showVal val="0"/>
          <c:showCatName val="0"/>
          <c:showSerName val="0"/>
          <c:showPercent val="0"/>
          <c:showBubbleSize val="0"/>
        </c:dLbls>
        <c:marker val="1"/>
        <c:smooth val="0"/>
        <c:axId val="1006907263"/>
        <c:axId val="901264751"/>
      </c:lineChart>
      <c:catAx>
        <c:axId val="100690726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901264751"/>
        <c:crosses val="autoZero"/>
        <c:auto val="1"/>
        <c:lblAlgn val="ctr"/>
        <c:lblOffset val="100"/>
        <c:noMultiLvlLbl val="0"/>
      </c:catAx>
      <c:valAx>
        <c:axId val="901264751"/>
        <c:scaling>
          <c:orientation val="minMax"/>
          <c:max val="3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1006907263"/>
        <c:crosses val="autoZero"/>
        <c:crossBetween val="between"/>
      </c:valAx>
      <c:spPr>
        <a:noFill/>
        <a:ln>
          <a:noFill/>
        </a:ln>
        <a:effectLst/>
      </c:spPr>
    </c:plotArea>
    <c:legend>
      <c:legendPos val="b"/>
      <c:layout>
        <c:manualLayout>
          <c:xMode val="edge"/>
          <c:yMode val="edge"/>
          <c:x val="0"/>
          <c:y val="0.76693014691915518"/>
          <c:w val="0.99855274346194001"/>
          <c:h val="0.19447223326739996"/>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es-GT"/>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11111111111117E-2"/>
          <c:y val="9.7013888888888886E-2"/>
          <c:w val="0.8771566666666667"/>
          <c:h val="0.63594861111111123"/>
        </c:manualLayout>
      </c:layout>
      <c:lineChart>
        <c:grouping val="standard"/>
        <c:varyColors val="0"/>
        <c:ser>
          <c:idx val="0"/>
          <c:order val="0"/>
          <c:tx>
            <c:strRef>
              <c:f>'[Nomina .xlsx]Proyecciones financieras'!$M$2</c:f>
              <c:strCache>
                <c:ptCount val="1"/>
                <c:pt idx="0">
                  <c:v>Trabajadores</c:v>
                </c:pt>
              </c:strCache>
            </c:strRef>
          </c:tx>
          <c:spPr>
            <a:ln w="22225" cap="rnd">
              <a:solidFill>
                <a:srgbClr val="002060"/>
              </a:solidFill>
              <a:round/>
            </a:ln>
            <a:effectLst/>
          </c:spPr>
          <c:marker>
            <c:symbol val="none"/>
          </c:marker>
          <c:dLbls>
            <c:dLbl>
              <c:idx val="0"/>
              <c:layout>
                <c:manualLayout>
                  <c:x val="-7.1555185185185194E-2"/>
                  <c:y val="7.4899305555555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54-428A-A2B7-5FC6C0428681}"/>
                </c:ext>
              </c:extLst>
            </c:dLbl>
            <c:dLbl>
              <c:idx val="1"/>
              <c:delete val="1"/>
              <c:extLst>
                <c:ext xmlns:c15="http://schemas.microsoft.com/office/drawing/2012/chart" uri="{CE6537A1-D6FC-4f65-9D91-7224C49458BB}"/>
                <c:ext xmlns:c16="http://schemas.microsoft.com/office/drawing/2014/chart" uri="{C3380CC4-5D6E-409C-BE32-E72D297353CC}">
                  <c16:uniqueId val="{00000001-AF54-428A-A2B7-5FC6C0428681}"/>
                </c:ext>
              </c:extLst>
            </c:dLbl>
            <c:dLbl>
              <c:idx val="2"/>
              <c:delete val="1"/>
              <c:extLst>
                <c:ext xmlns:c15="http://schemas.microsoft.com/office/drawing/2012/chart" uri="{CE6537A1-D6FC-4f65-9D91-7224C49458BB}"/>
                <c:ext xmlns:c16="http://schemas.microsoft.com/office/drawing/2014/chart" uri="{C3380CC4-5D6E-409C-BE32-E72D297353CC}">
                  <c16:uniqueId val="{00000002-AF54-428A-A2B7-5FC6C0428681}"/>
                </c:ext>
              </c:extLst>
            </c:dLbl>
            <c:dLbl>
              <c:idx val="3"/>
              <c:delete val="1"/>
              <c:extLst>
                <c:ext xmlns:c15="http://schemas.microsoft.com/office/drawing/2012/chart" uri="{CE6537A1-D6FC-4f65-9D91-7224C49458BB}"/>
                <c:ext xmlns:c16="http://schemas.microsoft.com/office/drawing/2014/chart" uri="{C3380CC4-5D6E-409C-BE32-E72D297353CC}">
                  <c16:uniqueId val="{00000003-AF54-428A-A2B7-5FC6C0428681}"/>
                </c:ext>
              </c:extLst>
            </c:dLbl>
            <c:dLbl>
              <c:idx val="4"/>
              <c:delete val="1"/>
              <c:extLst>
                <c:ext xmlns:c15="http://schemas.microsoft.com/office/drawing/2012/chart" uri="{CE6537A1-D6FC-4f65-9D91-7224C49458BB}"/>
                <c:ext xmlns:c16="http://schemas.microsoft.com/office/drawing/2014/chart" uri="{C3380CC4-5D6E-409C-BE32-E72D297353CC}">
                  <c16:uniqueId val="{00000004-AF54-428A-A2B7-5FC6C0428681}"/>
                </c:ext>
              </c:extLst>
            </c:dLbl>
            <c:dLbl>
              <c:idx val="5"/>
              <c:layout>
                <c:manualLayout>
                  <c:x val="-8.2279629629629633E-2"/>
                  <c:y val="7.4899305555555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54-428A-A2B7-5FC6C0428681}"/>
                </c:ext>
              </c:extLst>
            </c:dLbl>
            <c:dLbl>
              <c:idx val="6"/>
              <c:delete val="1"/>
              <c:extLst>
                <c:ext xmlns:c15="http://schemas.microsoft.com/office/drawing/2012/chart" uri="{CE6537A1-D6FC-4f65-9D91-7224C49458BB}"/>
                <c:ext xmlns:c16="http://schemas.microsoft.com/office/drawing/2014/chart" uri="{C3380CC4-5D6E-409C-BE32-E72D297353CC}">
                  <c16:uniqueId val="{00000006-AF54-428A-A2B7-5FC6C0428681}"/>
                </c:ext>
              </c:extLst>
            </c:dLbl>
            <c:dLbl>
              <c:idx val="7"/>
              <c:delete val="1"/>
              <c:extLst>
                <c:ext xmlns:c15="http://schemas.microsoft.com/office/drawing/2012/chart" uri="{CE6537A1-D6FC-4f65-9D91-7224C49458BB}"/>
                <c:ext xmlns:c16="http://schemas.microsoft.com/office/drawing/2014/chart" uri="{C3380CC4-5D6E-409C-BE32-E72D297353CC}">
                  <c16:uniqueId val="{00000007-AF54-428A-A2B7-5FC6C0428681}"/>
                </c:ext>
              </c:extLst>
            </c:dLbl>
            <c:dLbl>
              <c:idx val="8"/>
              <c:delete val="1"/>
              <c:extLst>
                <c:ext xmlns:c15="http://schemas.microsoft.com/office/drawing/2012/chart" uri="{CE6537A1-D6FC-4f65-9D91-7224C49458BB}"/>
                <c:ext xmlns:c16="http://schemas.microsoft.com/office/drawing/2014/chart" uri="{C3380CC4-5D6E-409C-BE32-E72D297353CC}">
                  <c16:uniqueId val="{00000008-AF54-428A-A2B7-5FC6C0428681}"/>
                </c:ext>
              </c:extLst>
            </c:dLbl>
            <c:dLbl>
              <c:idx val="9"/>
              <c:delete val="1"/>
              <c:extLst>
                <c:ext xmlns:c15="http://schemas.microsoft.com/office/drawing/2012/chart" uri="{CE6537A1-D6FC-4f65-9D91-7224C49458BB}"/>
                <c:ext xmlns:c16="http://schemas.microsoft.com/office/drawing/2014/chart" uri="{C3380CC4-5D6E-409C-BE32-E72D297353CC}">
                  <c16:uniqueId val="{00000009-AF54-428A-A2B7-5FC6C0428681}"/>
                </c:ext>
              </c:extLst>
            </c:dLbl>
            <c:dLbl>
              <c:idx val="10"/>
              <c:layout>
                <c:manualLayout>
                  <c:x val="-8.2279629629629633E-2"/>
                  <c:y val="8.3718749999999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54-428A-A2B7-5FC6C0428681}"/>
                </c:ext>
              </c:extLst>
            </c:dLbl>
            <c:dLbl>
              <c:idx val="11"/>
              <c:delete val="1"/>
              <c:extLst>
                <c:ext xmlns:c15="http://schemas.microsoft.com/office/drawing/2012/chart" uri="{CE6537A1-D6FC-4f65-9D91-7224C49458BB}"/>
                <c:ext xmlns:c16="http://schemas.microsoft.com/office/drawing/2014/chart" uri="{C3380CC4-5D6E-409C-BE32-E72D297353CC}">
                  <c16:uniqueId val="{0000000B-AF54-428A-A2B7-5FC6C0428681}"/>
                </c:ext>
              </c:extLst>
            </c:dLbl>
            <c:dLbl>
              <c:idx val="12"/>
              <c:delete val="1"/>
              <c:extLst>
                <c:ext xmlns:c15="http://schemas.microsoft.com/office/drawing/2012/chart" uri="{CE6537A1-D6FC-4f65-9D91-7224C49458BB}"/>
                <c:ext xmlns:c16="http://schemas.microsoft.com/office/drawing/2014/chart" uri="{C3380CC4-5D6E-409C-BE32-E72D297353CC}">
                  <c16:uniqueId val="{0000000C-AF54-428A-A2B7-5FC6C0428681}"/>
                </c:ext>
              </c:extLst>
            </c:dLbl>
            <c:dLbl>
              <c:idx val="13"/>
              <c:layout>
                <c:manualLayout>
                  <c:x val="-9.1687037037037122E-2"/>
                  <c:y val="9.253819444444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54-428A-A2B7-5FC6C0428681}"/>
                </c:ext>
              </c:extLst>
            </c:dLbl>
            <c:dLbl>
              <c:idx val="14"/>
              <c:delete val="1"/>
              <c:extLst>
                <c:ext xmlns:c15="http://schemas.microsoft.com/office/drawing/2012/chart" uri="{CE6537A1-D6FC-4f65-9D91-7224C49458BB}"/>
                <c:ext xmlns:c16="http://schemas.microsoft.com/office/drawing/2014/chart" uri="{C3380CC4-5D6E-409C-BE32-E72D297353CC}">
                  <c16:uniqueId val="{0000000E-AF54-428A-A2B7-5FC6C0428681}"/>
                </c:ext>
              </c:extLst>
            </c:dLbl>
            <c:dLbl>
              <c:idx val="15"/>
              <c:layout>
                <c:manualLayout>
                  <c:x val="-8.2561851851851942E-2"/>
                  <c:y val="-9.0597916666666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54-428A-A2B7-5FC6C0428681}"/>
                </c:ext>
              </c:extLst>
            </c:dLbl>
            <c:dLbl>
              <c:idx val="16"/>
              <c:delete val="1"/>
              <c:extLst>
                <c:ext xmlns:c15="http://schemas.microsoft.com/office/drawing/2012/chart" uri="{CE6537A1-D6FC-4f65-9D91-7224C49458BB}"/>
                <c:ext xmlns:c16="http://schemas.microsoft.com/office/drawing/2014/chart" uri="{C3380CC4-5D6E-409C-BE32-E72D297353CC}">
                  <c16:uniqueId val="{00000010-AF54-428A-A2B7-5FC6C0428681}"/>
                </c:ext>
              </c:extLst>
            </c:dLbl>
            <c:dLbl>
              <c:idx val="17"/>
              <c:delete val="1"/>
              <c:extLst>
                <c:ext xmlns:c15="http://schemas.microsoft.com/office/drawing/2012/chart" uri="{CE6537A1-D6FC-4f65-9D91-7224C49458BB}"/>
                <c:ext xmlns:c16="http://schemas.microsoft.com/office/drawing/2014/chart" uri="{C3380CC4-5D6E-409C-BE32-E72D297353CC}">
                  <c16:uniqueId val="{00000011-AF54-428A-A2B7-5FC6C0428681}"/>
                </c:ext>
              </c:extLst>
            </c:dLbl>
            <c:dLbl>
              <c:idx val="18"/>
              <c:delete val="1"/>
              <c:extLst>
                <c:ext xmlns:c15="http://schemas.microsoft.com/office/drawing/2012/chart" uri="{CE6537A1-D6FC-4f65-9D91-7224C49458BB}"/>
                <c:ext xmlns:c16="http://schemas.microsoft.com/office/drawing/2014/chart" uri="{C3380CC4-5D6E-409C-BE32-E72D297353CC}">
                  <c16:uniqueId val="{00000012-AF54-428A-A2B7-5FC6C0428681}"/>
                </c:ext>
              </c:extLst>
            </c:dLbl>
            <c:dLbl>
              <c:idx val="19"/>
              <c:delete val="1"/>
              <c:extLst>
                <c:ext xmlns:c15="http://schemas.microsoft.com/office/drawing/2012/chart" uri="{CE6537A1-D6FC-4f65-9D91-7224C49458BB}"/>
                <c:ext xmlns:c16="http://schemas.microsoft.com/office/drawing/2014/chart" uri="{C3380CC4-5D6E-409C-BE32-E72D297353CC}">
                  <c16:uniqueId val="{00000013-AF54-428A-A2B7-5FC6C0428681}"/>
                </c:ext>
              </c:extLst>
            </c:dLbl>
            <c:dLbl>
              <c:idx val="20"/>
              <c:layout>
                <c:manualLayout>
                  <c:x val="-4.2333333333333334E-2"/>
                  <c:y val="-6.6211805555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F54-428A-A2B7-5FC6C042868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'[Nomina .xlsx]Proyecciones financieras'!$K$3:$K$23</c:f>
              <c:numCache>
                <c:formatCode>0</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'[Nomina .xlsx]Proyecciones financieras'!$W$3:$W$23</c:f>
              <c:numCache>
                <c:formatCode>_-* #,##0.0_-;\-* #,##0.0_-;_-* "-"??_-;_-@_-</c:formatCode>
                <c:ptCount val="21"/>
                <c:pt idx="0">
                  <c:v>11.147305385824989</c:v>
                </c:pt>
                <c:pt idx="1">
                  <c:v>11.384316282309261</c:v>
                </c:pt>
                <c:pt idx="2">
                  <c:v>11.436309192311752</c:v>
                </c:pt>
                <c:pt idx="3">
                  <c:v>11.843056568803926</c:v>
                </c:pt>
                <c:pt idx="4">
                  <c:v>11.819416360824974</c:v>
                </c:pt>
                <c:pt idx="5">
                  <c:v>11.562373297134474</c:v>
                </c:pt>
                <c:pt idx="6">
                  <c:v>11.722115296227118</c:v>
                </c:pt>
                <c:pt idx="7">
                  <c:v>11.567752768832062</c:v>
                </c:pt>
                <c:pt idx="8">
                  <c:v>11.329077125874715</c:v>
                </c:pt>
                <c:pt idx="9">
                  <c:v>11.666764049722552</c:v>
                </c:pt>
                <c:pt idx="10">
                  <c:v>11.650780322353636</c:v>
                </c:pt>
                <c:pt idx="11">
                  <c:v>11.791461374834601</c:v>
                </c:pt>
                <c:pt idx="12">
                  <c:v>11.956702245643479</c:v>
                </c:pt>
                <c:pt idx="13">
                  <c:v>12.313975807825116</c:v>
                </c:pt>
                <c:pt idx="14">
                  <c:v>11.199713312667555</c:v>
                </c:pt>
                <c:pt idx="15">
                  <c:v>13.325653765482867</c:v>
                </c:pt>
                <c:pt idx="16">
                  <c:v>11.746146541242272</c:v>
                </c:pt>
                <c:pt idx="17">
                  <c:v>11.872935045940205</c:v>
                </c:pt>
                <c:pt idx="18">
                  <c:v>12.343715942562977</c:v>
                </c:pt>
                <c:pt idx="19">
                  <c:v>12.517625675173157</c:v>
                </c:pt>
                <c:pt idx="20">
                  <c:v>12.617726038384264</c:v>
                </c:pt>
              </c:numCache>
            </c:numRef>
          </c:val>
          <c:smooth val="0"/>
          <c:extLst>
            <c:ext xmlns:c16="http://schemas.microsoft.com/office/drawing/2014/chart" uri="{C3380CC4-5D6E-409C-BE32-E72D297353CC}">
              <c16:uniqueId val="{00000015-AF54-428A-A2B7-5FC6C0428681}"/>
            </c:ext>
          </c:extLst>
        </c:ser>
        <c:ser>
          <c:idx val="1"/>
          <c:order val="1"/>
          <c:tx>
            <c:strRef>
              <c:f>'[Nomina .xlsx]Proyecciones financieras'!$N$2</c:f>
              <c:strCache>
                <c:ptCount val="1"/>
                <c:pt idx="0">
                  <c:v>Patrono</c:v>
                </c:pt>
              </c:strCache>
            </c:strRef>
          </c:tx>
          <c:spPr>
            <a:ln w="22225" cap="rnd">
              <a:solidFill>
                <a:schemeClr val="accent2"/>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F54-428A-A2B7-5FC6C0428681}"/>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F54-428A-A2B7-5FC6C0428681}"/>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F54-428A-A2B7-5FC6C0428681}"/>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F54-428A-A2B7-5FC6C0428681}"/>
                </c:ext>
              </c:extLst>
            </c:dLbl>
            <c:dLbl>
              <c:idx val="1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F54-428A-A2B7-5FC6C0428681}"/>
                </c:ext>
              </c:extLst>
            </c:dLbl>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F54-428A-A2B7-5FC6C0428681}"/>
                </c:ext>
              </c:extLst>
            </c:dLbl>
            <c:dLbl>
              <c:idx val="20"/>
              <c:layout>
                <c:manualLayout>
                  <c:x val="-4.2351851851851849E-2"/>
                  <c:y val="0.103429861111111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F54-428A-A2B7-5FC6C042868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'[Nomina .xlsx]Proyecciones financieras'!$K$3:$K$23</c:f>
              <c:numCache>
                <c:formatCode>0</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'[Nomina .xlsx]Proyecciones financieras'!$X$3:$X$23</c:f>
              <c:numCache>
                <c:formatCode>_-* #,##0.0_-;\-* #,##0.0_-;_-* "-"??_-;_-@_-</c:formatCode>
                <c:ptCount val="21"/>
                <c:pt idx="0">
                  <c:v>19.28209415187035</c:v>
                </c:pt>
                <c:pt idx="1">
                  <c:v>19.450340091624184</c:v>
                </c:pt>
                <c:pt idx="2">
                  <c:v>20.064131201402059</c:v>
                </c:pt>
                <c:pt idx="3">
                  <c:v>21.661098712104003</c:v>
                </c:pt>
                <c:pt idx="4">
                  <c:v>24.338025639940824</c:v>
                </c:pt>
                <c:pt idx="5">
                  <c:v>24.97482147696023</c:v>
                </c:pt>
                <c:pt idx="6">
                  <c:v>24.153850738381959</c:v>
                </c:pt>
                <c:pt idx="7">
                  <c:v>23.216818971580917</c:v>
                </c:pt>
                <c:pt idx="8">
                  <c:v>18.606435965178413</c:v>
                </c:pt>
                <c:pt idx="9">
                  <c:v>16.392088544415486</c:v>
                </c:pt>
                <c:pt idx="10">
                  <c:v>14.456467986909779</c:v>
                </c:pt>
                <c:pt idx="11">
                  <c:v>15.17555302124474</c:v>
                </c:pt>
                <c:pt idx="12">
                  <c:v>14.714423109955128</c:v>
                </c:pt>
                <c:pt idx="13">
                  <c:v>13.19826477999354</c:v>
                </c:pt>
                <c:pt idx="14">
                  <c:v>12.427163431886539</c:v>
                </c:pt>
                <c:pt idx="15">
                  <c:v>12.243994776798434</c:v>
                </c:pt>
                <c:pt idx="16">
                  <c:v>15.481853099393803</c:v>
                </c:pt>
                <c:pt idx="17">
                  <c:v>14.463797491588384</c:v>
                </c:pt>
                <c:pt idx="18">
                  <c:v>12.981462158028295</c:v>
                </c:pt>
                <c:pt idx="19">
                  <c:v>10.91921718128955</c:v>
                </c:pt>
                <c:pt idx="20">
                  <c:v>10.755682581703619</c:v>
                </c:pt>
              </c:numCache>
            </c:numRef>
          </c:val>
          <c:smooth val="0"/>
          <c:extLst>
            <c:ext xmlns:c16="http://schemas.microsoft.com/office/drawing/2014/chart" uri="{C3380CC4-5D6E-409C-BE32-E72D297353CC}">
              <c16:uniqueId val="{0000001D-AF54-428A-A2B7-5FC6C0428681}"/>
            </c:ext>
          </c:extLst>
        </c:ser>
        <c:dLbls>
          <c:showLegendKey val="0"/>
          <c:showVal val="0"/>
          <c:showCatName val="0"/>
          <c:showSerName val="0"/>
          <c:showPercent val="0"/>
          <c:showBubbleSize val="0"/>
        </c:dLbls>
        <c:smooth val="0"/>
        <c:axId val="787441680"/>
        <c:axId val="787439600"/>
      </c:lineChart>
      <c:catAx>
        <c:axId val="787441680"/>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87439600"/>
        <c:crosses val="autoZero"/>
        <c:auto val="1"/>
        <c:lblAlgn val="ctr"/>
        <c:lblOffset val="100"/>
        <c:noMultiLvlLbl val="0"/>
      </c:catAx>
      <c:valAx>
        <c:axId val="787439600"/>
        <c:scaling>
          <c:orientation val="minMax"/>
        </c:scaling>
        <c:delete val="1"/>
        <c:axPos val="l"/>
        <c:numFmt formatCode="_-* #,##0.0_-;\-* #,##0.0_-;_-* &quot;-&quot;??_-;_-@_-" sourceLinked="1"/>
        <c:majorTickMark val="out"/>
        <c:minorTickMark val="none"/>
        <c:tickLblPos val="nextTo"/>
        <c:crossAx val="787441680"/>
        <c:crosses val="autoZero"/>
        <c:crossBetween val="between"/>
      </c:valAx>
      <c:spPr>
        <a:noFill/>
        <a:ln>
          <a:noFill/>
        </a:ln>
        <a:effectLst/>
      </c:spPr>
    </c:plotArea>
    <c:legend>
      <c:legendPos val="b"/>
      <c:layout>
        <c:manualLayout>
          <c:xMode val="edge"/>
          <c:yMode val="edge"/>
          <c:x val="0.21872222222222223"/>
          <c:y val="0.88016249999999996"/>
          <c:w val="0.51325333333333334"/>
          <c:h val="0.1062208333333333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73517272034545"/>
          <c:y val="9.7013888888888886E-2"/>
          <c:w val="0.80575747713995427"/>
          <c:h val="0.69203888888888898"/>
        </c:manualLayout>
      </c:layout>
      <c:barChart>
        <c:barDir val="col"/>
        <c:grouping val="clustered"/>
        <c:varyColors val="0"/>
        <c:ser>
          <c:idx val="3"/>
          <c:order val="2"/>
          <c:spPr>
            <a:solidFill>
              <a:schemeClr val="accent4"/>
            </a:solidFill>
            <a:ln>
              <a:noFill/>
            </a:ln>
            <a:effectLst/>
          </c:spPr>
          <c:invertIfNegative val="0"/>
          <c:dPt>
            <c:idx val="23"/>
            <c:invertIfNegative val="0"/>
            <c:bubble3D val="0"/>
            <c:spPr>
              <a:solidFill>
                <a:srgbClr val="002060">
                  <a:alpha val="50000"/>
                </a:srgbClr>
              </a:solidFill>
              <a:ln>
                <a:noFill/>
              </a:ln>
              <a:effectLst/>
            </c:spPr>
            <c:extLst>
              <c:ext xmlns:c16="http://schemas.microsoft.com/office/drawing/2014/chart" uri="{C3380CC4-5D6E-409C-BE32-E72D297353CC}">
                <c16:uniqueId val="{00000001-B67F-49C0-9B1C-9E5A2A87D6D5}"/>
              </c:ext>
            </c:extLst>
          </c:dPt>
          <c:dPt>
            <c:idx val="30"/>
            <c:invertIfNegative val="0"/>
            <c:bubble3D val="0"/>
            <c:spPr>
              <a:solidFill>
                <a:schemeClr val="accent3">
                  <a:alpha val="50000"/>
                </a:schemeClr>
              </a:solidFill>
              <a:ln>
                <a:noFill/>
              </a:ln>
              <a:effectLst/>
            </c:spPr>
            <c:extLst>
              <c:ext xmlns:c16="http://schemas.microsoft.com/office/drawing/2014/chart" uri="{C3380CC4-5D6E-409C-BE32-E72D297353CC}">
                <c16:uniqueId val="{00000003-B67F-49C0-9B1C-9E5A2A87D6D5}"/>
              </c:ext>
            </c:extLst>
          </c:dPt>
          <c:dPt>
            <c:idx val="37"/>
            <c:invertIfNegative val="0"/>
            <c:bubble3D val="0"/>
            <c:spPr>
              <a:solidFill>
                <a:schemeClr val="accent2">
                  <a:alpha val="50000"/>
                </a:schemeClr>
              </a:solidFill>
              <a:ln>
                <a:noFill/>
              </a:ln>
              <a:effectLst/>
            </c:spPr>
            <c:extLst>
              <c:ext xmlns:c16="http://schemas.microsoft.com/office/drawing/2014/chart" uri="{C3380CC4-5D6E-409C-BE32-E72D297353CC}">
                <c16:uniqueId val="{00000005-B67F-49C0-9B1C-9E5A2A87D6D5}"/>
              </c:ext>
            </c:extLst>
          </c:dPt>
          <c:cat>
            <c:numRef>
              <c:f>'[Nomina .xlsx]Proyecciones financieras'!$B$78:$B$159</c:f>
              <c:numCache>
                <c:formatCode>General</c:formatCode>
                <c:ptCount val="82"/>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68</c:v>
                </c:pt>
                <c:pt idx="51">
                  <c:v>69</c:v>
                </c:pt>
                <c:pt idx="52">
                  <c:v>70</c:v>
                </c:pt>
                <c:pt idx="53">
                  <c:v>71</c:v>
                </c:pt>
                <c:pt idx="54">
                  <c:v>72</c:v>
                </c:pt>
                <c:pt idx="55">
                  <c:v>73</c:v>
                </c:pt>
                <c:pt idx="56">
                  <c:v>74</c:v>
                </c:pt>
                <c:pt idx="57">
                  <c:v>75</c:v>
                </c:pt>
                <c:pt idx="58">
                  <c:v>76</c:v>
                </c:pt>
                <c:pt idx="59">
                  <c:v>77</c:v>
                </c:pt>
                <c:pt idx="60">
                  <c:v>78</c:v>
                </c:pt>
                <c:pt idx="61">
                  <c:v>79</c:v>
                </c:pt>
                <c:pt idx="62">
                  <c:v>80</c:v>
                </c:pt>
                <c:pt idx="63">
                  <c:v>81</c:v>
                </c:pt>
                <c:pt idx="64">
                  <c:v>82</c:v>
                </c:pt>
                <c:pt idx="65">
                  <c:v>83</c:v>
                </c:pt>
                <c:pt idx="66">
                  <c:v>84</c:v>
                </c:pt>
                <c:pt idx="67">
                  <c:v>85</c:v>
                </c:pt>
                <c:pt idx="68">
                  <c:v>86</c:v>
                </c:pt>
                <c:pt idx="69">
                  <c:v>87</c:v>
                </c:pt>
                <c:pt idx="70">
                  <c:v>88</c:v>
                </c:pt>
                <c:pt idx="71">
                  <c:v>89</c:v>
                </c:pt>
                <c:pt idx="72">
                  <c:v>90</c:v>
                </c:pt>
                <c:pt idx="73">
                  <c:v>91</c:v>
                </c:pt>
                <c:pt idx="74">
                  <c:v>92</c:v>
                </c:pt>
                <c:pt idx="75">
                  <c:v>93</c:v>
                </c:pt>
                <c:pt idx="76">
                  <c:v>94</c:v>
                </c:pt>
                <c:pt idx="77">
                  <c:v>95</c:v>
                </c:pt>
                <c:pt idx="78">
                  <c:v>96</c:v>
                </c:pt>
                <c:pt idx="79">
                  <c:v>97</c:v>
                </c:pt>
                <c:pt idx="80">
                  <c:v>98</c:v>
                </c:pt>
                <c:pt idx="81">
                  <c:v>99</c:v>
                </c:pt>
              </c:numCache>
            </c:numRef>
          </c:cat>
          <c:val>
            <c:numRef>
              <c:f>'[Nomina .xlsx]Proyecciones financieras'!$L$78:$L$155</c:f>
              <c:numCache>
                <c:formatCode>General</c:formatCode>
                <c:ptCount val="78"/>
                <c:pt idx="23" formatCode="_-* #,##0.0_-;\-* #,##0.0_-;_-* &quot;-&quot;??_-;_-@_-">
                  <c:v>40858.261221440589</c:v>
                </c:pt>
                <c:pt idx="30" formatCode="_-* #,##0.0_-;\-* #,##0.0_-;_-* &quot;-&quot;??_-;_-@_-">
                  <c:v>48453.426231269535</c:v>
                </c:pt>
              </c:numCache>
            </c:numRef>
          </c:val>
          <c:extLst>
            <c:ext xmlns:c16="http://schemas.microsoft.com/office/drawing/2014/chart" uri="{C3380CC4-5D6E-409C-BE32-E72D297353CC}">
              <c16:uniqueId val="{00000006-B67F-49C0-9B1C-9E5A2A87D6D5}"/>
            </c:ext>
          </c:extLst>
        </c:ser>
        <c:dLbls>
          <c:showLegendKey val="0"/>
          <c:showVal val="0"/>
          <c:showCatName val="0"/>
          <c:showSerName val="0"/>
          <c:showPercent val="0"/>
          <c:showBubbleSize val="0"/>
        </c:dLbls>
        <c:gapWidth val="300"/>
        <c:axId val="176732400"/>
        <c:axId val="176734480"/>
      </c:barChart>
      <c:lineChart>
        <c:grouping val="standard"/>
        <c:varyColors val="0"/>
        <c:ser>
          <c:idx val="0"/>
          <c:order val="0"/>
          <c:tx>
            <c:strRef>
              <c:f>'[Nomina .xlsx]Proyecciones financieras'!$F$74</c:f>
              <c:strCache>
                <c:ptCount val="1"/>
                <c:pt idx="0">
                  <c:v>2021</c:v>
                </c:pt>
              </c:strCache>
            </c:strRef>
          </c:tx>
          <c:spPr>
            <a:ln w="22225" cap="rnd">
              <a:solidFill>
                <a:srgbClr val="002060"/>
              </a:solidFill>
              <a:round/>
            </a:ln>
            <a:effectLst/>
          </c:spPr>
          <c:marker>
            <c:symbol val="none"/>
          </c:marker>
          <c:cat>
            <c:numRef>
              <c:f>'[Nomina .xlsx]Proyecciones financieras'!$B$78:$B$159</c:f>
              <c:numCache>
                <c:formatCode>General</c:formatCode>
                <c:ptCount val="82"/>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68</c:v>
                </c:pt>
                <c:pt idx="51">
                  <c:v>69</c:v>
                </c:pt>
                <c:pt idx="52">
                  <c:v>70</c:v>
                </c:pt>
                <c:pt idx="53">
                  <c:v>71</c:v>
                </c:pt>
                <c:pt idx="54">
                  <c:v>72</c:v>
                </c:pt>
                <c:pt idx="55">
                  <c:v>73</c:v>
                </c:pt>
                <c:pt idx="56">
                  <c:v>74</c:v>
                </c:pt>
                <c:pt idx="57">
                  <c:v>75</c:v>
                </c:pt>
                <c:pt idx="58">
                  <c:v>76</c:v>
                </c:pt>
                <c:pt idx="59">
                  <c:v>77</c:v>
                </c:pt>
                <c:pt idx="60">
                  <c:v>78</c:v>
                </c:pt>
                <c:pt idx="61">
                  <c:v>79</c:v>
                </c:pt>
                <c:pt idx="62">
                  <c:v>80</c:v>
                </c:pt>
                <c:pt idx="63">
                  <c:v>81</c:v>
                </c:pt>
                <c:pt idx="64">
                  <c:v>82</c:v>
                </c:pt>
                <c:pt idx="65">
                  <c:v>83</c:v>
                </c:pt>
                <c:pt idx="66">
                  <c:v>84</c:v>
                </c:pt>
                <c:pt idx="67">
                  <c:v>85</c:v>
                </c:pt>
                <c:pt idx="68">
                  <c:v>86</c:v>
                </c:pt>
                <c:pt idx="69">
                  <c:v>87</c:v>
                </c:pt>
                <c:pt idx="70">
                  <c:v>88</c:v>
                </c:pt>
                <c:pt idx="71">
                  <c:v>89</c:v>
                </c:pt>
                <c:pt idx="72">
                  <c:v>90</c:v>
                </c:pt>
                <c:pt idx="73">
                  <c:v>91</c:v>
                </c:pt>
                <c:pt idx="74">
                  <c:v>92</c:v>
                </c:pt>
                <c:pt idx="75">
                  <c:v>93</c:v>
                </c:pt>
                <c:pt idx="76">
                  <c:v>94</c:v>
                </c:pt>
                <c:pt idx="77">
                  <c:v>95</c:v>
                </c:pt>
                <c:pt idx="78">
                  <c:v>96</c:v>
                </c:pt>
                <c:pt idx="79">
                  <c:v>97</c:v>
                </c:pt>
                <c:pt idx="80">
                  <c:v>98</c:v>
                </c:pt>
                <c:pt idx="81">
                  <c:v>99</c:v>
                </c:pt>
              </c:numCache>
            </c:numRef>
          </c:cat>
          <c:val>
            <c:numRef>
              <c:f>'[Nomina .xlsx]Proyecciones financieras'!$F$78:$F$152</c:f>
              <c:numCache>
                <c:formatCode>_-* #,##0.0_-;\-* #,##0.0_-;_-* "-"??_-;_-@_-</c:formatCode>
                <c:ptCount val="75"/>
                <c:pt idx="0">
                  <c:v>5</c:v>
                </c:pt>
                <c:pt idx="1">
                  <c:v>65</c:v>
                </c:pt>
                <c:pt idx="2">
                  <c:v>245</c:v>
                </c:pt>
                <c:pt idx="3">
                  <c:v>453</c:v>
                </c:pt>
                <c:pt idx="4">
                  <c:v>721</c:v>
                </c:pt>
                <c:pt idx="5">
                  <c:v>1499</c:v>
                </c:pt>
                <c:pt idx="6">
                  <c:v>1980</c:v>
                </c:pt>
                <c:pt idx="7">
                  <c:v>2672</c:v>
                </c:pt>
                <c:pt idx="8">
                  <c:v>3313</c:v>
                </c:pt>
                <c:pt idx="9">
                  <c:v>4428</c:v>
                </c:pt>
                <c:pt idx="10">
                  <c:v>5206</c:v>
                </c:pt>
                <c:pt idx="11">
                  <c:v>5372</c:v>
                </c:pt>
                <c:pt idx="12">
                  <c:v>5811</c:v>
                </c:pt>
                <c:pt idx="13">
                  <c:v>7413</c:v>
                </c:pt>
                <c:pt idx="14">
                  <c:v>9189</c:v>
                </c:pt>
                <c:pt idx="15">
                  <c:v>10707</c:v>
                </c:pt>
                <c:pt idx="16">
                  <c:v>11112</c:v>
                </c:pt>
                <c:pt idx="17">
                  <c:v>11429</c:v>
                </c:pt>
                <c:pt idx="18">
                  <c:v>11585</c:v>
                </c:pt>
                <c:pt idx="19">
                  <c:v>11074</c:v>
                </c:pt>
                <c:pt idx="20">
                  <c:v>10276</c:v>
                </c:pt>
                <c:pt idx="21">
                  <c:v>9585</c:v>
                </c:pt>
                <c:pt idx="22">
                  <c:v>9123</c:v>
                </c:pt>
                <c:pt idx="23">
                  <c:v>8541</c:v>
                </c:pt>
                <c:pt idx="24">
                  <c:v>8113</c:v>
                </c:pt>
                <c:pt idx="25">
                  <c:v>7546</c:v>
                </c:pt>
                <c:pt idx="26">
                  <c:v>7106</c:v>
                </c:pt>
                <c:pt idx="27">
                  <c:v>6342</c:v>
                </c:pt>
                <c:pt idx="28">
                  <c:v>6021</c:v>
                </c:pt>
                <c:pt idx="29">
                  <c:v>6143</c:v>
                </c:pt>
                <c:pt idx="30">
                  <c:v>5532</c:v>
                </c:pt>
                <c:pt idx="31">
                  <c:v>5242</c:v>
                </c:pt>
                <c:pt idx="32">
                  <c:v>4894</c:v>
                </c:pt>
                <c:pt idx="33">
                  <c:v>4371</c:v>
                </c:pt>
                <c:pt idx="34">
                  <c:v>3859</c:v>
                </c:pt>
                <c:pt idx="35">
                  <c:v>3559</c:v>
                </c:pt>
                <c:pt idx="36">
                  <c:v>3130</c:v>
                </c:pt>
                <c:pt idx="37">
                  <c:v>2988</c:v>
                </c:pt>
                <c:pt idx="38">
                  <c:v>2795</c:v>
                </c:pt>
                <c:pt idx="39">
                  <c:v>2627</c:v>
                </c:pt>
                <c:pt idx="40">
                  <c:v>2433</c:v>
                </c:pt>
                <c:pt idx="41">
                  <c:v>2314</c:v>
                </c:pt>
                <c:pt idx="42">
                  <c:v>2164</c:v>
                </c:pt>
                <c:pt idx="43">
                  <c:v>2630</c:v>
                </c:pt>
                <c:pt idx="44">
                  <c:v>1645</c:v>
                </c:pt>
                <c:pt idx="45">
                  <c:v>1319</c:v>
                </c:pt>
                <c:pt idx="46">
                  <c:v>1121</c:v>
                </c:pt>
                <c:pt idx="47">
                  <c:v>962</c:v>
                </c:pt>
                <c:pt idx="48">
                  <c:v>724</c:v>
                </c:pt>
                <c:pt idx="49">
                  <c:v>609</c:v>
                </c:pt>
                <c:pt idx="50">
                  <c:v>515</c:v>
                </c:pt>
                <c:pt idx="51">
                  <c:v>429</c:v>
                </c:pt>
                <c:pt idx="52">
                  <c:v>338</c:v>
                </c:pt>
                <c:pt idx="53">
                  <c:v>261</c:v>
                </c:pt>
                <c:pt idx="54">
                  <c:v>246</c:v>
                </c:pt>
                <c:pt idx="55">
                  <c:v>173</c:v>
                </c:pt>
                <c:pt idx="56">
                  <c:v>135</c:v>
                </c:pt>
                <c:pt idx="57">
                  <c:v>120</c:v>
                </c:pt>
                <c:pt idx="58">
                  <c:v>79</c:v>
                </c:pt>
                <c:pt idx="59">
                  <c:v>64</c:v>
                </c:pt>
                <c:pt idx="60">
                  <c:v>62</c:v>
                </c:pt>
                <c:pt idx="61">
                  <c:v>32</c:v>
                </c:pt>
                <c:pt idx="62">
                  <c:v>30</c:v>
                </c:pt>
                <c:pt idx="63">
                  <c:v>12</c:v>
                </c:pt>
                <c:pt idx="64">
                  <c:v>17</c:v>
                </c:pt>
                <c:pt idx="65">
                  <c:v>6</c:v>
                </c:pt>
                <c:pt idx="66">
                  <c:v>5</c:v>
                </c:pt>
                <c:pt idx="67">
                  <c:v>7</c:v>
                </c:pt>
                <c:pt idx="68">
                  <c:v>1</c:v>
                </c:pt>
                <c:pt idx="69">
                  <c:v>4</c:v>
                </c:pt>
                <c:pt idx="70">
                  <c:v>4</c:v>
                </c:pt>
                <c:pt idx="71">
                  <c:v>4</c:v>
                </c:pt>
                <c:pt idx="72">
                  <c:v>0</c:v>
                </c:pt>
                <c:pt idx="73">
                  <c:v>2</c:v>
                </c:pt>
                <c:pt idx="74">
                  <c:v>1</c:v>
                </c:pt>
              </c:numCache>
            </c:numRef>
          </c:val>
          <c:smooth val="0"/>
          <c:extLst>
            <c:ext xmlns:c16="http://schemas.microsoft.com/office/drawing/2014/chart" uri="{C3380CC4-5D6E-409C-BE32-E72D297353CC}">
              <c16:uniqueId val="{00000007-B67F-49C0-9B1C-9E5A2A87D6D5}"/>
            </c:ext>
          </c:extLst>
        </c:ser>
        <c:ser>
          <c:idx val="1"/>
          <c:order val="1"/>
          <c:tx>
            <c:strRef>
              <c:f>'[Nomina .xlsx]Proyecciones financieras'!$G$74</c:f>
              <c:strCache>
                <c:ptCount val="1"/>
                <c:pt idx="0">
                  <c:v>2031</c:v>
                </c:pt>
              </c:strCache>
            </c:strRef>
          </c:tx>
          <c:spPr>
            <a:ln w="22225" cap="rnd">
              <a:solidFill>
                <a:schemeClr val="accent3"/>
              </a:solidFill>
              <a:round/>
            </a:ln>
            <a:effectLst/>
          </c:spPr>
          <c:marker>
            <c:symbol val="none"/>
          </c:marker>
          <c:cat>
            <c:numRef>
              <c:f>'[Nomina .xlsx]Proyecciones financieras'!$B$78:$B$159</c:f>
              <c:numCache>
                <c:formatCode>General</c:formatCode>
                <c:ptCount val="82"/>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68</c:v>
                </c:pt>
                <c:pt idx="51">
                  <c:v>69</c:v>
                </c:pt>
                <c:pt idx="52">
                  <c:v>70</c:v>
                </c:pt>
                <c:pt idx="53">
                  <c:v>71</c:v>
                </c:pt>
                <c:pt idx="54">
                  <c:v>72</c:v>
                </c:pt>
                <c:pt idx="55">
                  <c:v>73</c:v>
                </c:pt>
                <c:pt idx="56">
                  <c:v>74</c:v>
                </c:pt>
                <c:pt idx="57">
                  <c:v>75</c:v>
                </c:pt>
                <c:pt idx="58">
                  <c:v>76</c:v>
                </c:pt>
                <c:pt idx="59">
                  <c:v>77</c:v>
                </c:pt>
                <c:pt idx="60">
                  <c:v>78</c:v>
                </c:pt>
                <c:pt idx="61">
                  <c:v>79</c:v>
                </c:pt>
                <c:pt idx="62">
                  <c:v>80</c:v>
                </c:pt>
                <c:pt idx="63">
                  <c:v>81</c:v>
                </c:pt>
                <c:pt idx="64">
                  <c:v>82</c:v>
                </c:pt>
                <c:pt idx="65">
                  <c:v>83</c:v>
                </c:pt>
                <c:pt idx="66">
                  <c:v>84</c:v>
                </c:pt>
                <c:pt idx="67">
                  <c:v>85</c:v>
                </c:pt>
                <c:pt idx="68">
                  <c:v>86</c:v>
                </c:pt>
                <c:pt idx="69">
                  <c:v>87</c:v>
                </c:pt>
                <c:pt idx="70">
                  <c:v>88</c:v>
                </c:pt>
                <c:pt idx="71">
                  <c:v>89</c:v>
                </c:pt>
                <c:pt idx="72">
                  <c:v>90</c:v>
                </c:pt>
                <c:pt idx="73">
                  <c:v>91</c:v>
                </c:pt>
                <c:pt idx="74">
                  <c:v>92</c:v>
                </c:pt>
                <c:pt idx="75">
                  <c:v>93</c:v>
                </c:pt>
                <c:pt idx="76">
                  <c:v>94</c:v>
                </c:pt>
                <c:pt idx="77">
                  <c:v>95</c:v>
                </c:pt>
                <c:pt idx="78">
                  <c:v>96</c:v>
                </c:pt>
                <c:pt idx="79">
                  <c:v>97</c:v>
                </c:pt>
                <c:pt idx="80">
                  <c:v>98</c:v>
                </c:pt>
                <c:pt idx="81">
                  <c:v>99</c:v>
                </c:pt>
              </c:numCache>
            </c:numRef>
          </c:cat>
          <c:val>
            <c:numRef>
              <c:f>'[Nomina .xlsx]Proyecciones financieras'!$G$78:$G$152</c:f>
              <c:numCache>
                <c:formatCode>General</c:formatCode>
                <c:ptCount val="75"/>
                <c:pt idx="7" formatCode="_-* #,##0.0_-;\-* #,##0.0_-;_-* &quot;-&quot;??_-;_-@_-">
                  <c:v>20</c:v>
                </c:pt>
                <c:pt idx="8" formatCode="_-* #,##0.0_-;\-* #,##0.0_-;_-* &quot;-&quot;??_-;_-@_-">
                  <c:v>0</c:v>
                </c:pt>
                <c:pt idx="9" formatCode="_-* #,##0.0_-;\-* #,##0.0_-;_-* &quot;-&quot;??_-;_-@_-">
                  <c:v>2</c:v>
                </c:pt>
                <c:pt idx="10" formatCode="_-* #,##0.0_-;\-* #,##0.0_-;_-* &quot;-&quot;??_-;_-@_-">
                  <c:v>3</c:v>
                </c:pt>
                <c:pt idx="11" formatCode="_-* #,##0.0_-;\-* #,##0.0_-;_-* &quot;-&quot;??_-;_-@_-">
                  <c:v>24</c:v>
                </c:pt>
                <c:pt idx="12" formatCode="_-* #,##0.0_-;\-* #,##0.0_-;_-* &quot;-&quot;??_-;_-@_-">
                  <c:v>95</c:v>
                </c:pt>
                <c:pt idx="13" formatCode="_-* #,##0.0_-;\-* #,##0.0_-;_-* &quot;-&quot;??_-;_-@_-">
                  <c:v>179</c:v>
                </c:pt>
                <c:pt idx="14" formatCode="_-* #,##0.0_-;\-* #,##0.0_-;_-* &quot;-&quot;??_-;_-@_-">
                  <c:v>302</c:v>
                </c:pt>
                <c:pt idx="15" formatCode="_-* #,##0.0_-;\-* #,##0.0_-;_-* &quot;-&quot;??_-;_-@_-">
                  <c:v>661</c:v>
                </c:pt>
                <c:pt idx="16" formatCode="_-* #,##0.0_-;\-* #,##0.0_-;_-* &quot;-&quot;??_-;_-@_-">
                  <c:v>913</c:v>
                </c:pt>
                <c:pt idx="17" formatCode="_-* #,##0.0_-;\-* #,##0.0_-;_-* &quot;-&quot;??_-;_-@_-">
                  <c:v>1284</c:v>
                </c:pt>
                <c:pt idx="18" formatCode="_-* #,##0.0_-;\-* #,##0.0_-;_-* &quot;-&quot;??_-;_-@_-">
                  <c:v>1679</c:v>
                </c:pt>
                <c:pt idx="19" formatCode="_-* #,##0.0_-;\-* #,##0.0_-;_-* &quot;-&quot;??_-;_-@_-">
                  <c:v>2384</c:v>
                </c:pt>
                <c:pt idx="20" formatCode="_-* #,##0.0_-;\-* #,##0.0_-;_-* &quot;-&quot;??_-;_-@_-">
                  <c:v>2951</c:v>
                </c:pt>
                <c:pt idx="21" formatCode="_-* #,##0.0_-;\-* #,##0.0_-;_-* &quot;-&quot;??_-;_-@_-">
                  <c:v>3175</c:v>
                </c:pt>
                <c:pt idx="22" formatCode="_-* #,##0.0_-;\-* #,##0.0_-;_-* &quot;-&quot;??_-;_-@_-">
                  <c:v>3591</c:v>
                </c:pt>
                <c:pt idx="23" formatCode="_-* #,##0.0_-;\-* #,##0.0_-;_-* &quot;-&quot;??_-;_-@_-">
                  <c:v>4778</c:v>
                </c:pt>
                <c:pt idx="24" formatCode="_-* #,##0.0_-;\-* #,##0.0_-;_-* &quot;-&quot;??_-;_-@_-">
                  <c:v>6184</c:v>
                </c:pt>
                <c:pt idx="25" formatCode="_-* #,##0.0_-;\-* #,##0.0_-;_-* &quot;-&quot;??_-;_-@_-">
                  <c:v>7461</c:v>
                </c:pt>
                <c:pt idx="26" formatCode="_-* #,##0.0_-;\-* #,##0.0_-;_-* &quot;-&quot;??_-;_-@_-">
                  <c:v>7947</c:v>
                </c:pt>
                <c:pt idx="27" formatCode="_-* #,##0.0_-;\-* #,##0.0_-;_-* &quot;-&quot;??_-;_-@_-">
                  <c:v>8321</c:v>
                </c:pt>
                <c:pt idx="28" formatCode="_-* #,##0.0_-;\-* #,##0.0_-;_-* &quot;-&quot;??_-;_-@_-">
                  <c:v>8551</c:v>
                </c:pt>
                <c:pt idx="29" formatCode="_-* #,##0.0_-;\-* #,##0.0_-;_-* &quot;-&quot;??_-;_-@_-">
                  <c:v>8204</c:v>
                </c:pt>
                <c:pt idx="30" formatCode="_-* #,##0.0_-;\-* #,##0.0_-;_-* &quot;-&quot;??_-;_-@_-">
                  <c:v>7595</c:v>
                </c:pt>
                <c:pt idx="31" formatCode="_-* #,##0.0_-;\-* #,##0.0_-;_-* &quot;-&quot;??_-;_-@_-">
                  <c:v>7002</c:v>
                </c:pt>
                <c:pt idx="32" formatCode="_-* #,##0.0_-;\-* #,##0.0_-;_-* &quot;-&quot;??_-;_-@_-">
                  <c:v>6508</c:v>
                </c:pt>
                <c:pt idx="33" formatCode="_-* #,##0.0_-;\-* #,##0.0_-;_-* &quot;-&quot;??_-;_-@_-">
                  <c:v>5877</c:v>
                </c:pt>
                <c:pt idx="34" formatCode="_-* #,##0.0_-;\-* #,##0.0_-;_-* &quot;-&quot;??_-;_-@_-">
                  <c:v>5301</c:v>
                </c:pt>
                <c:pt idx="35" formatCode="_-* #,##0.0_-;\-* #,##0.0_-;_-* &quot;-&quot;??_-;_-@_-">
                  <c:v>4591</c:v>
                </c:pt>
                <c:pt idx="36" formatCode="_-* #,##0.0_-;\-* #,##0.0_-;_-* &quot;-&quot;??_-;_-@_-">
                  <c:v>4078</c:v>
                </c:pt>
                <c:pt idx="37" formatCode="_-* #,##0.0_-;\-* #,##0.0_-;_-* &quot;-&quot;??_-;_-@_-">
                  <c:v>3389</c:v>
                </c:pt>
                <c:pt idx="38" formatCode="_-* #,##0.0_-;\-* #,##0.0_-;_-* &quot;-&quot;??_-;_-@_-">
                  <c:v>3014</c:v>
                </c:pt>
                <c:pt idx="39" formatCode="_-* #,##0.0_-;\-* #,##0.0_-;_-* &quot;-&quot;??_-;_-@_-">
                  <c:v>2868</c:v>
                </c:pt>
                <c:pt idx="40" formatCode="_-* #,##0.0_-;\-* #,##0.0_-;_-* &quot;-&quot;??_-;_-@_-">
                  <c:v>2432</c:v>
                </c:pt>
                <c:pt idx="41" formatCode="_-* #,##0.0_-;\-* #,##0.0_-;_-* &quot;-&quot;??_-;_-@_-">
                  <c:v>2145</c:v>
                </c:pt>
                <c:pt idx="42" formatCode="_-* #,##0.0_-;\-* #,##0.0_-;_-* &quot;-&quot;??_-;_-@_-">
                  <c:v>1869</c:v>
                </c:pt>
                <c:pt idx="43" formatCode="_-* #,##0.0_-;\-* #,##0.0_-;_-* &quot;-&quot;??_-;_-@_-">
                  <c:v>1589</c:v>
                </c:pt>
                <c:pt idx="44" formatCode="_-* #,##0.0_-;\-* #,##0.0_-;_-* &quot;-&quot;??_-;_-@_-">
                  <c:v>1327</c:v>
                </c:pt>
                <c:pt idx="45" formatCode="_-* #,##0.0_-;\-* #,##0.0_-;_-* &quot;-&quot;??_-;_-@_-">
                  <c:v>1157</c:v>
                </c:pt>
                <c:pt idx="46" formatCode="_-* #,##0.0_-;\-* #,##0.0_-;_-* &quot;-&quot;??_-;_-@_-">
                  <c:v>959</c:v>
                </c:pt>
                <c:pt idx="47" formatCode="_-* #,##0.0_-;\-* #,##0.0_-;_-* &quot;-&quot;??_-;_-@_-">
                  <c:v>851</c:v>
                </c:pt>
                <c:pt idx="48" formatCode="_-* #,##0.0_-;\-* #,##0.0_-;_-* &quot;-&quot;??_-;_-@_-">
                  <c:v>759</c:v>
                </c:pt>
                <c:pt idx="49" formatCode="_-* #,##0.0_-;\-* #,##0.0_-;_-* &quot;-&quot;??_-;_-@_-">
                  <c:v>674</c:v>
                </c:pt>
                <c:pt idx="50" formatCode="_-* #,##0.0_-;\-* #,##0.0_-;_-* &quot;-&quot;??_-;_-@_-">
                  <c:v>552</c:v>
                </c:pt>
                <c:pt idx="51" formatCode="_-* #,##0.0_-;\-* #,##0.0_-;_-* &quot;-&quot;??_-;_-@_-">
                  <c:v>495</c:v>
                </c:pt>
                <c:pt idx="52" formatCode="_-* #,##0.0_-;\-* #,##0.0_-;_-* &quot;-&quot;??_-;_-@_-">
                  <c:v>432</c:v>
                </c:pt>
                <c:pt idx="53" formatCode="_-* #,##0.0_-;\-* #,##0.0_-;_-* &quot;-&quot;??_-;_-@_-">
                  <c:v>411</c:v>
                </c:pt>
                <c:pt idx="54" formatCode="_-* #,##0.0_-;\-* #,##0.0_-;_-* &quot;-&quot;??_-;_-@_-">
                  <c:v>288</c:v>
                </c:pt>
                <c:pt idx="55" formatCode="_-* #,##0.0_-;\-* #,##0.0_-;_-* &quot;-&quot;??_-;_-@_-">
                  <c:v>224</c:v>
                </c:pt>
                <c:pt idx="56" formatCode="_-* #,##0.0_-;\-* #,##0.0_-;_-* &quot;-&quot;??_-;_-@_-">
                  <c:v>158</c:v>
                </c:pt>
                <c:pt idx="57" formatCode="_-* #,##0.0_-;\-* #,##0.0_-;_-* &quot;-&quot;??_-;_-@_-">
                  <c:v>126</c:v>
                </c:pt>
                <c:pt idx="58" formatCode="_-* #,##0.0_-;\-* #,##0.0_-;_-* &quot;-&quot;??_-;_-@_-">
                  <c:v>102</c:v>
                </c:pt>
                <c:pt idx="59" formatCode="_-* #,##0.0_-;\-* #,##0.0_-;_-* &quot;-&quot;??_-;_-@_-">
                  <c:v>71</c:v>
                </c:pt>
                <c:pt idx="60" formatCode="_-* #,##0.0_-;\-* #,##0.0_-;_-* &quot;-&quot;??_-;_-@_-">
                  <c:v>60</c:v>
                </c:pt>
                <c:pt idx="61" formatCode="_-* #,##0.0_-;\-* #,##0.0_-;_-* &quot;-&quot;??_-;_-@_-">
                  <c:v>42</c:v>
                </c:pt>
                <c:pt idx="62" formatCode="_-* #,##0.0_-;\-* #,##0.0_-;_-* &quot;-&quot;??_-;_-@_-">
                  <c:v>28</c:v>
                </c:pt>
                <c:pt idx="63" formatCode="_-* #,##0.0_-;\-* #,##0.0_-;_-* &quot;-&quot;??_-;_-@_-">
                  <c:v>20</c:v>
                </c:pt>
                <c:pt idx="64" formatCode="_-* #,##0.0_-;\-* #,##0.0_-;_-* &quot;-&quot;??_-;_-@_-">
                  <c:v>18</c:v>
                </c:pt>
                <c:pt idx="65" formatCode="_-* #,##0.0_-;\-* #,##0.0_-;_-* &quot;-&quot;??_-;_-@_-">
                  <c:v>8</c:v>
                </c:pt>
                <c:pt idx="66" formatCode="_-* #,##0.0_-;\-* #,##0.0_-;_-* &quot;-&quot;??_-;_-@_-">
                  <c:v>6</c:v>
                </c:pt>
                <c:pt idx="67" formatCode="_-* #,##0.0_-;\-* #,##0.0_-;_-* &quot;-&quot;??_-;_-@_-">
                  <c:v>5</c:v>
                </c:pt>
                <c:pt idx="68" formatCode="_-* #,##0.0_-;\-* #,##0.0_-;_-* &quot;-&quot;??_-;_-@_-">
                  <c:v>2</c:v>
                </c:pt>
                <c:pt idx="69" formatCode="_-* #,##0.0_-;\-* #,##0.0_-;_-* &quot;-&quot;??_-;_-@_-">
                  <c:v>1</c:v>
                </c:pt>
                <c:pt idx="70" formatCode="_-* #,##0.0_-;\-* #,##0.0_-;_-* &quot;-&quot;??_-;_-@_-">
                  <c:v>1</c:v>
                </c:pt>
              </c:numCache>
            </c:numRef>
          </c:val>
          <c:smooth val="0"/>
          <c:extLst>
            <c:ext xmlns:c16="http://schemas.microsoft.com/office/drawing/2014/chart" uri="{C3380CC4-5D6E-409C-BE32-E72D297353CC}">
              <c16:uniqueId val="{00000008-B67F-49C0-9B1C-9E5A2A87D6D5}"/>
            </c:ext>
          </c:extLst>
        </c:ser>
        <c:dLbls>
          <c:showLegendKey val="0"/>
          <c:showVal val="0"/>
          <c:showCatName val="0"/>
          <c:showSerName val="0"/>
          <c:showPercent val="0"/>
          <c:showBubbleSize val="0"/>
        </c:dLbls>
        <c:marker val="1"/>
        <c:smooth val="0"/>
        <c:axId val="176732400"/>
        <c:axId val="176734480"/>
      </c:lineChart>
      <c:catAx>
        <c:axId val="17673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6734480"/>
        <c:crosses val="autoZero"/>
        <c:auto val="1"/>
        <c:lblAlgn val="ctr"/>
        <c:lblOffset val="100"/>
        <c:noMultiLvlLbl val="0"/>
      </c:catAx>
      <c:valAx>
        <c:axId val="176734480"/>
        <c:scaling>
          <c:orientation val="minMax"/>
          <c:max val="14000"/>
          <c:min val="1"/>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6732400"/>
        <c:crosses val="autoZero"/>
        <c:crossBetween val="between"/>
        <c:dispUnits>
          <c:builtInUnit val="thousands"/>
          <c:dispUnitsLbl>
            <c:layout>
              <c:manualLayout>
                <c:xMode val="edge"/>
                <c:yMode val="edge"/>
                <c:x val="1.2041211582423164E-3"/>
                <c:y val="0.32409309763431887"/>
              </c:manualLayout>
            </c:layout>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Miles</a:t>
                  </a:r>
                </a:p>
              </c:rich>
            </c:tx>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dispUnitsLbl>
        </c:dispUnits>
      </c:valAx>
      <c:spPr>
        <a:noFill/>
        <a:ln>
          <a:noFill/>
        </a:ln>
        <a:effectLst/>
      </c:spPr>
    </c:plotArea>
    <c:legend>
      <c:legendPos val="b"/>
      <c:legendEntry>
        <c:idx val="0"/>
        <c:delete val="1"/>
      </c:legendEntry>
      <c:layout>
        <c:manualLayout>
          <c:xMode val="edge"/>
          <c:yMode val="edge"/>
          <c:x val="0.20560694444444444"/>
          <c:y val="0.8813223239361192"/>
          <c:w val="0.57403993055555547"/>
          <c:h val="0.1169738065748374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94391351282701"/>
          <c:y val="9.7013888888888886E-2"/>
          <c:w val="0.80254913322326649"/>
          <c:h val="0.66866687906786215"/>
        </c:manualLayout>
      </c:layout>
      <c:barChart>
        <c:barDir val="col"/>
        <c:grouping val="clustered"/>
        <c:varyColors val="0"/>
        <c:ser>
          <c:idx val="0"/>
          <c:order val="0"/>
          <c:tx>
            <c:strRef>
              <c:f>'[Nomina .xlsx]Proyecciones financieras'!$B$60</c:f>
              <c:strCache>
                <c:ptCount val="1"/>
                <c:pt idx="0">
                  <c:v>Activos actuales que se convierten en pasivos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'[Nomina .xlsx]Proyecciones financieras'!$D$49:$N$49</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'[Nomina .xlsx]Proyecciones financieras'!$D$60:$N$60</c:f>
              <c:numCache>
                <c:formatCode>_-* #,##0.0_-;\-* #,##0.0_-;_-* "-"??_-;_-@_-</c:formatCode>
                <c:ptCount val="11"/>
                <c:pt idx="0">
                  <c:v>5519.9331090850683</c:v>
                </c:pt>
                <c:pt idx="1">
                  <c:v>5548.4215992795826</c:v>
                </c:pt>
                <c:pt idx="2">
                  <c:v>5632.9104704610063</c:v>
                </c:pt>
                <c:pt idx="3">
                  <c:v>5706.4477759767324</c:v>
                </c:pt>
                <c:pt idx="4">
                  <c:v>5823.3951707010901</c:v>
                </c:pt>
                <c:pt idx="5">
                  <c:v>5952.7307021063634</c:v>
                </c:pt>
                <c:pt idx="6">
                  <c:v>6098.0372256145765</c:v>
                </c:pt>
                <c:pt idx="7">
                  <c:v>6301.6887136139931</c:v>
                </c:pt>
                <c:pt idx="8">
                  <c:v>7652.8644940868971</c:v>
                </c:pt>
                <c:pt idx="9">
                  <c:v>8203.655566714624</c:v>
                </c:pt>
                <c:pt idx="10">
                  <c:v>8309.6707008152262</c:v>
                </c:pt>
              </c:numCache>
            </c:numRef>
          </c:val>
          <c:extLst>
            <c:ext xmlns:c16="http://schemas.microsoft.com/office/drawing/2014/chart" uri="{C3380CC4-5D6E-409C-BE32-E72D297353CC}">
              <c16:uniqueId val="{00000000-1056-4E97-B25F-42E3339A9121}"/>
            </c:ext>
          </c:extLst>
        </c:ser>
        <c:ser>
          <c:idx val="1"/>
          <c:order val="1"/>
          <c:tx>
            <c:strRef>
              <c:f>'[Nomina .xlsx]Proyecciones financieras'!$B$66</c:f>
              <c:strCache>
                <c:ptCount val="1"/>
                <c:pt idx="0">
                  <c:v>Pasivos actuales que fallecen</c:v>
                </c:pt>
              </c:strCache>
            </c:strRef>
          </c:tx>
          <c:spPr>
            <a:solidFill>
              <a:schemeClr val="accent2"/>
            </a:solidFill>
            <a:ln>
              <a:noFill/>
            </a:ln>
            <a:effectLst/>
          </c:spPr>
          <c:invertIfNegative val="0"/>
          <c:dLbls>
            <c:dLbl>
              <c:idx val="0"/>
              <c:layout>
                <c:manualLayout>
                  <c:x val="4.409722222222222E-3"/>
                  <c:y val="2.6458333333333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56-4E97-B25F-42E3339A9121}"/>
                </c:ext>
              </c:extLst>
            </c:dLbl>
            <c:dLbl>
              <c:idx val="1"/>
              <c:layout>
                <c:manualLayout>
                  <c:x val="1.32291666666666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56-4E97-B25F-42E3339A9121}"/>
                </c:ext>
              </c:extLst>
            </c:dLbl>
            <c:dLbl>
              <c:idx val="2"/>
              <c:layout>
                <c:manualLayout>
                  <c:x val="8.8194444444444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56-4E97-B25F-42E3339A9121}"/>
                </c:ext>
              </c:extLst>
            </c:dLbl>
            <c:dLbl>
              <c:idx val="3"/>
              <c:layout>
                <c:manualLayout>
                  <c:x val="8.8194444444444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56-4E97-B25F-42E3339A9121}"/>
                </c:ext>
              </c:extLst>
            </c:dLbl>
            <c:dLbl>
              <c:idx val="4"/>
              <c:layout>
                <c:manualLayout>
                  <c:x val="8.8194444444443642E-3"/>
                  <c:y val="-8.08439734909269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56-4E97-B25F-42E3339A9121}"/>
                </c:ext>
              </c:extLst>
            </c:dLbl>
            <c:dLbl>
              <c:idx val="5"/>
              <c:layout>
                <c:manualLayout>
                  <c:x val="4.4097222222221413E-3"/>
                  <c:y val="-8.08439734909269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56-4E97-B25F-42E3339A9121}"/>
                </c:ext>
              </c:extLst>
            </c:dLbl>
            <c:dLbl>
              <c:idx val="6"/>
              <c:layout>
                <c:manualLayout>
                  <c:x val="4.4097222222221413E-3"/>
                  <c:y val="8.819444444444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56-4E97-B25F-42E3339A9121}"/>
                </c:ext>
              </c:extLst>
            </c:dLbl>
            <c:dLbl>
              <c:idx val="7"/>
              <c:layout>
                <c:manualLayout>
                  <c:x val="4.40972222222214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56-4E97-B25F-42E3339A9121}"/>
                </c:ext>
              </c:extLst>
            </c:dLbl>
            <c:dLbl>
              <c:idx val="8"/>
              <c:layout>
                <c:manualLayout>
                  <c:x val="4.40972222222206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56-4E97-B25F-42E3339A9121}"/>
                </c:ext>
              </c:extLst>
            </c:dLbl>
            <c:dLbl>
              <c:idx val="9"/>
              <c:layout>
                <c:manualLayout>
                  <c:x val="4.4097222222222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56-4E97-B25F-42E3339A9121}"/>
                </c:ext>
              </c:extLst>
            </c:dLbl>
            <c:dLbl>
              <c:idx val="10"/>
              <c:layout>
                <c:manualLayout>
                  <c:x val="4.4097222222222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56-4E97-B25F-42E3339A9121}"/>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'[Nomina .xlsx]Proyecciones financieras'!$D$49:$N$49</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'[Nomina .xlsx]Proyecciones financieras'!$D$66:$N$66</c:f>
              <c:numCache>
                <c:formatCode>_-* #,##0.0_-;\-* #,##0.0_-;_-* "-"??_-;_-@_-</c:formatCode>
                <c:ptCount val="11"/>
                <c:pt idx="0">
                  <c:v>4118.1653089056799</c:v>
                </c:pt>
                <c:pt idx="1">
                  <c:v>3761.3266843702863</c:v>
                </c:pt>
                <c:pt idx="2">
                  <c:v>3513.747939009635</c:v>
                </c:pt>
                <c:pt idx="3">
                  <c:v>3329.9909280419001</c:v>
                </c:pt>
                <c:pt idx="4">
                  <c:v>3194.5094973058226</c:v>
                </c:pt>
                <c:pt idx="5">
                  <c:v>3311.8384777090032</c:v>
                </c:pt>
                <c:pt idx="6">
                  <c:v>4009.6667653723161</c:v>
                </c:pt>
                <c:pt idx="7">
                  <c:v>3917.0808798636253</c:v>
                </c:pt>
                <c:pt idx="8">
                  <c:v>3837.0836531364143</c:v>
                </c:pt>
                <c:pt idx="9">
                  <c:v>3763.63866151309</c:v>
                </c:pt>
                <c:pt idx="10">
                  <c:v>3692.9869885978173</c:v>
                </c:pt>
              </c:numCache>
            </c:numRef>
          </c:val>
          <c:extLst>
            <c:ext xmlns:c16="http://schemas.microsoft.com/office/drawing/2014/chart" uri="{C3380CC4-5D6E-409C-BE32-E72D297353CC}">
              <c16:uniqueId val="{0000000C-1056-4E97-B25F-42E3339A9121}"/>
            </c:ext>
          </c:extLst>
        </c:ser>
        <c:dLbls>
          <c:showLegendKey val="0"/>
          <c:showVal val="0"/>
          <c:showCatName val="0"/>
          <c:showSerName val="0"/>
          <c:showPercent val="0"/>
          <c:showBubbleSize val="0"/>
        </c:dLbls>
        <c:gapWidth val="150"/>
        <c:axId val="216630767"/>
        <c:axId val="216644079"/>
      </c:barChart>
      <c:catAx>
        <c:axId val="21663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6644079"/>
        <c:crosses val="autoZero"/>
        <c:auto val="1"/>
        <c:lblAlgn val="ctr"/>
        <c:lblOffset val="100"/>
        <c:noMultiLvlLbl val="0"/>
      </c:catAx>
      <c:valAx>
        <c:axId val="216644079"/>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6630767"/>
        <c:crosses val="autoZero"/>
        <c:crossBetween val="between"/>
        <c:dispUnits>
          <c:builtInUnit val="thousands"/>
          <c:dispUnitsLbl>
            <c:layout>
              <c:manualLayout>
                <c:xMode val="edge"/>
                <c:yMode val="edge"/>
                <c:x val="7.8343281686563398E-4"/>
                <c:y val="0.29891180893963021"/>
              </c:manualLayout>
            </c:layout>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GT"/>
                    <a:t>Miles</a:t>
                  </a:r>
                </a:p>
              </c:rich>
            </c:tx>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dispUnitsLbl>
        </c:dispUnits>
      </c:valAx>
      <c:spPr>
        <a:noFill/>
        <a:ln>
          <a:noFill/>
        </a:ln>
        <a:effectLst/>
      </c:spPr>
    </c:plotArea>
    <c:legend>
      <c:legendPos val="b"/>
      <c:layout>
        <c:manualLayout>
          <c:xMode val="edge"/>
          <c:yMode val="edge"/>
          <c:x val="0"/>
          <c:y val="0.87868250572724649"/>
          <c:w val="1"/>
          <c:h val="0.1166610532064994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1559245618494"/>
          <c:y val="9.7013888888888886E-2"/>
          <c:w val="0.87710304483108947"/>
          <c:h val="0.63594861111111123"/>
        </c:manualLayout>
      </c:layout>
      <c:areaChart>
        <c:grouping val="stacked"/>
        <c:varyColors val="0"/>
        <c:ser>
          <c:idx val="0"/>
          <c:order val="0"/>
          <c:tx>
            <c:strRef>
              <c:f>'[Nomina .xlsx]Proyecciones financieras'!$M$2</c:f>
              <c:strCache>
                <c:ptCount val="1"/>
                <c:pt idx="0">
                  <c:v>Trabajadores</c:v>
                </c:pt>
              </c:strCache>
            </c:strRef>
          </c:tx>
          <c:spPr>
            <a:solidFill>
              <a:schemeClr val="tx2">
                <a:lumMod val="40000"/>
                <a:lumOff val="60000"/>
              </a:schemeClr>
            </a:solidFill>
            <a:ln>
              <a:noFill/>
            </a:ln>
            <a:effectLst/>
          </c:spPr>
          <c:dLbls>
            <c:dLbl>
              <c:idx val="0"/>
              <c:layout>
                <c:manualLayout>
                  <c:x val="2.6458333333333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8F-4AE9-BD6D-ACF0D15AD96F}"/>
                </c:ext>
              </c:extLst>
            </c:dLbl>
            <c:dLbl>
              <c:idx val="1"/>
              <c:delete val="1"/>
              <c:extLst>
                <c:ext xmlns:c15="http://schemas.microsoft.com/office/drawing/2012/chart" uri="{CE6537A1-D6FC-4f65-9D91-7224C49458BB}"/>
                <c:ext xmlns:c16="http://schemas.microsoft.com/office/drawing/2014/chart" uri="{C3380CC4-5D6E-409C-BE32-E72D297353CC}">
                  <c16:uniqueId val="{00000001-328F-4AE9-BD6D-ACF0D15AD96F}"/>
                </c:ext>
              </c:extLst>
            </c:dLbl>
            <c:dLbl>
              <c:idx val="2"/>
              <c:delete val="1"/>
              <c:extLst>
                <c:ext xmlns:c15="http://schemas.microsoft.com/office/drawing/2012/chart" uri="{CE6537A1-D6FC-4f65-9D91-7224C49458BB}"/>
                <c:ext xmlns:c16="http://schemas.microsoft.com/office/drawing/2014/chart" uri="{C3380CC4-5D6E-409C-BE32-E72D297353CC}">
                  <c16:uniqueId val="{00000002-328F-4AE9-BD6D-ACF0D15AD96F}"/>
                </c:ext>
              </c:extLst>
            </c:dLbl>
            <c:dLbl>
              <c:idx val="3"/>
              <c:delete val="1"/>
              <c:extLst>
                <c:ext xmlns:c15="http://schemas.microsoft.com/office/drawing/2012/chart" uri="{CE6537A1-D6FC-4f65-9D91-7224C49458BB}"/>
                <c:ext xmlns:c16="http://schemas.microsoft.com/office/drawing/2014/chart" uri="{C3380CC4-5D6E-409C-BE32-E72D297353CC}">
                  <c16:uniqueId val="{00000003-328F-4AE9-BD6D-ACF0D15AD96F}"/>
                </c:ext>
              </c:extLst>
            </c:dLbl>
            <c:dLbl>
              <c:idx val="4"/>
              <c:delete val="1"/>
              <c:extLst>
                <c:ext xmlns:c15="http://schemas.microsoft.com/office/drawing/2012/chart" uri="{CE6537A1-D6FC-4f65-9D91-7224C49458BB}"/>
                <c:ext xmlns:c16="http://schemas.microsoft.com/office/drawing/2014/chart" uri="{C3380CC4-5D6E-409C-BE32-E72D297353CC}">
                  <c16:uniqueId val="{00000004-328F-4AE9-BD6D-ACF0D15AD96F}"/>
                </c:ext>
              </c:extLst>
            </c:dLbl>
            <c:dLbl>
              <c:idx val="6"/>
              <c:delete val="1"/>
              <c:extLst>
                <c:ext xmlns:c15="http://schemas.microsoft.com/office/drawing/2012/chart" uri="{CE6537A1-D6FC-4f65-9D91-7224C49458BB}"/>
                <c:ext xmlns:c16="http://schemas.microsoft.com/office/drawing/2014/chart" uri="{C3380CC4-5D6E-409C-BE32-E72D297353CC}">
                  <c16:uniqueId val="{00000005-328F-4AE9-BD6D-ACF0D15AD96F}"/>
                </c:ext>
              </c:extLst>
            </c:dLbl>
            <c:dLbl>
              <c:idx val="7"/>
              <c:delete val="1"/>
              <c:extLst>
                <c:ext xmlns:c15="http://schemas.microsoft.com/office/drawing/2012/chart" uri="{CE6537A1-D6FC-4f65-9D91-7224C49458BB}"/>
                <c:ext xmlns:c16="http://schemas.microsoft.com/office/drawing/2014/chart" uri="{C3380CC4-5D6E-409C-BE32-E72D297353CC}">
                  <c16:uniqueId val="{00000006-328F-4AE9-BD6D-ACF0D15AD96F}"/>
                </c:ext>
              </c:extLst>
            </c:dLbl>
            <c:dLbl>
              <c:idx val="8"/>
              <c:delete val="1"/>
              <c:extLst>
                <c:ext xmlns:c15="http://schemas.microsoft.com/office/drawing/2012/chart" uri="{CE6537A1-D6FC-4f65-9D91-7224C49458BB}"/>
                <c:ext xmlns:c16="http://schemas.microsoft.com/office/drawing/2014/chart" uri="{C3380CC4-5D6E-409C-BE32-E72D297353CC}">
                  <c16:uniqueId val="{00000007-328F-4AE9-BD6D-ACF0D15AD96F}"/>
                </c:ext>
              </c:extLst>
            </c:dLbl>
            <c:dLbl>
              <c:idx val="9"/>
              <c:delete val="1"/>
              <c:extLst>
                <c:ext xmlns:c15="http://schemas.microsoft.com/office/drawing/2012/chart" uri="{CE6537A1-D6FC-4f65-9D91-7224C49458BB}"/>
                <c:ext xmlns:c16="http://schemas.microsoft.com/office/drawing/2014/chart" uri="{C3380CC4-5D6E-409C-BE32-E72D297353CC}">
                  <c16:uniqueId val="{00000008-328F-4AE9-BD6D-ACF0D15AD96F}"/>
                </c:ext>
              </c:extLst>
            </c:dLbl>
            <c:dLbl>
              <c:idx val="10"/>
              <c:delete val="1"/>
              <c:extLst>
                <c:ext xmlns:c15="http://schemas.microsoft.com/office/drawing/2012/chart" uri="{CE6537A1-D6FC-4f65-9D91-7224C49458BB}"/>
                <c:ext xmlns:c16="http://schemas.microsoft.com/office/drawing/2014/chart" uri="{C3380CC4-5D6E-409C-BE32-E72D297353CC}">
                  <c16:uniqueId val="{00000009-328F-4AE9-BD6D-ACF0D15AD96F}"/>
                </c:ext>
              </c:extLst>
            </c:dLbl>
            <c:dLbl>
              <c:idx val="11"/>
              <c:layout>
                <c:manualLayout>
                  <c:x val="-3.0868055555555555E-2"/>
                  <c:y val="-8.07497094204160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8F-4AE9-BD6D-ACF0D15AD96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'[Nomina .xlsx]Proyecciones financieras'!$C$33:$N$33</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'[Nomina .xlsx]Proyecciones financieras'!$C$37:$N$37</c:f>
              <c:numCache>
                <c:formatCode>_-* #,##0.0_-;\-* #,##0.0_-;_-* "-"??_-;_-@_-</c:formatCode>
                <c:ptCount val="12"/>
                <c:pt idx="0">
                  <c:v>2616.84532975</c:v>
                </c:pt>
                <c:pt idx="1">
                  <c:v>2782.5199023437499</c:v>
                </c:pt>
                <c:pt idx="2">
                  <c:v>2903.8503538679684</c:v>
                </c:pt>
                <c:pt idx="3">
                  <c:v>3030.6994976077531</c:v>
                </c:pt>
                <c:pt idx="4">
                  <c:v>3163.3188103820021</c:v>
                </c:pt>
                <c:pt idx="5">
                  <c:v>3301.9707631012525</c:v>
                </c:pt>
                <c:pt idx="6">
                  <c:v>3446.9415688621766</c:v>
                </c:pt>
                <c:pt idx="7">
                  <c:v>3598.5053866758622</c:v>
                </c:pt>
                <c:pt idx="8">
                  <c:v>3756.9604876991216</c:v>
                </c:pt>
                <c:pt idx="9">
                  <c:v>3922.6313020350185</c:v>
                </c:pt>
                <c:pt idx="10">
                  <c:v>4095.8434615398478</c:v>
                </c:pt>
                <c:pt idx="11">
                  <c:v>4276.9366453824314</c:v>
                </c:pt>
              </c:numCache>
            </c:numRef>
          </c:val>
          <c:extLst>
            <c:ext xmlns:c16="http://schemas.microsoft.com/office/drawing/2014/chart" uri="{C3380CC4-5D6E-409C-BE32-E72D297353CC}">
              <c16:uniqueId val="{0000000B-328F-4AE9-BD6D-ACF0D15AD96F}"/>
            </c:ext>
          </c:extLst>
        </c:ser>
        <c:ser>
          <c:idx val="1"/>
          <c:order val="1"/>
          <c:tx>
            <c:strRef>
              <c:f>'[Nomina .xlsx]Proyecciones financieras'!$N$2</c:f>
              <c:strCache>
                <c:ptCount val="1"/>
                <c:pt idx="0">
                  <c:v>Patrono</c:v>
                </c:pt>
              </c:strCache>
            </c:strRef>
          </c:tx>
          <c:spPr>
            <a:solidFill>
              <a:schemeClr val="bg1">
                <a:lumMod val="75000"/>
              </a:schemeClr>
            </a:solidFill>
            <a:ln>
              <a:noFill/>
            </a:ln>
            <a:effectLst/>
          </c:spPr>
          <c:dLbls>
            <c:dLbl>
              <c:idx val="0"/>
              <c:layout>
                <c:manualLayout>
                  <c:x val="2.20486111111111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8F-4AE9-BD6D-ACF0D15AD96F}"/>
                </c:ext>
              </c:extLst>
            </c:dLbl>
            <c:dLbl>
              <c:idx val="1"/>
              <c:delete val="1"/>
              <c:extLst>
                <c:ext xmlns:c15="http://schemas.microsoft.com/office/drawing/2012/chart" uri="{CE6537A1-D6FC-4f65-9D91-7224C49458BB}"/>
                <c:ext xmlns:c16="http://schemas.microsoft.com/office/drawing/2014/chart" uri="{C3380CC4-5D6E-409C-BE32-E72D297353CC}">
                  <c16:uniqueId val="{0000000D-328F-4AE9-BD6D-ACF0D15AD96F}"/>
                </c:ext>
              </c:extLst>
            </c:dLbl>
            <c:dLbl>
              <c:idx val="2"/>
              <c:delete val="1"/>
              <c:extLst>
                <c:ext xmlns:c15="http://schemas.microsoft.com/office/drawing/2012/chart" uri="{CE6537A1-D6FC-4f65-9D91-7224C49458BB}"/>
                <c:ext xmlns:c16="http://schemas.microsoft.com/office/drawing/2014/chart" uri="{C3380CC4-5D6E-409C-BE32-E72D297353CC}">
                  <c16:uniqueId val="{0000000E-328F-4AE9-BD6D-ACF0D15AD96F}"/>
                </c:ext>
              </c:extLst>
            </c:dLbl>
            <c:dLbl>
              <c:idx val="3"/>
              <c:delete val="1"/>
              <c:extLst>
                <c:ext xmlns:c15="http://schemas.microsoft.com/office/drawing/2012/chart" uri="{CE6537A1-D6FC-4f65-9D91-7224C49458BB}"/>
                <c:ext xmlns:c16="http://schemas.microsoft.com/office/drawing/2014/chart" uri="{C3380CC4-5D6E-409C-BE32-E72D297353CC}">
                  <c16:uniqueId val="{0000000F-328F-4AE9-BD6D-ACF0D15AD96F}"/>
                </c:ext>
              </c:extLst>
            </c:dLbl>
            <c:dLbl>
              <c:idx val="4"/>
              <c:delete val="1"/>
              <c:extLst>
                <c:ext xmlns:c15="http://schemas.microsoft.com/office/drawing/2012/chart" uri="{CE6537A1-D6FC-4f65-9D91-7224C49458BB}"/>
                <c:ext xmlns:c16="http://schemas.microsoft.com/office/drawing/2014/chart" uri="{C3380CC4-5D6E-409C-BE32-E72D297353CC}">
                  <c16:uniqueId val="{00000010-328F-4AE9-BD6D-ACF0D15AD96F}"/>
                </c:ext>
              </c:extLst>
            </c:dLbl>
            <c:dLbl>
              <c:idx val="6"/>
              <c:delete val="1"/>
              <c:extLst>
                <c:ext xmlns:c15="http://schemas.microsoft.com/office/drawing/2012/chart" uri="{CE6537A1-D6FC-4f65-9D91-7224C49458BB}"/>
                <c:ext xmlns:c16="http://schemas.microsoft.com/office/drawing/2014/chart" uri="{C3380CC4-5D6E-409C-BE32-E72D297353CC}">
                  <c16:uniqueId val="{00000011-328F-4AE9-BD6D-ACF0D15AD96F}"/>
                </c:ext>
              </c:extLst>
            </c:dLbl>
            <c:dLbl>
              <c:idx val="7"/>
              <c:delete val="1"/>
              <c:extLst>
                <c:ext xmlns:c15="http://schemas.microsoft.com/office/drawing/2012/chart" uri="{CE6537A1-D6FC-4f65-9D91-7224C49458BB}"/>
                <c:ext xmlns:c16="http://schemas.microsoft.com/office/drawing/2014/chart" uri="{C3380CC4-5D6E-409C-BE32-E72D297353CC}">
                  <c16:uniqueId val="{00000012-328F-4AE9-BD6D-ACF0D15AD96F}"/>
                </c:ext>
              </c:extLst>
            </c:dLbl>
            <c:dLbl>
              <c:idx val="8"/>
              <c:delete val="1"/>
              <c:extLst>
                <c:ext xmlns:c15="http://schemas.microsoft.com/office/drawing/2012/chart" uri="{CE6537A1-D6FC-4f65-9D91-7224C49458BB}"/>
                <c:ext xmlns:c16="http://schemas.microsoft.com/office/drawing/2014/chart" uri="{C3380CC4-5D6E-409C-BE32-E72D297353CC}">
                  <c16:uniqueId val="{00000013-328F-4AE9-BD6D-ACF0D15AD96F}"/>
                </c:ext>
              </c:extLst>
            </c:dLbl>
            <c:dLbl>
              <c:idx val="9"/>
              <c:delete val="1"/>
              <c:extLst>
                <c:ext xmlns:c15="http://schemas.microsoft.com/office/drawing/2012/chart" uri="{CE6537A1-D6FC-4f65-9D91-7224C49458BB}"/>
                <c:ext xmlns:c16="http://schemas.microsoft.com/office/drawing/2014/chart" uri="{C3380CC4-5D6E-409C-BE32-E72D297353CC}">
                  <c16:uniqueId val="{00000014-328F-4AE9-BD6D-ACF0D15AD96F}"/>
                </c:ext>
              </c:extLst>
            </c:dLbl>
            <c:dLbl>
              <c:idx val="10"/>
              <c:delete val="1"/>
              <c:extLst>
                <c:ext xmlns:c15="http://schemas.microsoft.com/office/drawing/2012/chart" uri="{CE6537A1-D6FC-4f65-9D91-7224C49458BB}"/>
                <c:ext xmlns:c16="http://schemas.microsoft.com/office/drawing/2014/chart" uri="{C3380CC4-5D6E-409C-BE32-E72D297353CC}">
                  <c16:uniqueId val="{00000015-328F-4AE9-BD6D-ACF0D15AD96F}"/>
                </c:ext>
              </c:extLst>
            </c:dLbl>
            <c:dLbl>
              <c:idx val="11"/>
              <c:layout>
                <c:manualLayout>
                  <c:x val="-2.6458333333333334E-2"/>
                  <c:y val="-4.03748547102080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28F-4AE9-BD6D-ACF0D15AD96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'[Nomina .xlsx]Proyecciones financieras'!$C$33:$N$33</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'[Nomina .xlsx]Proyecciones financieras'!$C$41:$N$41</c:f>
              <c:numCache>
                <c:formatCode>_-* #,##0.0_-;\-* #,##0.0_-;_-* "-"??_-;_-@_-</c:formatCode>
                <c:ptCount val="12"/>
                <c:pt idx="0">
                  <c:v>2230.66800203</c:v>
                </c:pt>
                <c:pt idx="1">
                  <c:v>2244.6247145073303</c:v>
                </c:pt>
                <c:pt idx="2">
                  <c:v>2314.5640317510165</c:v>
                </c:pt>
                <c:pt idx="3">
                  <c:v>2399.8413425243225</c:v>
                </c:pt>
                <c:pt idx="4">
                  <c:v>2495.8391621875335</c:v>
                </c:pt>
                <c:pt idx="5">
                  <c:v>2606.1632201524844</c:v>
                </c:pt>
                <c:pt idx="6">
                  <c:v>2720.3895654388098</c:v>
                </c:pt>
                <c:pt idx="7">
                  <c:v>2801.6522935102316</c:v>
                </c:pt>
                <c:pt idx="8">
                  <c:v>2899.44811213908</c:v>
                </c:pt>
                <c:pt idx="9">
                  <c:v>3080.3502818741804</c:v>
                </c:pt>
                <c:pt idx="10">
                  <c:v>3300.9884369213837</c:v>
                </c:pt>
                <c:pt idx="11">
                  <c:v>3537.0581530145555</c:v>
                </c:pt>
              </c:numCache>
            </c:numRef>
          </c:val>
          <c:extLst>
            <c:ext xmlns:c16="http://schemas.microsoft.com/office/drawing/2014/chart" uri="{C3380CC4-5D6E-409C-BE32-E72D297353CC}">
              <c16:uniqueId val="{00000017-328F-4AE9-BD6D-ACF0D15AD96F}"/>
            </c:ext>
          </c:extLst>
        </c:ser>
        <c:dLbls>
          <c:showLegendKey val="0"/>
          <c:showVal val="0"/>
          <c:showCatName val="0"/>
          <c:showSerName val="0"/>
          <c:showPercent val="0"/>
          <c:showBubbleSize val="0"/>
        </c:dLbls>
        <c:axId val="787441680"/>
        <c:axId val="787439600"/>
      </c:areaChart>
      <c:lineChart>
        <c:grouping val="standard"/>
        <c:varyColors val="0"/>
        <c:ser>
          <c:idx val="2"/>
          <c:order val="2"/>
          <c:tx>
            <c:strRef>
              <c:f>'[Nomina .xlsx]Proyecciones financieras'!$L$2</c:f>
              <c:strCache>
                <c:ptCount val="1"/>
                <c:pt idx="0">
                  <c:v>Pago de pensiones</c:v>
                </c:pt>
              </c:strCache>
            </c:strRef>
          </c:tx>
          <c:spPr>
            <a:ln w="22225" cap="rnd">
              <a:solidFill>
                <a:schemeClr val="tx1"/>
              </a:solidFill>
              <a:round/>
            </a:ln>
            <a:effectLst/>
          </c:spPr>
          <c:marker>
            <c:symbol val="none"/>
          </c:marker>
          <c:dLbls>
            <c:dLbl>
              <c:idx val="0"/>
              <c:layout>
                <c:manualLayout>
                  <c:x val="-3.5365972222222222E-2"/>
                  <c:y val="-8.5118691305496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28F-4AE9-BD6D-ACF0D15AD96F}"/>
                </c:ext>
              </c:extLst>
            </c:dLbl>
            <c:dLbl>
              <c:idx val="1"/>
              <c:delete val="1"/>
              <c:extLst>
                <c:ext xmlns:c15="http://schemas.microsoft.com/office/drawing/2012/chart" uri="{CE6537A1-D6FC-4f65-9D91-7224C49458BB}"/>
                <c:ext xmlns:c16="http://schemas.microsoft.com/office/drawing/2014/chart" uri="{C3380CC4-5D6E-409C-BE32-E72D297353CC}">
                  <c16:uniqueId val="{00000019-328F-4AE9-BD6D-ACF0D15AD96F}"/>
                </c:ext>
              </c:extLst>
            </c:dLbl>
            <c:dLbl>
              <c:idx val="2"/>
              <c:delete val="1"/>
              <c:extLst>
                <c:ext xmlns:c15="http://schemas.microsoft.com/office/drawing/2012/chart" uri="{CE6537A1-D6FC-4f65-9D91-7224C49458BB}"/>
                <c:ext xmlns:c16="http://schemas.microsoft.com/office/drawing/2014/chart" uri="{C3380CC4-5D6E-409C-BE32-E72D297353CC}">
                  <c16:uniqueId val="{0000001A-328F-4AE9-BD6D-ACF0D15AD96F}"/>
                </c:ext>
              </c:extLst>
            </c:dLbl>
            <c:dLbl>
              <c:idx val="3"/>
              <c:delete val="1"/>
              <c:extLst>
                <c:ext xmlns:c15="http://schemas.microsoft.com/office/drawing/2012/chart" uri="{CE6537A1-D6FC-4f65-9D91-7224C49458BB}"/>
                <c:ext xmlns:c16="http://schemas.microsoft.com/office/drawing/2014/chart" uri="{C3380CC4-5D6E-409C-BE32-E72D297353CC}">
                  <c16:uniqueId val="{0000001B-328F-4AE9-BD6D-ACF0D15AD96F}"/>
                </c:ext>
              </c:extLst>
            </c:dLbl>
            <c:dLbl>
              <c:idx val="4"/>
              <c:delete val="1"/>
              <c:extLst>
                <c:ext xmlns:c15="http://schemas.microsoft.com/office/drawing/2012/chart" uri="{CE6537A1-D6FC-4f65-9D91-7224C49458BB}"/>
                <c:ext xmlns:c16="http://schemas.microsoft.com/office/drawing/2014/chart" uri="{C3380CC4-5D6E-409C-BE32-E72D297353CC}">
                  <c16:uniqueId val="{0000001C-328F-4AE9-BD6D-ACF0D15AD96F}"/>
                </c:ext>
              </c:extLst>
            </c:dLbl>
            <c:dLbl>
              <c:idx val="6"/>
              <c:delete val="1"/>
              <c:extLst>
                <c:ext xmlns:c15="http://schemas.microsoft.com/office/drawing/2012/chart" uri="{CE6537A1-D6FC-4f65-9D91-7224C49458BB}"/>
                <c:ext xmlns:c16="http://schemas.microsoft.com/office/drawing/2014/chart" uri="{C3380CC4-5D6E-409C-BE32-E72D297353CC}">
                  <c16:uniqueId val="{0000001D-328F-4AE9-BD6D-ACF0D15AD96F}"/>
                </c:ext>
              </c:extLst>
            </c:dLbl>
            <c:dLbl>
              <c:idx val="7"/>
              <c:delete val="1"/>
              <c:extLst>
                <c:ext xmlns:c15="http://schemas.microsoft.com/office/drawing/2012/chart" uri="{CE6537A1-D6FC-4f65-9D91-7224C49458BB}"/>
                <c:ext xmlns:c16="http://schemas.microsoft.com/office/drawing/2014/chart" uri="{C3380CC4-5D6E-409C-BE32-E72D297353CC}">
                  <c16:uniqueId val="{0000001E-328F-4AE9-BD6D-ACF0D15AD96F}"/>
                </c:ext>
              </c:extLst>
            </c:dLbl>
            <c:dLbl>
              <c:idx val="8"/>
              <c:delete val="1"/>
              <c:extLst>
                <c:ext xmlns:c15="http://schemas.microsoft.com/office/drawing/2012/chart" uri="{CE6537A1-D6FC-4f65-9D91-7224C49458BB}"/>
                <c:ext xmlns:c16="http://schemas.microsoft.com/office/drawing/2014/chart" uri="{C3380CC4-5D6E-409C-BE32-E72D297353CC}">
                  <c16:uniqueId val="{0000001F-328F-4AE9-BD6D-ACF0D15AD96F}"/>
                </c:ext>
              </c:extLst>
            </c:dLbl>
            <c:dLbl>
              <c:idx val="9"/>
              <c:delete val="1"/>
              <c:extLst>
                <c:ext xmlns:c15="http://schemas.microsoft.com/office/drawing/2012/chart" uri="{CE6537A1-D6FC-4f65-9D91-7224C49458BB}"/>
                <c:ext xmlns:c16="http://schemas.microsoft.com/office/drawing/2014/chart" uri="{C3380CC4-5D6E-409C-BE32-E72D297353CC}">
                  <c16:uniqueId val="{00000020-328F-4AE9-BD6D-ACF0D15AD96F}"/>
                </c:ext>
              </c:extLst>
            </c:dLbl>
            <c:dLbl>
              <c:idx val="10"/>
              <c:delete val="1"/>
              <c:extLst>
                <c:ext xmlns:c15="http://schemas.microsoft.com/office/drawing/2012/chart" uri="{CE6537A1-D6FC-4f65-9D91-7224C49458BB}"/>
                <c:ext xmlns:c16="http://schemas.microsoft.com/office/drawing/2014/chart" uri="{C3380CC4-5D6E-409C-BE32-E72D297353CC}">
                  <c16:uniqueId val="{00000021-328F-4AE9-BD6D-ACF0D15AD96F}"/>
                </c:ext>
              </c:extLst>
            </c:dLbl>
            <c:dLbl>
              <c:idx val="11"/>
              <c:layout>
                <c:manualLayout>
                  <c:x val="-3.3493935737871475E-2"/>
                  <c:y val="-0.1027382149918484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28F-4AE9-BD6D-ACF0D15AD96F}"/>
                </c:ext>
              </c:extLst>
            </c:dLbl>
            <c:dLbl>
              <c:idx val="12"/>
              <c:delete val="1"/>
              <c:extLst>
                <c:ext xmlns:c15="http://schemas.microsoft.com/office/drawing/2012/chart" uri="{CE6537A1-D6FC-4f65-9D91-7224C49458BB}"/>
                <c:ext xmlns:c16="http://schemas.microsoft.com/office/drawing/2014/chart" uri="{C3380CC4-5D6E-409C-BE32-E72D297353CC}">
                  <c16:uniqueId val="{00000023-328F-4AE9-BD6D-ACF0D15AD96F}"/>
                </c:ext>
              </c:extLst>
            </c:dLbl>
            <c:dLbl>
              <c:idx val="14"/>
              <c:delete val="1"/>
              <c:extLst>
                <c:ext xmlns:c15="http://schemas.microsoft.com/office/drawing/2012/chart" uri="{CE6537A1-D6FC-4f65-9D91-7224C49458BB}"/>
                <c:ext xmlns:c16="http://schemas.microsoft.com/office/drawing/2014/chart" uri="{C3380CC4-5D6E-409C-BE32-E72D297353CC}">
                  <c16:uniqueId val="{00000024-328F-4AE9-BD6D-ACF0D15AD96F}"/>
                </c:ext>
              </c:extLst>
            </c:dLbl>
            <c:dLbl>
              <c:idx val="15"/>
              <c:delete val="1"/>
              <c:extLst>
                <c:ext xmlns:c15="http://schemas.microsoft.com/office/drawing/2012/chart" uri="{CE6537A1-D6FC-4f65-9D91-7224C49458BB}"/>
                <c:ext xmlns:c16="http://schemas.microsoft.com/office/drawing/2014/chart" uri="{C3380CC4-5D6E-409C-BE32-E72D297353CC}">
                  <c16:uniqueId val="{00000025-328F-4AE9-BD6D-ACF0D15AD96F}"/>
                </c:ext>
              </c:extLst>
            </c:dLbl>
            <c:dLbl>
              <c:idx val="17"/>
              <c:delete val="1"/>
              <c:extLst>
                <c:ext xmlns:c15="http://schemas.microsoft.com/office/drawing/2012/chart" uri="{CE6537A1-D6FC-4f65-9D91-7224C49458BB}"/>
                <c:ext xmlns:c16="http://schemas.microsoft.com/office/drawing/2014/chart" uri="{C3380CC4-5D6E-409C-BE32-E72D297353CC}">
                  <c16:uniqueId val="{00000026-328F-4AE9-BD6D-ACF0D15AD96F}"/>
                </c:ext>
              </c:extLst>
            </c:dLbl>
            <c:dLbl>
              <c:idx val="18"/>
              <c:delete val="1"/>
              <c:extLst>
                <c:ext xmlns:c15="http://schemas.microsoft.com/office/drawing/2012/chart" uri="{CE6537A1-D6FC-4f65-9D91-7224C49458BB}"/>
                <c:ext xmlns:c16="http://schemas.microsoft.com/office/drawing/2014/chart" uri="{C3380CC4-5D6E-409C-BE32-E72D297353CC}">
                  <c16:uniqueId val="{00000027-328F-4AE9-BD6D-ACF0D15AD96F}"/>
                </c:ext>
              </c:extLst>
            </c:dLbl>
            <c:dLbl>
              <c:idx val="19"/>
              <c:delete val="1"/>
              <c:extLst>
                <c:ext xmlns:c15="http://schemas.microsoft.com/office/drawing/2012/chart" uri="{CE6537A1-D6FC-4f65-9D91-7224C49458BB}"/>
                <c:ext xmlns:c16="http://schemas.microsoft.com/office/drawing/2014/chart" uri="{C3380CC4-5D6E-409C-BE32-E72D297353CC}">
                  <c16:uniqueId val="{00000028-328F-4AE9-BD6D-ACF0D15AD96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'[Nomina .xlsx]Proyecciones financieras'!$C$34:$N$34</c:f>
              <c:numCache>
                <c:formatCode>_-* #,##0.0_-;\-* #,##0.0_-;_-* "-"??_-;_-@_-</c:formatCode>
                <c:ptCount val="12"/>
                <c:pt idx="0">
                  <c:v>4847.51333178</c:v>
                </c:pt>
                <c:pt idx="1">
                  <c:v>5027.1446168510802</c:v>
                </c:pt>
                <c:pt idx="2">
                  <c:v>5218.4143856189849</c:v>
                </c:pt>
                <c:pt idx="3">
                  <c:v>5430.5408401320756</c:v>
                </c:pt>
                <c:pt idx="4">
                  <c:v>5659.1579725695356</c:v>
                </c:pt>
                <c:pt idx="5">
                  <c:v>5908.1339832537369</c:v>
                </c:pt>
                <c:pt idx="6">
                  <c:v>6167.3311343009864</c:v>
                </c:pt>
                <c:pt idx="7">
                  <c:v>6400.1576801860938</c:v>
                </c:pt>
                <c:pt idx="8">
                  <c:v>6656.4085998382016</c:v>
                </c:pt>
                <c:pt idx="9">
                  <c:v>7002.9815839091989</c:v>
                </c:pt>
                <c:pt idx="10">
                  <c:v>7396.8318984612315</c:v>
                </c:pt>
                <c:pt idx="11">
                  <c:v>7813.9947983969869</c:v>
                </c:pt>
              </c:numCache>
            </c:numRef>
          </c:val>
          <c:smooth val="0"/>
          <c:extLst>
            <c:ext xmlns:c16="http://schemas.microsoft.com/office/drawing/2014/chart" uri="{C3380CC4-5D6E-409C-BE32-E72D297353CC}">
              <c16:uniqueId val="{00000029-328F-4AE9-BD6D-ACF0D15AD96F}"/>
            </c:ext>
          </c:extLst>
        </c:ser>
        <c:dLbls>
          <c:showLegendKey val="0"/>
          <c:showVal val="0"/>
          <c:showCatName val="0"/>
          <c:showSerName val="0"/>
          <c:showPercent val="0"/>
          <c:showBubbleSize val="0"/>
        </c:dLbls>
        <c:marker val="1"/>
        <c:smooth val="0"/>
        <c:axId val="787441680"/>
        <c:axId val="787439600"/>
      </c:lineChart>
      <c:catAx>
        <c:axId val="787441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87439600"/>
        <c:crosses val="autoZero"/>
        <c:auto val="1"/>
        <c:lblAlgn val="ctr"/>
        <c:lblOffset val="100"/>
        <c:noMultiLvlLbl val="0"/>
      </c:catAx>
      <c:valAx>
        <c:axId val="787439600"/>
        <c:scaling>
          <c:orientation val="minMax"/>
        </c:scaling>
        <c:delete val="1"/>
        <c:axPos val="l"/>
        <c:numFmt formatCode="_-* #,##0.0_-;\-* #,##0.0_-;_-* &quot;-&quot;??_-;_-@_-" sourceLinked="1"/>
        <c:majorTickMark val="out"/>
        <c:minorTickMark val="none"/>
        <c:tickLblPos val="nextTo"/>
        <c:crossAx val="787441680"/>
        <c:crosses val="autoZero"/>
        <c:crossBetween val="between"/>
        <c:dispUnits>
          <c:builtInUnit val="thousands"/>
        </c:dispUnits>
      </c:valAx>
      <c:spPr>
        <a:noFill/>
        <a:ln>
          <a:noFill/>
        </a:ln>
        <a:effectLst/>
      </c:spPr>
    </c:plotArea>
    <c:legend>
      <c:legendPos val="b"/>
      <c:layout>
        <c:manualLayout>
          <c:xMode val="edge"/>
          <c:yMode val="edge"/>
          <c:x val="7.0555555555555554E-3"/>
          <c:y val="0.88016249999999996"/>
          <c:w val="0.9721211111111111"/>
          <c:h val="0.1021986111111111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569097222222233E-2"/>
          <c:y val="9.7013888888888886E-2"/>
          <c:w val="0.88592395833333337"/>
          <c:h val="0.67019652777777783"/>
        </c:manualLayout>
      </c:layout>
      <c:lineChart>
        <c:grouping val="standard"/>
        <c:varyColors val="0"/>
        <c:ser>
          <c:idx val="0"/>
          <c:order val="0"/>
          <c:tx>
            <c:strRef>
              <c:f>'[Nomina .xlsx]Proyecciones financieras'!$B$45</c:f>
              <c:strCache>
                <c:ptCount val="1"/>
                <c:pt idx="0">
                  <c:v>Tasa activos</c:v>
                </c:pt>
              </c:strCache>
            </c:strRef>
          </c:tx>
          <c:spPr>
            <a:ln w="28575" cap="rnd">
              <a:solidFill>
                <a:srgbClr val="002060"/>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BCD9-45CB-A1F0-2356F588758E}"/>
                </c:ext>
              </c:extLst>
            </c:dLbl>
            <c:dLbl>
              <c:idx val="2"/>
              <c:delete val="1"/>
              <c:extLst>
                <c:ext xmlns:c15="http://schemas.microsoft.com/office/drawing/2012/chart" uri="{CE6537A1-D6FC-4f65-9D91-7224C49458BB}"/>
                <c:ext xmlns:c16="http://schemas.microsoft.com/office/drawing/2014/chart" uri="{C3380CC4-5D6E-409C-BE32-E72D297353CC}">
                  <c16:uniqueId val="{00000001-BCD9-45CB-A1F0-2356F588758E}"/>
                </c:ext>
              </c:extLst>
            </c:dLbl>
            <c:dLbl>
              <c:idx val="4"/>
              <c:delete val="1"/>
              <c:extLst>
                <c:ext xmlns:c15="http://schemas.microsoft.com/office/drawing/2012/chart" uri="{CE6537A1-D6FC-4f65-9D91-7224C49458BB}"/>
                <c:ext xmlns:c16="http://schemas.microsoft.com/office/drawing/2014/chart" uri="{C3380CC4-5D6E-409C-BE32-E72D297353CC}">
                  <c16:uniqueId val="{00000002-BCD9-45CB-A1F0-2356F588758E}"/>
                </c:ext>
              </c:extLst>
            </c:dLbl>
            <c:dLbl>
              <c:idx val="5"/>
              <c:delete val="1"/>
              <c:extLst>
                <c:ext xmlns:c15="http://schemas.microsoft.com/office/drawing/2012/chart" uri="{CE6537A1-D6FC-4f65-9D91-7224C49458BB}"/>
                <c:ext xmlns:c16="http://schemas.microsoft.com/office/drawing/2014/chart" uri="{C3380CC4-5D6E-409C-BE32-E72D297353CC}">
                  <c16:uniqueId val="{00000003-BCD9-45CB-A1F0-2356F588758E}"/>
                </c:ext>
              </c:extLst>
            </c:dLbl>
            <c:dLbl>
              <c:idx val="7"/>
              <c:delete val="1"/>
              <c:extLst>
                <c:ext xmlns:c15="http://schemas.microsoft.com/office/drawing/2012/chart" uri="{CE6537A1-D6FC-4f65-9D91-7224C49458BB}"/>
                <c:ext xmlns:c16="http://schemas.microsoft.com/office/drawing/2014/chart" uri="{C3380CC4-5D6E-409C-BE32-E72D297353CC}">
                  <c16:uniqueId val="{00000004-BCD9-45CB-A1F0-2356F588758E}"/>
                </c:ext>
              </c:extLst>
            </c:dLbl>
            <c:dLbl>
              <c:idx val="8"/>
              <c:delete val="1"/>
              <c:extLst>
                <c:ext xmlns:c15="http://schemas.microsoft.com/office/drawing/2012/chart" uri="{CE6537A1-D6FC-4f65-9D91-7224C49458BB}"/>
                <c:ext xmlns:c16="http://schemas.microsoft.com/office/drawing/2014/chart" uri="{C3380CC4-5D6E-409C-BE32-E72D297353CC}">
                  <c16:uniqueId val="{00000005-BCD9-45CB-A1F0-2356F588758E}"/>
                </c:ext>
              </c:extLst>
            </c:dLbl>
            <c:dLbl>
              <c:idx val="10"/>
              <c:delete val="1"/>
              <c:extLst>
                <c:ext xmlns:c15="http://schemas.microsoft.com/office/drawing/2012/chart" uri="{CE6537A1-D6FC-4f65-9D91-7224C49458BB}"/>
                <c:ext xmlns:c16="http://schemas.microsoft.com/office/drawing/2014/chart" uri="{C3380CC4-5D6E-409C-BE32-E72D297353CC}">
                  <c16:uniqueId val="{00000006-BCD9-45CB-A1F0-2356F588758E}"/>
                </c:ext>
              </c:extLst>
            </c:dLbl>
            <c:dLbl>
              <c:idx val="11"/>
              <c:layout>
                <c:manualLayout>
                  <c:x val="-2.2048611111111113E-2"/>
                  <c:y val="-7.9375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D9-45CB-A1F0-2356F588758E}"/>
                </c:ext>
              </c:extLst>
            </c:dLbl>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D9-45CB-A1F0-2356F588758E}"/>
                </c:ext>
              </c:extLst>
            </c:dLbl>
            <c:dLbl>
              <c:idx val="13"/>
              <c:delete val="1"/>
              <c:extLst>
                <c:ext xmlns:c15="http://schemas.microsoft.com/office/drawing/2012/chart" uri="{CE6537A1-D6FC-4f65-9D91-7224C49458BB}"/>
                <c:ext xmlns:c16="http://schemas.microsoft.com/office/drawing/2014/chart" uri="{C3380CC4-5D6E-409C-BE32-E72D297353CC}">
                  <c16:uniqueId val="{00000009-BCD9-45CB-A1F0-2356F588758E}"/>
                </c:ext>
              </c:extLst>
            </c:dLbl>
            <c:dLbl>
              <c:idx val="14"/>
              <c:delete val="1"/>
              <c:extLst>
                <c:ext xmlns:c15="http://schemas.microsoft.com/office/drawing/2012/chart" uri="{CE6537A1-D6FC-4f65-9D91-7224C49458BB}"/>
                <c:ext xmlns:c16="http://schemas.microsoft.com/office/drawing/2014/chart" uri="{C3380CC4-5D6E-409C-BE32-E72D297353CC}">
                  <c16:uniqueId val="{0000000A-BCD9-45CB-A1F0-2356F588758E}"/>
                </c:ext>
              </c:extLst>
            </c:dLbl>
            <c:dLbl>
              <c:idx val="1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D9-45CB-A1F0-2356F588758E}"/>
                </c:ext>
              </c:extLst>
            </c:dLbl>
            <c:dLbl>
              <c:idx val="16"/>
              <c:delete val="1"/>
              <c:extLst>
                <c:ext xmlns:c15="http://schemas.microsoft.com/office/drawing/2012/chart" uri="{CE6537A1-D6FC-4f65-9D91-7224C49458BB}"/>
                <c:ext xmlns:c16="http://schemas.microsoft.com/office/drawing/2014/chart" uri="{C3380CC4-5D6E-409C-BE32-E72D297353CC}">
                  <c16:uniqueId val="{0000000C-BCD9-45CB-A1F0-2356F588758E}"/>
                </c:ext>
              </c:extLst>
            </c:dLbl>
            <c:dLbl>
              <c:idx val="17"/>
              <c:delete val="1"/>
              <c:extLst>
                <c:ext xmlns:c15="http://schemas.microsoft.com/office/drawing/2012/chart" uri="{CE6537A1-D6FC-4f65-9D91-7224C49458BB}"/>
                <c:ext xmlns:c16="http://schemas.microsoft.com/office/drawing/2014/chart" uri="{C3380CC4-5D6E-409C-BE32-E72D297353CC}">
                  <c16:uniqueId val="{0000000D-BCD9-45CB-A1F0-2356F588758E}"/>
                </c:ext>
              </c:extLst>
            </c:dLbl>
            <c:dLbl>
              <c:idx val="1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CD9-45CB-A1F0-2356F588758E}"/>
                </c:ext>
              </c:extLst>
            </c:dLbl>
            <c:dLbl>
              <c:idx val="19"/>
              <c:delete val="1"/>
              <c:extLst>
                <c:ext xmlns:c15="http://schemas.microsoft.com/office/drawing/2012/chart" uri="{CE6537A1-D6FC-4f65-9D91-7224C49458BB}"/>
                <c:ext xmlns:c16="http://schemas.microsoft.com/office/drawing/2014/chart" uri="{C3380CC4-5D6E-409C-BE32-E72D297353CC}">
                  <c16:uniqueId val="{0000000F-BCD9-45CB-A1F0-2356F588758E}"/>
                </c:ext>
              </c:extLst>
            </c:dLbl>
            <c:dLbl>
              <c:idx val="2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CD9-45CB-A1F0-2356F588758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'[Nomina .xlsx]Proyecciones financieras'!$C$33:$N$33</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'[Nomina .xlsx]Proyecciones financieras'!$C$45:$N$45</c:f>
              <c:numCache>
                <c:formatCode>_-* #,##0.0_-;\-* #,##0.0_-;_-* "-"??_-;_-@_-</c:formatCode>
                <c:ptCount val="12"/>
                <c:pt idx="0">
                  <c:v>12.617726038384264</c:v>
                </c:pt>
                <c:pt idx="1">
                  <c:v>12.856697827522002</c:v>
                </c:pt>
                <c:pt idx="2">
                  <c:v>12.856417835025663</c:v>
                </c:pt>
                <c:pt idx="3">
                  <c:v>12.85614908965953</c:v>
                </c:pt>
                <c:pt idx="4">
                  <c:v>12.855891176385468</c:v>
                </c:pt>
                <c:pt idx="5">
                  <c:v>12.855643693316932</c:v>
                </c:pt>
                <c:pt idx="6">
                  <c:v>12.855406232086212</c:v>
                </c:pt>
                <c:pt idx="7">
                  <c:v>12.85517843768449</c:v>
                </c:pt>
                <c:pt idx="8">
                  <c:v>12.854959945477423</c:v>
                </c:pt>
                <c:pt idx="9">
                  <c:v>12.854750386659447</c:v>
                </c:pt>
                <c:pt idx="10">
                  <c:v>12.854549422913413</c:v>
                </c:pt>
                <c:pt idx="11">
                  <c:v>12.854356726860816</c:v>
                </c:pt>
              </c:numCache>
            </c:numRef>
          </c:val>
          <c:smooth val="0"/>
          <c:extLst>
            <c:ext xmlns:c16="http://schemas.microsoft.com/office/drawing/2014/chart" uri="{C3380CC4-5D6E-409C-BE32-E72D297353CC}">
              <c16:uniqueId val="{00000011-BCD9-45CB-A1F0-2356F588758E}"/>
            </c:ext>
          </c:extLst>
        </c:ser>
        <c:ser>
          <c:idx val="1"/>
          <c:order val="1"/>
          <c:tx>
            <c:strRef>
              <c:f>'[Nomina .xlsx]Proyecciones financieras'!$B$46</c:f>
              <c:strCache>
                <c:ptCount val="1"/>
                <c:pt idx="0">
                  <c:v>Tasa patronal</c:v>
                </c:pt>
              </c:strCache>
            </c:strRef>
          </c:tx>
          <c:spPr>
            <a:ln w="28575" cap="rnd">
              <a:solidFill>
                <a:srgbClr val="C00000"/>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12-BCD9-45CB-A1F0-2356F588758E}"/>
                </c:ext>
              </c:extLst>
            </c:dLbl>
            <c:dLbl>
              <c:idx val="2"/>
              <c:delete val="1"/>
              <c:extLst>
                <c:ext xmlns:c15="http://schemas.microsoft.com/office/drawing/2012/chart" uri="{CE6537A1-D6FC-4f65-9D91-7224C49458BB}"/>
                <c:ext xmlns:c16="http://schemas.microsoft.com/office/drawing/2014/chart" uri="{C3380CC4-5D6E-409C-BE32-E72D297353CC}">
                  <c16:uniqueId val="{00000013-BCD9-45CB-A1F0-2356F588758E}"/>
                </c:ext>
              </c:extLst>
            </c:dLbl>
            <c:dLbl>
              <c:idx val="4"/>
              <c:delete val="1"/>
              <c:extLst>
                <c:ext xmlns:c15="http://schemas.microsoft.com/office/drawing/2012/chart" uri="{CE6537A1-D6FC-4f65-9D91-7224C49458BB}"/>
                <c:ext xmlns:c16="http://schemas.microsoft.com/office/drawing/2014/chart" uri="{C3380CC4-5D6E-409C-BE32-E72D297353CC}">
                  <c16:uniqueId val="{00000014-BCD9-45CB-A1F0-2356F588758E}"/>
                </c:ext>
              </c:extLst>
            </c:dLbl>
            <c:dLbl>
              <c:idx val="5"/>
              <c:delete val="1"/>
              <c:extLst>
                <c:ext xmlns:c15="http://schemas.microsoft.com/office/drawing/2012/chart" uri="{CE6537A1-D6FC-4f65-9D91-7224C49458BB}"/>
                <c:ext xmlns:c16="http://schemas.microsoft.com/office/drawing/2014/chart" uri="{C3380CC4-5D6E-409C-BE32-E72D297353CC}">
                  <c16:uniqueId val="{00000015-BCD9-45CB-A1F0-2356F588758E}"/>
                </c:ext>
              </c:extLst>
            </c:dLbl>
            <c:dLbl>
              <c:idx val="7"/>
              <c:delete val="1"/>
              <c:extLst>
                <c:ext xmlns:c15="http://schemas.microsoft.com/office/drawing/2012/chart" uri="{CE6537A1-D6FC-4f65-9D91-7224C49458BB}"/>
                <c:ext xmlns:c16="http://schemas.microsoft.com/office/drawing/2014/chart" uri="{C3380CC4-5D6E-409C-BE32-E72D297353CC}">
                  <c16:uniqueId val="{00000016-BCD9-45CB-A1F0-2356F588758E}"/>
                </c:ext>
              </c:extLst>
            </c:dLbl>
            <c:dLbl>
              <c:idx val="8"/>
              <c:delete val="1"/>
              <c:extLst>
                <c:ext xmlns:c15="http://schemas.microsoft.com/office/drawing/2012/chart" uri="{CE6537A1-D6FC-4f65-9D91-7224C49458BB}"/>
                <c:ext xmlns:c16="http://schemas.microsoft.com/office/drawing/2014/chart" uri="{C3380CC4-5D6E-409C-BE32-E72D297353CC}">
                  <c16:uniqueId val="{00000017-BCD9-45CB-A1F0-2356F588758E}"/>
                </c:ext>
              </c:extLst>
            </c:dLbl>
            <c:dLbl>
              <c:idx val="10"/>
              <c:delete val="1"/>
              <c:extLst>
                <c:ext xmlns:c15="http://schemas.microsoft.com/office/drawing/2012/chart" uri="{CE6537A1-D6FC-4f65-9D91-7224C49458BB}"/>
                <c:ext xmlns:c16="http://schemas.microsoft.com/office/drawing/2014/chart" uri="{C3380CC4-5D6E-409C-BE32-E72D297353CC}">
                  <c16:uniqueId val="{00000018-BCD9-45CB-A1F0-2356F588758E}"/>
                </c:ext>
              </c:extLst>
            </c:dLbl>
            <c:dLbl>
              <c:idx val="11"/>
              <c:layout>
                <c:manualLayout>
                  <c:x val="0"/>
                  <c:y val="7.9375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CD9-45CB-A1F0-2356F588758E}"/>
                </c:ext>
              </c:extLst>
            </c:dLbl>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CD9-45CB-A1F0-2356F588758E}"/>
                </c:ext>
              </c:extLst>
            </c:dLbl>
            <c:dLbl>
              <c:idx val="13"/>
              <c:delete val="1"/>
              <c:extLst>
                <c:ext xmlns:c15="http://schemas.microsoft.com/office/drawing/2012/chart" uri="{CE6537A1-D6FC-4f65-9D91-7224C49458BB}"/>
                <c:ext xmlns:c16="http://schemas.microsoft.com/office/drawing/2014/chart" uri="{C3380CC4-5D6E-409C-BE32-E72D297353CC}">
                  <c16:uniqueId val="{0000001B-BCD9-45CB-A1F0-2356F588758E}"/>
                </c:ext>
              </c:extLst>
            </c:dLbl>
            <c:dLbl>
              <c:idx val="14"/>
              <c:delete val="1"/>
              <c:extLst>
                <c:ext xmlns:c15="http://schemas.microsoft.com/office/drawing/2012/chart" uri="{CE6537A1-D6FC-4f65-9D91-7224C49458BB}"/>
                <c:ext xmlns:c16="http://schemas.microsoft.com/office/drawing/2014/chart" uri="{C3380CC4-5D6E-409C-BE32-E72D297353CC}">
                  <c16:uniqueId val="{0000001C-BCD9-45CB-A1F0-2356F588758E}"/>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CD9-45CB-A1F0-2356F588758E}"/>
                </c:ext>
              </c:extLst>
            </c:dLbl>
            <c:dLbl>
              <c:idx val="16"/>
              <c:delete val="1"/>
              <c:extLst>
                <c:ext xmlns:c15="http://schemas.microsoft.com/office/drawing/2012/chart" uri="{CE6537A1-D6FC-4f65-9D91-7224C49458BB}"/>
                <c:ext xmlns:c16="http://schemas.microsoft.com/office/drawing/2014/chart" uri="{C3380CC4-5D6E-409C-BE32-E72D297353CC}">
                  <c16:uniqueId val="{0000001E-BCD9-45CB-A1F0-2356F588758E}"/>
                </c:ext>
              </c:extLst>
            </c:dLbl>
            <c:dLbl>
              <c:idx val="17"/>
              <c:delete val="1"/>
              <c:extLst>
                <c:ext xmlns:c15="http://schemas.microsoft.com/office/drawing/2012/chart" uri="{CE6537A1-D6FC-4f65-9D91-7224C49458BB}"/>
                <c:ext xmlns:c16="http://schemas.microsoft.com/office/drawing/2014/chart" uri="{C3380CC4-5D6E-409C-BE32-E72D297353CC}">
                  <c16:uniqueId val="{0000001F-BCD9-45CB-A1F0-2356F588758E}"/>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CD9-45CB-A1F0-2356F588758E}"/>
                </c:ext>
              </c:extLst>
            </c:dLbl>
            <c:dLbl>
              <c:idx val="19"/>
              <c:delete val="1"/>
              <c:extLst>
                <c:ext xmlns:c15="http://schemas.microsoft.com/office/drawing/2012/chart" uri="{CE6537A1-D6FC-4f65-9D91-7224C49458BB}"/>
                <c:ext xmlns:c16="http://schemas.microsoft.com/office/drawing/2014/chart" uri="{C3380CC4-5D6E-409C-BE32-E72D297353CC}">
                  <c16:uniqueId val="{00000021-BCD9-45CB-A1F0-2356F588758E}"/>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CD9-45CB-A1F0-2356F588758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'[Nomina .xlsx]Proyecciones financieras'!$C$33:$N$33</c:f>
              <c:numCache>
                <c:formatCode>General</c:formatCode>
                <c:ptCount val="12"/>
                <c:pt idx="0">
                  <c:v>2021</c:v>
                </c:pt>
                <c:pt idx="1">
                  <c:v>2022</c:v>
                </c:pt>
                <c:pt idx="2">
                  <c:v>2023</c:v>
                </c:pt>
                <c:pt idx="3">
                  <c:v>2024</c:v>
                </c:pt>
                <c:pt idx="4">
                  <c:v>2025</c:v>
                </c:pt>
                <c:pt idx="5">
                  <c:v>2026</c:v>
                </c:pt>
                <c:pt idx="6">
                  <c:v>2027</c:v>
                </c:pt>
                <c:pt idx="7">
                  <c:v>2028</c:v>
                </c:pt>
                <c:pt idx="8">
                  <c:v>2029</c:v>
                </c:pt>
                <c:pt idx="9">
                  <c:v>2030</c:v>
                </c:pt>
                <c:pt idx="10">
                  <c:v>2031</c:v>
                </c:pt>
                <c:pt idx="11">
                  <c:v>2032</c:v>
                </c:pt>
              </c:numCache>
            </c:numRef>
          </c:cat>
          <c:val>
            <c:numRef>
              <c:f>'[Nomina .xlsx]Proyecciones financieras'!$C$46:$N$46</c:f>
              <c:numCache>
                <c:formatCode>_-* #,##0.0_-;\-* #,##0.0_-;_-* "-"??_-;_-@_-</c:formatCode>
                <c:ptCount val="12"/>
                <c:pt idx="0">
                  <c:v>10.755682581703615</c:v>
                </c:pt>
                <c:pt idx="1">
                  <c:v>10.371340620529166</c:v>
                </c:pt>
                <c:pt idx="2">
                  <c:v>10.247429678487372</c:v>
                </c:pt>
                <c:pt idx="3">
                  <c:v>10.180065069260282</c:v>
                </c:pt>
                <c:pt idx="4">
                  <c:v>10.143219380081794</c:v>
                </c:pt>
                <c:pt idx="5">
                  <c:v>10.146639134212244</c:v>
                </c:pt>
                <c:pt idx="6">
                  <c:v>10.145722599176061</c:v>
                </c:pt>
                <c:pt idx="7">
                  <c:v>10.008527508886612</c:v>
                </c:pt>
                <c:pt idx="8">
                  <c:v>9.9208627473121762</c:v>
                </c:pt>
                <c:pt idx="9">
                  <c:v>10.094533726997511</c:v>
                </c:pt>
                <c:pt idx="10">
                  <c:v>10.359946468979281</c:v>
                </c:pt>
                <c:pt idx="11">
                  <c:v>10.630647828648172</c:v>
                </c:pt>
              </c:numCache>
            </c:numRef>
          </c:val>
          <c:smooth val="0"/>
          <c:extLst>
            <c:ext xmlns:c16="http://schemas.microsoft.com/office/drawing/2014/chart" uri="{C3380CC4-5D6E-409C-BE32-E72D297353CC}">
              <c16:uniqueId val="{00000023-BCD9-45CB-A1F0-2356F588758E}"/>
            </c:ext>
          </c:extLst>
        </c:ser>
        <c:dLbls>
          <c:showLegendKey val="0"/>
          <c:showVal val="0"/>
          <c:showCatName val="0"/>
          <c:showSerName val="0"/>
          <c:showPercent val="0"/>
          <c:showBubbleSize val="0"/>
        </c:dLbls>
        <c:smooth val="0"/>
        <c:axId val="216859535"/>
        <c:axId val="216870351"/>
      </c:lineChart>
      <c:catAx>
        <c:axId val="216859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216870351"/>
        <c:crosses val="autoZero"/>
        <c:auto val="1"/>
        <c:lblAlgn val="ctr"/>
        <c:lblOffset val="100"/>
        <c:noMultiLvlLbl val="0"/>
      </c:catAx>
      <c:valAx>
        <c:axId val="216870351"/>
        <c:scaling>
          <c:orientation val="minMax"/>
          <c:max val="20"/>
        </c:scaling>
        <c:delete val="1"/>
        <c:axPos val="l"/>
        <c:numFmt formatCode="_-* #,##0.0_-;\-* #,##0.0_-;_-* &quot;-&quot;??_-;_-@_-" sourceLinked="1"/>
        <c:majorTickMark val="out"/>
        <c:minorTickMark val="none"/>
        <c:tickLblPos val="nextTo"/>
        <c:crossAx val="216859535"/>
        <c:crosses val="autoZero"/>
        <c:crossBetween val="between"/>
      </c:valAx>
      <c:spPr>
        <a:noFill/>
        <a:ln>
          <a:noFill/>
        </a:ln>
        <a:effectLst/>
      </c:spPr>
    </c:plotArea>
    <c:legend>
      <c:legendPos val="b"/>
      <c:layout>
        <c:manualLayout>
          <c:xMode val="edge"/>
          <c:yMode val="edge"/>
          <c:x val="0"/>
          <c:y val="0.89194652777777783"/>
          <c:w val="0.99813269939039873"/>
          <c:h val="0.106220833333333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77714169503905"/>
          <c:y val="2.9507800441405271E-2"/>
          <c:w val="0.80295383678841159"/>
          <c:h val="0.86543120879554569"/>
        </c:manualLayout>
      </c:layout>
      <c:barChart>
        <c:barDir val="bar"/>
        <c:grouping val="stacked"/>
        <c:varyColors val="0"/>
        <c:ser>
          <c:idx val="0"/>
          <c:order val="0"/>
          <c:tx>
            <c:strRef>
              <c:f>Hoja1!$B$20</c:f>
              <c:strCache>
                <c:ptCount val="1"/>
                <c:pt idx="0">
                  <c:v>Hombres </c:v>
                </c:pt>
              </c:strCache>
            </c:strRef>
          </c:tx>
          <c:spPr>
            <a:solidFill>
              <a:schemeClr val="accent1"/>
            </a:solidFill>
            <a:ln>
              <a:noFill/>
            </a:ln>
            <a:effectLst>
              <a:outerShdw blurRad="50800" dist="38100" dir="2700000" algn="tl" rotWithShape="0">
                <a:prstClr val="black">
                  <a:alpha val="40000"/>
                </a:prstClr>
              </a:outerShdw>
            </a:effectLst>
          </c:spPr>
          <c:invertIfNegative val="0"/>
          <c:dLbls>
            <c:dLbl>
              <c:idx val="0"/>
              <c:layout>
                <c:manualLayout>
                  <c:x val="-4.7677764077270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56-4CBA-AC63-9B4B84C64257}"/>
                </c:ext>
              </c:extLst>
            </c:dLbl>
            <c:dLbl>
              <c:idx val="1"/>
              <c:layout>
                <c:manualLayout>
                  <c:x val="-0.16122843878365656"/>
                  <c:y val="2.6573581370166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56-4CBA-AC63-9B4B84C64257}"/>
                </c:ext>
              </c:extLst>
            </c:dLbl>
            <c:dLbl>
              <c:idx val="2"/>
              <c:layout>
                <c:manualLayout>
                  <c:x val="-0.20470567590430516"/>
                  <c:y val="2.092243238340608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56-4CBA-AC63-9B4B84C64257}"/>
                </c:ext>
              </c:extLst>
            </c:dLbl>
            <c:dLbl>
              <c:idx val="3"/>
              <c:layout>
                <c:manualLayout>
                  <c:x val="-0.19211464186067725"/>
                  <c:y val="-2.65693968836873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56-4CBA-AC63-9B4B84C64257}"/>
                </c:ext>
              </c:extLst>
            </c:dLbl>
            <c:dLbl>
              <c:idx val="4"/>
              <c:layout>
                <c:manualLayout>
                  <c:x val="-0.15559444675913475"/>
                  <c:y val="2.65735813701640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56-4CBA-AC63-9B4B84C64257}"/>
                </c:ext>
              </c:extLst>
            </c:dLbl>
            <c:dLbl>
              <c:idx val="5"/>
              <c:layout>
                <c:manualLayout>
                  <c:x val="-0.12642240886805364"/>
                  <c:y val="4.82680515085188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56-4CBA-AC63-9B4B84C64257}"/>
                </c:ext>
              </c:extLst>
            </c:dLbl>
            <c:dLbl>
              <c:idx val="6"/>
              <c:layout>
                <c:manualLayout>
                  <c:x val="-8.9831946873767693E-2"/>
                  <c:y val="2.41340257542598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56-4CBA-AC63-9B4B84C64257}"/>
                </c:ext>
              </c:extLst>
            </c:dLbl>
            <c:dLbl>
              <c:idx val="7"/>
              <c:layout>
                <c:manualLayout>
                  <c:x val="-6.6815140074014456E-2"/>
                  <c:y val="2.092243238827746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56-4CBA-AC63-9B4B84C64257}"/>
                </c:ext>
              </c:extLst>
            </c:dLbl>
            <c:dLbl>
              <c:idx val="8"/>
              <c:layout>
                <c:manualLayout>
                  <c:x val="-5.46049352392061E-2"/>
                  <c:y val="5.31471627403281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56-4CBA-AC63-9B4B84C64257}"/>
                </c:ext>
              </c:extLst>
            </c:dLbl>
            <c:dLbl>
              <c:idx val="9"/>
              <c:layout>
                <c:manualLayout>
                  <c:x val="-3.9878506435679022E-2"/>
                  <c:y val="2.092243238340608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56-4CBA-AC63-9B4B84C64257}"/>
                </c:ext>
              </c:extLst>
            </c:dLbl>
            <c:dLbl>
              <c:idx val="10"/>
              <c:layout>
                <c:manualLayout>
                  <c:x val="-3.2644048990975713E-2"/>
                  <c:y val="5.07087647226087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56-4CBA-AC63-9B4B84C64257}"/>
                </c:ext>
              </c:extLst>
            </c:dLbl>
            <c:dLbl>
              <c:idx val="11"/>
              <c:layout>
                <c:manualLayout>
                  <c:x val="-2.9145286493171947E-2"/>
                  <c:y val="1.2125481760547199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56-4CBA-AC63-9B4B84C64257}"/>
                </c:ext>
              </c:extLst>
            </c:dLbl>
            <c:dLbl>
              <c:idx val="12"/>
              <c:layout>
                <c:manualLayout>
                  <c:x val="-2.6891289340326245E-2"/>
                  <c:y val="-2.38447598821159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356-4CBA-AC63-9B4B84C64257}"/>
                </c:ext>
              </c:extLst>
            </c:dLbl>
            <c:dLbl>
              <c:idx val="13"/>
              <c:layout>
                <c:manualLayout>
                  <c:x val="-2.7031710215584089E-2"/>
                  <c:y val="1.2125481760547199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356-4CBA-AC63-9B4B84C64257}"/>
                </c:ext>
              </c:extLst>
            </c:dLbl>
            <c:numFmt formatCode="#,##0.0;[Black]#,##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Hoja1!$A$21:$A$34</c:f>
              <c:strCache>
                <c:ptCount val="14"/>
                <c:pt idx="0">
                  <c:v>Hasta 19</c:v>
                </c:pt>
                <c:pt idx="1">
                  <c:v>20 - 24</c:v>
                </c:pt>
                <c:pt idx="2">
                  <c:v>25 - 29</c:v>
                </c:pt>
                <c:pt idx="3">
                  <c:v>30 - 34</c:v>
                </c:pt>
                <c:pt idx="4">
                  <c:v>35 - 39</c:v>
                </c:pt>
                <c:pt idx="5">
                  <c:v>40 - 44</c:v>
                </c:pt>
                <c:pt idx="6">
                  <c:v>45 - 49</c:v>
                </c:pt>
                <c:pt idx="7">
                  <c:v>50 - 54</c:v>
                </c:pt>
                <c:pt idx="8">
                  <c:v>55 - 59</c:v>
                </c:pt>
                <c:pt idx="9">
                  <c:v>60 - 64</c:v>
                </c:pt>
                <c:pt idx="10">
                  <c:v>65 - 69</c:v>
                </c:pt>
                <c:pt idx="11">
                  <c:v>70 - 74</c:v>
                </c:pt>
                <c:pt idx="12">
                  <c:v>75 - 79</c:v>
                </c:pt>
                <c:pt idx="13">
                  <c:v>80 y más</c:v>
                </c:pt>
              </c:strCache>
            </c:strRef>
          </c:cat>
          <c:val>
            <c:numRef>
              <c:f>Hoja1!$G$21:$G$34</c:f>
              <c:numCache>
                <c:formatCode>0.0</c:formatCode>
                <c:ptCount val="14"/>
                <c:pt idx="0">
                  <c:v>-1.2312641545314671</c:v>
                </c:pt>
                <c:pt idx="1">
                  <c:v>-9.6789622603454131</c:v>
                </c:pt>
                <c:pt idx="2">
                  <c:v>-12.779777100345184</c:v>
                </c:pt>
                <c:pt idx="3">
                  <c:v>-11.481594066766169</c:v>
                </c:pt>
                <c:pt idx="4">
                  <c:v>-9.1937463623214288</c:v>
                </c:pt>
                <c:pt idx="5">
                  <c:v>-7.2626792907319153</c:v>
                </c:pt>
                <c:pt idx="6">
                  <c:v>-5.1347453769067197</c:v>
                </c:pt>
                <c:pt idx="7">
                  <c:v>-3.6014458511735654</c:v>
                </c:pt>
                <c:pt idx="8">
                  <c:v>-2.5912517071877645</c:v>
                </c:pt>
                <c:pt idx="9">
                  <c:v>-1.5328673262990475</c:v>
                </c:pt>
                <c:pt idx="10">
                  <c:v>-0.75807780742345743</c:v>
                </c:pt>
                <c:pt idx="11">
                  <c:v>-0.32364534290703101</c:v>
                </c:pt>
                <c:pt idx="12">
                  <c:v>-0.12404123758867291</c:v>
                </c:pt>
                <c:pt idx="13">
                  <c:v>-3.8321683157476187E-2</c:v>
                </c:pt>
              </c:numCache>
            </c:numRef>
          </c:val>
          <c:extLst>
            <c:ext xmlns:c16="http://schemas.microsoft.com/office/drawing/2014/chart" uri="{C3380CC4-5D6E-409C-BE32-E72D297353CC}">
              <c16:uniqueId val="{0000000E-3356-4CBA-AC63-9B4B84C64257}"/>
            </c:ext>
          </c:extLst>
        </c:ser>
        <c:ser>
          <c:idx val="1"/>
          <c:order val="1"/>
          <c:tx>
            <c:strRef>
              <c:f>Hoja1!$C$20</c:f>
              <c:strCache>
                <c:ptCount val="1"/>
                <c:pt idx="0">
                  <c:v>Mujeres</c:v>
                </c:pt>
              </c:strCache>
            </c:strRef>
          </c:tx>
          <c:spPr>
            <a:solidFill>
              <a:schemeClr val="accent2"/>
            </a:solidFill>
            <a:ln>
              <a:noFill/>
            </a:ln>
            <a:effectLst>
              <a:outerShdw blurRad="50800" dist="38100" dir="2700000" algn="tl" rotWithShape="0">
                <a:prstClr val="black">
                  <a:alpha val="40000"/>
                </a:prstClr>
              </a:outerShdw>
            </a:effectLst>
          </c:spPr>
          <c:invertIfNegative val="0"/>
          <c:dLbls>
            <c:dLbl>
              <c:idx val="0"/>
              <c:layout>
                <c:manualLayout>
                  <c:x val="5.0438665516030788E-2"/>
                  <c:y val="2.65727193416265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356-4CBA-AC63-9B4B84C64257}"/>
                </c:ext>
              </c:extLst>
            </c:dLbl>
            <c:dLbl>
              <c:idx val="1"/>
              <c:layout>
                <c:manualLayout>
                  <c:x val="9.7621192914250615E-2"/>
                  <c:y val="-1.2937982743506556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356-4CBA-AC63-9B4B84C64257}"/>
                </c:ext>
              </c:extLst>
            </c:dLbl>
            <c:dLbl>
              <c:idx val="2"/>
              <c:layout>
                <c:manualLayout>
                  <c:x val="0.1130880219151170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356-4CBA-AC63-9B4B84C64257}"/>
                </c:ext>
              </c:extLst>
            </c:dLbl>
            <c:dLbl>
              <c:idx val="3"/>
              <c:layout>
                <c:manualLayout>
                  <c:x val="0.12868282745131263"/>
                  <c:y val="-1.2937982743506556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356-4CBA-AC63-9B4B84C64257}"/>
                </c:ext>
              </c:extLst>
            </c:dLbl>
            <c:dLbl>
              <c:idx val="4"/>
              <c:layout>
                <c:manualLayout>
                  <c:x val="0.1135611892133074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356-4CBA-AC63-9B4B84C64257}"/>
                </c:ext>
              </c:extLst>
            </c:dLbl>
            <c:dLbl>
              <c:idx val="5"/>
              <c:layout>
                <c:manualLayout>
                  <c:x val="9.9200146654191759E-2"/>
                  <c:y val="-1.4114326040931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356-4CBA-AC63-9B4B84C64257}"/>
                </c:ext>
              </c:extLst>
            </c:dLbl>
            <c:dLbl>
              <c:idx val="6"/>
              <c:layout>
                <c:manualLayout>
                  <c:x val="8.3971630715060239E-2"/>
                  <c:y val="-2.65727193416278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356-4CBA-AC63-9B4B84C64257}"/>
                </c:ext>
              </c:extLst>
            </c:dLbl>
            <c:dLbl>
              <c:idx val="7"/>
              <c:layout>
                <c:manualLayout>
                  <c:x val="6.7438445880625489E-2"/>
                  <c:y val="-2.65727193416278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356-4CBA-AC63-9B4B84C64257}"/>
                </c:ext>
              </c:extLst>
            </c:dLbl>
            <c:dLbl>
              <c:idx val="8"/>
              <c:layout>
                <c:manualLayout>
                  <c:x val="4.7624219386369723E-2"/>
                  <c:y val="-2.65727193416278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356-4CBA-AC63-9B4B84C64257}"/>
                </c:ext>
              </c:extLst>
            </c:dLbl>
            <c:dLbl>
              <c:idx val="9"/>
              <c:layout>
                <c:manualLayout>
                  <c:x val="4.5964675017423753E-2"/>
                  <c:y val="-2.65727193416281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356-4CBA-AC63-9B4B84C64257}"/>
                </c:ext>
              </c:extLst>
            </c:dLbl>
            <c:dLbl>
              <c:idx val="10"/>
              <c:layout>
                <c:manualLayout>
                  <c:x val="3.5323459140292134E-2"/>
                  <c:y val="2.657299327823918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356-4CBA-AC63-9B4B84C64257}"/>
                </c:ext>
              </c:extLst>
            </c:dLbl>
            <c:dLbl>
              <c:idx val="11"/>
              <c:layout>
                <c:manualLayout>
                  <c:x val="3.716922821502124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356-4CBA-AC63-9B4B84C64257}"/>
                </c:ext>
              </c:extLst>
            </c:dLbl>
            <c:dLbl>
              <c:idx val="12"/>
              <c:layout>
                <c:manualLayout>
                  <c:x val="3.6073818249108054E-2"/>
                  <c:y val="-2.65727193416278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356-4CBA-AC63-9B4B84C64257}"/>
                </c:ext>
              </c:extLst>
            </c:dLbl>
            <c:dLbl>
              <c:idx val="13"/>
              <c:layout>
                <c:manualLayout>
                  <c:x val="3.5568483875821254E-2"/>
                  <c:y val="-7.601175823381992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356-4CBA-AC63-9B4B84C6425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Hoja1!$A$21:$A$34</c:f>
              <c:strCache>
                <c:ptCount val="14"/>
                <c:pt idx="0">
                  <c:v>Hasta 19</c:v>
                </c:pt>
                <c:pt idx="1">
                  <c:v>20 - 24</c:v>
                </c:pt>
                <c:pt idx="2">
                  <c:v>25 - 29</c:v>
                </c:pt>
                <c:pt idx="3">
                  <c:v>30 - 34</c:v>
                </c:pt>
                <c:pt idx="4">
                  <c:v>35 - 39</c:v>
                </c:pt>
                <c:pt idx="5">
                  <c:v>40 - 44</c:v>
                </c:pt>
                <c:pt idx="6">
                  <c:v>45 - 49</c:v>
                </c:pt>
                <c:pt idx="7">
                  <c:v>50 - 54</c:v>
                </c:pt>
                <c:pt idx="8">
                  <c:v>55 - 59</c:v>
                </c:pt>
                <c:pt idx="9">
                  <c:v>60 - 64</c:v>
                </c:pt>
                <c:pt idx="10">
                  <c:v>65 - 69</c:v>
                </c:pt>
                <c:pt idx="11">
                  <c:v>70 - 74</c:v>
                </c:pt>
                <c:pt idx="12">
                  <c:v>75 - 79</c:v>
                </c:pt>
                <c:pt idx="13">
                  <c:v>80 y más</c:v>
                </c:pt>
              </c:strCache>
            </c:strRef>
          </c:cat>
          <c:val>
            <c:numRef>
              <c:f>Hoja1!$F$21:$F$34</c:f>
              <c:numCache>
                <c:formatCode>0.0</c:formatCode>
                <c:ptCount val="14"/>
                <c:pt idx="0">
                  <c:v>0.41764871982527618</c:v>
                </c:pt>
                <c:pt idx="1">
                  <c:v>4.1316825235836827</c:v>
                </c:pt>
                <c:pt idx="2">
                  <c:v>5.8805775336971493</c:v>
                </c:pt>
                <c:pt idx="3">
                  <c:v>6.2351251361428215</c:v>
                </c:pt>
                <c:pt idx="4">
                  <c:v>5.592876777060007</c:v>
                </c:pt>
                <c:pt idx="5">
                  <c:v>4.4072096628268147</c:v>
                </c:pt>
                <c:pt idx="6">
                  <c:v>3.016463917109911</c:v>
                </c:pt>
                <c:pt idx="7">
                  <c:v>2.0034604768024158</c:v>
                </c:pt>
                <c:pt idx="8">
                  <c:v>1.3408987443165774</c:v>
                </c:pt>
                <c:pt idx="9">
                  <c:v>0.74021356414703998</c:v>
                </c:pt>
                <c:pt idx="10">
                  <c:v>0.31709031815641009</c:v>
                </c:pt>
                <c:pt idx="11">
                  <c:v>0.12231243985224542</c:v>
                </c:pt>
                <c:pt idx="12">
                  <c:v>4.811820366389867E-2</c:v>
                </c:pt>
                <c:pt idx="13">
                  <c:v>1.3902415130437789E-2</c:v>
                </c:pt>
              </c:numCache>
            </c:numRef>
          </c:val>
          <c:extLst>
            <c:ext xmlns:c16="http://schemas.microsoft.com/office/drawing/2014/chart" uri="{C3380CC4-5D6E-409C-BE32-E72D297353CC}">
              <c16:uniqueId val="{0000001D-3356-4CBA-AC63-9B4B84C64257}"/>
            </c:ext>
          </c:extLst>
        </c:ser>
        <c:dLbls>
          <c:showLegendKey val="0"/>
          <c:showVal val="0"/>
          <c:showCatName val="0"/>
          <c:showSerName val="0"/>
          <c:showPercent val="0"/>
          <c:showBubbleSize val="0"/>
        </c:dLbls>
        <c:gapWidth val="55"/>
        <c:overlap val="100"/>
        <c:axId val="609390736"/>
        <c:axId val="609407376"/>
      </c:barChart>
      <c:catAx>
        <c:axId val="60939073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09407376"/>
        <c:crosses val="autoZero"/>
        <c:auto val="1"/>
        <c:lblAlgn val="ctr"/>
        <c:lblOffset val="100"/>
        <c:noMultiLvlLbl val="0"/>
      </c:catAx>
      <c:valAx>
        <c:axId val="609407376"/>
        <c:scaling>
          <c:orientation val="minMax"/>
          <c:max val="15"/>
          <c:min val="-15"/>
        </c:scaling>
        <c:delete val="0"/>
        <c:axPos val="b"/>
        <c:numFmt formatCode="#,##0.0;[Black]#,##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09390736"/>
        <c:crosses val="autoZero"/>
        <c:crossBetween val="between"/>
      </c:valAx>
      <c:spPr>
        <a:noFill/>
        <a:ln>
          <a:noFill/>
        </a:ln>
        <a:effectLst/>
      </c:spPr>
    </c:plotArea>
    <c:legend>
      <c:legendPos val="b"/>
      <c:layout>
        <c:manualLayout>
          <c:xMode val="edge"/>
          <c:yMode val="edge"/>
          <c:x val="0.15300048666658345"/>
          <c:y val="7.375676183713116E-2"/>
          <c:w val="0.3057261314998066"/>
          <c:h val="9.069947158461956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3285035897525"/>
          <c:y val="0.18758272717674579"/>
          <c:w val="0.77582963651043069"/>
          <c:h val="0.69228657638684366"/>
        </c:manualLayout>
      </c:layout>
      <c:barChart>
        <c:barDir val="col"/>
        <c:grouping val="stacked"/>
        <c:varyColors val="0"/>
        <c:ser>
          <c:idx val="0"/>
          <c:order val="0"/>
          <c:tx>
            <c:strRef>
              <c:f>[igss.xlsx]Hoja2!$B$35</c:f>
              <c:strCache>
                <c:ptCount val="1"/>
                <c:pt idx="0">
                  <c:v>Riesgo de Invalidez
</c:v>
                </c:pt>
              </c:strCache>
            </c:strRef>
          </c:tx>
          <c:spPr>
            <a:solidFill>
              <a:schemeClr val="accent6"/>
            </a:solidFill>
            <a:ln>
              <a:noFill/>
            </a:ln>
            <a:effectLst/>
          </c:spPr>
          <c:invertIfNegative val="0"/>
          <c:cat>
            <c:numRef>
              <c:f>[igss.xlsx]Hoja2!$A$14:$A$24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[igss.xlsx]Hoja2!$B$47:$B$57</c:f>
              <c:numCache>
                <c:formatCode>_(* #,##0.0_);_(* \(#,##0.0\);_(* "-"??_);_(@_)</c:formatCode>
                <c:ptCount val="11"/>
                <c:pt idx="0">
                  <c:v>11.747999999999999</c:v>
                </c:pt>
                <c:pt idx="1">
                  <c:v>11.907999999999999</c:v>
                </c:pt>
                <c:pt idx="2">
                  <c:v>12.032</c:v>
                </c:pt>
                <c:pt idx="3">
                  <c:v>11.861000000000001</c:v>
                </c:pt>
                <c:pt idx="4">
                  <c:v>9.9269999999999996</c:v>
                </c:pt>
                <c:pt idx="5">
                  <c:v>11.532999999999999</c:v>
                </c:pt>
                <c:pt idx="6">
                  <c:v>11.535</c:v>
                </c:pt>
                <c:pt idx="7">
                  <c:v>10.968999999999999</c:v>
                </c:pt>
                <c:pt idx="8">
                  <c:v>7.8869999999999996</c:v>
                </c:pt>
                <c:pt idx="9">
                  <c:v>7.8209999999999997</c:v>
                </c:pt>
                <c:pt idx="10">
                  <c:v>7.9550000000000001</c:v>
                </c:pt>
              </c:numCache>
            </c:numRef>
          </c:val>
          <c:extLst>
            <c:ext xmlns:c16="http://schemas.microsoft.com/office/drawing/2014/chart" uri="{C3380CC4-5D6E-409C-BE32-E72D297353CC}">
              <c16:uniqueId val="{00000000-5D52-4F8E-9DBE-80B2A46FB236}"/>
            </c:ext>
          </c:extLst>
        </c:ser>
        <c:ser>
          <c:idx val="1"/>
          <c:order val="1"/>
          <c:tx>
            <c:strRef>
              <c:f>[igss.xlsx]Hoja2!$C$35</c:f>
              <c:strCache>
                <c:ptCount val="1"/>
                <c:pt idx="0">
                  <c:v>Riesgo de Vejez</c:v>
                </c:pt>
              </c:strCache>
            </c:strRef>
          </c:tx>
          <c:spPr>
            <a:solidFill>
              <a:schemeClr val="accent5"/>
            </a:solidFill>
            <a:ln>
              <a:noFill/>
            </a:ln>
            <a:effectLst/>
          </c:spPr>
          <c:invertIfNegative val="0"/>
          <c:cat>
            <c:numRef>
              <c:f>[igss.xlsx]Hoja2!$A$14:$A$24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[igss.xlsx]Hoja2!$C$47:$C$57</c:f>
              <c:numCache>
                <c:formatCode>_(* #,##0.0_);_(* \(#,##0.0\);_(* "-"??_);_(@_)</c:formatCode>
                <c:ptCount val="11"/>
                <c:pt idx="0">
                  <c:v>65.894999999999996</c:v>
                </c:pt>
                <c:pt idx="1">
                  <c:v>68.951999999999998</c:v>
                </c:pt>
                <c:pt idx="2">
                  <c:v>74.269000000000005</c:v>
                </c:pt>
                <c:pt idx="3">
                  <c:v>77.307000000000002</c:v>
                </c:pt>
                <c:pt idx="4">
                  <c:v>82.111999999999995</c:v>
                </c:pt>
                <c:pt idx="5">
                  <c:v>83.009</c:v>
                </c:pt>
                <c:pt idx="6">
                  <c:v>85.73</c:v>
                </c:pt>
                <c:pt idx="7">
                  <c:v>86.033000000000001</c:v>
                </c:pt>
                <c:pt idx="8">
                  <c:v>88.183999999999997</c:v>
                </c:pt>
                <c:pt idx="9">
                  <c:v>87.616</c:v>
                </c:pt>
                <c:pt idx="10">
                  <c:v>90.073999999999998</c:v>
                </c:pt>
              </c:numCache>
            </c:numRef>
          </c:val>
          <c:extLst>
            <c:ext xmlns:c16="http://schemas.microsoft.com/office/drawing/2014/chart" uri="{C3380CC4-5D6E-409C-BE32-E72D297353CC}">
              <c16:uniqueId val="{00000001-5D52-4F8E-9DBE-80B2A46FB236}"/>
            </c:ext>
          </c:extLst>
        </c:ser>
        <c:ser>
          <c:idx val="2"/>
          <c:order val="2"/>
          <c:tx>
            <c:strRef>
              <c:f>[igss.xlsx]Hoja2!$D$35</c:f>
              <c:strCache>
                <c:ptCount val="1"/>
                <c:pt idx="0">
                  <c:v>Riesgo de Sobrevivencia</c:v>
                </c:pt>
              </c:strCache>
            </c:strRef>
          </c:tx>
          <c:spPr>
            <a:solidFill>
              <a:schemeClr val="accent4"/>
            </a:solidFill>
            <a:ln>
              <a:noFill/>
            </a:ln>
            <a:effectLst/>
          </c:spPr>
          <c:invertIfNegative val="0"/>
          <c:cat>
            <c:numRef>
              <c:f>[igss.xlsx]Hoja2!$A$14:$A$24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[igss.xlsx]Hoja2!$D$47:$D$57</c:f>
              <c:numCache>
                <c:formatCode>_(* #,##0.0_);_(* \(#,##0.0\);_(* "-"??_);_(@_)</c:formatCode>
                <c:ptCount val="11"/>
                <c:pt idx="0">
                  <c:v>75.605000000000004</c:v>
                </c:pt>
                <c:pt idx="1">
                  <c:v>78.05</c:v>
                </c:pt>
                <c:pt idx="2">
                  <c:v>80.191999999999993</c:v>
                </c:pt>
                <c:pt idx="3">
                  <c:v>81.688999999999993</c:v>
                </c:pt>
                <c:pt idx="4">
                  <c:v>82.75</c:v>
                </c:pt>
                <c:pt idx="5">
                  <c:v>83.268000000000001</c:v>
                </c:pt>
                <c:pt idx="6">
                  <c:v>83.466999999999999</c:v>
                </c:pt>
                <c:pt idx="7">
                  <c:v>81.534000000000006</c:v>
                </c:pt>
                <c:pt idx="8">
                  <c:v>80.313999999999993</c:v>
                </c:pt>
                <c:pt idx="9">
                  <c:v>76.548000000000002</c:v>
                </c:pt>
                <c:pt idx="10">
                  <c:v>73.677000000000007</c:v>
                </c:pt>
              </c:numCache>
            </c:numRef>
          </c:val>
          <c:extLst>
            <c:ext xmlns:c16="http://schemas.microsoft.com/office/drawing/2014/chart" uri="{C3380CC4-5D6E-409C-BE32-E72D297353CC}">
              <c16:uniqueId val="{00000002-5D52-4F8E-9DBE-80B2A46FB236}"/>
            </c:ext>
          </c:extLst>
        </c:ser>
        <c:ser>
          <c:idx val="3"/>
          <c:order val="3"/>
          <c:tx>
            <c:strRef>
              <c:f>[igss.xlsx]Hoja2!$E$35</c:f>
              <c:strCache>
                <c:ptCount val="1"/>
                <c:pt idx="0">
                  <c:v>Total</c:v>
                </c:pt>
              </c:strCache>
            </c:strRef>
          </c:tx>
          <c:spPr>
            <a:noFill/>
            <a:ln>
              <a:noFill/>
            </a:ln>
            <a:effectLst/>
          </c:spPr>
          <c:invertIfNegative val="0"/>
          <c:dLbls>
            <c:dLbl>
              <c:idx val="0"/>
              <c:layout>
                <c:manualLayout>
                  <c:x val="-1.8400715346083382E-2"/>
                  <c:y val="0.13768663973460621"/>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0431215277777776"/>
                      <c:h val="8.1456666666666663E-2"/>
                    </c:manualLayout>
                  </c15:layout>
                </c:ext>
                <c:ext xmlns:c16="http://schemas.microsoft.com/office/drawing/2014/chart" uri="{C3380CC4-5D6E-409C-BE32-E72D297353CC}">
                  <c16:uniqueId val="{00000003-5D52-4F8E-9DBE-80B2A46FB236}"/>
                </c:ext>
              </c:extLst>
            </c:dLbl>
            <c:dLbl>
              <c:idx val="1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extLst>
                <c:ext xmlns:c16="http://schemas.microsoft.com/office/drawing/2014/chart" uri="{C3380CC4-5D6E-409C-BE32-E72D297353CC}">
                  <c16:uniqueId val="{00000004-5D52-4F8E-9DBE-80B2A46FB236}"/>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[igss.xlsx]Hoja2!$A$47:$A$57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[igss.xlsx]Hoja2!$E$47:$E$57</c:f>
              <c:numCache>
                <c:formatCode>_(* #,##0.0_);_(* \(#,##0.0\);_(* "-"??_);_(@_)</c:formatCode>
                <c:ptCount val="11"/>
                <c:pt idx="0">
                  <c:v>153.24799999999999</c:v>
                </c:pt>
                <c:pt idx="1">
                  <c:v>158.91</c:v>
                </c:pt>
                <c:pt idx="2">
                  <c:v>166.49299999999999</c:v>
                </c:pt>
                <c:pt idx="3">
                  <c:v>170.857</c:v>
                </c:pt>
                <c:pt idx="4">
                  <c:v>174.78899999999999</c:v>
                </c:pt>
                <c:pt idx="5">
                  <c:v>177.81</c:v>
                </c:pt>
                <c:pt idx="6">
                  <c:v>180.732</c:v>
                </c:pt>
                <c:pt idx="7">
                  <c:v>178.536</c:v>
                </c:pt>
                <c:pt idx="8">
                  <c:v>176.38499999999999</c:v>
                </c:pt>
                <c:pt idx="9">
                  <c:v>171.98500000000001</c:v>
                </c:pt>
                <c:pt idx="10">
                  <c:v>171.70600000000002</c:v>
                </c:pt>
              </c:numCache>
            </c:numRef>
          </c:val>
          <c:extLst>
            <c:ext xmlns:c16="http://schemas.microsoft.com/office/drawing/2014/chart" uri="{C3380CC4-5D6E-409C-BE32-E72D297353CC}">
              <c16:uniqueId val="{00000005-5D52-4F8E-9DBE-80B2A46FB236}"/>
            </c:ext>
          </c:extLst>
        </c:ser>
        <c:dLbls>
          <c:showLegendKey val="0"/>
          <c:showVal val="0"/>
          <c:showCatName val="0"/>
          <c:showSerName val="0"/>
          <c:showPercent val="0"/>
          <c:showBubbleSize val="0"/>
        </c:dLbls>
        <c:gapWidth val="50"/>
        <c:overlap val="100"/>
        <c:axId val="1032468976"/>
        <c:axId val="1032465232"/>
      </c:barChart>
      <c:lineChart>
        <c:grouping val="stacked"/>
        <c:varyColors val="0"/>
        <c:ser>
          <c:idx val="4"/>
          <c:order val="4"/>
          <c:tx>
            <c:strRef>
              <c:f>[igss.xlsx]Hoja2!$F$35</c:f>
              <c:strCache>
                <c:ptCount val="1"/>
                <c:pt idx="0">
                  <c:v>Tasa de variación total</c:v>
                </c:pt>
              </c:strCache>
            </c:strRef>
          </c:tx>
          <c:spPr>
            <a:ln w="22225" cap="rnd">
              <a:solidFill>
                <a:srgbClr val="FF0000"/>
              </a:solidFill>
              <a:round/>
            </a:ln>
            <a:effectLst/>
          </c:spPr>
          <c:marker>
            <c:symbol val="circle"/>
            <c:size val="4"/>
            <c:spPr>
              <a:solidFill>
                <a:srgbClr val="FF0000"/>
              </a:solidFill>
              <a:ln w="12700">
                <a:solidFill>
                  <a:srgbClr val="FF0000"/>
                </a:solidFill>
              </a:ln>
              <a:effectLst/>
            </c:spPr>
          </c:marker>
          <c:dLbls>
            <c:dLbl>
              <c:idx val="0"/>
              <c:layout>
                <c:manualLayout>
                  <c:x val="-5.8836805555555573E-2"/>
                  <c:y val="0.171714444444444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52-4F8E-9DBE-80B2A46FB236}"/>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52-4F8E-9DBE-80B2A46FB236}"/>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52-4F8E-9DBE-80B2A46FB236}"/>
                </c:ext>
              </c:extLst>
            </c:dLbl>
            <c:dLbl>
              <c:idx val="9"/>
              <c:layout>
                <c:manualLayout>
                  <c:x val="1.8751790535538441E-4"/>
                  <c:y val="-4.1417842571659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9B-4DAB-8DB4-DD73111913A6}"/>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52-4F8E-9DBE-80B2A46FB236}"/>
                </c:ext>
              </c:extLst>
            </c:dLbl>
            <c:spPr>
              <a:solidFill>
                <a:schemeClr val="bg1"/>
              </a:solidFill>
              <a:ln>
                <a:solidFill>
                  <a:srgbClr val="C00000"/>
                </a:solid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[igss.xlsx]Hoja2!$A$47:$A$57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[igss.xlsx]Hoja2!$F$47:$F$57</c:f>
              <c:numCache>
                <c:formatCode>0.0</c:formatCode>
                <c:ptCount val="11"/>
                <c:pt idx="0">
                  <c:v>5.7926092629282611</c:v>
                </c:pt>
                <c:pt idx="1">
                  <c:v>3.6946648569638807</c:v>
                </c:pt>
                <c:pt idx="2">
                  <c:v>4.7718834560442902</c:v>
                </c:pt>
                <c:pt idx="3">
                  <c:v>2.6211312187299107</c:v>
                </c:pt>
                <c:pt idx="4">
                  <c:v>2.3013397168392125</c:v>
                </c:pt>
                <c:pt idx="5">
                  <c:v>1.7283696342447197</c:v>
                </c:pt>
                <c:pt idx="6">
                  <c:v>1.6433271469546096</c:v>
                </c:pt>
                <c:pt idx="7">
                  <c:v>-1.2150587610384456</c:v>
                </c:pt>
                <c:pt idx="8">
                  <c:v>-1.2047990321279789</c:v>
                </c:pt>
                <c:pt idx="9">
                  <c:v>-2.4945431867789081</c:v>
                </c:pt>
                <c:pt idx="10">
                  <c:v>-0.16222344971944525</c:v>
                </c:pt>
              </c:numCache>
            </c:numRef>
          </c:val>
          <c:smooth val="0"/>
          <c:extLst>
            <c:ext xmlns:c16="http://schemas.microsoft.com/office/drawing/2014/chart" uri="{C3380CC4-5D6E-409C-BE32-E72D297353CC}">
              <c16:uniqueId val="{0000000A-5D52-4F8E-9DBE-80B2A46FB236}"/>
            </c:ext>
          </c:extLst>
        </c:ser>
        <c:dLbls>
          <c:showLegendKey val="0"/>
          <c:showVal val="0"/>
          <c:showCatName val="0"/>
          <c:showSerName val="0"/>
          <c:showPercent val="0"/>
          <c:showBubbleSize val="0"/>
        </c:dLbls>
        <c:marker val="1"/>
        <c:smooth val="0"/>
        <c:axId val="1032476048"/>
        <c:axId val="1032474800"/>
      </c:lineChart>
      <c:catAx>
        <c:axId val="103246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32465232"/>
        <c:crosses val="autoZero"/>
        <c:auto val="1"/>
        <c:lblAlgn val="ctr"/>
        <c:lblOffset val="100"/>
        <c:noMultiLvlLbl val="0"/>
      </c:catAx>
      <c:valAx>
        <c:axId val="1032465232"/>
        <c:scaling>
          <c:orientation val="minMax"/>
          <c:max val="20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00" b="0">
                    <a:latin typeface="Times New Roman" panose="02020603050405020304" pitchFamily="18" charset="0"/>
                    <a:cs typeface="Times New Roman" panose="02020603050405020304" pitchFamily="18" charset="0"/>
                  </a:rPr>
                  <a:t>Pensionados (miles)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32468976"/>
        <c:crosses val="autoZero"/>
        <c:crossBetween val="between"/>
      </c:valAx>
      <c:valAx>
        <c:axId val="1032474800"/>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00" b="0">
                    <a:latin typeface="Times New Roman" panose="02020603050405020304" pitchFamily="18" charset="0"/>
                    <a:cs typeface="Times New Roman" panose="02020603050405020304" pitchFamily="18" charset="0"/>
                  </a:rPr>
                  <a:t>Variacion</a:t>
                </a:r>
                <a:r>
                  <a:rPr lang="en-US" sz="700" b="0" baseline="0">
                    <a:latin typeface="Times New Roman" panose="02020603050405020304" pitchFamily="18" charset="0"/>
                    <a:cs typeface="Times New Roman" panose="02020603050405020304" pitchFamily="18" charset="0"/>
                  </a:rPr>
                  <a:t> interanual (%)</a:t>
                </a:r>
                <a:endParaRPr lang="en-US" sz="700" b="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32476048"/>
        <c:crosses val="max"/>
        <c:crossBetween val="between"/>
      </c:valAx>
      <c:catAx>
        <c:axId val="1032476048"/>
        <c:scaling>
          <c:orientation val="minMax"/>
        </c:scaling>
        <c:delete val="1"/>
        <c:axPos val="b"/>
        <c:numFmt formatCode="General" sourceLinked="1"/>
        <c:majorTickMark val="out"/>
        <c:minorTickMark val="none"/>
        <c:tickLblPos val="nextTo"/>
        <c:crossAx val="1032474800"/>
        <c:crosses val="autoZero"/>
        <c:auto val="1"/>
        <c:lblAlgn val="ctr"/>
        <c:lblOffset val="100"/>
        <c:noMultiLvlLbl val="0"/>
      </c:catAx>
      <c:spPr>
        <a:noFill/>
        <a:ln>
          <a:noFill/>
        </a:ln>
        <a:effectLst/>
      </c:spPr>
    </c:plotArea>
    <c:legend>
      <c:legendPos val="t"/>
      <c:legendEntry>
        <c:idx val="3"/>
        <c:delete val="1"/>
      </c:legendEntry>
      <c:layout>
        <c:manualLayout>
          <c:xMode val="edge"/>
          <c:yMode val="edge"/>
          <c:x val="3.7439583333333332E-2"/>
          <c:y val="4.2333333333333334E-2"/>
          <c:w val="0.9625604166666667"/>
          <c:h val="0.1029223323090259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391949793601"/>
          <c:y val="3.9688010696776105E-2"/>
          <c:w val="0.87960563452939933"/>
          <c:h val="0.76123283636828398"/>
        </c:manualLayout>
      </c:layout>
      <c:lineChart>
        <c:grouping val="standard"/>
        <c:varyColors val="0"/>
        <c:ser>
          <c:idx val="0"/>
          <c:order val="0"/>
          <c:tx>
            <c:strRef>
              <c:f>IVS!$E$3</c:f>
              <c:strCache>
                <c:ptCount val="1"/>
                <c:pt idx="0">
                  <c:v>Ingresosp</c:v>
                </c:pt>
              </c:strCache>
            </c:strRef>
          </c:tx>
          <c:spPr>
            <a:ln w="28575" cap="rnd">
              <a:solidFill>
                <a:srgbClr val="7030A0"/>
              </a:solidFill>
              <a:round/>
            </a:ln>
            <a:effectLst/>
          </c:spPr>
          <c:marker>
            <c:symbol val="none"/>
          </c:marker>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IVS!$E$20:$E$37</c:f>
              <c:numCache>
                <c:formatCode>General</c:formatCode>
                <c:ptCount val="18"/>
                <c:pt idx="5" formatCode="_(* #,##0.00_);_(* \(#,##0.00\);_(* &quot;-&quot;??_);_(@_)">
                  <c:v>5138.09</c:v>
                </c:pt>
                <c:pt idx="6" formatCode="_(* #,##0.00_);_(* \(#,##0.00\);_(* &quot;-&quot;??_);_(@_)">
                  <c:v>5349.02</c:v>
                </c:pt>
                <c:pt idx="7" formatCode="_(* #,##0.00_);_(* \(#,##0.00\);_(* &quot;-&quot;??_);_(@_)">
                  <c:v>5550.52</c:v>
                </c:pt>
                <c:pt idx="8" formatCode="_(* #,##0.00_);_(* \(#,##0.00\);_(* &quot;-&quot;??_);_(@_)">
                  <c:v>5741.68</c:v>
                </c:pt>
                <c:pt idx="9" formatCode="_(* #,##0.00_);_(* \(#,##0.00\);_(* &quot;-&quot;??_);_(@_)">
                  <c:v>5927.13</c:v>
                </c:pt>
                <c:pt idx="10" formatCode="_(* #,##0.00_);_(* \(#,##0.00\);_(* &quot;-&quot;??_);_(@_)">
                  <c:v>6095.29</c:v>
                </c:pt>
                <c:pt idx="11" formatCode="_(* #,##0.00_);_(* \(#,##0.00\);_(* &quot;-&quot;??_);_(@_)">
                  <c:v>6090</c:v>
                </c:pt>
                <c:pt idx="12" formatCode="_(* #,##0.00_);_(* \(#,##0.00\);_(* &quot;-&quot;??_);_(@_)">
                  <c:v>6100</c:v>
                </c:pt>
                <c:pt idx="13" formatCode="_(* #,##0.00_);_(* \(#,##0.00\);_(* &quot;-&quot;??_);_(@_)">
                  <c:v>6115</c:v>
                </c:pt>
                <c:pt idx="14" formatCode="_(* #,##0.00_);_(* \(#,##0.00\);_(* &quot;-&quot;??_);_(@_)">
                  <c:v>6079</c:v>
                </c:pt>
                <c:pt idx="15" formatCode="_(* #,##0.00_);_(* \(#,##0.00\);_(* &quot;-&quot;??_);_(@_)">
                  <c:v>6050</c:v>
                </c:pt>
                <c:pt idx="16">
                  <c:v>5950</c:v>
                </c:pt>
                <c:pt idx="17">
                  <c:v>5900</c:v>
                </c:pt>
              </c:numCache>
            </c:numRef>
          </c:val>
          <c:smooth val="1"/>
          <c:extLst>
            <c:ext xmlns:c16="http://schemas.microsoft.com/office/drawing/2014/chart" uri="{C3380CC4-5D6E-409C-BE32-E72D297353CC}">
              <c16:uniqueId val="{00000000-2F46-42CA-91CC-45F62C28099D}"/>
            </c:ext>
          </c:extLst>
        </c:ser>
        <c:ser>
          <c:idx val="1"/>
          <c:order val="1"/>
          <c:tx>
            <c:strRef>
              <c:f>IVS!$F$3</c:f>
              <c:strCache>
                <c:ptCount val="1"/>
                <c:pt idx="0">
                  <c:v>Gastosp</c:v>
                </c:pt>
              </c:strCache>
            </c:strRef>
          </c:tx>
          <c:spPr>
            <a:ln w="28575" cap="rnd">
              <a:solidFill>
                <a:srgbClr val="C00000"/>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46-42CA-91CC-45F62C28099D}"/>
                </c:ext>
              </c:extLst>
            </c:dLbl>
            <c:dLbl>
              <c:idx val="9"/>
              <c:layout>
                <c:manualLayout>
                  <c:x val="-0.18222222222222231"/>
                  <c:y val="-0.2117400419287212"/>
                </c:manualLayout>
              </c:layout>
              <c:tx>
                <c:rich>
                  <a:bodyPr rot="0" spcFirstLastPara="1" vertOverflow="clip" horzOverflow="clip" vert="horz" wrap="square" lIns="36576" tIns="18288" rIns="36576" bIns="18288" anchor="ctr" anchorCtr="1">
                    <a:spAutoFit/>
                  </a:bodyPr>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El desequilibrio financiero iniciaría alrededor del año 2025</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336517935258094"/>
                      <c:h val="0.1822060449990921"/>
                    </c:manualLayout>
                  </c15:layout>
                </c:ext>
                <c:ext xmlns:c16="http://schemas.microsoft.com/office/drawing/2014/chart" uri="{C3380CC4-5D6E-409C-BE32-E72D297353CC}">
                  <c16:uniqueId val="{00000002-2F46-42CA-91CC-45F62C28099D}"/>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IVS!$F$20:$F$37</c:f>
              <c:numCache>
                <c:formatCode>General</c:formatCode>
                <c:ptCount val="18"/>
                <c:pt idx="5" formatCode="_(* #,##0.00_);_(* \(#,##0.00\);_(* &quot;-&quot;??_);_(@_)">
                  <c:v>4133.2299999999996</c:v>
                </c:pt>
                <c:pt idx="6" formatCode="_(* #,##0.00_);_(* \(#,##0.00\);_(* &quot;-&quot;??_);_(@_)">
                  <c:v>4615.7</c:v>
                </c:pt>
                <c:pt idx="7" formatCode="_(* #,##0.00_);_(* \(#,##0.00\);_(* &quot;-&quot;??_);_(@_)">
                  <c:v>5134.54</c:v>
                </c:pt>
                <c:pt idx="8" formatCode="_(* #,##0.00_);_(* \(#,##0.00\);_(* &quot;-&quot;??_);_(@_)">
                  <c:v>5697.49</c:v>
                </c:pt>
                <c:pt idx="9" formatCode="_(* #,##0.00_);_(* \(#,##0.00\);_(* &quot;-&quot;??_);_(@_)">
                  <c:v>6312.36</c:v>
                </c:pt>
                <c:pt idx="10" formatCode="_(* #,##0.00_);_(* \(#,##0.00\);_(* &quot;-&quot;??_);_(@_)">
                  <c:v>6984.1</c:v>
                </c:pt>
                <c:pt idx="11" formatCode="_(* #,##0.00_);_(* \(#,##0.00\);_(* &quot;-&quot;??_);_(@_)">
                  <c:v>7790</c:v>
                </c:pt>
                <c:pt idx="12" formatCode="_(* #,##0.00_);_(* \(#,##0.00\);_(* &quot;-&quot;??_);_(@_)">
                  <c:v>8650</c:v>
                </c:pt>
                <c:pt idx="13" formatCode="_(* #,##0.00_);_(* \(#,##0.00\);_(* &quot;-&quot;??_);_(@_)">
                  <c:v>9400</c:v>
                </c:pt>
                <c:pt idx="14" formatCode="_(* #,##0.00_);_(* \(#,##0.00\);_(* &quot;-&quot;??_);_(@_)">
                  <c:v>10500</c:v>
                </c:pt>
                <c:pt idx="15" formatCode="_(* #,##0.00_);_(* \(#,##0.00\);_(* &quot;-&quot;??_);_(@_)">
                  <c:v>11600</c:v>
                </c:pt>
                <c:pt idx="16">
                  <c:v>12700</c:v>
                </c:pt>
                <c:pt idx="17">
                  <c:v>13900</c:v>
                </c:pt>
              </c:numCache>
            </c:numRef>
          </c:val>
          <c:smooth val="1"/>
          <c:extLst>
            <c:ext xmlns:c16="http://schemas.microsoft.com/office/drawing/2014/chart" uri="{C3380CC4-5D6E-409C-BE32-E72D297353CC}">
              <c16:uniqueId val="{00000003-2F46-42CA-91CC-45F62C28099D}"/>
            </c:ext>
          </c:extLst>
        </c:ser>
        <c:ser>
          <c:idx val="2"/>
          <c:order val="2"/>
          <c:tx>
            <c:strRef>
              <c:f>IVS!$G$3</c:f>
              <c:strCache>
                <c:ptCount val="1"/>
                <c:pt idx="0">
                  <c:v>Ingresos</c:v>
                </c:pt>
              </c:strCache>
            </c:strRef>
          </c:tx>
          <c:spPr>
            <a:ln w="28575" cap="rnd">
              <a:solidFill>
                <a:schemeClr val="accent3"/>
              </a:solidFill>
              <a:round/>
            </a:ln>
            <a:effectLst/>
          </c:spPr>
          <c:marker>
            <c:symbol val="none"/>
          </c:marker>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IVS!$G$20:$G$37</c:f>
              <c:numCache>
                <c:formatCode>_(* #,##0.00_);_(* \(#,##0.00\);_(* "-"??_);_(@_)</c:formatCode>
                <c:ptCount val="18"/>
                <c:pt idx="0">
                  <c:v>4496.3999999999996</c:v>
                </c:pt>
                <c:pt idx="1">
                  <c:v>4821.54</c:v>
                </c:pt>
                <c:pt idx="2">
                  <c:v>5038.97</c:v>
                </c:pt>
                <c:pt idx="3">
                  <c:v>5205.67</c:v>
                </c:pt>
                <c:pt idx="4">
                  <c:v>4983.0200000000004</c:v>
                </c:pt>
                <c:pt idx="5">
                  <c:v>5466.2079417799996</c:v>
                </c:pt>
              </c:numCache>
            </c:numRef>
          </c:val>
          <c:smooth val="0"/>
          <c:extLst>
            <c:ext xmlns:c16="http://schemas.microsoft.com/office/drawing/2014/chart" uri="{C3380CC4-5D6E-409C-BE32-E72D297353CC}">
              <c16:uniqueId val="{00000004-2F46-42CA-91CC-45F62C28099D}"/>
            </c:ext>
          </c:extLst>
        </c:ser>
        <c:ser>
          <c:idx val="3"/>
          <c:order val="3"/>
          <c:tx>
            <c:strRef>
              <c:f>IVS!$H$3</c:f>
              <c:strCache>
                <c:ptCount val="1"/>
                <c:pt idx="0">
                  <c:v>Gastos</c:v>
                </c:pt>
              </c:strCache>
            </c:strRef>
          </c:tx>
          <c:spPr>
            <a:ln w="28575" cap="rnd">
              <a:solidFill>
                <a:schemeClr val="accent4"/>
              </a:solidFill>
              <a:round/>
            </a:ln>
            <a:effectLst/>
          </c:spPr>
          <c:marker>
            <c:symbol val="none"/>
          </c:marker>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IVS!$H$20:$H$37</c:f>
              <c:numCache>
                <c:formatCode>_(* #,##0.00_);_(* \(#,##0.00\);_(* "-"??_);_(@_)</c:formatCode>
                <c:ptCount val="18"/>
                <c:pt idx="0">
                  <c:v>2633.05</c:v>
                </c:pt>
                <c:pt idx="1">
                  <c:v>2818.92</c:v>
                </c:pt>
                <c:pt idx="2">
                  <c:v>3061.68</c:v>
                </c:pt>
                <c:pt idx="3">
                  <c:v>3359.22</c:v>
                </c:pt>
                <c:pt idx="4">
                  <c:v>3566.4250000000002</c:v>
                </c:pt>
                <c:pt idx="5">
                  <c:v>3980.5</c:v>
                </c:pt>
              </c:numCache>
            </c:numRef>
          </c:val>
          <c:smooth val="0"/>
          <c:extLst>
            <c:ext xmlns:c16="http://schemas.microsoft.com/office/drawing/2014/chart" uri="{C3380CC4-5D6E-409C-BE32-E72D297353CC}">
              <c16:uniqueId val="{00000005-2F46-42CA-91CC-45F62C28099D}"/>
            </c:ext>
          </c:extLst>
        </c:ser>
        <c:ser>
          <c:idx val="4"/>
          <c:order val="4"/>
          <c:tx>
            <c:strRef>
              <c:f>IVS!$K$3</c:f>
              <c:strCache>
                <c:ptCount val="1"/>
                <c:pt idx="0">
                  <c:v>RESERVA ACUMULADA</c:v>
                </c:pt>
              </c:strCache>
            </c:strRef>
          </c:tx>
          <c:spPr>
            <a:ln w="28575" cap="rnd">
              <a:solidFill>
                <a:srgbClr val="002060"/>
              </a:solidFill>
              <a:round/>
            </a:ln>
            <a:effectLst/>
          </c:spPr>
          <c:marker>
            <c:symbol val="none"/>
          </c:marker>
          <c:cat>
            <c:numRef>
              <c:f>IVS!$B$20:$B$37</c:f>
              <c:numCache>
                <c:formatCode>0</c:formatCode>
                <c:ptCount val="18"/>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numCache>
            </c:numRef>
          </c:cat>
          <c:val>
            <c:numRef>
              <c:f>IVS!$K$20:$K$37</c:f>
              <c:numCache>
                <c:formatCode>_(* #,##0.00_);_(* \(#,##0.00\);_(* "-"??_);_(@_)</c:formatCode>
                <c:ptCount val="18"/>
                <c:pt idx="0">
                  <c:v>19381.86</c:v>
                </c:pt>
                <c:pt idx="1">
                  <c:v>21390.27</c:v>
                </c:pt>
                <c:pt idx="2">
                  <c:v>23370.6</c:v>
                </c:pt>
                <c:pt idx="3">
                  <c:v>25220.89</c:v>
                </c:pt>
                <c:pt idx="4">
                  <c:v>26644.37</c:v>
                </c:pt>
                <c:pt idx="5">
                  <c:v>27649.23</c:v>
                </c:pt>
                <c:pt idx="6">
                  <c:v>28382.560000000001</c:v>
                </c:pt>
                <c:pt idx="7">
                  <c:v>28798.53</c:v>
                </c:pt>
                <c:pt idx="8">
                  <c:v>28842.720000000001</c:v>
                </c:pt>
                <c:pt idx="9">
                  <c:v>28457.49</c:v>
                </c:pt>
                <c:pt idx="10">
                  <c:v>27568.68</c:v>
                </c:pt>
                <c:pt idx="11">
                  <c:v>25500</c:v>
                </c:pt>
                <c:pt idx="12">
                  <c:v>23000</c:v>
                </c:pt>
                <c:pt idx="13">
                  <c:v>20000</c:v>
                </c:pt>
                <c:pt idx="14">
                  <c:v>16200</c:v>
                </c:pt>
                <c:pt idx="15">
                  <c:v>11000</c:v>
                </c:pt>
                <c:pt idx="16">
                  <c:v>5000</c:v>
                </c:pt>
                <c:pt idx="17">
                  <c:v>-1500</c:v>
                </c:pt>
              </c:numCache>
            </c:numRef>
          </c:val>
          <c:smooth val="0"/>
          <c:extLst>
            <c:ext xmlns:c16="http://schemas.microsoft.com/office/drawing/2014/chart" uri="{C3380CC4-5D6E-409C-BE32-E72D297353CC}">
              <c16:uniqueId val="{00000006-2F46-42CA-91CC-45F62C28099D}"/>
            </c:ext>
          </c:extLst>
        </c:ser>
        <c:dLbls>
          <c:showLegendKey val="0"/>
          <c:showVal val="0"/>
          <c:showCatName val="0"/>
          <c:showSerName val="0"/>
          <c:showPercent val="0"/>
          <c:showBubbleSize val="0"/>
        </c:dLbls>
        <c:smooth val="0"/>
        <c:axId val="391613568"/>
        <c:axId val="391599968"/>
      </c:lineChart>
      <c:catAx>
        <c:axId val="39161356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91599968"/>
        <c:crosses val="autoZero"/>
        <c:auto val="1"/>
        <c:lblAlgn val="ctr"/>
        <c:lblOffset val="100"/>
        <c:noMultiLvlLbl val="0"/>
      </c:catAx>
      <c:valAx>
        <c:axId val="391599968"/>
        <c:scaling>
          <c:orientation val="minMax"/>
          <c:min val="-5000"/>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Cifras en miles de  millones de Quetzales</a:t>
                </a:r>
              </a:p>
            </c:rich>
          </c:tx>
          <c:layout>
            <c:manualLayout>
              <c:xMode val="edge"/>
              <c:yMode val="edge"/>
              <c:x val="6.3506015382951767E-3"/>
              <c:y val="0.11284403669724771"/>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91613568"/>
        <c:crosses val="autoZero"/>
        <c:crossBetween val="between"/>
      </c:valAx>
      <c:spPr>
        <a:noFill/>
        <a:ln>
          <a:noFill/>
        </a:ln>
        <a:effectLst/>
      </c:spPr>
    </c:plotArea>
    <c:legend>
      <c:legendPos val="b"/>
      <c:layout>
        <c:manualLayout>
          <c:xMode val="edge"/>
          <c:yMode val="edge"/>
          <c:x val="0.11746380700774504"/>
          <c:y val="0.81558632799693265"/>
          <c:w val="0.85830677563408853"/>
          <c:h val="0.1758176011131138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sz="600">
          <a:latin typeface="+mn-lt"/>
        </a:defRPr>
      </a:pPr>
      <a:endParaRPr lang="es-GT"/>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2566441021952"/>
          <c:y val="6.2024245841556247E-2"/>
          <c:w val="0.84208526544296158"/>
          <c:h val="0.73010795415444785"/>
        </c:manualLayout>
      </c:layout>
      <c:lineChart>
        <c:grouping val="standard"/>
        <c:varyColors val="0"/>
        <c:ser>
          <c:idx val="1"/>
          <c:order val="0"/>
          <c:tx>
            <c:strRef>
              <c:f>'[IGSS-CIFRAS-MENSUAL 13 09 2022.xlsx]Hist. Pensiones_1'!$I$46</c:f>
              <c:strCache>
                <c:ptCount val="1"/>
                <c:pt idx="0">
                  <c:v>Vejez</c:v>
                </c:pt>
              </c:strCache>
            </c:strRef>
          </c:tx>
          <c:spPr>
            <a:ln w="28575" cap="rnd">
              <a:solidFill>
                <a:schemeClr val="accent2"/>
              </a:solidFill>
              <a:round/>
            </a:ln>
            <a:effectLst>
              <a:outerShdw blurRad="50800" dist="38100" dir="2700000" algn="tl" rotWithShape="0">
                <a:prstClr val="black">
                  <a:alpha val="40000"/>
                </a:prstClr>
              </a:outerShdw>
            </a:effectLst>
          </c:spPr>
          <c:marker>
            <c:symbol val="none"/>
          </c:marker>
          <c:dLbls>
            <c:dLbl>
              <c:idx val="1"/>
              <c:layout>
                <c:manualLayout>
                  <c:x val="-0.1305057096247961"/>
                  <c:y val="-3.946997462644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39-48E3-A3D6-E0DC5C944032}"/>
                </c:ext>
              </c:extLst>
            </c:dLbl>
            <c:dLbl>
              <c:idx val="11"/>
              <c:layout>
                <c:manualLayout>
                  <c:x val="-4.5676998368678633E-2"/>
                  <c:y val="-2.8192839018889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39-48E3-A3D6-E0DC5C9440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'[IGSS-CIFRAS-MENSUAL 13 09 2022.xlsx]Hist. Pensiones_1'!$B$52:$B$64</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'[IGSS-CIFRAS-MENSUAL 13 09 2022.xlsx]Hist. Pensiones_1'!$I$52:$I$64</c:f>
              <c:numCache>
                <c:formatCode>0.0%</c:formatCode>
                <c:ptCount val="13"/>
                <c:pt idx="0">
                  <c:v>7.1033274956217252E-2</c:v>
                </c:pt>
                <c:pt idx="1">
                  <c:v>7.749035254104264E-2</c:v>
                </c:pt>
                <c:pt idx="2">
                  <c:v>4.6391987252446976E-2</c:v>
                </c:pt>
                <c:pt idx="3">
                  <c:v>7.7111613876319707E-2</c:v>
                </c:pt>
                <c:pt idx="4">
                  <c:v>4.0905357551602961E-2</c:v>
                </c:pt>
                <c:pt idx="5">
                  <c:v>6.2154785465740492E-2</c:v>
                </c:pt>
                <c:pt idx="6">
                  <c:v>1.092410366328922E-2</c:v>
                </c:pt>
                <c:pt idx="7">
                  <c:v>3.2779578118035335E-2</c:v>
                </c:pt>
                <c:pt idx="8">
                  <c:v>3.5343520354602642E-3</c:v>
                </c:pt>
                <c:pt idx="9">
                  <c:v>2.5002034103192905E-2</c:v>
                </c:pt>
                <c:pt idx="10">
                  <c:v>-6.4410777465300217E-3</c:v>
                </c:pt>
                <c:pt idx="11">
                  <c:v>2.8054236669101451E-2</c:v>
                </c:pt>
                <c:pt idx="12">
                  <c:v>2.2092945800120667E-3</c:v>
                </c:pt>
              </c:numCache>
            </c:numRef>
          </c:val>
          <c:smooth val="1"/>
          <c:extLst>
            <c:ext xmlns:c16="http://schemas.microsoft.com/office/drawing/2014/chart" uri="{C3380CC4-5D6E-409C-BE32-E72D297353CC}">
              <c16:uniqueId val="{00000002-0C39-48E3-A3D6-E0DC5C944032}"/>
            </c:ext>
          </c:extLst>
        </c:ser>
        <c:ser>
          <c:idx val="2"/>
          <c:order val="1"/>
          <c:tx>
            <c:strRef>
              <c:f>'[IGSS-CIFRAS-MENSUAL 13 09 2022.xlsx]Hist. Pensiones_1'!$J$46</c:f>
              <c:strCache>
                <c:ptCount val="1"/>
                <c:pt idx="0">
                  <c:v>Sobrevivencia</c:v>
                </c:pt>
              </c:strCache>
            </c:strRef>
          </c:tx>
          <c:spPr>
            <a:ln w="28575" cap="rnd">
              <a:solidFill>
                <a:srgbClr val="002060"/>
              </a:solidFill>
              <a:round/>
            </a:ln>
            <a:effectLst>
              <a:outerShdw blurRad="50800" dist="38100" dir="2700000" algn="tl" rotWithShape="0">
                <a:prstClr val="black">
                  <a:alpha val="40000"/>
                </a:prstClr>
              </a:outerShdw>
            </a:effectLst>
          </c:spPr>
          <c:marker>
            <c:symbol val="none"/>
          </c:marker>
          <c:dLbls>
            <c:dLbl>
              <c:idx val="1"/>
              <c:layout>
                <c:manualLayout>
                  <c:x val="-7.177814029363784E-2"/>
                  <c:y val="9.585565266422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39-48E3-A3D6-E0DC5C944032}"/>
                </c:ext>
              </c:extLst>
            </c:dLbl>
            <c:dLbl>
              <c:idx val="11"/>
              <c:layout>
                <c:manualLayout>
                  <c:x val="-4.8939641109298535E-2"/>
                  <c:y val="7.8939949252889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39-48E3-A3D6-E0DC5C9440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'[IGSS-CIFRAS-MENSUAL 13 09 2022.xlsx]Hist. Pensiones_1'!$B$52:$B$64</c:f>
              <c:numCache>
                <c:formatCode>0</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'[IGSS-CIFRAS-MENSUAL 13 09 2022.xlsx]Hist. Pensiones_1'!$J$52:$J$64</c:f>
              <c:numCache>
                <c:formatCode>0.0%</c:formatCode>
                <c:ptCount val="13"/>
                <c:pt idx="0">
                  <c:v>3.352435530085951E-2</c:v>
                </c:pt>
                <c:pt idx="1">
                  <c:v>4.8031605212087713E-2</c:v>
                </c:pt>
                <c:pt idx="2">
                  <c:v>3.233913100985375E-2</c:v>
                </c:pt>
                <c:pt idx="3">
                  <c:v>2.7443946188340895E-2</c:v>
                </c:pt>
                <c:pt idx="4">
                  <c:v>1.8667697525937665E-2</c:v>
                </c:pt>
                <c:pt idx="5">
                  <c:v>1.2988284836391584E-2</c:v>
                </c:pt>
                <c:pt idx="6">
                  <c:v>6.2598187311178055E-3</c:v>
                </c:pt>
                <c:pt idx="7">
                  <c:v>2.3538454148051002E-3</c:v>
                </c:pt>
                <c:pt idx="8">
                  <c:v>-2.3123741972586931E-2</c:v>
                </c:pt>
                <c:pt idx="9">
                  <c:v>-1.4963082885667278E-2</c:v>
                </c:pt>
                <c:pt idx="10">
                  <c:v>-4.6890953009437908E-2</c:v>
                </c:pt>
                <c:pt idx="11">
                  <c:v>-3.7505878664367498E-2</c:v>
                </c:pt>
                <c:pt idx="12">
                  <c:v>-3.3796164338938839E-2</c:v>
                </c:pt>
              </c:numCache>
            </c:numRef>
          </c:val>
          <c:smooth val="1"/>
          <c:extLst>
            <c:ext xmlns:c16="http://schemas.microsoft.com/office/drawing/2014/chart" uri="{C3380CC4-5D6E-409C-BE32-E72D297353CC}">
              <c16:uniqueId val="{00000005-0C39-48E3-A3D6-E0DC5C944032}"/>
            </c:ext>
          </c:extLst>
        </c:ser>
        <c:dLbls>
          <c:showLegendKey val="0"/>
          <c:showVal val="0"/>
          <c:showCatName val="0"/>
          <c:showSerName val="0"/>
          <c:showPercent val="0"/>
          <c:showBubbleSize val="0"/>
        </c:dLbls>
        <c:smooth val="0"/>
        <c:axId val="257091808"/>
        <c:axId val="257092640"/>
      </c:lineChart>
      <c:catAx>
        <c:axId val="2570918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7092640"/>
        <c:crosses val="autoZero"/>
        <c:auto val="1"/>
        <c:lblAlgn val="ctr"/>
        <c:lblOffset val="100"/>
        <c:noMultiLvlLbl val="0"/>
      </c:catAx>
      <c:valAx>
        <c:axId val="2570926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57091808"/>
        <c:crosses val="autoZero"/>
        <c:crossBetween val="between"/>
      </c:valAx>
      <c:spPr>
        <a:noFill/>
        <a:ln>
          <a:noFill/>
        </a:ln>
        <a:effectLst/>
      </c:spPr>
    </c:plotArea>
    <c:legend>
      <c:legendPos val="b"/>
      <c:layout>
        <c:manualLayout>
          <c:xMode val="edge"/>
          <c:yMode val="edge"/>
          <c:x val="0.26417875171802546"/>
          <c:y val="0.78649363219222623"/>
          <c:w val="0.47164249656394908"/>
          <c:h val="8.9457876124661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44853814339105"/>
          <c:y val="7.7628793225123505E-2"/>
          <c:w val="0.84583318039005995"/>
          <c:h val="0.6677954422951895"/>
        </c:manualLayout>
      </c:layout>
      <c:lineChart>
        <c:grouping val="standard"/>
        <c:varyColors val="0"/>
        <c:ser>
          <c:idx val="0"/>
          <c:order val="0"/>
          <c:tx>
            <c:strRef>
              <c:f>Hoja1!$B$5</c:f>
              <c:strCache>
                <c:ptCount val="1"/>
                <c:pt idx="0">
                  <c:v>Gastos</c:v>
                </c:pt>
              </c:strCache>
            </c:strRef>
          </c:tx>
          <c:spPr>
            <a:ln w="25400" cap="rnd">
              <a:solidFill>
                <a:srgbClr val="FF0000"/>
              </a:solidFill>
              <a:round/>
            </a:ln>
            <a:effectLst/>
          </c:spPr>
          <c:marker>
            <c:symbol val="circle"/>
            <c:size val="5"/>
            <c:spPr>
              <a:solidFill>
                <a:srgbClr val="FF0000"/>
              </a:solidFill>
              <a:ln w="9525">
                <a:solidFill>
                  <a:srgbClr val="FF0000"/>
                </a:solidFill>
              </a:ln>
              <a:effectLst/>
            </c:spPr>
          </c:marker>
          <c:cat>
            <c:numRef>
              <c:f>Hoja1!$A$6:$A$13</c:f>
              <c:numCache>
                <c:formatCode>General</c:formatCode>
                <c:ptCount val="8"/>
                <c:pt idx="0">
                  <c:v>2021</c:v>
                </c:pt>
                <c:pt idx="1">
                  <c:v>2022</c:v>
                </c:pt>
                <c:pt idx="2">
                  <c:v>2023</c:v>
                </c:pt>
                <c:pt idx="3">
                  <c:v>2024</c:v>
                </c:pt>
                <c:pt idx="4">
                  <c:v>2025</c:v>
                </c:pt>
                <c:pt idx="5">
                  <c:v>2026</c:v>
                </c:pt>
                <c:pt idx="6">
                  <c:v>2027</c:v>
                </c:pt>
                <c:pt idx="7">
                  <c:v>2028</c:v>
                </c:pt>
              </c:numCache>
            </c:numRef>
          </c:cat>
          <c:val>
            <c:numRef>
              <c:f>Hoja1!$B$6:$B$13</c:f>
              <c:numCache>
                <c:formatCode>General</c:formatCode>
                <c:ptCount val="8"/>
                <c:pt idx="0">
                  <c:v>7325.2</c:v>
                </c:pt>
                <c:pt idx="1">
                  <c:v>8007.3</c:v>
                </c:pt>
                <c:pt idx="2">
                  <c:v>8752.4</c:v>
                </c:pt>
                <c:pt idx="3">
                  <c:v>9566</c:v>
                </c:pt>
                <c:pt idx="4">
                  <c:v>10454.4</c:v>
                </c:pt>
                <c:pt idx="5">
                  <c:v>11424</c:v>
                </c:pt>
                <c:pt idx="6">
                  <c:v>12482.3</c:v>
                </c:pt>
                <c:pt idx="7">
                  <c:v>13636.9</c:v>
                </c:pt>
              </c:numCache>
            </c:numRef>
          </c:val>
          <c:smooth val="0"/>
          <c:extLst>
            <c:ext xmlns:c16="http://schemas.microsoft.com/office/drawing/2014/chart" uri="{C3380CC4-5D6E-409C-BE32-E72D297353CC}">
              <c16:uniqueId val="{00000000-0B06-4A9A-BDA6-719B3F21CAF9}"/>
            </c:ext>
          </c:extLst>
        </c:ser>
        <c:ser>
          <c:idx val="1"/>
          <c:order val="1"/>
          <c:tx>
            <c:strRef>
              <c:f>Hoja1!$F$5</c:f>
              <c:strCache>
                <c:ptCount val="1"/>
                <c:pt idx="0">
                  <c:v>Ingresos</c:v>
                </c:pt>
              </c:strCache>
            </c:strRef>
          </c:tx>
          <c:spPr>
            <a:ln w="25400" cap="rnd">
              <a:solidFill>
                <a:srgbClr val="0070C0"/>
              </a:solidFill>
              <a:round/>
            </a:ln>
            <a:effectLst/>
          </c:spPr>
          <c:marker>
            <c:symbol val="circle"/>
            <c:size val="5"/>
            <c:spPr>
              <a:solidFill>
                <a:srgbClr val="0070C0"/>
              </a:solidFill>
              <a:ln w="9525">
                <a:solidFill>
                  <a:srgbClr val="0070C0"/>
                </a:solidFill>
              </a:ln>
              <a:effectLst/>
            </c:spPr>
          </c:marker>
          <c:dLbls>
            <c:dLbl>
              <c:idx val="2"/>
              <c:layout>
                <c:manualLayout>
                  <c:x val="-0.17986940988049774"/>
                  <c:y val="-0.22417934347477986"/>
                </c:manualLayout>
              </c:layout>
              <c:tx>
                <c:rich>
                  <a:bodyPr/>
                  <a:lstStyle/>
                  <a:p>
                    <a:r>
                      <a:rPr lang="en-US"/>
                      <a:t>Sostenibilidad financiera</a:t>
                    </a:r>
                    <a:r>
                      <a:rPr lang="en-US" baseline="0"/>
                      <a:t>, aportes año 2023</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06-4A9A-BDA6-719B3F21CAF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Hoja1!$A$6:$A$13</c:f>
              <c:numCache>
                <c:formatCode>General</c:formatCode>
                <c:ptCount val="8"/>
                <c:pt idx="0">
                  <c:v>2021</c:v>
                </c:pt>
                <c:pt idx="1">
                  <c:v>2022</c:v>
                </c:pt>
                <c:pt idx="2">
                  <c:v>2023</c:v>
                </c:pt>
                <c:pt idx="3">
                  <c:v>2024</c:v>
                </c:pt>
                <c:pt idx="4">
                  <c:v>2025</c:v>
                </c:pt>
                <c:pt idx="5">
                  <c:v>2026</c:v>
                </c:pt>
                <c:pt idx="6">
                  <c:v>2027</c:v>
                </c:pt>
                <c:pt idx="7">
                  <c:v>2028</c:v>
                </c:pt>
              </c:numCache>
            </c:numRef>
          </c:cat>
          <c:val>
            <c:numRef>
              <c:f>Hoja1!$F$6:$F$13</c:f>
              <c:numCache>
                <c:formatCode>General</c:formatCode>
                <c:ptCount val="8"/>
                <c:pt idx="0">
                  <c:v>8040.9</c:v>
                </c:pt>
                <c:pt idx="1">
                  <c:v>8496.4</c:v>
                </c:pt>
                <c:pt idx="2">
                  <c:v>8979.5</c:v>
                </c:pt>
                <c:pt idx="3">
                  <c:v>9491.9</c:v>
                </c:pt>
                <c:pt idx="4">
                  <c:v>10035.4</c:v>
                </c:pt>
                <c:pt idx="5">
                  <c:v>10611.8</c:v>
                </c:pt>
                <c:pt idx="6">
                  <c:v>11223.199999999999</c:v>
                </c:pt>
                <c:pt idx="7">
                  <c:v>11871.599999999999</c:v>
                </c:pt>
              </c:numCache>
            </c:numRef>
          </c:val>
          <c:smooth val="0"/>
          <c:extLst>
            <c:ext xmlns:c16="http://schemas.microsoft.com/office/drawing/2014/chart" uri="{C3380CC4-5D6E-409C-BE32-E72D297353CC}">
              <c16:uniqueId val="{00000002-0B06-4A9A-BDA6-719B3F21CAF9}"/>
            </c:ext>
          </c:extLst>
        </c:ser>
        <c:ser>
          <c:idx val="3"/>
          <c:order val="2"/>
          <c:tx>
            <c:strRef>
              <c:f>Hoja1!$J$5</c:f>
              <c:strCache>
                <c:ptCount val="1"/>
                <c:pt idx="0">
                  <c:v>Ingreso total</c:v>
                </c:pt>
              </c:strCache>
            </c:strRef>
          </c:tx>
          <c:spPr>
            <a:ln w="25400" cap="rnd">
              <a:solidFill>
                <a:schemeClr val="accent4"/>
              </a:solidFill>
              <a:round/>
            </a:ln>
            <a:effectLst/>
          </c:spPr>
          <c:marker>
            <c:symbol val="circle"/>
            <c:size val="5"/>
            <c:spPr>
              <a:solidFill>
                <a:schemeClr val="accent4"/>
              </a:solidFill>
              <a:ln w="9525">
                <a:solidFill>
                  <a:schemeClr val="accent4"/>
                </a:solidFill>
              </a:ln>
              <a:effectLst/>
            </c:spPr>
          </c:marker>
          <c:dLbls>
            <c:dLbl>
              <c:idx val="5"/>
              <c:layout>
                <c:manualLayout>
                  <c:x val="-0.2759640261180239"/>
                  <c:y val="-9.6076861489191395E-2"/>
                </c:manualLayout>
              </c:layout>
              <c:tx>
                <c:rich>
                  <a:bodyPr/>
                  <a:lstStyle/>
                  <a:p>
                    <a:r>
                      <a:rPr lang="en-US"/>
                      <a:t>Sostenibilidad financiera</a:t>
                    </a:r>
                    <a:r>
                      <a:rPr lang="en-US" baseline="0"/>
                      <a:t> con aportes e intereses, año 2026</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06-4A9A-BDA6-719B3F21CAF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Hoja1!$A$6:$A$13</c:f>
              <c:numCache>
                <c:formatCode>General</c:formatCode>
                <c:ptCount val="8"/>
                <c:pt idx="0">
                  <c:v>2021</c:v>
                </c:pt>
                <c:pt idx="1">
                  <c:v>2022</c:v>
                </c:pt>
                <c:pt idx="2">
                  <c:v>2023</c:v>
                </c:pt>
                <c:pt idx="3">
                  <c:v>2024</c:v>
                </c:pt>
                <c:pt idx="4">
                  <c:v>2025</c:v>
                </c:pt>
                <c:pt idx="5">
                  <c:v>2026</c:v>
                </c:pt>
                <c:pt idx="6">
                  <c:v>2027</c:v>
                </c:pt>
                <c:pt idx="7">
                  <c:v>2028</c:v>
                </c:pt>
              </c:numCache>
            </c:numRef>
          </c:cat>
          <c:val>
            <c:numRef>
              <c:f>Hoja1!$J$6:$J$13</c:f>
              <c:numCache>
                <c:formatCode>General</c:formatCode>
                <c:ptCount val="8"/>
                <c:pt idx="0">
                  <c:v>8667.6</c:v>
                </c:pt>
                <c:pt idx="1">
                  <c:v>9219.7999999999993</c:v>
                </c:pt>
                <c:pt idx="2">
                  <c:v>9792.5</c:v>
                </c:pt>
                <c:pt idx="3">
                  <c:v>10385.1</c:v>
                </c:pt>
                <c:pt idx="4">
                  <c:v>10996.7</c:v>
                </c:pt>
                <c:pt idx="5">
                  <c:v>11626</c:v>
                </c:pt>
                <c:pt idx="6">
                  <c:v>12270.9</c:v>
                </c:pt>
                <c:pt idx="7">
                  <c:v>12930</c:v>
                </c:pt>
              </c:numCache>
            </c:numRef>
          </c:val>
          <c:smooth val="0"/>
          <c:extLst>
            <c:ext xmlns:c16="http://schemas.microsoft.com/office/drawing/2014/chart" uri="{C3380CC4-5D6E-409C-BE32-E72D297353CC}">
              <c16:uniqueId val="{00000004-0B06-4A9A-BDA6-719B3F21CAF9}"/>
            </c:ext>
          </c:extLst>
        </c:ser>
        <c:dLbls>
          <c:showLegendKey val="0"/>
          <c:showVal val="0"/>
          <c:showCatName val="0"/>
          <c:showSerName val="0"/>
          <c:showPercent val="0"/>
          <c:showBubbleSize val="0"/>
        </c:dLbls>
        <c:marker val="1"/>
        <c:smooth val="0"/>
        <c:axId val="76509007"/>
        <c:axId val="76513583"/>
      </c:lineChart>
      <c:catAx>
        <c:axId val="7650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6513583"/>
        <c:crosses val="autoZero"/>
        <c:auto val="1"/>
        <c:lblAlgn val="ctr"/>
        <c:lblOffset val="100"/>
        <c:noMultiLvlLbl val="0"/>
      </c:catAx>
      <c:valAx>
        <c:axId val="76513583"/>
        <c:scaling>
          <c:orientation val="minMax"/>
          <c:max val="14000"/>
          <c:min val="70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latin typeface="Times New Roman" panose="02020603050405020304" pitchFamily="18" charset="0"/>
                    <a:cs typeface="Times New Roman" panose="02020603050405020304" pitchFamily="18" charset="0"/>
                  </a:rPr>
                  <a:t>Millones de Q.</a:t>
                </a:r>
              </a:p>
            </c:rich>
          </c:tx>
          <c:layout>
            <c:manualLayout>
              <c:xMode val="edge"/>
              <c:yMode val="edge"/>
              <c:x val="5.0396875393725589E-3"/>
              <c:y val="0.203445784873221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6509007"/>
        <c:crosses val="autoZero"/>
        <c:crossBetween val="between"/>
      </c:valAx>
      <c:spPr>
        <a:noFill/>
        <a:ln>
          <a:noFill/>
        </a:ln>
        <a:effectLst/>
      </c:spPr>
    </c:plotArea>
    <c:legend>
      <c:legendPos val="b"/>
      <c:layout>
        <c:manualLayout>
          <c:xMode val="edge"/>
          <c:yMode val="edge"/>
          <c:x val="0.2373282116351306"/>
          <c:y val="0.90208102956784586"/>
          <c:w val="0.52534337831684352"/>
          <c:h val="9.791897043215397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withinLinear" id="17">
  <a:schemeClr val="accent4"/>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0.26421</cdr:x>
      <cdr:y>0.07154</cdr:y>
    </cdr:from>
    <cdr:to>
      <cdr:x>0.26532</cdr:x>
      <cdr:y>0.7673</cdr:y>
    </cdr:to>
    <cdr:cxnSp macro="">
      <cdr:nvCxnSpPr>
        <cdr:cNvPr id="2" name="Conector recto 1"/>
        <cdr:cNvCxnSpPr/>
      </cdr:nvCxnSpPr>
      <cdr:spPr>
        <a:xfrm xmlns:a="http://schemas.openxmlformats.org/drawingml/2006/main" flipH="1">
          <a:off x="1594404" y="199947"/>
          <a:ext cx="6699" cy="1944568"/>
        </a:xfrm>
        <a:prstGeom xmlns:a="http://schemas.openxmlformats.org/drawingml/2006/main" prst="line">
          <a:avLst/>
        </a:prstGeom>
        <a:ln xmlns:a="http://schemas.openxmlformats.org/drawingml/2006/main" w="22225">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0.26671</cdr:x>
      <cdr:y>0.06044</cdr:y>
    </cdr:from>
    <cdr:to>
      <cdr:x>0.68524</cdr:x>
      <cdr:y>0.76994</cdr:y>
    </cdr:to>
    <cdr:sp macro="" textlink="">
      <cdr:nvSpPr>
        <cdr:cNvPr id="3" name="Rectángulo 2"/>
        <cdr:cNvSpPr/>
      </cdr:nvSpPr>
      <cdr:spPr>
        <a:xfrm xmlns:a="http://schemas.openxmlformats.org/drawingml/2006/main">
          <a:off x="1308638" y="108767"/>
          <a:ext cx="2053578" cy="1276809"/>
        </a:xfrm>
        <a:prstGeom xmlns:a="http://schemas.openxmlformats.org/drawingml/2006/main" prst="rect">
          <a:avLst/>
        </a:prstGeom>
        <a:solidFill xmlns:a="http://schemas.openxmlformats.org/drawingml/2006/main">
          <a:schemeClr val="accent6">
            <a:lumMod val="20000"/>
            <a:lumOff val="80000"/>
            <a:alpha val="2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s-GT" sz="105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0.68706</cdr:x>
      <cdr:y>0.06436</cdr:y>
    </cdr:from>
    <cdr:to>
      <cdr:x>0.68984</cdr:x>
      <cdr:y>0.7567</cdr:y>
    </cdr:to>
    <cdr:cxnSp macro="">
      <cdr:nvCxnSpPr>
        <cdr:cNvPr id="4" name="Conector recto 3"/>
        <cdr:cNvCxnSpPr/>
      </cdr:nvCxnSpPr>
      <cdr:spPr>
        <a:xfrm xmlns:a="http://schemas.openxmlformats.org/drawingml/2006/main" flipH="1">
          <a:off x="4146062" y="179877"/>
          <a:ext cx="16776" cy="1935009"/>
        </a:xfrm>
        <a:prstGeom xmlns:a="http://schemas.openxmlformats.org/drawingml/2006/main" prst="line">
          <a:avLst/>
        </a:prstGeom>
        <a:ln xmlns:a="http://schemas.openxmlformats.org/drawingml/2006/main" w="22225">
          <a:solidFill>
            <a:schemeClr val="accent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0.3851</cdr:x>
      <cdr:y>0.06899</cdr:y>
    </cdr:from>
    <cdr:to>
      <cdr:x>0.68356</cdr:x>
      <cdr:y>0.15618</cdr:y>
    </cdr:to>
    <cdr:sp macro="" textlink="">
      <cdr:nvSpPr>
        <cdr:cNvPr id="5" name="CuadroTexto 10"/>
        <cdr:cNvSpPr txBox="1"/>
      </cdr:nvSpPr>
      <cdr:spPr>
        <a:xfrm xmlns:a="http://schemas.openxmlformats.org/drawingml/2006/main">
          <a:off x="2316744" y="192025"/>
          <a:ext cx="1795539" cy="2426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1000" b="1">
              <a:solidFill>
                <a:schemeClr val="accent6">
                  <a:lumMod val="50000"/>
                </a:schemeClr>
              </a:solidFill>
              <a:latin typeface="Times New Roman" panose="02020603050405020304" pitchFamily="18" charset="0"/>
              <a:cs typeface="Times New Roman" panose="02020603050405020304" pitchFamily="18" charset="0"/>
            </a:rPr>
            <a:t>Ingreso medio alto</a:t>
          </a:r>
        </a:p>
      </cdr:txBody>
    </cdr:sp>
  </cdr:relSizeAnchor>
  <cdr:relSizeAnchor xmlns:cdr="http://schemas.openxmlformats.org/drawingml/2006/chartDrawing">
    <cdr:from>
      <cdr:x>0.04814</cdr:x>
      <cdr:y>0.63386</cdr:y>
    </cdr:from>
    <cdr:to>
      <cdr:x>0.25362</cdr:x>
      <cdr:y>0.72105</cdr:y>
    </cdr:to>
    <cdr:sp macro="" textlink="">
      <cdr:nvSpPr>
        <cdr:cNvPr id="6" name="CuadroTexto 1"/>
        <cdr:cNvSpPr txBox="1"/>
      </cdr:nvSpPr>
      <cdr:spPr>
        <a:xfrm xmlns:a="http://schemas.openxmlformats.org/drawingml/2006/main">
          <a:off x="220213" y="1595112"/>
          <a:ext cx="940080" cy="2194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900" b="1">
              <a:solidFill>
                <a:schemeClr val="tx1"/>
              </a:solidFill>
              <a:latin typeface="Times New Roman" panose="02020603050405020304" pitchFamily="18" charset="0"/>
              <a:cs typeface="Times New Roman" panose="02020603050405020304" pitchFamily="18" charset="0"/>
            </a:rPr>
            <a:t>Ingreso bajo y mediano bajo</a:t>
          </a:r>
        </a:p>
      </cdr:txBody>
    </cdr:sp>
  </cdr:relSizeAnchor>
  <cdr:relSizeAnchor xmlns:cdr="http://schemas.openxmlformats.org/drawingml/2006/chartDrawing">
    <cdr:from>
      <cdr:x>0.74907</cdr:x>
      <cdr:y>0.63639</cdr:y>
    </cdr:from>
    <cdr:to>
      <cdr:x>0.95455</cdr:x>
      <cdr:y>0.72358</cdr:y>
    </cdr:to>
    <cdr:sp macro="" textlink="">
      <cdr:nvSpPr>
        <cdr:cNvPr id="7" name="CuadroTexto 1"/>
        <cdr:cNvSpPr txBox="1"/>
      </cdr:nvSpPr>
      <cdr:spPr>
        <a:xfrm xmlns:a="http://schemas.openxmlformats.org/drawingml/2006/main">
          <a:off x="3426895" y="1601473"/>
          <a:ext cx="940032" cy="2194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900" b="1">
              <a:solidFill>
                <a:schemeClr val="tx1"/>
              </a:solidFill>
              <a:latin typeface="Times New Roman" panose="02020603050405020304" pitchFamily="18" charset="0"/>
              <a:cs typeface="Times New Roman" panose="02020603050405020304" pitchFamily="18" charset="0"/>
            </a:rPr>
            <a:t>Ingreso alto</a:t>
          </a:r>
        </a:p>
      </cdr:txBody>
    </cdr:sp>
  </cdr:relSizeAnchor>
</c:userShapes>
</file>

<file path=word/drawings/drawing2.xml><?xml version="1.0" encoding="utf-8"?>
<c:userShapes xmlns:c="http://schemas.openxmlformats.org/drawingml/2006/chart">
  <cdr:relSizeAnchor xmlns:cdr="http://schemas.openxmlformats.org/drawingml/2006/chartDrawing">
    <cdr:from>
      <cdr:x>0.06301</cdr:x>
      <cdr:y>0.09801</cdr:y>
    </cdr:from>
    <cdr:to>
      <cdr:x>0.25659</cdr:x>
      <cdr:y>0.20982</cdr:y>
    </cdr:to>
    <cdr:sp macro="" textlink="">
      <cdr:nvSpPr>
        <cdr:cNvPr id="2" name="CuadroTexto 1">
          <a:extLst xmlns:a="http://schemas.openxmlformats.org/drawingml/2006/main">
            <a:ext uri="{FF2B5EF4-FFF2-40B4-BE49-F238E27FC236}">
              <a16:creationId xmlns:a16="http://schemas.microsoft.com/office/drawing/2014/main" id="{8ECFEC50-D79E-4CE3-9F3F-44BA5CC7CC66}"/>
            </a:ext>
          </a:extLst>
        </cdr:cNvPr>
        <cdr:cNvSpPr txBox="1"/>
      </cdr:nvSpPr>
      <cdr:spPr>
        <a:xfrm xmlns:a="http://schemas.openxmlformats.org/drawingml/2006/main">
          <a:off x="353620" y="147002"/>
          <a:ext cx="1086396" cy="1676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GT" sz="900"/>
            <a:t>(Como</a:t>
          </a:r>
          <a:r>
            <a:rPr lang="es-GT" sz="900" baseline="0"/>
            <a:t> porcentaje del PIB)</a:t>
          </a:r>
          <a:endParaRPr lang="es-GT" sz="900"/>
        </a:p>
      </cdr:txBody>
    </cdr:sp>
  </cdr:relSizeAnchor>
  <cdr:relSizeAnchor xmlns:cdr="http://schemas.openxmlformats.org/drawingml/2006/chartDrawing">
    <cdr:from>
      <cdr:x>0.4642</cdr:x>
      <cdr:y>0.03258</cdr:y>
    </cdr:from>
    <cdr:to>
      <cdr:x>0.5504</cdr:x>
      <cdr:y>0.12832</cdr:y>
    </cdr:to>
    <cdr:sp macro="" textlink="">
      <cdr:nvSpPr>
        <cdr:cNvPr id="3" name="CuadroTexto 1">
          <a:extLst xmlns:a="http://schemas.openxmlformats.org/drawingml/2006/main">
            <a:ext uri="{FF2B5EF4-FFF2-40B4-BE49-F238E27FC236}">
              <a16:creationId xmlns:a16="http://schemas.microsoft.com/office/drawing/2014/main" id="{508CF774-3693-4F56-A95F-FC8CC2C58EE5}"/>
            </a:ext>
          </a:extLst>
        </cdr:cNvPr>
        <cdr:cNvSpPr txBox="1"/>
      </cdr:nvSpPr>
      <cdr:spPr>
        <a:xfrm xmlns:a="http://schemas.openxmlformats.org/drawingml/2006/main">
          <a:off x="2339590" y="82109"/>
          <a:ext cx="434448" cy="241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Proyección</a:t>
          </a:r>
          <a:endParaRPr lang="es-GT" sz="1000"/>
        </a:p>
      </cdr:txBody>
    </cdr:sp>
  </cdr:relSizeAnchor>
  <cdr:relSizeAnchor xmlns:cdr="http://schemas.openxmlformats.org/drawingml/2006/chartDrawing">
    <cdr:from>
      <cdr:x>0.59698</cdr:x>
      <cdr:y>0.10677</cdr:y>
    </cdr:from>
    <cdr:to>
      <cdr:x>0.65079</cdr:x>
      <cdr:y>0.10677</cdr:y>
    </cdr:to>
    <cdr:cxnSp macro="">
      <cdr:nvCxnSpPr>
        <cdr:cNvPr id="5" name="Conector recto de flecha 4">
          <a:extLst xmlns:a="http://schemas.openxmlformats.org/drawingml/2006/main">
            <a:ext uri="{FF2B5EF4-FFF2-40B4-BE49-F238E27FC236}">
              <a16:creationId xmlns:a16="http://schemas.microsoft.com/office/drawing/2014/main" id="{4FA123A3-9CE3-4E54-8CAA-EF536972550C}"/>
            </a:ext>
          </a:extLst>
        </cdr:cNvPr>
        <cdr:cNvCxnSpPr/>
      </cdr:nvCxnSpPr>
      <cdr:spPr>
        <a:xfrm xmlns:a="http://schemas.openxmlformats.org/drawingml/2006/main">
          <a:off x="3003087" y="192177"/>
          <a:ext cx="27069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0.62058</cdr:x>
      <cdr:y>0.04751</cdr:y>
    </cdr:from>
    <cdr:to>
      <cdr:x>1</cdr:x>
      <cdr:y>0.79967</cdr:y>
    </cdr:to>
    <cdr:sp macro="" textlink="">
      <cdr:nvSpPr>
        <cdr:cNvPr id="6" name="Rectángulo 5">
          <a:extLst xmlns:a="http://schemas.openxmlformats.org/drawingml/2006/main">
            <a:ext uri="{FF2B5EF4-FFF2-40B4-BE49-F238E27FC236}">
              <a16:creationId xmlns:a16="http://schemas.microsoft.com/office/drawing/2014/main" id="{E2F74528-058E-4327-8A29-DC01B86251A5}"/>
            </a:ext>
          </a:extLst>
        </cdr:cNvPr>
        <cdr:cNvSpPr/>
      </cdr:nvSpPr>
      <cdr:spPr>
        <a:xfrm xmlns:a="http://schemas.openxmlformats.org/drawingml/2006/main">
          <a:off x="3482768" y="71252"/>
          <a:ext cx="2129362" cy="1128156"/>
        </a:xfrm>
        <a:prstGeom xmlns:a="http://schemas.openxmlformats.org/drawingml/2006/main" prst="rect">
          <a:avLst/>
        </a:prstGeom>
        <a:solidFill xmlns:a="http://schemas.openxmlformats.org/drawingml/2006/main">
          <a:schemeClr val="bg1">
            <a:lumMod val="75000"/>
            <a:alpha val="21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userShapes>
</file>

<file path=word/drawings/drawing3.xml><?xml version="1.0" encoding="utf-8"?>
<c:userShapes xmlns:c="http://schemas.openxmlformats.org/drawingml/2006/chart">
  <cdr:relSizeAnchor xmlns:cdr="http://schemas.openxmlformats.org/drawingml/2006/chartDrawing">
    <cdr:from>
      <cdr:x>0.27768</cdr:x>
      <cdr:y>0.34568</cdr:y>
    </cdr:from>
    <cdr:to>
      <cdr:x>0.97055</cdr:x>
      <cdr:y>0.56443</cdr:y>
    </cdr:to>
    <cdr:sp macro="" textlink="">
      <cdr:nvSpPr>
        <cdr:cNvPr id="5" name="Rectángulo 4">
          <a:extLst xmlns:a="http://schemas.openxmlformats.org/drawingml/2006/main">
            <a:ext uri="{FF2B5EF4-FFF2-40B4-BE49-F238E27FC236}">
              <a16:creationId xmlns:a16="http://schemas.microsoft.com/office/drawing/2014/main" id="{38CBF9ED-8382-FC1C-DD79-E2568771B926}"/>
            </a:ext>
          </a:extLst>
        </cdr:cNvPr>
        <cdr:cNvSpPr/>
      </cdr:nvSpPr>
      <cdr:spPr>
        <a:xfrm xmlns:a="http://schemas.openxmlformats.org/drawingml/2006/main">
          <a:off x="1415044" y="579498"/>
          <a:ext cx="3530756" cy="366712"/>
        </a:xfrm>
        <a:prstGeom xmlns:a="http://schemas.openxmlformats.org/drawingml/2006/main" prst="rect">
          <a:avLst/>
        </a:prstGeom>
        <a:solidFill xmlns:a="http://schemas.openxmlformats.org/drawingml/2006/main">
          <a:schemeClr val="accent4">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GT" sz="1100"/>
        </a:p>
      </cdr:txBody>
    </cdr:sp>
  </cdr:relSizeAnchor>
  <cdr:relSizeAnchor xmlns:cdr="http://schemas.openxmlformats.org/drawingml/2006/chartDrawing">
    <cdr:from>
      <cdr:x>0.27687</cdr:x>
      <cdr:y>0.5679</cdr:y>
    </cdr:from>
    <cdr:to>
      <cdr:x>0.97029</cdr:x>
      <cdr:y>0.78318</cdr:y>
    </cdr:to>
    <cdr:sp macro="" textlink="">
      <cdr:nvSpPr>
        <cdr:cNvPr id="6" name="Rectángulo 5">
          <a:extLst xmlns:a="http://schemas.openxmlformats.org/drawingml/2006/main">
            <a:ext uri="{FF2B5EF4-FFF2-40B4-BE49-F238E27FC236}">
              <a16:creationId xmlns:a16="http://schemas.microsoft.com/office/drawing/2014/main" id="{FB25EC67-175D-59AA-EDB8-AAE3B88F7BF1}"/>
            </a:ext>
          </a:extLst>
        </cdr:cNvPr>
        <cdr:cNvSpPr/>
      </cdr:nvSpPr>
      <cdr:spPr>
        <a:xfrm xmlns:a="http://schemas.openxmlformats.org/drawingml/2006/main">
          <a:off x="1410907" y="952028"/>
          <a:ext cx="3533569" cy="360895"/>
        </a:xfrm>
        <a:prstGeom xmlns:a="http://schemas.openxmlformats.org/drawingml/2006/main" prst="rect">
          <a:avLst/>
        </a:prstGeom>
        <a:solidFill xmlns:a="http://schemas.openxmlformats.org/drawingml/2006/main">
          <a:schemeClr val="accent6">
            <a:alpha val="2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GT" sz="1100"/>
        </a:p>
      </cdr:txBody>
    </cdr:sp>
  </cdr:relSizeAnchor>
  <cdr:relSizeAnchor xmlns:cdr="http://schemas.openxmlformats.org/drawingml/2006/chartDrawing">
    <cdr:from>
      <cdr:x>0.27687</cdr:x>
      <cdr:y>0.12207</cdr:y>
    </cdr:from>
    <cdr:to>
      <cdr:x>0.96822</cdr:x>
      <cdr:y>0.33987</cdr:y>
    </cdr:to>
    <cdr:sp macro="" textlink="">
      <cdr:nvSpPr>
        <cdr:cNvPr id="7" name="Rectángulo 6">
          <a:extLst xmlns:a="http://schemas.openxmlformats.org/drawingml/2006/main">
            <a:ext uri="{FF2B5EF4-FFF2-40B4-BE49-F238E27FC236}">
              <a16:creationId xmlns:a16="http://schemas.microsoft.com/office/drawing/2014/main" id="{AAF89C6D-B5AC-2F9F-D8BE-985F9E645D91}"/>
            </a:ext>
          </a:extLst>
        </cdr:cNvPr>
        <cdr:cNvSpPr/>
      </cdr:nvSpPr>
      <cdr:spPr>
        <a:xfrm xmlns:a="http://schemas.openxmlformats.org/drawingml/2006/main">
          <a:off x="1410895" y="204638"/>
          <a:ext cx="3523033" cy="365120"/>
        </a:xfrm>
        <a:prstGeom xmlns:a="http://schemas.openxmlformats.org/drawingml/2006/main" prst="rect">
          <a:avLst/>
        </a:prstGeom>
        <a:solidFill xmlns:a="http://schemas.openxmlformats.org/drawingml/2006/main">
          <a:srgbClr val="FF0000">
            <a:alpha val="2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GT" sz="1100"/>
        </a:p>
      </cdr:txBody>
    </cdr:sp>
  </cdr:relSizeAnchor>
</c:userShapes>
</file>

<file path=word/drawings/drawing4.xml><?xml version="1.0" encoding="utf-8"?>
<c:userShapes xmlns:c="http://schemas.openxmlformats.org/drawingml/2006/chart">
  <cdr:relSizeAnchor xmlns:cdr="http://schemas.openxmlformats.org/drawingml/2006/chartDrawing">
    <cdr:from>
      <cdr:x>0.00615</cdr:x>
      <cdr:y>0.89307</cdr:y>
    </cdr:from>
    <cdr:to>
      <cdr:x>0.34073</cdr:x>
      <cdr:y>1</cdr:y>
    </cdr:to>
    <cdr:sp macro="" textlink="">
      <cdr:nvSpPr>
        <cdr:cNvPr id="2" name="Cuadro de texto 1"/>
        <cdr:cNvSpPr txBox="1"/>
      </cdr:nvSpPr>
      <cdr:spPr>
        <a:xfrm xmlns:a="http://schemas.openxmlformats.org/drawingml/2006/main">
          <a:off x="32198" y="1287887"/>
          <a:ext cx="1751527" cy="1541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600" b="1">
              <a:latin typeface="Times New Roman" panose="02020603050405020304" pitchFamily="18" charset="0"/>
              <a:cs typeface="Times New Roman" panose="02020603050405020304" pitchFamily="18" charset="0"/>
            </a:rPr>
            <a:t>* Al 30 de junio de 2022</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Jul07</b:Tag>
    <b:SourceType>JournalArticle</b:SourceType>
    <b:Guid>{814BC1F0-6944-4008-B3E4-CDDAAF1F1DE3}</b:Guid>
    <b:Title>The Fan Chart; The Techinal Details Of The New Implementation</b:Title>
    <b:JournalName>Borradores de Economía No. 468</b:JournalName>
    <b:Year>2007</b:Year>
    <b:Author>
      <b:Author>
        <b:NameList>
          <b:Person>
            <b:Last>Julio</b:Last>
            <b:Middle>Manuel</b:Middle>
            <b:First>Juan</b:First>
          </b:Person>
        </b:NameList>
      </b:Author>
    </b:Author>
    <b:RefOrder>1</b:RefOrder>
  </b:Source>
  <b:Source>
    <b:Tag>Sec16</b:Tag>
    <b:SourceType>JournalArticle</b:SourceType>
    <b:Guid>{B503CE69-BB9C-4F99-A104-3CA31E5034BC}</b:Guid>
    <b:Author>
      <b:Author>
        <b:Corporate>Secretaría Ejecutiva del Consejo Monetario Centroamericano</b:Corporate>
      </b:Author>
    </b:Author>
    <b:Title>Propuesta de actualización del índice de tipo de cambio efectivo real (ITCER)</b:Title>
    <b:JournalName>Notas Económicas Regionales</b:JournalName>
    <b:Year>2016</b:Year>
    <b:RefOrder>1</b:RefOrder>
  </b:Source>
</b:Sources>
</file>

<file path=customXml/itemProps1.xml><?xml version="1.0" encoding="utf-8"?>
<ds:datastoreItem xmlns:ds="http://schemas.openxmlformats.org/officeDocument/2006/customXml" ds:itemID="{032965CC-C787-42CC-B77E-20742FFB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35000</Words>
  <Characters>192506</Characters>
  <Application>Microsoft Office Word</Application>
  <DocSecurity>0</DocSecurity>
  <Lines>1604</Lines>
  <Paragraphs>454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Patricia Taracena Rodriguez</dc:creator>
  <cp:lastModifiedBy>René Augusto Castro González</cp:lastModifiedBy>
  <cp:revision>2</cp:revision>
  <cp:lastPrinted>2022-09-19T23:13:00Z</cp:lastPrinted>
  <dcterms:created xsi:type="dcterms:W3CDTF">2022-09-20T13:55:00Z</dcterms:created>
  <dcterms:modified xsi:type="dcterms:W3CDTF">2022-09-20T13:55:00Z</dcterms:modified>
</cp:coreProperties>
</file>