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5.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E6" w:rsidRDefault="007D14E6">
      <w:pPr>
        <w:rPr>
          <w:rFonts w:ascii="Times New Roman" w:hAnsi="Times New Roman" w:cs="Times New Roman"/>
          <w:b/>
          <w:lang w:val="es-MX"/>
        </w:rPr>
      </w:pPr>
      <w:r>
        <w:rPr>
          <w:rFonts w:ascii="Times New Roman" w:hAnsi="Times New Roman" w:cs="Times New Roman"/>
          <w:b/>
          <w:noProof/>
          <w:lang w:eastAsia="es-GT"/>
        </w:rPr>
        <mc:AlternateContent>
          <mc:Choice Requires="wps">
            <w:drawing>
              <wp:anchor distT="0" distB="0" distL="114300" distR="114300" simplePos="0" relativeHeight="251659264" behindDoc="0" locked="0" layoutInCell="1" allowOverlap="1">
                <wp:simplePos x="0" y="0"/>
                <wp:positionH relativeFrom="column">
                  <wp:posOffset>366528</wp:posOffset>
                </wp:positionH>
                <wp:positionV relativeFrom="paragraph">
                  <wp:posOffset>3453206</wp:posOffset>
                </wp:positionV>
                <wp:extent cx="5377218" cy="1241946"/>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5377218" cy="1241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E6" w:rsidRPr="00037142" w:rsidRDefault="007D14E6" w:rsidP="007D14E6">
                            <w:pPr>
                              <w:jc w:val="center"/>
                              <w:rPr>
                                <w:rFonts w:ascii="Times New Roman" w:hAnsi="Times New Roman" w:cs="Times New Roman"/>
                                <w:b/>
                                <w:sz w:val="44"/>
                                <w:lang w:val="es-MX"/>
                              </w:rPr>
                            </w:pPr>
                            <w:r w:rsidRPr="00037142">
                              <w:rPr>
                                <w:rFonts w:ascii="Times New Roman" w:hAnsi="Times New Roman" w:cs="Times New Roman"/>
                                <w:b/>
                                <w:sz w:val="44"/>
                                <w:lang w:val="es-MX"/>
                              </w:rPr>
                              <w:t>Informe mensual de las Finanzas Públicas</w:t>
                            </w:r>
                          </w:p>
                          <w:p w:rsidR="007D14E6" w:rsidRPr="00037142" w:rsidRDefault="007D14E6" w:rsidP="007D14E6">
                            <w:pPr>
                              <w:jc w:val="center"/>
                              <w:rPr>
                                <w:rFonts w:ascii="Times New Roman" w:hAnsi="Times New Roman" w:cs="Times New Roman"/>
                                <w:b/>
                                <w:sz w:val="44"/>
                                <w:lang w:val="es-MX"/>
                              </w:rPr>
                            </w:pPr>
                            <w:r w:rsidRPr="00037142">
                              <w:rPr>
                                <w:rFonts w:ascii="Times New Roman" w:hAnsi="Times New Roman" w:cs="Times New Roman"/>
                                <w:b/>
                                <w:sz w:val="44"/>
                                <w:lang w:val="es-MX"/>
                              </w:rPr>
                              <w:t>Octubre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margin-left:28.85pt;margin-top:271.9pt;width:423.4pt;height:9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" fillcolor="white [3201]" stroked="f" strokeweight=".5pt">
                <v:textbox>
                  <w:txbxContent>
                    <w:p w:rsidR="007D14E6" w:rsidRPr="00037142" w:rsidRDefault="007D14E6" w:rsidP="007D14E6">
                      <w:pPr>
                        <w:jc w:val="center"/>
                        <w:rPr>
                          <w:rFonts w:ascii="Times New Roman" w:hAnsi="Times New Roman" w:cs="Times New Roman"/>
                          <w:b/>
                          <w:sz w:val="44"/>
                          <w:lang w:val="es-MX"/>
                        </w:rPr>
                      </w:pPr>
                      <w:r w:rsidRPr="00037142">
                        <w:rPr>
                          <w:rFonts w:ascii="Times New Roman" w:hAnsi="Times New Roman" w:cs="Times New Roman"/>
                          <w:b/>
                          <w:sz w:val="44"/>
                          <w:lang w:val="es-MX"/>
                        </w:rPr>
                        <w:t>Informe mensual de las Finanzas Públicas</w:t>
                      </w:r>
                    </w:p>
                    <w:p w:rsidR="007D14E6" w:rsidRPr="00037142" w:rsidRDefault="007D14E6" w:rsidP="007D14E6">
                      <w:pPr>
                        <w:jc w:val="center"/>
                        <w:rPr>
                          <w:rFonts w:ascii="Times New Roman" w:hAnsi="Times New Roman" w:cs="Times New Roman"/>
                          <w:b/>
                          <w:sz w:val="44"/>
                          <w:lang w:val="es-MX"/>
                        </w:rPr>
                      </w:pPr>
                      <w:r w:rsidRPr="00037142">
                        <w:rPr>
                          <w:rFonts w:ascii="Times New Roman" w:hAnsi="Times New Roman" w:cs="Times New Roman"/>
                          <w:b/>
                          <w:sz w:val="44"/>
                          <w:lang w:val="es-MX"/>
                        </w:rPr>
                        <w:t>Octubre 2015</w:t>
                      </w:r>
                    </w:p>
                  </w:txbxContent>
                </v:textbox>
              </v:shape>
            </w:pict>
          </mc:Fallback>
        </mc:AlternateContent>
      </w:r>
      <w:r>
        <w:rPr>
          <w:rFonts w:ascii="Times New Roman" w:hAnsi="Times New Roman" w:cs="Times New Roman"/>
          <w:b/>
          <w:lang w:val="es-MX"/>
        </w:rPr>
        <w:br w:type="page"/>
      </w:r>
    </w:p>
    <w:p w:rsidR="00052EE7" w:rsidRPr="000E01A4" w:rsidRDefault="00B43F45" w:rsidP="00052EE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0E01A4">
        <w:rPr>
          <w:rFonts w:ascii="Times New Roman" w:hAnsi="Times New Roman" w:cs="Times New Roman"/>
          <w:b/>
          <w:lang w:val="es-MX"/>
        </w:rPr>
        <w:lastRenderedPageBreak/>
        <w:t>D</w:t>
      </w:r>
      <w:r w:rsidR="002B6D89" w:rsidRPr="000E01A4">
        <w:rPr>
          <w:rFonts w:ascii="Times New Roman" w:hAnsi="Times New Roman" w:cs="Times New Roman"/>
          <w:b/>
          <w:lang w:val="es-MX"/>
        </w:rPr>
        <w:t>éficit fiscal</w:t>
      </w:r>
      <w:r w:rsidR="00186D70" w:rsidRPr="000E01A4">
        <w:rPr>
          <w:rFonts w:ascii="Times New Roman" w:hAnsi="Times New Roman" w:cs="Times New Roman"/>
          <w:b/>
          <w:lang w:val="es-MX"/>
        </w:rPr>
        <w:t xml:space="preserve"> por debajo de lo estimado</w:t>
      </w:r>
    </w:p>
    <w:p w:rsidR="00052EE7" w:rsidRPr="00985E23" w:rsidRDefault="00052EE7" w:rsidP="00052EE7">
      <w:pPr>
        <w:pStyle w:val="Sinespaciado"/>
        <w:jc w:val="center"/>
        <w:rPr>
          <w:rFonts w:ascii="Times New Roman" w:hAnsi="Times New Roman" w:cs="Times New Roman"/>
          <w:b/>
          <w:color w:val="FF0000"/>
          <w:lang w:val="es-MX"/>
        </w:rPr>
      </w:pPr>
    </w:p>
    <w:p w:rsidR="00052EE7" w:rsidRPr="00985E23" w:rsidRDefault="00052EE7" w:rsidP="00052EE7">
      <w:pPr>
        <w:pStyle w:val="Sinespaciado"/>
        <w:jc w:val="both"/>
        <w:rPr>
          <w:rFonts w:ascii="Times New Roman" w:hAnsi="Times New Roman" w:cs="Times New Roman"/>
          <w:color w:val="FF0000"/>
          <w:lang w:val="es-MX"/>
        </w:rPr>
        <w:sectPr w:rsidR="00052EE7" w:rsidRPr="00985E23" w:rsidSect="007D14E6">
          <w:headerReference w:type="default" r:id="rId8"/>
          <w:footerReference w:type="default" r:id="rId9"/>
          <w:headerReference w:type="first" r:id="rId10"/>
          <w:footerReference w:type="first" r:id="rId11"/>
          <w:type w:val="continuous"/>
          <w:pgSz w:w="12240" w:h="15840" w:code="1"/>
          <w:pgMar w:top="1418" w:right="1701" w:bottom="1418" w:left="1701" w:header="709" w:footer="709" w:gutter="0"/>
          <w:cols w:space="708"/>
          <w:titlePg/>
          <w:docGrid w:linePitch="360"/>
        </w:sectPr>
      </w:pPr>
    </w:p>
    <w:p w:rsidR="000E01A4" w:rsidRDefault="002D3C75" w:rsidP="000E01A4">
      <w:pPr>
        <w:pStyle w:val="Sinespaciado"/>
        <w:jc w:val="both"/>
        <w:rPr>
          <w:rFonts w:ascii="Times New Roman" w:hAnsi="Times New Roman" w:cs="Times New Roman"/>
          <w:lang w:val="es-MX"/>
        </w:rPr>
      </w:pPr>
      <w:r>
        <w:rPr>
          <w:rFonts w:ascii="Times New Roman" w:hAnsi="Times New Roman" w:cs="Times New Roman"/>
          <w:lang w:val="es-MX"/>
        </w:rPr>
        <w:t>L</w:t>
      </w:r>
      <w:r w:rsidR="000E01A4">
        <w:rPr>
          <w:rFonts w:ascii="Times New Roman" w:hAnsi="Times New Roman" w:cs="Times New Roman"/>
          <w:lang w:val="es-MX"/>
        </w:rPr>
        <w:t xml:space="preserve">os esfuerzos que se han realizado por contener el gasto público, derivado de la baja recaudación tributaria con respecto a lo estimado en el presupuesto, en lo que va del año, </w:t>
      </w:r>
      <w:r>
        <w:rPr>
          <w:rFonts w:ascii="Times New Roman" w:hAnsi="Times New Roman" w:cs="Times New Roman"/>
          <w:lang w:val="es-MX"/>
        </w:rPr>
        <w:t xml:space="preserve">el resultado fiscal </w:t>
      </w:r>
      <w:r w:rsidR="000E01A4">
        <w:rPr>
          <w:rFonts w:ascii="Times New Roman" w:hAnsi="Times New Roman" w:cs="Times New Roman"/>
          <w:lang w:val="es-MX"/>
        </w:rPr>
        <w:t xml:space="preserve">está por debajo de lo estimado en el presupuesto para </w:t>
      </w:r>
      <w:r>
        <w:rPr>
          <w:rFonts w:ascii="Times New Roman" w:hAnsi="Times New Roman" w:cs="Times New Roman"/>
          <w:lang w:val="es-MX"/>
        </w:rPr>
        <w:t>este mes</w:t>
      </w:r>
      <w:r w:rsidR="000E01A4">
        <w:rPr>
          <w:rFonts w:ascii="Times New Roman" w:hAnsi="Times New Roman" w:cs="Times New Roman"/>
          <w:lang w:val="es-MX"/>
        </w:rPr>
        <w:t>, aunque se ubica por arriba de lo observado el año anterior.</w:t>
      </w:r>
    </w:p>
    <w:p w:rsidR="000E01A4" w:rsidRDefault="000E01A4" w:rsidP="000E01A4">
      <w:pPr>
        <w:pStyle w:val="Sinespaciado"/>
        <w:jc w:val="both"/>
        <w:rPr>
          <w:rFonts w:ascii="Times New Roman" w:hAnsi="Times New Roman" w:cs="Times New Roman"/>
          <w:lang w:val="es-MX"/>
        </w:rPr>
      </w:pPr>
    </w:p>
    <w:p w:rsidR="000E01A4" w:rsidRDefault="000E01A4" w:rsidP="000E01A4">
      <w:pPr>
        <w:pStyle w:val="Sinespaciado"/>
        <w:jc w:val="both"/>
        <w:rPr>
          <w:rFonts w:ascii="Times New Roman" w:hAnsi="Times New Roman" w:cs="Times New Roman"/>
          <w:lang w:val="es-MX"/>
        </w:rPr>
      </w:pPr>
      <w:r>
        <w:rPr>
          <w:rFonts w:ascii="Times New Roman" w:hAnsi="Times New Roman" w:cs="Times New Roman"/>
          <w:lang w:val="es-MX"/>
        </w:rPr>
        <w:t xml:space="preserve">En efecto, el resultado fiscal al 31 de octubre, se sitúa en un déficit de Q 4,360.0 millones (0.9% del PIB), superior en términos nominales al obtenido en igual fecha del año anterior, el cual se ubicó en Q 3,132.2 millones (0.7% del PIB). Sin embargo, el déficit a la fecha se encuentra por debajo del estimado en el presupuesto para este mes (1.2% del PIB). </w:t>
      </w:r>
    </w:p>
    <w:p w:rsidR="000E01A4" w:rsidRDefault="000E01A4" w:rsidP="000E01A4">
      <w:pPr>
        <w:pStyle w:val="Sinespaciado"/>
        <w:jc w:val="both"/>
        <w:rPr>
          <w:rFonts w:ascii="Times New Roman" w:hAnsi="Times New Roman" w:cs="Times New Roman"/>
          <w:lang w:val="es-MX"/>
        </w:rPr>
      </w:pPr>
    </w:p>
    <w:p w:rsidR="00186D70" w:rsidRPr="00985E23" w:rsidRDefault="000E01A4" w:rsidP="000E01A4">
      <w:pPr>
        <w:pStyle w:val="Sinespaciado"/>
        <w:jc w:val="both"/>
        <w:rPr>
          <w:rFonts w:ascii="Times New Roman" w:hAnsi="Times New Roman" w:cs="Times New Roman"/>
          <w:color w:val="FF0000"/>
          <w:lang w:val="es-MX"/>
        </w:rPr>
      </w:pPr>
      <w:r>
        <w:rPr>
          <w:rFonts w:ascii="Times New Roman" w:hAnsi="Times New Roman" w:cs="Times New Roman"/>
          <w:lang w:val="es-MX"/>
        </w:rPr>
        <w:t>Considerando la ejecución observada a la fecha y la estimación de ingresos y gastos para los siguientes meses, el déficit fiscal podría ubicarse, al cierre del año, entre 1.5 y 1.6% del PIB.</w:t>
      </w:r>
      <w:r w:rsidR="00186D70" w:rsidRPr="00985E23">
        <w:rPr>
          <w:rFonts w:ascii="Times New Roman" w:hAnsi="Times New Roman" w:cs="Times New Roman"/>
          <w:color w:val="FF0000"/>
          <w:lang w:val="es-MX"/>
        </w:rPr>
        <w:t xml:space="preserve"> </w:t>
      </w:r>
    </w:p>
    <w:p w:rsidR="00052EE7" w:rsidRPr="00985E23" w:rsidRDefault="00052EE7" w:rsidP="009267E9">
      <w:pPr>
        <w:pStyle w:val="Sinespaciado"/>
        <w:jc w:val="both"/>
        <w:rPr>
          <w:rFonts w:ascii="Times New Roman" w:hAnsi="Times New Roman" w:cs="Times New Roman"/>
          <w:b/>
          <w:color w:val="FF0000"/>
          <w:lang w:val="es-MX"/>
        </w:rPr>
      </w:pPr>
    </w:p>
    <w:p w:rsidR="00052EE7" w:rsidRPr="00985E23" w:rsidRDefault="00052EE7" w:rsidP="00052EE7">
      <w:pPr>
        <w:pStyle w:val="Sinespaciado"/>
        <w:jc w:val="center"/>
        <w:rPr>
          <w:rFonts w:ascii="Times New Roman" w:hAnsi="Times New Roman" w:cs="Times New Roman"/>
          <w:b/>
          <w:color w:val="FF0000"/>
          <w:lang w:val="es-MX"/>
        </w:rPr>
        <w:sectPr w:rsidR="00052EE7" w:rsidRPr="00985E23" w:rsidSect="005D6A2E">
          <w:type w:val="continuous"/>
          <w:pgSz w:w="12240" w:h="15840"/>
          <w:pgMar w:top="1417" w:right="1701" w:bottom="1417" w:left="1701" w:header="708" w:footer="708" w:gutter="0"/>
          <w:cols w:num="2" w:space="708"/>
          <w:docGrid w:linePitch="360"/>
        </w:sectPr>
      </w:pPr>
    </w:p>
    <w:p w:rsidR="00052EE7" w:rsidRPr="00985E23" w:rsidRDefault="00052EE7" w:rsidP="00052EE7">
      <w:pPr>
        <w:pStyle w:val="Sinespaciado"/>
        <w:jc w:val="right"/>
        <w:rPr>
          <w:rFonts w:ascii="Times New Roman" w:hAnsi="Times New Roman" w:cs="Times New Roman"/>
          <w:b/>
          <w:color w:val="FF0000"/>
          <w:lang w:val="es-MX"/>
        </w:rPr>
      </w:pPr>
    </w:p>
    <w:p w:rsidR="00186D70" w:rsidRPr="000E01A4" w:rsidRDefault="00186D70" w:rsidP="00186D70">
      <w:pPr>
        <w:pStyle w:val="Sinespaciado"/>
        <w:jc w:val="center"/>
        <w:rPr>
          <w:rFonts w:ascii="Times New Roman" w:hAnsi="Times New Roman" w:cs="Times New Roman"/>
          <w:b/>
          <w:lang w:val="es-MX"/>
        </w:rPr>
      </w:pPr>
      <w:r w:rsidRPr="000E01A4">
        <w:rPr>
          <w:rFonts w:ascii="Times New Roman" w:hAnsi="Times New Roman" w:cs="Times New Roman"/>
          <w:b/>
          <w:lang w:val="es-MX"/>
        </w:rPr>
        <w:t>Resultado Presupuestario</w:t>
      </w:r>
    </w:p>
    <w:p w:rsidR="00186D70" w:rsidRPr="000E01A4" w:rsidRDefault="00186D70" w:rsidP="00186D70">
      <w:pPr>
        <w:pStyle w:val="Sinespaciado"/>
        <w:jc w:val="center"/>
        <w:rPr>
          <w:rFonts w:ascii="Times New Roman" w:hAnsi="Times New Roman" w:cs="Times New Roman"/>
          <w:sz w:val="18"/>
          <w:lang w:val="es-MX"/>
        </w:rPr>
      </w:pPr>
      <w:r w:rsidRPr="000E01A4">
        <w:rPr>
          <w:rFonts w:ascii="Times New Roman" w:hAnsi="Times New Roman" w:cs="Times New Roman"/>
          <w:sz w:val="18"/>
          <w:lang w:val="es-MX"/>
        </w:rPr>
        <w:t>Al 31 de octubre de cada año</w:t>
      </w:r>
    </w:p>
    <w:p w:rsidR="00186D70" w:rsidRPr="000E01A4" w:rsidRDefault="00186D70" w:rsidP="00186D70">
      <w:pPr>
        <w:pStyle w:val="Sinespaciado"/>
        <w:jc w:val="center"/>
        <w:rPr>
          <w:rFonts w:ascii="Times New Roman" w:hAnsi="Times New Roman" w:cs="Times New Roman"/>
          <w:sz w:val="16"/>
          <w:lang w:val="es-MX"/>
        </w:rPr>
      </w:pPr>
      <w:r w:rsidRPr="000E01A4">
        <w:rPr>
          <w:rFonts w:ascii="Times New Roman" w:hAnsi="Times New Roman" w:cs="Times New Roman"/>
          <w:sz w:val="16"/>
          <w:lang w:val="es-MX"/>
        </w:rPr>
        <w:t>Porcentajes del PIB</w:t>
      </w:r>
    </w:p>
    <w:p w:rsidR="00052EE7" w:rsidRPr="000E01A4" w:rsidRDefault="00186D70" w:rsidP="00052EE7">
      <w:pPr>
        <w:pStyle w:val="Sinespaciado"/>
        <w:jc w:val="center"/>
        <w:rPr>
          <w:rFonts w:ascii="Times New Roman" w:hAnsi="Times New Roman" w:cs="Times New Roman"/>
          <w:lang w:val="es-MX"/>
        </w:rPr>
      </w:pPr>
      <w:r w:rsidRPr="000E01A4">
        <w:rPr>
          <w:noProof/>
          <w:lang w:eastAsia="es-GT"/>
        </w:rPr>
        <w:drawing>
          <wp:inline distT="0" distB="0" distL="0" distR="0" wp14:anchorId="5A82BFB8" wp14:editId="6501D779">
            <wp:extent cx="2830665" cy="2037132"/>
            <wp:effectExtent l="0" t="0" r="8255"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3088" cy="2046072"/>
                    </a:xfrm>
                    <a:prstGeom prst="rect">
                      <a:avLst/>
                    </a:prstGeom>
                    <a:noFill/>
                    <a:ln>
                      <a:noFill/>
                    </a:ln>
                  </pic:spPr>
                </pic:pic>
              </a:graphicData>
            </a:graphic>
          </wp:inline>
        </w:drawing>
      </w:r>
    </w:p>
    <w:p w:rsidR="00052EE7" w:rsidRPr="000E01A4" w:rsidRDefault="00052EE7" w:rsidP="00B43F45">
      <w:pPr>
        <w:pStyle w:val="Sinespaciado"/>
        <w:ind w:left="1416" w:firstLine="708"/>
        <w:rPr>
          <w:rFonts w:ascii="Times New Roman" w:hAnsi="Times New Roman" w:cs="Times New Roman"/>
          <w:sz w:val="16"/>
        </w:rPr>
      </w:pPr>
      <w:r w:rsidRPr="000E01A4">
        <w:rPr>
          <w:rFonts w:ascii="Times New Roman" w:hAnsi="Times New Roman" w:cs="Times New Roman"/>
          <w:sz w:val="16"/>
        </w:rPr>
        <w:t>Fuente: Dirección de Análisis y Política fiscal</w:t>
      </w:r>
    </w:p>
    <w:p w:rsidR="00052EE7" w:rsidRPr="00985E23" w:rsidRDefault="00052EE7" w:rsidP="009267E9">
      <w:pPr>
        <w:pStyle w:val="Sinespaciado"/>
        <w:jc w:val="center"/>
        <w:rPr>
          <w:rFonts w:ascii="Times New Roman" w:hAnsi="Times New Roman" w:cs="Times New Roman"/>
          <w:color w:val="FF0000"/>
          <w:sz w:val="10"/>
        </w:rPr>
        <w:sectPr w:rsidR="00052EE7" w:rsidRPr="00985E23" w:rsidSect="007F29D0">
          <w:type w:val="continuous"/>
          <w:pgSz w:w="12240" w:h="15840"/>
          <w:pgMar w:top="1417" w:right="1701" w:bottom="1417" w:left="1701" w:header="708" w:footer="708" w:gutter="0"/>
          <w:cols w:space="708"/>
          <w:docGrid w:linePitch="360"/>
        </w:sectPr>
      </w:pPr>
    </w:p>
    <w:p w:rsidR="00052EE7" w:rsidRPr="00985E23" w:rsidRDefault="00052EE7" w:rsidP="00052EE7">
      <w:pPr>
        <w:pStyle w:val="Sinespaciado"/>
        <w:rPr>
          <w:rFonts w:ascii="Times New Roman" w:hAnsi="Times New Roman" w:cs="Times New Roman"/>
          <w:b/>
          <w:color w:val="FF0000"/>
          <w:sz w:val="16"/>
        </w:rPr>
      </w:pPr>
    </w:p>
    <w:p w:rsidR="00052EE7" w:rsidRPr="001E5C2B" w:rsidRDefault="00F21FB8" w:rsidP="00052EE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sectPr w:rsidR="00052EE7" w:rsidRPr="001E5C2B" w:rsidSect="00BD010A">
          <w:type w:val="continuous"/>
          <w:pgSz w:w="12240" w:h="15840"/>
          <w:pgMar w:top="1417" w:right="1701" w:bottom="1417" w:left="1701" w:header="708" w:footer="708" w:gutter="0"/>
          <w:cols w:space="708"/>
          <w:docGrid w:linePitch="360"/>
        </w:sectPr>
      </w:pPr>
      <w:r w:rsidRPr="001E5C2B">
        <w:rPr>
          <w:rFonts w:ascii="Times New Roman" w:hAnsi="Times New Roman" w:cs="Times New Roman"/>
          <w:b/>
          <w:lang w:val="es-MX"/>
        </w:rPr>
        <w:t>La recaudación asociada al comercio</w:t>
      </w:r>
      <w:r w:rsidR="009D070C" w:rsidRPr="001E5C2B">
        <w:rPr>
          <w:rFonts w:ascii="Times New Roman" w:hAnsi="Times New Roman" w:cs="Times New Roman"/>
          <w:b/>
          <w:lang w:val="es-MX"/>
        </w:rPr>
        <w:t xml:space="preserve"> </w:t>
      </w:r>
      <w:r w:rsidRPr="001E5C2B">
        <w:rPr>
          <w:rFonts w:ascii="Times New Roman" w:hAnsi="Times New Roman" w:cs="Times New Roman"/>
          <w:b/>
          <w:lang w:val="es-MX"/>
        </w:rPr>
        <w:t>exterior mantiene la caída</w:t>
      </w:r>
    </w:p>
    <w:p w:rsidR="00052EE7" w:rsidRPr="00985E23" w:rsidRDefault="00052EE7" w:rsidP="00052EE7">
      <w:pPr>
        <w:spacing w:after="0" w:line="240" w:lineRule="auto"/>
        <w:jc w:val="both"/>
        <w:rPr>
          <w:rFonts w:ascii="Times New Roman" w:hAnsi="Times New Roman" w:cs="Times New Roman"/>
          <w:color w:val="FF0000"/>
          <w:lang w:val="es-MX"/>
        </w:rPr>
        <w:sectPr w:rsidR="00052EE7" w:rsidRPr="00985E23" w:rsidSect="00D90C85">
          <w:type w:val="continuous"/>
          <w:pgSz w:w="12240" w:h="15840"/>
          <w:pgMar w:top="1417" w:right="1701" w:bottom="1417" w:left="1701" w:header="708" w:footer="708" w:gutter="0"/>
          <w:cols w:space="708"/>
          <w:docGrid w:linePitch="360"/>
        </w:sectPr>
      </w:pPr>
    </w:p>
    <w:p w:rsidR="001E5C2B" w:rsidRDefault="001E5C2B" w:rsidP="001E5C2B">
      <w:pPr>
        <w:spacing w:after="0" w:line="240" w:lineRule="auto"/>
        <w:jc w:val="both"/>
        <w:rPr>
          <w:rFonts w:ascii="Times New Roman" w:hAnsi="Times New Roman" w:cs="Times New Roman"/>
          <w:lang w:val="es-MX"/>
        </w:rPr>
      </w:pPr>
      <w:r w:rsidRPr="00323048">
        <w:rPr>
          <w:rFonts w:ascii="Times New Roman" w:hAnsi="Times New Roman" w:cs="Times New Roman"/>
          <w:lang w:val="es-MX"/>
        </w:rPr>
        <w:t>La recaudación tributaria</w:t>
      </w:r>
      <w:r>
        <w:rPr>
          <w:rFonts w:ascii="Times New Roman" w:hAnsi="Times New Roman" w:cs="Times New Roman"/>
          <w:lang w:val="es-MX"/>
        </w:rPr>
        <w:t xml:space="preserve"> de ISR </w:t>
      </w:r>
      <w:r w:rsidRPr="00323048">
        <w:rPr>
          <w:rFonts w:ascii="Times New Roman" w:hAnsi="Times New Roman" w:cs="Times New Roman"/>
          <w:lang w:val="es-MX"/>
        </w:rPr>
        <w:t>a octubre est</w:t>
      </w:r>
      <w:r>
        <w:rPr>
          <w:rFonts w:ascii="Times New Roman" w:hAnsi="Times New Roman" w:cs="Times New Roman"/>
          <w:lang w:val="es-MX"/>
        </w:rPr>
        <w:t xml:space="preserve">á </w:t>
      </w:r>
      <w:r w:rsidRPr="00323048">
        <w:rPr>
          <w:rFonts w:ascii="Times New Roman" w:hAnsi="Times New Roman" w:cs="Times New Roman"/>
          <w:lang w:val="es-MX"/>
        </w:rPr>
        <w:t xml:space="preserve">por debajo de lo observado en </w:t>
      </w:r>
      <w:r w:rsidR="00531F25">
        <w:rPr>
          <w:rFonts w:ascii="Times New Roman" w:hAnsi="Times New Roman" w:cs="Times New Roman"/>
          <w:lang w:val="es-MX"/>
        </w:rPr>
        <w:t xml:space="preserve">el </w:t>
      </w:r>
      <w:r w:rsidRPr="00323048">
        <w:rPr>
          <w:rFonts w:ascii="Times New Roman" w:hAnsi="Times New Roman" w:cs="Times New Roman"/>
          <w:lang w:val="es-MX"/>
        </w:rPr>
        <w:t xml:space="preserve">2014 </w:t>
      </w:r>
      <w:r w:rsidR="00531F25">
        <w:rPr>
          <w:rFonts w:ascii="Times New Roman" w:hAnsi="Times New Roman" w:cs="Times New Roman"/>
          <w:lang w:val="es-MX"/>
        </w:rPr>
        <w:t>por</w:t>
      </w:r>
      <w:r w:rsidRPr="00323048">
        <w:rPr>
          <w:rFonts w:ascii="Times New Roman" w:hAnsi="Times New Roman" w:cs="Times New Roman"/>
          <w:lang w:val="es-MX"/>
        </w:rPr>
        <w:t xml:space="preserve"> Q </w:t>
      </w:r>
      <w:r>
        <w:rPr>
          <w:rFonts w:ascii="Times New Roman" w:hAnsi="Times New Roman" w:cs="Times New Roman"/>
          <w:lang w:val="es-MX"/>
        </w:rPr>
        <w:t>531.2</w:t>
      </w:r>
      <w:r w:rsidRPr="00323048">
        <w:rPr>
          <w:rFonts w:ascii="Times New Roman" w:hAnsi="Times New Roman" w:cs="Times New Roman"/>
          <w:lang w:val="es-MX"/>
        </w:rPr>
        <w:t xml:space="preserve"> millones </w:t>
      </w:r>
      <w:r w:rsidRPr="00323048">
        <w:rPr>
          <w:rFonts w:ascii="Times New Roman" w:hAnsi="Times New Roman" w:cs="Times New Roman"/>
          <w:i/>
          <w:lang w:val="es-MX"/>
        </w:rPr>
        <w:t>(</w:t>
      </w:r>
      <w:r>
        <w:rPr>
          <w:rFonts w:ascii="Times New Roman" w:hAnsi="Times New Roman" w:cs="Times New Roman"/>
          <w:i/>
          <w:lang w:val="es-MX"/>
        </w:rPr>
        <w:t xml:space="preserve">esto </w:t>
      </w:r>
      <w:r w:rsidRPr="00323048">
        <w:rPr>
          <w:rFonts w:ascii="Times New Roman" w:hAnsi="Times New Roman" w:cs="Times New Roman"/>
          <w:i/>
          <w:lang w:val="es-MX"/>
        </w:rPr>
        <w:t>sin descontar la recaudación extraordinaria de Q 306.3 millones producto del Acuerdo Gubernativo 174-2014</w:t>
      </w:r>
      <w:r>
        <w:rPr>
          <w:rFonts w:ascii="Times New Roman" w:hAnsi="Times New Roman" w:cs="Times New Roman"/>
          <w:i/>
          <w:lang w:val="es-MX"/>
        </w:rPr>
        <w:t xml:space="preserve">), </w:t>
      </w:r>
      <w:r w:rsidRPr="009B1F03">
        <w:rPr>
          <w:rFonts w:ascii="Times New Roman" w:hAnsi="Times New Roman" w:cs="Times New Roman"/>
          <w:lang w:val="es-MX"/>
        </w:rPr>
        <w:t xml:space="preserve">de igual manera </w:t>
      </w:r>
      <w:r>
        <w:rPr>
          <w:rFonts w:ascii="Times New Roman" w:hAnsi="Times New Roman" w:cs="Times New Roman"/>
          <w:lang w:val="es-MX"/>
        </w:rPr>
        <w:t>el I</w:t>
      </w:r>
      <w:r w:rsidRPr="00323048">
        <w:rPr>
          <w:rFonts w:ascii="Times New Roman" w:hAnsi="Times New Roman" w:cs="Times New Roman"/>
          <w:lang w:val="es-MX"/>
        </w:rPr>
        <w:t xml:space="preserve">VA </w:t>
      </w:r>
      <w:r>
        <w:rPr>
          <w:rFonts w:ascii="Times New Roman" w:hAnsi="Times New Roman" w:cs="Times New Roman"/>
          <w:lang w:val="es-MX"/>
        </w:rPr>
        <w:t>asociado al comercio exterior tiene una brecha negativa de Q 381.6 millones, estos  impuestos representan el 53% del total de la recaudación.</w:t>
      </w:r>
    </w:p>
    <w:p w:rsidR="00F21FB8" w:rsidRDefault="00F21FB8" w:rsidP="00596F8D">
      <w:pPr>
        <w:spacing w:after="0" w:line="240" w:lineRule="auto"/>
        <w:jc w:val="both"/>
        <w:rPr>
          <w:rFonts w:ascii="Times New Roman" w:hAnsi="Times New Roman" w:cs="Times New Roman"/>
          <w:lang w:val="es-MX"/>
        </w:rPr>
      </w:pPr>
    </w:p>
    <w:p w:rsidR="001E5C2B" w:rsidRDefault="001E5C2B" w:rsidP="00596F8D">
      <w:pPr>
        <w:spacing w:after="0" w:line="240" w:lineRule="auto"/>
        <w:jc w:val="both"/>
        <w:rPr>
          <w:rFonts w:ascii="Times New Roman" w:hAnsi="Times New Roman" w:cs="Times New Roman"/>
          <w:lang w:val="es-MX"/>
        </w:rPr>
      </w:pPr>
    </w:p>
    <w:p w:rsidR="001E5C2B" w:rsidRDefault="001E5C2B" w:rsidP="00596F8D">
      <w:pPr>
        <w:spacing w:after="0" w:line="240" w:lineRule="auto"/>
        <w:jc w:val="both"/>
        <w:rPr>
          <w:rFonts w:ascii="Times New Roman" w:hAnsi="Times New Roman" w:cs="Times New Roman"/>
          <w:lang w:val="es-MX"/>
        </w:rPr>
      </w:pPr>
    </w:p>
    <w:p w:rsidR="001E5C2B" w:rsidRDefault="001E5C2B" w:rsidP="00596F8D">
      <w:pPr>
        <w:spacing w:after="0" w:line="240" w:lineRule="auto"/>
        <w:jc w:val="both"/>
        <w:rPr>
          <w:rFonts w:ascii="Times New Roman" w:hAnsi="Times New Roman" w:cs="Times New Roman"/>
          <w:lang w:val="es-MX"/>
        </w:rPr>
      </w:pPr>
    </w:p>
    <w:p w:rsidR="001E5C2B" w:rsidRPr="001E5C2B" w:rsidRDefault="001E5C2B" w:rsidP="00596F8D">
      <w:pPr>
        <w:spacing w:after="0" w:line="240" w:lineRule="auto"/>
        <w:jc w:val="both"/>
        <w:rPr>
          <w:rFonts w:ascii="Times New Roman" w:hAnsi="Times New Roman" w:cs="Times New Roman"/>
          <w:lang w:val="es-MX"/>
        </w:rPr>
      </w:pPr>
    </w:p>
    <w:p w:rsidR="00F21FB8" w:rsidRPr="001E5C2B" w:rsidRDefault="00F21FB8" w:rsidP="00596F8D">
      <w:pPr>
        <w:spacing w:after="0" w:line="240" w:lineRule="auto"/>
        <w:jc w:val="center"/>
        <w:rPr>
          <w:rFonts w:ascii="Times New Roman" w:hAnsi="Times New Roman" w:cs="Times New Roman"/>
          <w:b/>
          <w:lang w:val="es-MX"/>
        </w:rPr>
      </w:pPr>
      <w:r w:rsidRPr="001E5C2B">
        <w:rPr>
          <w:rFonts w:ascii="Times New Roman" w:hAnsi="Times New Roman" w:cs="Times New Roman"/>
          <w:b/>
          <w:lang w:val="es-MX"/>
        </w:rPr>
        <w:t>Variación de Recaudación tributaria</w:t>
      </w:r>
    </w:p>
    <w:p w:rsidR="00F21FB8" w:rsidRPr="001E5C2B" w:rsidRDefault="00F21FB8" w:rsidP="00596F8D">
      <w:pPr>
        <w:spacing w:after="0" w:line="240" w:lineRule="auto"/>
        <w:jc w:val="center"/>
        <w:rPr>
          <w:rFonts w:ascii="Times New Roman" w:hAnsi="Times New Roman" w:cs="Times New Roman"/>
          <w:sz w:val="18"/>
          <w:lang w:val="es-MX"/>
        </w:rPr>
      </w:pPr>
      <w:r w:rsidRPr="001E5C2B">
        <w:rPr>
          <w:rFonts w:ascii="Times New Roman" w:hAnsi="Times New Roman" w:cs="Times New Roman"/>
          <w:sz w:val="18"/>
          <w:lang w:val="es-MX"/>
        </w:rPr>
        <w:t>Millones de quetzales</w:t>
      </w:r>
    </w:p>
    <w:p w:rsidR="00F21FB8" w:rsidRPr="001E5C2B" w:rsidRDefault="001E5C2B" w:rsidP="00596F8D">
      <w:pPr>
        <w:spacing w:after="0" w:line="240" w:lineRule="auto"/>
        <w:jc w:val="both"/>
        <w:rPr>
          <w:rFonts w:ascii="Times New Roman" w:hAnsi="Times New Roman" w:cs="Times New Roman"/>
          <w:lang w:val="es-MX"/>
        </w:rPr>
      </w:pPr>
      <w:r w:rsidRPr="001E5C2B">
        <w:rPr>
          <w:rFonts w:ascii="Times New Roman" w:hAnsi="Times New Roman" w:cs="Times New Roman"/>
          <w:noProof/>
          <w:lang w:eastAsia="es-GT"/>
        </w:rPr>
        <w:drawing>
          <wp:inline distT="0" distB="0" distL="0" distR="0" wp14:anchorId="0CE7ECBF" wp14:editId="3872226B">
            <wp:extent cx="2584174" cy="2091193"/>
            <wp:effectExtent l="0" t="0" r="6985" b="444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FB8" w:rsidRPr="001E5C2B" w:rsidRDefault="00F21FB8" w:rsidP="00596F8D">
      <w:pPr>
        <w:spacing w:after="0" w:line="240" w:lineRule="auto"/>
        <w:jc w:val="both"/>
        <w:rPr>
          <w:rFonts w:ascii="Times New Roman" w:hAnsi="Times New Roman" w:cs="Times New Roman"/>
          <w:lang w:val="es-MX"/>
        </w:rPr>
      </w:pPr>
      <w:r w:rsidRPr="001E5C2B">
        <w:rPr>
          <w:rFonts w:ascii="Times New Roman" w:hAnsi="Times New Roman" w:cs="Times New Roman"/>
          <w:sz w:val="16"/>
          <w:lang w:val="es-MX"/>
        </w:rPr>
        <w:t>Fuente: Dirección de Análisis y Política Fiscal</w:t>
      </w:r>
    </w:p>
    <w:p w:rsidR="00F21FB8" w:rsidRDefault="001E5C2B" w:rsidP="00596F8D">
      <w:pPr>
        <w:spacing w:after="0" w:line="240" w:lineRule="auto"/>
        <w:jc w:val="both"/>
        <w:rPr>
          <w:rFonts w:ascii="Times New Roman" w:hAnsi="Times New Roman" w:cs="Times New Roman"/>
          <w:color w:val="FF0000"/>
          <w:lang w:val="es-MX"/>
        </w:rPr>
      </w:pPr>
      <w:r w:rsidRPr="00323048">
        <w:rPr>
          <w:rFonts w:ascii="Times New Roman" w:hAnsi="Times New Roman" w:cs="Times New Roman"/>
          <w:lang w:val="es-MX"/>
        </w:rPr>
        <w:lastRenderedPageBreak/>
        <w:t xml:space="preserve">Información preliminar de octubre da cuenta de una caída de 2.4% de la recaudación asociada al comercio exterior respecto al año anterior, esto provocado principalmente por el deterioro en la recaudación del IVA de importaciones </w:t>
      </w:r>
      <w:r>
        <w:rPr>
          <w:rFonts w:ascii="Times New Roman" w:hAnsi="Times New Roman" w:cs="Times New Roman"/>
          <w:lang w:val="es-MX"/>
        </w:rPr>
        <w:t>el cual cae</w:t>
      </w:r>
      <w:r w:rsidRPr="00323048">
        <w:rPr>
          <w:rFonts w:ascii="Times New Roman" w:hAnsi="Times New Roman" w:cs="Times New Roman"/>
          <w:lang w:val="es-MX"/>
        </w:rPr>
        <w:t xml:space="preserve"> 3.5%</w:t>
      </w:r>
      <w:r w:rsidR="00531F25">
        <w:rPr>
          <w:rFonts w:ascii="Times New Roman" w:hAnsi="Times New Roman" w:cs="Times New Roman"/>
          <w:lang w:val="es-MX"/>
        </w:rPr>
        <w:t>. D</w:t>
      </w:r>
      <w:r>
        <w:rPr>
          <w:rFonts w:ascii="Times New Roman" w:hAnsi="Times New Roman" w:cs="Times New Roman"/>
          <w:lang w:val="es-MX"/>
        </w:rPr>
        <w:t>icha caída  est</w:t>
      </w:r>
      <w:r w:rsidRPr="00323048">
        <w:rPr>
          <w:rFonts w:ascii="Times New Roman" w:hAnsi="Times New Roman" w:cs="Times New Roman"/>
          <w:lang w:val="es-MX"/>
        </w:rPr>
        <w:t xml:space="preserve">á influenciada por el efecto de </w:t>
      </w:r>
      <w:r>
        <w:rPr>
          <w:rFonts w:ascii="Times New Roman" w:hAnsi="Times New Roman" w:cs="Times New Roman"/>
          <w:lang w:val="es-MX"/>
        </w:rPr>
        <w:t xml:space="preserve">la </w:t>
      </w:r>
      <w:r w:rsidRPr="00323048">
        <w:rPr>
          <w:rFonts w:ascii="Times New Roman" w:hAnsi="Times New Roman" w:cs="Times New Roman"/>
          <w:lang w:val="es-MX"/>
        </w:rPr>
        <w:t>aparente apreciación del quetzal ante el dólar así como a la baja en el precio internacional del petróleo (</w:t>
      </w:r>
      <w:r>
        <w:rPr>
          <w:rFonts w:ascii="Times New Roman" w:hAnsi="Times New Roman" w:cs="Times New Roman"/>
          <w:lang w:val="es-MX"/>
        </w:rPr>
        <w:t xml:space="preserve">la </w:t>
      </w:r>
      <w:r w:rsidRPr="00323048">
        <w:rPr>
          <w:rFonts w:ascii="Times New Roman" w:hAnsi="Times New Roman" w:cs="Times New Roman"/>
          <w:lang w:val="es-MX"/>
        </w:rPr>
        <w:t xml:space="preserve">caída a octubre </w:t>
      </w:r>
      <w:r>
        <w:rPr>
          <w:rFonts w:ascii="Times New Roman" w:hAnsi="Times New Roman" w:cs="Times New Roman"/>
          <w:lang w:val="es-MX"/>
        </w:rPr>
        <w:t xml:space="preserve">es de </w:t>
      </w:r>
      <w:r w:rsidRPr="00323048">
        <w:rPr>
          <w:rFonts w:ascii="Times New Roman" w:hAnsi="Times New Roman" w:cs="Times New Roman"/>
          <w:lang w:val="es-MX"/>
        </w:rPr>
        <w:t>45.1% respecto al año anterior) el cual impacta en las importaciones gravadas de combustibles y lubricantes (</w:t>
      </w:r>
      <w:r>
        <w:rPr>
          <w:rFonts w:ascii="Times New Roman" w:hAnsi="Times New Roman" w:cs="Times New Roman"/>
          <w:lang w:val="es-MX"/>
        </w:rPr>
        <w:t xml:space="preserve">que </w:t>
      </w:r>
      <w:r w:rsidRPr="00323048">
        <w:rPr>
          <w:rFonts w:ascii="Times New Roman" w:hAnsi="Times New Roman" w:cs="Times New Roman"/>
          <w:lang w:val="es-MX"/>
        </w:rPr>
        <w:t>a septiembre caían en 24.9%)</w:t>
      </w:r>
      <w:r w:rsidR="00531F25">
        <w:rPr>
          <w:rFonts w:ascii="Times New Roman" w:hAnsi="Times New Roman" w:cs="Times New Roman"/>
          <w:lang w:val="es-MX"/>
        </w:rPr>
        <w:t>.  Por su parte</w:t>
      </w:r>
      <w:r w:rsidRPr="00323048">
        <w:rPr>
          <w:rFonts w:ascii="Times New Roman" w:hAnsi="Times New Roman" w:cs="Times New Roman"/>
          <w:lang w:val="es-MX"/>
        </w:rPr>
        <w:t xml:space="preserve">, el impuesto a los derechos arancelarios </w:t>
      </w:r>
      <w:r w:rsidR="00531F25">
        <w:rPr>
          <w:rFonts w:ascii="Times New Roman" w:hAnsi="Times New Roman" w:cs="Times New Roman"/>
          <w:lang w:val="es-MX"/>
        </w:rPr>
        <w:t xml:space="preserve">DAI </w:t>
      </w:r>
      <w:r w:rsidRPr="00323048">
        <w:rPr>
          <w:rFonts w:ascii="Times New Roman" w:hAnsi="Times New Roman" w:cs="Times New Roman"/>
          <w:lang w:val="es-MX"/>
        </w:rPr>
        <w:t>tiene crecimiento de 4.6% respecto al año anteri</w:t>
      </w:r>
      <w:r>
        <w:rPr>
          <w:rFonts w:ascii="Times New Roman" w:hAnsi="Times New Roman" w:cs="Times New Roman"/>
          <w:lang w:val="es-MX"/>
        </w:rPr>
        <w:t xml:space="preserve">or esto producto del </w:t>
      </w:r>
      <w:r w:rsidRPr="00323048">
        <w:rPr>
          <w:rFonts w:ascii="Times New Roman" w:hAnsi="Times New Roman" w:cs="Times New Roman"/>
          <w:lang w:val="es-MX"/>
        </w:rPr>
        <w:t xml:space="preserve">crecimiento </w:t>
      </w:r>
      <w:r>
        <w:rPr>
          <w:rFonts w:ascii="Times New Roman" w:hAnsi="Times New Roman" w:cs="Times New Roman"/>
          <w:lang w:val="es-MX"/>
        </w:rPr>
        <w:t xml:space="preserve">observado </w:t>
      </w:r>
      <w:r w:rsidRPr="00323048">
        <w:rPr>
          <w:rFonts w:ascii="Times New Roman" w:hAnsi="Times New Roman" w:cs="Times New Roman"/>
          <w:lang w:val="es-MX"/>
        </w:rPr>
        <w:t>de 5.9%</w:t>
      </w:r>
      <w:r>
        <w:rPr>
          <w:rFonts w:ascii="Times New Roman" w:hAnsi="Times New Roman" w:cs="Times New Roman"/>
          <w:lang w:val="es-MX"/>
        </w:rPr>
        <w:t xml:space="preserve"> (a septiembre)</w:t>
      </w:r>
      <w:r w:rsidRPr="00323048">
        <w:rPr>
          <w:rFonts w:ascii="Times New Roman" w:hAnsi="Times New Roman" w:cs="Times New Roman"/>
          <w:lang w:val="es-MX"/>
        </w:rPr>
        <w:t xml:space="preserve"> de las importaciones gravadas </w:t>
      </w:r>
      <w:r>
        <w:rPr>
          <w:rFonts w:ascii="Times New Roman" w:hAnsi="Times New Roman" w:cs="Times New Roman"/>
          <w:lang w:val="es-MX"/>
        </w:rPr>
        <w:t>no asociadas a combustibles y lubricantes.</w:t>
      </w:r>
      <w:r w:rsidRPr="00985E23">
        <w:rPr>
          <w:rFonts w:ascii="Times New Roman" w:hAnsi="Times New Roman" w:cs="Times New Roman"/>
          <w:color w:val="FF0000"/>
          <w:lang w:val="es-MX"/>
        </w:rPr>
        <w:t xml:space="preserve"> </w:t>
      </w:r>
    </w:p>
    <w:p w:rsidR="001E5C2B" w:rsidRPr="001E5C2B" w:rsidRDefault="001E5C2B" w:rsidP="00596F8D">
      <w:pPr>
        <w:spacing w:after="0" w:line="240" w:lineRule="auto"/>
        <w:jc w:val="both"/>
        <w:rPr>
          <w:rFonts w:ascii="Times New Roman" w:hAnsi="Times New Roman" w:cs="Times New Roman"/>
          <w:lang w:val="es-MX"/>
        </w:rPr>
      </w:pPr>
    </w:p>
    <w:p w:rsidR="00F21FB8" w:rsidRPr="001E5C2B" w:rsidRDefault="00F21FB8" w:rsidP="00596F8D">
      <w:pPr>
        <w:spacing w:after="0" w:line="240" w:lineRule="auto"/>
        <w:jc w:val="center"/>
        <w:rPr>
          <w:rFonts w:ascii="Times New Roman" w:hAnsi="Times New Roman" w:cs="Times New Roman"/>
          <w:b/>
          <w:lang w:val="es-MX"/>
        </w:rPr>
      </w:pPr>
      <w:r w:rsidRPr="001E5C2B">
        <w:rPr>
          <w:rFonts w:ascii="Times New Roman" w:hAnsi="Times New Roman" w:cs="Times New Roman"/>
          <w:b/>
          <w:lang w:val="es-MX"/>
        </w:rPr>
        <w:t>Comportamiento de la recaudación tributaria</w:t>
      </w:r>
    </w:p>
    <w:p w:rsidR="00F21FB8" w:rsidRPr="001E5C2B" w:rsidRDefault="00F21FB8" w:rsidP="00596F8D">
      <w:pPr>
        <w:spacing w:after="0" w:line="240" w:lineRule="auto"/>
        <w:jc w:val="center"/>
        <w:rPr>
          <w:rFonts w:ascii="Times New Roman" w:hAnsi="Times New Roman" w:cs="Times New Roman"/>
          <w:sz w:val="18"/>
          <w:lang w:val="es-MX"/>
        </w:rPr>
      </w:pPr>
      <w:r w:rsidRPr="001E5C2B">
        <w:rPr>
          <w:rFonts w:ascii="Times New Roman" w:hAnsi="Times New Roman" w:cs="Times New Roman"/>
          <w:sz w:val="18"/>
          <w:lang w:val="es-MX"/>
        </w:rPr>
        <w:t>Porcentajes</w:t>
      </w:r>
    </w:p>
    <w:p w:rsidR="00F21FB8" w:rsidRPr="001E5C2B" w:rsidRDefault="00F21FB8" w:rsidP="00596F8D">
      <w:pPr>
        <w:spacing w:after="0" w:line="240" w:lineRule="auto"/>
        <w:jc w:val="both"/>
        <w:rPr>
          <w:rFonts w:ascii="Times New Roman" w:hAnsi="Times New Roman" w:cs="Times New Roman"/>
          <w:lang w:val="es-MX"/>
        </w:rPr>
      </w:pPr>
      <w:r w:rsidRPr="001E5C2B">
        <w:rPr>
          <w:rFonts w:ascii="Times New Roman" w:hAnsi="Times New Roman" w:cs="Times New Roman"/>
          <w:noProof/>
          <w:lang w:eastAsia="es-GT"/>
        </w:rPr>
        <w:drawing>
          <wp:inline distT="0" distB="0" distL="0" distR="0" wp14:anchorId="260CE32E" wp14:editId="577426A3">
            <wp:extent cx="2782957" cy="2210462"/>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1FB8" w:rsidRPr="001E5C2B" w:rsidRDefault="00F21FB8" w:rsidP="00596F8D">
      <w:pPr>
        <w:spacing w:after="0" w:line="240" w:lineRule="auto"/>
        <w:jc w:val="both"/>
        <w:rPr>
          <w:rFonts w:ascii="Times New Roman" w:hAnsi="Times New Roman" w:cs="Times New Roman"/>
          <w:lang w:val="es-MX"/>
        </w:rPr>
      </w:pPr>
      <w:r w:rsidRPr="001E5C2B">
        <w:rPr>
          <w:rFonts w:ascii="Times New Roman" w:hAnsi="Times New Roman" w:cs="Times New Roman"/>
          <w:sz w:val="16"/>
          <w:lang w:val="es-MX"/>
        </w:rPr>
        <w:t>Fuente: Dirección de Análisis y Política Fiscal</w:t>
      </w:r>
    </w:p>
    <w:p w:rsidR="00F21FB8" w:rsidRPr="001E5C2B" w:rsidRDefault="00F21FB8" w:rsidP="00596F8D">
      <w:pPr>
        <w:spacing w:after="0" w:line="240" w:lineRule="auto"/>
        <w:jc w:val="both"/>
        <w:rPr>
          <w:rFonts w:ascii="Times New Roman" w:hAnsi="Times New Roman" w:cs="Times New Roman"/>
          <w:lang w:val="es-MX"/>
        </w:rPr>
      </w:pPr>
    </w:p>
    <w:p w:rsidR="00F21FB8" w:rsidRPr="00985E23" w:rsidRDefault="001E5C2B" w:rsidP="00596F8D">
      <w:pPr>
        <w:spacing w:after="0" w:line="240" w:lineRule="auto"/>
        <w:jc w:val="both"/>
        <w:rPr>
          <w:rFonts w:ascii="Times New Roman" w:hAnsi="Times New Roman" w:cs="Times New Roman"/>
          <w:color w:val="FF0000"/>
          <w:lang w:val="es-MX"/>
        </w:rPr>
      </w:pPr>
      <w:r>
        <w:rPr>
          <w:rFonts w:ascii="Times New Roman" w:hAnsi="Times New Roman" w:cs="Times New Roman"/>
          <w:lang w:val="es-MX"/>
        </w:rPr>
        <w:t xml:space="preserve">Octubre es uno de los meses importantes para el </w:t>
      </w:r>
      <w:r w:rsidR="00E73FCF">
        <w:rPr>
          <w:rFonts w:ascii="Times New Roman" w:hAnsi="Times New Roman" w:cs="Times New Roman"/>
          <w:lang w:val="es-MX"/>
        </w:rPr>
        <w:t>i</w:t>
      </w:r>
      <w:r>
        <w:rPr>
          <w:rFonts w:ascii="Times New Roman" w:hAnsi="Times New Roman" w:cs="Times New Roman"/>
          <w:lang w:val="es-MX"/>
        </w:rPr>
        <w:t xml:space="preserve">mpuesto </w:t>
      </w:r>
      <w:r w:rsidR="00E73FCF">
        <w:rPr>
          <w:rFonts w:ascii="Times New Roman" w:hAnsi="Times New Roman" w:cs="Times New Roman"/>
          <w:lang w:val="es-MX"/>
        </w:rPr>
        <w:t xml:space="preserve">sobre </w:t>
      </w:r>
      <w:r>
        <w:rPr>
          <w:rFonts w:ascii="Times New Roman" w:hAnsi="Times New Roman" w:cs="Times New Roman"/>
          <w:lang w:val="es-MX"/>
        </w:rPr>
        <w:t xml:space="preserve"> la renta por ser este mes en el que se realiza el último pago trimestral de la renta de actividades lucrativas en el régimen de utilidades</w:t>
      </w:r>
      <w:r w:rsidR="00E73FCF">
        <w:rPr>
          <w:rFonts w:ascii="Times New Roman" w:hAnsi="Times New Roman" w:cs="Times New Roman"/>
          <w:lang w:val="es-MX"/>
        </w:rPr>
        <w:t>;</w:t>
      </w:r>
      <w:r>
        <w:rPr>
          <w:rFonts w:ascii="Times New Roman" w:hAnsi="Times New Roman" w:cs="Times New Roman"/>
          <w:lang w:val="es-MX"/>
        </w:rPr>
        <w:t xml:space="preserve"> el monto de recaudación observado no superó lo observado el año anterior quedando por abajo en Q 85.8 millones, factores que provocan el bajo rendimiento en el ISR pueden ser primero la baja en la tasa del régimen de utilidades la cual de conformidad a la reforma tributaria de 2012 paso de manera gradual de 31% a 25% y los créditos que han utilizado </w:t>
      </w:r>
      <w:r>
        <w:rPr>
          <w:rFonts w:ascii="Times New Roman" w:hAnsi="Times New Roman" w:cs="Times New Roman"/>
          <w:lang w:val="es-MX"/>
        </w:rPr>
        <w:lastRenderedPageBreak/>
        <w:t>los contribuyentes por el adelanto a cuenta de ISR del ISO.</w:t>
      </w:r>
      <w:r w:rsidR="00F21FB8" w:rsidRPr="00985E23">
        <w:rPr>
          <w:rFonts w:ascii="Times New Roman" w:hAnsi="Times New Roman" w:cs="Times New Roman"/>
          <w:color w:val="FF0000"/>
          <w:lang w:val="es-MX"/>
        </w:rPr>
        <w:t xml:space="preserve"> </w:t>
      </w:r>
    </w:p>
    <w:p w:rsidR="00F21FB8" w:rsidRPr="001E5C2B" w:rsidRDefault="00F21FB8" w:rsidP="00596F8D">
      <w:pPr>
        <w:spacing w:after="0" w:line="240" w:lineRule="auto"/>
        <w:jc w:val="both"/>
        <w:rPr>
          <w:rFonts w:ascii="Times New Roman" w:hAnsi="Times New Roman" w:cs="Times New Roman"/>
          <w:lang w:val="es-MX"/>
        </w:rPr>
      </w:pPr>
    </w:p>
    <w:p w:rsidR="00F21FB8" w:rsidRPr="001E5C2B" w:rsidRDefault="00F21FB8" w:rsidP="00596F8D">
      <w:pPr>
        <w:spacing w:after="0" w:line="240" w:lineRule="auto"/>
        <w:jc w:val="center"/>
        <w:rPr>
          <w:rFonts w:ascii="Times New Roman" w:hAnsi="Times New Roman" w:cs="Times New Roman"/>
          <w:b/>
          <w:lang w:val="es-MX"/>
        </w:rPr>
      </w:pPr>
      <w:r w:rsidRPr="001E5C2B">
        <w:rPr>
          <w:rFonts w:ascii="Times New Roman" w:hAnsi="Times New Roman" w:cs="Times New Roman"/>
          <w:b/>
          <w:lang w:val="es-MX"/>
        </w:rPr>
        <w:t>Impuesto sobre la renta</w:t>
      </w:r>
    </w:p>
    <w:p w:rsidR="00F21FB8" w:rsidRPr="001E5C2B" w:rsidRDefault="00F21FB8" w:rsidP="00596F8D">
      <w:pPr>
        <w:spacing w:after="0" w:line="240" w:lineRule="auto"/>
        <w:jc w:val="center"/>
        <w:rPr>
          <w:rFonts w:ascii="Times New Roman" w:hAnsi="Times New Roman" w:cs="Times New Roman"/>
          <w:sz w:val="18"/>
          <w:lang w:val="es-MX"/>
        </w:rPr>
      </w:pPr>
      <w:r w:rsidRPr="001E5C2B">
        <w:rPr>
          <w:rFonts w:ascii="Times New Roman" w:hAnsi="Times New Roman" w:cs="Times New Roman"/>
          <w:sz w:val="18"/>
          <w:lang w:val="es-MX"/>
        </w:rPr>
        <w:t>Millones de quetzales</w:t>
      </w:r>
    </w:p>
    <w:p w:rsidR="00F21FB8" w:rsidRPr="001E5C2B" w:rsidRDefault="001E5C2B" w:rsidP="00596F8D">
      <w:pPr>
        <w:spacing w:after="0" w:line="240" w:lineRule="auto"/>
        <w:jc w:val="both"/>
        <w:rPr>
          <w:rFonts w:ascii="Times New Roman" w:hAnsi="Times New Roman" w:cs="Times New Roman"/>
          <w:lang w:val="es-MX"/>
        </w:rPr>
      </w:pPr>
      <w:r w:rsidRPr="001E5C2B">
        <w:rPr>
          <w:rFonts w:ascii="Times New Roman" w:hAnsi="Times New Roman" w:cs="Times New Roman"/>
          <w:noProof/>
          <w:lang w:eastAsia="es-GT"/>
        </w:rPr>
        <w:drawing>
          <wp:inline distT="0" distB="0" distL="0" distR="0" wp14:anchorId="086ED380" wp14:editId="1EB47F50">
            <wp:extent cx="2571750" cy="17049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1FB8" w:rsidRPr="001E5C2B" w:rsidRDefault="00F21FB8" w:rsidP="00596F8D">
      <w:pPr>
        <w:spacing w:after="0" w:line="240" w:lineRule="auto"/>
        <w:jc w:val="both"/>
        <w:rPr>
          <w:rFonts w:ascii="Times New Roman" w:hAnsi="Times New Roman" w:cs="Times New Roman"/>
          <w:lang w:val="es-MX"/>
        </w:rPr>
      </w:pPr>
      <w:r w:rsidRPr="001E5C2B">
        <w:rPr>
          <w:rFonts w:ascii="Times New Roman" w:hAnsi="Times New Roman" w:cs="Times New Roman"/>
          <w:sz w:val="16"/>
          <w:lang w:val="es-MX"/>
        </w:rPr>
        <w:t>Fuente: Dirección de Análisis y Política Fiscal</w:t>
      </w:r>
    </w:p>
    <w:p w:rsidR="00F21FB8" w:rsidRPr="001E5C2B" w:rsidRDefault="00F21FB8" w:rsidP="00596F8D">
      <w:pPr>
        <w:spacing w:after="0" w:line="240" w:lineRule="auto"/>
        <w:jc w:val="both"/>
        <w:rPr>
          <w:rFonts w:ascii="Times New Roman" w:hAnsi="Times New Roman" w:cs="Times New Roman"/>
          <w:lang w:val="es-MX"/>
        </w:rPr>
      </w:pPr>
    </w:p>
    <w:p w:rsidR="001E5C2B" w:rsidRDefault="001E5C2B" w:rsidP="001E5C2B">
      <w:pPr>
        <w:spacing w:after="0" w:line="240" w:lineRule="auto"/>
        <w:jc w:val="both"/>
        <w:rPr>
          <w:rFonts w:ascii="Times New Roman" w:hAnsi="Times New Roman" w:cs="Times New Roman"/>
          <w:lang w:val="es-MX"/>
        </w:rPr>
      </w:pPr>
      <w:r>
        <w:rPr>
          <w:rFonts w:ascii="Times New Roman" w:hAnsi="Times New Roman" w:cs="Times New Roman"/>
          <w:lang w:val="es-MX"/>
        </w:rPr>
        <w:t>El impuesto al valor agregado asociado al consumo interno crece en 6.6% (Q 545.2 millones sin descontar los Q 110.5 millones producto del Acuerdo Gubernativo 174-2014) al descontar esta recaudación adicional se tiene un crecimiento de 8% monto superior al crecimiento de la economía de año rondara entre 7.3% y 7.9%.</w:t>
      </w:r>
    </w:p>
    <w:p w:rsidR="001E5C2B" w:rsidRDefault="001E5C2B" w:rsidP="001E5C2B">
      <w:pPr>
        <w:spacing w:after="0" w:line="240" w:lineRule="auto"/>
        <w:jc w:val="both"/>
        <w:rPr>
          <w:rFonts w:ascii="Times New Roman" w:hAnsi="Times New Roman" w:cs="Times New Roman"/>
          <w:lang w:val="es-MX"/>
        </w:rPr>
      </w:pPr>
    </w:p>
    <w:p w:rsidR="001E5C2B" w:rsidRDefault="001E5C2B" w:rsidP="001E5C2B">
      <w:pPr>
        <w:spacing w:after="0" w:line="240" w:lineRule="auto"/>
        <w:jc w:val="both"/>
        <w:rPr>
          <w:rFonts w:ascii="Times New Roman" w:hAnsi="Times New Roman" w:cs="Times New Roman"/>
          <w:color w:val="FF0000"/>
          <w:lang w:val="es-MX"/>
        </w:rPr>
      </w:pPr>
      <w:r>
        <w:rPr>
          <w:rFonts w:ascii="Times New Roman" w:hAnsi="Times New Roman" w:cs="Times New Roman"/>
          <w:lang w:val="es-MX"/>
        </w:rPr>
        <w:t>Los impuestos asociados a los productos industriales (Derivados del petróleo, distribución de bebidas, tabacos y cemento) tienen un crecimiento de 22.3% respecto a lo observado el año anterior, dicho crecimiento se encuentra impulsado principalmente por los derivados del petróleo que crecen 19.8% respecto al año anterior esto como producto de un alza el consumo de los combustibles producto de la caída en el precio internacional del petróleo, el impuesto a la distribución de bebidas también presenta crecimiento de 11.8% (Q 61 millones) respecto al año anterior dicho crecimiento está fundamentado en el crecimiento de 19% (Q 37.9 millones) en la distribución de cerveza y el crecimiento de 9% (Q 22.6 millones) en la distribución de bebidas gaseosas, el impuesto al tabaco de igual manera presenta valores positivos de 1.3% respecto a lo observado el año anterior, por último el impuesto al saco de cemento creció con relación al año anterior en 224.4% (Q 191.4 millones).</w:t>
      </w:r>
    </w:p>
    <w:p w:rsidR="00EB0FB6" w:rsidRPr="00985E23" w:rsidRDefault="00EB0FB6" w:rsidP="001906FF">
      <w:pPr>
        <w:pStyle w:val="Sinespaciado"/>
        <w:jc w:val="both"/>
        <w:rPr>
          <w:rFonts w:ascii="Times New Roman" w:hAnsi="Times New Roman" w:cs="Times New Roman"/>
          <w:b/>
          <w:color w:val="FF0000"/>
          <w:lang w:val="es-MX"/>
        </w:rPr>
      </w:pPr>
    </w:p>
    <w:p w:rsidR="00025914" w:rsidRPr="00985E23" w:rsidRDefault="00025914" w:rsidP="00025914">
      <w:pPr>
        <w:pStyle w:val="Sinespaciado"/>
        <w:jc w:val="both"/>
        <w:rPr>
          <w:rFonts w:ascii="Times New Roman" w:hAnsi="Times New Roman" w:cs="Times New Roman"/>
          <w:b/>
          <w:color w:val="FF0000"/>
          <w:lang w:val="es-MX"/>
        </w:rPr>
        <w:sectPr w:rsidR="00025914" w:rsidRPr="00985E23" w:rsidSect="005D6A2E">
          <w:type w:val="continuous"/>
          <w:pgSz w:w="12240" w:h="15840"/>
          <w:pgMar w:top="1417" w:right="1701" w:bottom="1417" w:left="1701" w:header="708" w:footer="708" w:gutter="0"/>
          <w:cols w:num="2" w:space="708"/>
          <w:docGrid w:linePitch="360"/>
        </w:sectPr>
      </w:pPr>
      <w:r w:rsidRPr="00985E23">
        <w:rPr>
          <w:rFonts w:ascii="Times New Roman" w:hAnsi="Times New Roman" w:cs="Times New Roman"/>
          <w:b/>
          <w:color w:val="FF0000"/>
          <w:lang w:val="es-MX"/>
        </w:rPr>
        <w:t xml:space="preserve"> </w:t>
      </w:r>
    </w:p>
    <w:p w:rsidR="00596F8D" w:rsidRPr="001E5C2B" w:rsidRDefault="00596F8D" w:rsidP="00596F8D">
      <w:pPr>
        <w:spacing w:after="0"/>
        <w:jc w:val="center"/>
        <w:rPr>
          <w:rFonts w:ascii="Times New Roman" w:hAnsi="Times New Roman" w:cs="Times New Roman"/>
          <w:b/>
          <w:lang w:val="es-MX"/>
        </w:rPr>
      </w:pPr>
      <w:r w:rsidRPr="001E5C2B">
        <w:rPr>
          <w:rFonts w:ascii="Times New Roman" w:hAnsi="Times New Roman" w:cs="Times New Roman"/>
          <w:b/>
          <w:lang w:val="es-MX"/>
        </w:rPr>
        <w:lastRenderedPageBreak/>
        <w:t>Ingresos tributarios Netos 2015</w:t>
      </w:r>
    </w:p>
    <w:p w:rsidR="00596F8D" w:rsidRPr="001E5C2B" w:rsidRDefault="00596F8D" w:rsidP="00596F8D">
      <w:pPr>
        <w:spacing w:after="0"/>
        <w:jc w:val="center"/>
        <w:rPr>
          <w:rFonts w:ascii="Times New Roman" w:hAnsi="Times New Roman" w:cs="Times New Roman"/>
          <w:b/>
          <w:sz w:val="18"/>
          <w:lang w:val="es-MX"/>
        </w:rPr>
      </w:pPr>
      <w:r w:rsidRPr="001E5C2B">
        <w:rPr>
          <w:rFonts w:ascii="Times New Roman" w:hAnsi="Times New Roman" w:cs="Times New Roman"/>
          <w:b/>
          <w:sz w:val="18"/>
          <w:lang w:val="es-MX"/>
        </w:rPr>
        <w:t>Millones de quetzales y porcentajes</w:t>
      </w:r>
    </w:p>
    <w:p w:rsidR="00025914" w:rsidRPr="001E5C2B" w:rsidRDefault="001E5C2B" w:rsidP="00741F4D">
      <w:pPr>
        <w:spacing w:after="0" w:line="240" w:lineRule="auto"/>
        <w:jc w:val="center"/>
        <w:rPr>
          <w:rFonts w:ascii="Times New Roman" w:hAnsi="Times New Roman" w:cs="Times New Roman"/>
          <w:lang w:val="es-MX"/>
        </w:rPr>
      </w:pPr>
      <w:r w:rsidRPr="001E5C2B">
        <w:rPr>
          <w:noProof/>
          <w:lang w:eastAsia="es-GT"/>
        </w:rPr>
        <w:drawing>
          <wp:inline distT="0" distB="0" distL="0" distR="0" wp14:anchorId="23533191" wp14:editId="49A147F7">
            <wp:extent cx="4423144" cy="3573346"/>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035" cy="3582145"/>
                    </a:xfrm>
                    <a:prstGeom prst="rect">
                      <a:avLst/>
                    </a:prstGeom>
                    <a:noFill/>
                    <a:ln>
                      <a:noFill/>
                    </a:ln>
                  </pic:spPr>
                </pic:pic>
              </a:graphicData>
            </a:graphic>
          </wp:inline>
        </w:drawing>
      </w:r>
    </w:p>
    <w:p w:rsidR="00025914" w:rsidRPr="001E5C2B" w:rsidRDefault="00025914" w:rsidP="001E5C2B">
      <w:pPr>
        <w:spacing w:after="0" w:line="240" w:lineRule="auto"/>
        <w:ind w:left="708" w:firstLine="708"/>
        <w:jc w:val="both"/>
        <w:rPr>
          <w:rFonts w:ascii="Times New Roman" w:hAnsi="Times New Roman" w:cs="Times New Roman"/>
          <w:sz w:val="16"/>
          <w:lang w:val="es-MX"/>
        </w:rPr>
      </w:pPr>
      <w:r w:rsidRPr="001E5C2B">
        <w:rPr>
          <w:rFonts w:ascii="Times New Roman" w:hAnsi="Times New Roman" w:cs="Times New Roman"/>
          <w:sz w:val="16"/>
          <w:lang w:val="es-MX"/>
        </w:rPr>
        <w:t>Fuente: Dirección de Análisis y Política Fiscal.</w:t>
      </w:r>
    </w:p>
    <w:p w:rsidR="00D95A72" w:rsidRPr="00985E23" w:rsidRDefault="00D95A72" w:rsidP="00875248">
      <w:pPr>
        <w:spacing w:after="0" w:line="240" w:lineRule="auto"/>
        <w:jc w:val="both"/>
        <w:rPr>
          <w:rFonts w:ascii="Times New Roman" w:hAnsi="Times New Roman" w:cs="Times New Roman"/>
          <w:color w:val="FF0000"/>
          <w:lang w:val="es-MX"/>
        </w:rPr>
        <w:sectPr w:rsidR="00D95A72" w:rsidRPr="00985E23" w:rsidSect="00025914">
          <w:headerReference w:type="default" r:id="rId17"/>
          <w:footerReference w:type="default" r:id="rId18"/>
          <w:type w:val="continuous"/>
          <w:pgSz w:w="12240" w:h="15840"/>
          <w:pgMar w:top="1417" w:right="1701" w:bottom="1417" w:left="1701" w:header="708" w:footer="708" w:gutter="0"/>
          <w:cols w:space="708"/>
          <w:docGrid w:linePitch="360"/>
        </w:sectPr>
      </w:pPr>
    </w:p>
    <w:p w:rsidR="00596F8D" w:rsidRPr="00985E23" w:rsidRDefault="00596F8D" w:rsidP="00596F8D">
      <w:pPr>
        <w:spacing w:after="0" w:line="240" w:lineRule="auto"/>
        <w:rPr>
          <w:rFonts w:ascii="Times New Roman" w:hAnsi="Times New Roman" w:cs="Times New Roman"/>
          <w:b/>
          <w:color w:val="FF0000"/>
          <w:lang w:val="es-MX"/>
        </w:rPr>
      </w:pPr>
    </w:p>
    <w:p w:rsidR="00596F8D" w:rsidRPr="00985E23" w:rsidRDefault="00596F8D" w:rsidP="004056AF">
      <w:pPr>
        <w:spacing w:after="0" w:line="240" w:lineRule="auto"/>
        <w:rPr>
          <w:rFonts w:ascii="Times New Roman" w:hAnsi="Times New Roman" w:cs="Times New Roman"/>
          <w:b/>
          <w:color w:val="FF0000"/>
          <w:sz w:val="14"/>
          <w:lang w:val="es-MX"/>
        </w:rPr>
        <w:sectPr w:rsidR="00596F8D" w:rsidRPr="00985E23" w:rsidSect="00052EE7">
          <w:type w:val="continuous"/>
          <w:pgSz w:w="12240" w:h="15840"/>
          <w:pgMar w:top="1417" w:right="1701" w:bottom="1417" w:left="1701" w:header="708" w:footer="708" w:gutter="0"/>
          <w:cols w:num="2" w:space="708"/>
          <w:docGrid w:linePitch="360"/>
        </w:sectPr>
      </w:pPr>
    </w:p>
    <w:p w:rsidR="00701B17" w:rsidRPr="00985E23" w:rsidRDefault="00701B17" w:rsidP="00D90C85">
      <w:pPr>
        <w:spacing w:after="0" w:line="240" w:lineRule="auto"/>
        <w:jc w:val="both"/>
        <w:rPr>
          <w:rFonts w:ascii="Times New Roman" w:hAnsi="Times New Roman" w:cs="Times New Roman"/>
          <w:color w:val="FF0000"/>
          <w:sz w:val="6"/>
          <w:lang w:val="es-MX"/>
        </w:rPr>
      </w:pPr>
    </w:p>
    <w:p w:rsidR="00582390" w:rsidRPr="000E01A4" w:rsidRDefault="001555CF" w:rsidP="0058239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0E01A4">
        <w:rPr>
          <w:rFonts w:ascii="Times New Roman" w:hAnsi="Times New Roman" w:cs="Times New Roman"/>
          <w:b/>
          <w:lang w:val="es-MX"/>
        </w:rPr>
        <w:t>Leve repunte en</w:t>
      </w:r>
      <w:r w:rsidR="009A5E0A" w:rsidRPr="000E01A4">
        <w:rPr>
          <w:rFonts w:ascii="Times New Roman" w:hAnsi="Times New Roman" w:cs="Times New Roman"/>
          <w:b/>
        </w:rPr>
        <w:t xml:space="preserve"> la ejecución de</w:t>
      </w:r>
      <w:r w:rsidRPr="000E01A4">
        <w:rPr>
          <w:rFonts w:ascii="Times New Roman" w:hAnsi="Times New Roman" w:cs="Times New Roman"/>
          <w:b/>
        </w:rPr>
        <w:t xml:space="preserve"> g</w:t>
      </w:r>
      <w:r w:rsidR="009A5E0A" w:rsidRPr="000E01A4">
        <w:rPr>
          <w:rFonts w:ascii="Times New Roman" w:hAnsi="Times New Roman" w:cs="Times New Roman"/>
          <w:b/>
        </w:rPr>
        <w:t>a</w:t>
      </w:r>
      <w:r w:rsidRPr="000E01A4">
        <w:rPr>
          <w:rFonts w:ascii="Times New Roman" w:hAnsi="Times New Roman" w:cs="Times New Roman"/>
          <w:b/>
        </w:rPr>
        <w:t>sto</w:t>
      </w:r>
      <w:r w:rsidR="00BE4C41" w:rsidRPr="000E01A4">
        <w:rPr>
          <w:rFonts w:ascii="Times New Roman" w:hAnsi="Times New Roman" w:cs="Times New Roman"/>
          <w:b/>
        </w:rPr>
        <w:t xml:space="preserve"> </w:t>
      </w:r>
    </w:p>
    <w:p w:rsidR="00BD010A" w:rsidRPr="00985E23" w:rsidRDefault="00BD010A" w:rsidP="00363CC7">
      <w:pPr>
        <w:pStyle w:val="Sinespaciado"/>
        <w:jc w:val="both"/>
        <w:rPr>
          <w:rFonts w:ascii="Times New Roman" w:hAnsi="Times New Roman" w:cs="Times New Roman"/>
          <w:color w:val="FF0000"/>
          <w:lang w:val="es-MX"/>
        </w:rPr>
      </w:pPr>
    </w:p>
    <w:p w:rsidR="00BD010A" w:rsidRPr="00985E23" w:rsidRDefault="00BD010A" w:rsidP="00363CC7">
      <w:pPr>
        <w:pStyle w:val="Sinespaciado"/>
        <w:jc w:val="both"/>
        <w:rPr>
          <w:rFonts w:ascii="Times New Roman" w:hAnsi="Times New Roman" w:cs="Times New Roman"/>
          <w:color w:val="FF0000"/>
          <w:lang w:val="es-MX"/>
        </w:rPr>
        <w:sectPr w:rsidR="00BD010A" w:rsidRPr="00985E23" w:rsidSect="00BD010A">
          <w:type w:val="continuous"/>
          <w:pgSz w:w="12240" w:h="15840"/>
          <w:pgMar w:top="1417" w:right="1701" w:bottom="1417" w:left="1701" w:header="708" w:footer="708" w:gutter="0"/>
          <w:cols w:space="708"/>
          <w:docGrid w:linePitch="360"/>
        </w:sectPr>
      </w:pPr>
    </w:p>
    <w:p w:rsidR="000E01A4" w:rsidRDefault="000E01A4" w:rsidP="000E01A4">
      <w:pPr>
        <w:pStyle w:val="Sinespaciado"/>
        <w:jc w:val="both"/>
        <w:rPr>
          <w:rFonts w:ascii="Times New Roman" w:hAnsi="Times New Roman" w:cs="Times New Roman"/>
          <w:lang w:val="es-MX"/>
        </w:rPr>
      </w:pPr>
      <w:r>
        <w:rPr>
          <w:rFonts w:ascii="Times New Roman" w:hAnsi="Times New Roman" w:cs="Times New Roman"/>
          <w:lang w:val="es-MX"/>
        </w:rPr>
        <w:lastRenderedPageBreak/>
        <w:t>El desempeño en la ejecución del gasto público en octubre estuvo marcada por la presiones por parte de varias instituciones del gobierno que demandaron más recursos como resultado de la contención aplicada en meses anteriores, así como de la regularización de anticipos principalmente de obras públicas.  Esto incidió en una mayor ejecución con respecto a lo que se realizó en septiembre de este año y también por encima de lo que se había ejecutado en octubre del año anterior, mes en el que se obtuvo un bajo nivel de gasto derivado de los problemas financieros que se agudizaron en el último trimestre de 2014.</w:t>
      </w:r>
    </w:p>
    <w:p w:rsidR="004A5200" w:rsidRDefault="004A5200" w:rsidP="000E01A4">
      <w:pPr>
        <w:pStyle w:val="Sinespaciado"/>
        <w:jc w:val="both"/>
        <w:rPr>
          <w:rFonts w:ascii="Times New Roman" w:hAnsi="Times New Roman" w:cs="Times New Roman"/>
          <w:lang w:val="es-MX"/>
        </w:rPr>
      </w:pPr>
    </w:p>
    <w:p w:rsidR="000E01A4" w:rsidRDefault="000E01A4" w:rsidP="000E01A4">
      <w:pPr>
        <w:pStyle w:val="Sinespaciado"/>
        <w:jc w:val="both"/>
        <w:rPr>
          <w:rFonts w:ascii="Times New Roman" w:hAnsi="Times New Roman" w:cs="Times New Roman"/>
          <w:lang w:val="es-MX"/>
        </w:rPr>
      </w:pPr>
      <w:r>
        <w:rPr>
          <w:rFonts w:ascii="Times New Roman" w:hAnsi="Times New Roman" w:cs="Times New Roman"/>
          <w:lang w:val="es-MX"/>
        </w:rPr>
        <w:t>De esa cuenta, la ejecución de gasto público al 31 de octubre, se situó en Q</w:t>
      </w:r>
      <w:r w:rsidR="004A5200">
        <w:rPr>
          <w:rFonts w:ascii="Times New Roman" w:hAnsi="Times New Roman" w:cs="Times New Roman"/>
          <w:lang w:val="es-MX"/>
        </w:rPr>
        <w:t xml:space="preserve"> </w:t>
      </w:r>
      <w:r>
        <w:rPr>
          <w:rFonts w:ascii="Times New Roman" w:hAnsi="Times New Roman" w:cs="Times New Roman"/>
          <w:lang w:val="es-MX"/>
        </w:rPr>
        <w:t xml:space="preserve">49,330.0 millones (no incluye amortizaciones de deuda), cuya tasa de variación interanual se </w:t>
      </w:r>
      <w:r>
        <w:rPr>
          <w:rFonts w:ascii="Times New Roman" w:hAnsi="Times New Roman" w:cs="Times New Roman"/>
          <w:lang w:val="es-MX"/>
        </w:rPr>
        <w:lastRenderedPageBreak/>
        <w:t>ubica  en 3.8%, menor al crecimiento obtenido en igual fecha del año anterior (4.6%) y mucho menor con respecto al pronóstico realizado a inicios de año, que mostraba un crecimiento esperado de 12.6%, este pronóstico era consistente con un panorama más optimista en términos de recaudación tributaria.</w:t>
      </w:r>
    </w:p>
    <w:p w:rsidR="000E258A" w:rsidRDefault="006E7158" w:rsidP="000E01A4">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0E01A4" w:rsidRPr="007348EE" w:rsidRDefault="000E01A4" w:rsidP="000E01A4">
      <w:pPr>
        <w:pStyle w:val="Sinespaciado"/>
        <w:jc w:val="center"/>
        <w:rPr>
          <w:rFonts w:ascii="Times New Roman" w:hAnsi="Times New Roman" w:cs="Times New Roman"/>
          <w:b/>
          <w:lang w:val="es-MX"/>
        </w:rPr>
      </w:pPr>
      <w:r w:rsidRPr="007348EE">
        <w:rPr>
          <w:rFonts w:ascii="Times New Roman" w:hAnsi="Times New Roman" w:cs="Times New Roman"/>
          <w:b/>
          <w:lang w:val="es-MX"/>
        </w:rPr>
        <w:t>Ritmo de Ejecución de Gasto Público</w:t>
      </w:r>
    </w:p>
    <w:p w:rsidR="000E01A4" w:rsidRPr="007348EE" w:rsidRDefault="000E01A4" w:rsidP="000E01A4">
      <w:pPr>
        <w:pStyle w:val="Sinespaciado"/>
        <w:jc w:val="center"/>
        <w:rPr>
          <w:rFonts w:ascii="Times New Roman" w:hAnsi="Times New Roman" w:cs="Times New Roman"/>
          <w:sz w:val="18"/>
          <w:lang w:val="es-MX"/>
        </w:rPr>
      </w:pPr>
      <w:r>
        <w:rPr>
          <w:rFonts w:ascii="Times New Roman" w:hAnsi="Times New Roman" w:cs="Times New Roman"/>
          <w:sz w:val="18"/>
          <w:lang w:val="es-MX"/>
        </w:rPr>
        <w:t>Mensual 2015</w:t>
      </w:r>
    </w:p>
    <w:p w:rsidR="000E01A4" w:rsidRDefault="000E01A4" w:rsidP="000E01A4">
      <w:pPr>
        <w:pStyle w:val="Sinespaciado"/>
        <w:jc w:val="both"/>
        <w:rPr>
          <w:rFonts w:ascii="Times New Roman" w:hAnsi="Times New Roman" w:cs="Times New Roman"/>
          <w:sz w:val="16"/>
        </w:rPr>
      </w:pPr>
      <w:r>
        <w:rPr>
          <w:rFonts w:ascii="Times New Roman" w:hAnsi="Times New Roman" w:cs="Times New Roman"/>
          <w:noProof/>
          <w:sz w:val="16"/>
          <w:lang w:eastAsia="es-GT"/>
        </w:rPr>
        <w:drawing>
          <wp:inline distT="0" distB="0" distL="0" distR="0" wp14:anchorId="0F894285" wp14:editId="1FC99400">
            <wp:extent cx="2775098" cy="1424763"/>
            <wp:effectExtent l="0" t="0" r="6350"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0063" cy="1432446"/>
                    </a:xfrm>
                    <a:prstGeom prst="rect">
                      <a:avLst/>
                    </a:prstGeom>
                    <a:noFill/>
                  </pic:spPr>
                </pic:pic>
              </a:graphicData>
            </a:graphic>
          </wp:inline>
        </w:drawing>
      </w:r>
    </w:p>
    <w:p w:rsidR="000E01A4" w:rsidRDefault="000E01A4" w:rsidP="000E01A4">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E01A4" w:rsidRPr="004875B0" w:rsidRDefault="000E01A4" w:rsidP="000E01A4">
      <w:pPr>
        <w:pStyle w:val="Sinespaciado"/>
        <w:jc w:val="both"/>
        <w:rPr>
          <w:rFonts w:ascii="Times New Roman" w:hAnsi="Times New Roman" w:cs="Times New Roman"/>
        </w:rPr>
      </w:pPr>
    </w:p>
    <w:p w:rsidR="000E01A4" w:rsidRPr="004875B0" w:rsidRDefault="000E01A4" w:rsidP="000E01A4">
      <w:pPr>
        <w:pStyle w:val="Sinespaciado"/>
        <w:jc w:val="both"/>
        <w:rPr>
          <w:rFonts w:ascii="Times New Roman" w:hAnsi="Times New Roman" w:cs="Times New Roman"/>
          <w:lang w:val="es-MX"/>
        </w:rPr>
      </w:pPr>
      <w:r>
        <w:rPr>
          <w:rFonts w:ascii="Times New Roman" w:hAnsi="Times New Roman" w:cs="Times New Roman"/>
          <w:lang w:val="es-MX"/>
        </w:rPr>
        <w:t>Pareciera que la contención de gasto se ha relajado, debido a que se observa un repunte en el ritmo de ejecución, sin embargo, como se indicó se debe más el resultado del comportamiento experimentado el año anterior, aunque el gasto en los rubros de bienes y servicios e inversión aumentaron de manera intermensual.  Sin embargo, será en los meses de noviembre y diciembre en donde los esfuerzos por frenar la ejecución serán importantes para moderar la acumulación de compromisos pendientes de pago.</w:t>
      </w:r>
    </w:p>
    <w:p w:rsidR="000E01A4" w:rsidRDefault="000E01A4" w:rsidP="000E01A4">
      <w:pPr>
        <w:pStyle w:val="Sinespaciado"/>
        <w:jc w:val="both"/>
        <w:rPr>
          <w:rFonts w:ascii="Times New Roman" w:hAnsi="Times New Roman" w:cs="Times New Roman"/>
          <w:lang w:val="es-MX"/>
        </w:rPr>
      </w:pPr>
    </w:p>
    <w:p w:rsidR="000E01A4" w:rsidRDefault="000E01A4" w:rsidP="000E01A4">
      <w:pPr>
        <w:pStyle w:val="Sinespaciado"/>
        <w:jc w:val="both"/>
        <w:rPr>
          <w:rFonts w:ascii="Times New Roman" w:hAnsi="Times New Roman" w:cs="Times New Roman"/>
          <w:lang w:val="es-MX"/>
        </w:rPr>
      </w:pPr>
      <w:r>
        <w:rPr>
          <w:rFonts w:ascii="Times New Roman" w:hAnsi="Times New Roman" w:cs="Times New Roman"/>
          <w:lang w:val="es-MX"/>
        </w:rPr>
        <w:t>En lo que va del año, el comportamiento observado en el gasto, se debe en buena medida a la fuerte contención en rubros importantes como bienes y servicios y la inversión real directa, cuya variación interanual es negativa (contracción) de 9.5% y 46.9% respectivamente.  Aunque como se indicó, en octubre de este año, el gasto en dichos rubros aumentó con respecto a lo observado el mes anterior, principalmente en el ministerio educación asociado a la alimentación escolar y  compra de útiles, así como en el ministerio de gobernación en gastos relacionados a los servicios técnico profesionales, compra de alimentos y combustibles y la otra entidad asociada al incrementos en estos rubros es el Ministerio de Comunicaciones cuyo principal aumento se dio en el mantenimiento de obras realizados por COVIAL y la regularización de obras de infraestructura vial realizadas por esta entidad.</w:t>
      </w:r>
    </w:p>
    <w:p w:rsidR="000E01A4" w:rsidRDefault="000E01A4" w:rsidP="000E01A4">
      <w:pPr>
        <w:pStyle w:val="Sinespaciado"/>
        <w:jc w:val="both"/>
        <w:rPr>
          <w:rFonts w:ascii="Times New Roman" w:hAnsi="Times New Roman" w:cs="Times New Roman"/>
          <w:lang w:val="es-MX"/>
        </w:rPr>
      </w:pPr>
    </w:p>
    <w:p w:rsidR="000E01A4" w:rsidRDefault="000E01A4" w:rsidP="000E01A4">
      <w:pPr>
        <w:pStyle w:val="Sinespaciado"/>
        <w:jc w:val="both"/>
        <w:rPr>
          <w:rFonts w:ascii="Times New Roman" w:hAnsi="Times New Roman" w:cs="Times New Roman"/>
          <w:lang w:val="es-MX"/>
        </w:rPr>
      </w:pPr>
      <w:r>
        <w:rPr>
          <w:rFonts w:ascii="Times New Roman" w:hAnsi="Times New Roman" w:cs="Times New Roman"/>
          <w:lang w:val="es-MX"/>
        </w:rPr>
        <w:t xml:space="preserve">Por su parte, los rubros con mayor dinamismo de gasto con las transferencias corrientes institucionales, los intereses de la deuda pública, las remuneraciones, el pago de pensiones y los aportes de capital principalmente a las Municipalidades.   </w:t>
      </w:r>
    </w:p>
    <w:p w:rsidR="000E01A4" w:rsidRDefault="000E01A4" w:rsidP="000E01A4">
      <w:pPr>
        <w:pStyle w:val="Sinespaciado"/>
        <w:jc w:val="center"/>
        <w:rPr>
          <w:rFonts w:ascii="Times New Roman" w:hAnsi="Times New Roman" w:cs="Times New Roman"/>
          <w:b/>
          <w:lang w:val="es-MX"/>
        </w:rPr>
      </w:pPr>
    </w:p>
    <w:p w:rsidR="006E7158" w:rsidRDefault="006E7158" w:rsidP="000E01A4">
      <w:pPr>
        <w:pStyle w:val="Sinespaciado"/>
        <w:jc w:val="center"/>
        <w:rPr>
          <w:rFonts w:ascii="Times New Roman" w:hAnsi="Times New Roman" w:cs="Times New Roman"/>
          <w:b/>
          <w:lang w:val="es-MX"/>
        </w:rPr>
      </w:pPr>
    </w:p>
    <w:p w:rsidR="006E7158" w:rsidRDefault="006E7158" w:rsidP="000E01A4">
      <w:pPr>
        <w:pStyle w:val="Sinespaciado"/>
        <w:jc w:val="center"/>
        <w:rPr>
          <w:rFonts w:ascii="Times New Roman" w:hAnsi="Times New Roman" w:cs="Times New Roman"/>
          <w:b/>
          <w:lang w:val="es-MX"/>
        </w:rPr>
      </w:pPr>
    </w:p>
    <w:p w:rsidR="006E7158" w:rsidRDefault="006E7158" w:rsidP="000E01A4">
      <w:pPr>
        <w:pStyle w:val="Sinespaciado"/>
        <w:jc w:val="center"/>
        <w:rPr>
          <w:rFonts w:ascii="Times New Roman" w:hAnsi="Times New Roman" w:cs="Times New Roman"/>
          <w:b/>
          <w:lang w:val="es-MX"/>
        </w:rPr>
      </w:pPr>
    </w:p>
    <w:p w:rsidR="006E7158" w:rsidRDefault="006E7158" w:rsidP="000E01A4">
      <w:pPr>
        <w:pStyle w:val="Sinespaciado"/>
        <w:jc w:val="center"/>
        <w:rPr>
          <w:rFonts w:ascii="Times New Roman" w:hAnsi="Times New Roman" w:cs="Times New Roman"/>
          <w:b/>
          <w:lang w:val="es-MX"/>
        </w:rPr>
      </w:pPr>
    </w:p>
    <w:p w:rsidR="006E7158" w:rsidRDefault="006E7158" w:rsidP="000E01A4">
      <w:pPr>
        <w:pStyle w:val="Sinespaciado"/>
        <w:jc w:val="center"/>
        <w:rPr>
          <w:rFonts w:ascii="Times New Roman" w:hAnsi="Times New Roman" w:cs="Times New Roman"/>
          <w:b/>
          <w:lang w:val="es-MX"/>
        </w:rPr>
      </w:pPr>
    </w:p>
    <w:p w:rsidR="000E01A4" w:rsidRDefault="000E01A4" w:rsidP="000E01A4">
      <w:pPr>
        <w:pStyle w:val="Sinespaciado"/>
        <w:jc w:val="center"/>
        <w:rPr>
          <w:rFonts w:ascii="Times New Roman" w:hAnsi="Times New Roman" w:cs="Times New Roman"/>
          <w:b/>
          <w:lang w:val="es-MX"/>
        </w:rPr>
      </w:pPr>
      <w:r>
        <w:rPr>
          <w:rFonts w:ascii="Times New Roman" w:hAnsi="Times New Roman" w:cs="Times New Roman"/>
          <w:b/>
          <w:lang w:val="es-MX"/>
        </w:rPr>
        <w:lastRenderedPageBreak/>
        <w:t>Principales Rubros de Gasto</w:t>
      </w:r>
    </w:p>
    <w:p w:rsidR="000E01A4" w:rsidRPr="000135FF" w:rsidRDefault="000E01A4" w:rsidP="000E01A4">
      <w:pPr>
        <w:pStyle w:val="Sinespaciado"/>
        <w:jc w:val="center"/>
        <w:rPr>
          <w:rFonts w:ascii="Times New Roman" w:hAnsi="Times New Roman" w:cs="Times New Roman"/>
          <w:sz w:val="18"/>
          <w:lang w:val="es-MX"/>
        </w:rPr>
      </w:pPr>
      <w:r w:rsidRPr="000135FF">
        <w:rPr>
          <w:rFonts w:ascii="Times New Roman" w:hAnsi="Times New Roman" w:cs="Times New Roman"/>
          <w:sz w:val="18"/>
          <w:lang w:val="es-MX"/>
        </w:rPr>
        <w:t>Variación Interanual 2014-2015</w:t>
      </w:r>
    </w:p>
    <w:p w:rsidR="000E01A4" w:rsidRDefault="000E01A4" w:rsidP="000E01A4">
      <w:pPr>
        <w:pStyle w:val="Sinespaciado"/>
        <w:jc w:val="both"/>
        <w:rPr>
          <w:rFonts w:ascii="Times New Roman" w:hAnsi="Times New Roman" w:cs="Times New Roman"/>
          <w:sz w:val="16"/>
        </w:rPr>
      </w:pPr>
      <w:r w:rsidRPr="00C628BE">
        <w:rPr>
          <w:noProof/>
          <w:lang w:eastAsia="es-GT"/>
        </w:rPr>
        <w:drawing>
          <wp:inline distT="0" distB="0" distL="0" distR="0" wp14:anchorId="133F99DF" wp14:editId="09FEB9A3">
            <wp:extent cx="2902688" cy="2052083"/>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755" cy="2069804"/>
                    </a:xfrm>
                    <a:prstGeom prst="rect">
                      <a:avLst/>
                    </a:prstGeom>
                    <a:noFill/>
                    <a:ln>
                      <a:noFill/>
                    </a:ln>
                  </pic:spPr>
                </pic:pic>
              </a:graphicData>
            </a:graphic>
          </wp:inline>
        </w:drawing>
      </w:r>
    </w:p>
    <w:p w:rsidR="000E01A4" w:rsidRDefault="000E01A4" w:rsidP="000E01A4">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E01A4" w:rsidRDefault="000E01A4" w:rsidP="000E01A4">
      <w:pPr>
        <w:pStyle w:val="Sinespaciado"/>
        <w:jc w:val="both"/>
        <w:rPr>
          <w:rFonts w:ascii="Times New Roman" w:hAnsi="Times New Roman" w:cs="Times New Roman"/>
          <w:lang w:val="es-MX"/>
        </w:rPr>
      </w:pPr>
    </w:p>
    <w:p w:rsidR="000E01A4" w:rsidRDefault="000E01A4" w:rsidP="000E01A4">
      <w:pPr>
        <w:pStyle w:val="Sinespaciado"/>
        <w:jc w:val="both"/>
        <w:rPr>
          <w:rFonts w:ascii="Times New Roman" w:hAnsi="Times New Roman" w:cs="Times New Roman"/>
        </w:rPr>
      </w:pPr>
      <w:r>
        <w:rPr>
          <w:rFonts w:ascii="Times New Roman" w:hAnsi="Times New Roman" w:cs="Times New Roman"/>
          <w:lang w:val="es-MX"/>
        </w:rPr>
        <w:t xml:space="preserve">Es importante mencionar que dentro de la contención de gasto, sigue prevaleciendo una política de austeridad implícita que se observa en la contracción del gasto considerado como superfluo, </w:t>
      </w:r>
      <w:r>
        <w:rPr>
          <w:rFonts w:ascii="Times New Roman" w:hAnsi="Times New Roman" w:cs="Times New Roman"/>
        </w:rPr>
        <w:t xml:space="preserve">principalmente en rubros sensibles de gasto como viáticos, equipo de transporte, combustible, divulgación e información, entre otros. </w:t>
      </w:r>
    </w:p>
    <w:p w:rsidR="000E01A4" w:rsidRDefault="000E01A4" w:rsidP="000E01A4">
      <w:pPr>
        <w:pStyle w:val="Sinespaciado"/>
        <w:jc w:val="both"/>
        <w:rPr>
          <w:rFonts w:ascii="Times New Roman" w:hAnsi="Times New Roman" w:cs="Times New Roman"/>
        </w:rPr>
      </w:pPr>
    </w:p>
    <w:p w:rsidR="000E01A4" w:rsidRDefault="000E258A" w:rsidP="000E01A4">
      <w:pPr>
        <w:pStyle w:val="Sinespaciado"/>
        <w:jc w:val="both"/>
        <w:rPr>
          <w:rFonts w:ascii="Times New Roman" w:hAnsi="Times New Roman" w:cs="Times New Roman"/>
        </w:rPr>
      </w:pPr>
      <w:r>
        <w:rPr>
          <w:rFonts w:ascii="Times New Roman" w:hAnsi="Times New Roman" w:cs="Times New Roman"/>
        </w:rPr>
        <w:t xml:space="preserve">Asimismo es necesario </w:t>
      </w:r>
      <w:r w:rsidR="000E01A4">
        <w:rPr>
          <w:rFonts w:ascii="Times New Roman" w:hAnsi="Times New Roman" w:cs="Times New Roman"/>
        </w:rPr>
        <w:t xml:space="preserve"> indicar que los rubros mencionados no incluyen, en algunos casos, la ejecución de ministerios como gobernación, salud, y educación ya que por su naturaleza algunos de estos rubros son parte de los insumos críticos de estas entidades, (alimentación, combustibles, transporte de personas). </w:t>
      </w:r>
    </w:p>
    <w:p w:rsidR="000E01A4" w:rsidRDefault="000E01A4" w:rsidP="000E01A4">
      <w:pPr>
        <w:pStyle w:val="Sinespaciado"/>
        <w:jc w:val="both"/>
        <w:rPr>
          <w:rFonts w:ascii="Times New Roman" w:hAnsi="Times New Roman" w:cs="Times New Roman"/>
        </w:rPr>
      </w:pPr>
    </w:p>
    <w:p w:rsidR="000E01A4" w:rsidRDefault="000E01A4" w:rsidP="000E01A4">
      <w:pPr>
        <w:pStyle w:val="Sinespaciado"/>
        <w:jc w:val="both"/>
        <w:rPr>
          <w:rFonts w:ascii="Times New Roman" w:hAnsi="Times New Roman" w:cs="Times New Roman"/>
        </w:rPr>
      </w:pPr>
      <w:r>
        <w:rPr>
          <w:rFonts w:ascii="Times New Roman" w:hAnsi="Times New Roman" w:cs="Times New Roman"/>
        </w:rPr>
        <w:t>La contracción del gasto superfluo, en lo que va de 2015, es de 33.0%, y es el nivel más bajo en más de 5 años.</w:t>
      </w:r>
    </w:p>
    <w:p w:rsidR="000E258A" w:rsidRDefault="000E258A" w:rsidP="000E01A4">
      <w:pPr>
        <w:pStyle w:val="Sinespaciado"/>
        <w:jc w:val="center"/>
        <w:rPr>
          <w:rFonts w:ascii="Times New Roman" w:hAnsi="Times New Roman" w:cs="Times New Roman"/>
          <w:lang w:val="es-MX"/>
        </w:rPr>
      </w:pPr>
    </w:p>
    <w:p w:rsidR="000E01A4" w:rsidRPr="00017CB5" w:rsidRDefault="000E01A4" w:rsidP="000E01A4">
      <w:pPr>
        <w:pStyle w:val="Sinespaciado"/>
        <w:jc w:val="center"/>
        <w:rPr>
          <w:rFonts w:ascii="Times New Roman" w:hAnsi="Times New Roman" w:cs="Times New Roman"/>
          <w:b/>
        </w:rPr>
      </w:pPr>
      <w:r>
        <w:rPr>
          <w:rFonts w:ascii="Times New Roman" w:hAnsi="Times New Roman" w:cs="Times New Roman"/>
          <w:lang w:val="es-MX"/>
        </w:rPr>
        <w:t xml:space="preserve">  </w:t>
      </w:r>
      <w:r>
        <w:rPr>
          <w:rFonts w:ascii="Times New Roman" w:hAnsi="Times New Roman" w:cs="Times New Roman"/>
          <w:b/>
        </w:rPr>
        <w:t>Gasto S</w:t>
      </w:r>
      <w:r w:rsidRPr="00017CB5">
        <w:rPr>
          <w:rFonts w:ascii="Times New Roman" w:hAnsi="Times New Roman" w:cs="Times New Roman"/>
          <w:b/>
        </w:rPr>
        <w:t>uperfluo</w:t>
      </w:r>
    </w:p>
    <w:p w:rsidR="000E01A4" w:rsidRPr="004854A1" w:rsidRDefault="000E01A4" w:rsidP="000E01A4">
      <w:pPr>
        <w:pStyle w:val="Sinespaciado"/>
        <w:jc w:val="center"/>
        <w:rPr>
          <w:rFonts w:ascii="Times New Roman" w:hAnsi="Times New Roman" w:cs="Times New Roman"/>
          <w:sz w:val="14"/>
        </w:rPr>
      </w:pPr>
      <w:r w:rsidRPr="004854A1">
        <w:rPr>
          <w:rFonts w:ascii="Times New Roman" w:hAnsi="Times New Roman" w:cs="Times New Roman"/>
          <w:sz w:val="14"/>
        </w:rPr>
        <w:t xml:space="preserve">Acumulado a </w:t>
      </w:r>
      <w:r>
        <w:rPr>
          <w:rFonts w:ascii="Times New Roman" w:hAnsi="Times New Roman" w:cs="Times New Roman"/>
          <w:sz w:val="14"/>
        </w:rPr>
        <w:t>octubre</w:t>
      </w:r>
      <w:r w:rsidRPr="004854A1">
        <w:rPr>
          <w:rFonts w:ascii="Times New Roman" w:hAnsi="Times New Roman" w:cs="Times New Roman"/>
          <w:sz w:val="14"/>
        </w:rPr>
        <w:t xml:space="preserve"> de cada año   </w:t>
      </w:r>
      <w:r>
        <w:rPr>
          <w:rFonts w:ascii="Times New Roman" w:hAnsi="Times New Roman" w:cs="Times New Roman"/>
          <w:sz w:val="14"/>
        </w:rPr>
        <w:t xml:space="preserve">  </w:t>
      </w:r>
      <w:r w:rsidRPr="004854A1">
        <w:rPr>
          <w:rFonts w:ascii="Times New Roman" w:hAnsi="Times New Roman" w:cs="Times New Roman"/>
          <w:sz w:val="14"/>
        </w:rPr>
        <w:t xml:space="preserve">  Aumento por Rubro en 2015</w:t>
      </w:r>
    </w:p>
    <w:p w:rsidR="000E01A4" w:rsidRPr="0069287F" w:rsidRDefault="000E01A4" w:rsidP="000E01A4">
      <w:pPr>
        <w:pStyle w:val="Sinespaciado"/>
        <w:jc w:val="both"/>
        <w:rPr>
          <w:rFonts w:ascii="Times New Roman" w:hAnsi="Times New Roman" w:cs="Times New Roman"/>
        </w:rPr>
      </w:pPr>
      <w:r w:rsidRPr="003E071A">
        <w:rPr>
          <w:noProof/>
          <w:lang w:eastAsia="es-GT"/>
        </w:rPr>
        <w:drawing>
          <wp:inline distT="0" distB="0" distL="0" distR="0" wp14:anchorId="0C24497B" wp14:editId="6723AE0D">
            <wp:extent cx="2573076" cy="1350334"/>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1354637"/>
                    </a:xfrm>
                    <a:prstGeom prst="rect">
                      <a:avLst/>
                    </a:prstGeom>
                    <a:noFill/>
                    <a:ln>
                      <a:noFill/>
                    </a:ln>
                  </pic:spPr>
                </pic:pic>
              </a:graphicData>
            </a:graphic>
          </wp:inline>
        </w:drawing>
      </w:r>
    </w:p>
    <w:p w:rsidR="000E01A4" w:rsidRDefault="000E01A4" w:rsidP="000E01A4">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E01A4" w:rsidRPr="006E7158" w:rsidRDefault="000E01A4" w:rsidP="000E01A4">
      <w:pPr>
        <w:pStyle w:val="Sinespaciado"/>
        <w:jc w:val="center"/>
        <w:rPr>
          <w:rFonts w:ascii="Times New Roman" w:hAnsi="Times New Roman" w:cs="Times New Roman"/>
          <w:b/>
          <w:sz w:val="18"/>
        </w:rPr>
      </w:pPr>
    </w:p>
    <w:p w:rsidR="000E01A4" w:rsidRDefault="000E01A4" w:rsidP="000E01A4">
      <w:pPr>
        <w:pStyle w:val="Sinespaciado"/>
        <w:jc w:val="both"/>
        <w:rPr>
          <w:rFonts w:ascii="Times New Roman" w:hAnsi="Times New Roman" w:cs="Times New Roman"/>
        </w:rPr>
      </w:pPr>
      <w:r>
        <w:rPr>
          <w:rFonts w:ascii="Times New Roman" w:hAnsi="Times New Roman" w:cs="Times New Roman"/>
        </w:rPr>
        <w:t>En octubre se aprobó una cuota financiera de Q</w:t>
      </w:r>
      <w:r w:rsidR="009607E8">
        <w:rPr>
          <w:rFonts w:ascii="Times New Roman" w:hAnsi="Times New Roman" w:cs="Times New Roman"/>
        </w:rPr>
        <w:t xml:space="preserve"> </w:t>
      </w:r>
      <w:r>
        <w:rPr>
          <w:rFonts w:ascii="Times New Roman" w:hAnsi="Times New Roman" w:cs="Times New Roman"/>
        </w:rPr>
        <w:t>4,721.6 millones, de los cuales Q</w:t>
      </w:r>
      <w:r w:rsidR="009607E8">
        <w:rPr>
          <w:rFonts w:ascii="Times New Roman" w:hAnsi="Times New Roman" w:cs="Times New Roman"/>
        </w:rPr>
        <w:t xml:space="preserve"> </w:t>
      </w:r>
      <w:r>
        <w:rPr>
          <w:rFonts w:ascii="Times New Roman" w:hAnsi="Times New Roman" w:cs="Times New Roman"/>
        </w:rPr>
        <w:t>4,325.5 millones, corresponden a fuentes de financiamiento corrientes cuya ejecución al final del mes fue cercana al 100%, igualmente las otras fuentes de financiamiento (Q</w:t>
      </w:r>
      <w:r w:rsidR="009607E8">
        <w:rPr>
          <w:rFonts w:ascii="Times New Roman" w:hAnsi="Times New Roman" w:cs="Times New Roman"/>
        </w:rPr>
        <w:t xml:space="preserve"> </w:t>
      </w:r>
      <w:r>
        <w:rPr>
          <w:rFonts w:ascii="Times New Roman" w:hAnsi="Times New Roman" w:cs="Times New Roman"/>
        </w:rPr>
        <w:t>395.4 millones) mostraron un grado de ejecución superior al 100% derivado de la regularización de anticipos de meses anteriores.</w:t>
      </w:r>
    </w:p>
    <w:p w:rsidR="000E01A4" w:rsidRDefault="000E01A4" w:rsidP="000E01A4">
      <w:pPr>
        <w:pStyle w:val="Sinespaciado"/>
        <w:jc w:val="both"/>
        <w:rPr>
          <w:rFonts w:ascii="Times New Roman" w:hAnsi="Times New Roman" w:cs="Times New Roman"/>
        </w:rPr>
      </w:pPr>
    </w:p>
    <w:p w:rsidR="000E01A4" w:rsidRDefault="000E01A4" w:rsidP="000E01A4">
      <w:pPr>
        <w:pStyle w:val="Sinespaciado"/>
        <w:jc w:val="both"/>
        <w:rPr>
          <w:rFonts w:ascii="Times New Roman" w:hAnsi="Times New Roman" w:cs="Times New Roman"/>
        </w:rPr>
      </w:pPr>
      <w:r>
        <w:rPr>
          <w:rFonts w:ascii="Times New Roman" w:hAnsi="Times New Roman" w:cs="Times New Roman"/>
        </w:rPr>
        <w:t xml:space="preserve">Por otro lado, el gasto orientado a los sectores sociales sigue mostrando un ritmo de ejecución por encima del gasto de toda la administración pública, tomando en cuenta que el ritmo de ejecución del gasto social es de 7.7%, mientras que el gasto total es de 3.8%.  Esta situación se debe en buena medida al incremento salarial (12%) al magisterio nacional que se otorgó este año ya que algunos rubros de gasto como los insumos críticos de las entidades que realizan intervenciones en áreas sociales muestran un comportamiento un poco más moderado.  </w:t>
      </w:r>
    </w:p>
    <w:p w:rsidR="000E01A4" w:rsidRPr="006E7158" w:rsidRDefault="000E01A4" w:rsidP="000E01A4">
      <w:pPr>
        <w:pStyle w:val="Sinespaciado"/>
        <w:jc w:val="center"/>
        <w:rPr>
          <w:rFonts w:ascii="Times New Roman" w:hAnsi="Times New Roman" w:cs="Times New Roman"/>
          <w:b/>
          <w:sz w:val="18"/>
        </w:rPr>
      </w:pPr>
    </w:p>
    <w:p w:rsidR="000E01A4" w:rsidRDefault="000E01A4" w:rsidP="000E01A4">
      <w:pPr>
        <w:pStyle w:val="Sinespaciado"/>
        <w:jc w:val="center"/>
        <w:rPr>
          <w:rFonts w:ascii="Times New Roman" w:hAnsi="Times New Roman" w:cs="Times New Roman"/>
          <w:b/>
        </w:rPr>
      </w:pPr>
      <w:r>
        <w:rPr>
          <w:rFonts w:ascii="Times New Roman" w:hAnsi="Times New Roman" w:cs="Times New Roman"/>
          <w:b/>
        </w:rPr>
        <w:t>Gasto Social</w:t>
      </w:r>
    </w:p>
    <w:p w:rsidR="000E01A4" w:rsidRDefault="000E01A4" w:rsidP="000E01A4">
      <w:pPr>
        <w:pStyle w:val="Sinespaciado"/>
        <w:jc w:val="center"/>
        <w:rPr>
          <w:rFonts w:ascii="Times New Roman" w:hAnsi="Times New Roman" w:cs="Times New Roman"/>
          <w:sz w:val="18"/>
        </w:rPr>
      </w:pPr>
      <w:r>
        <w:rPr>
          <w:rFonts w:ascii="Times New Roman" w:hAnsi="Times New Roman" w:cs="Times New Roman"/>
          <w:sz w:val="18"/>
        </w:rPr>
        <w:t>Al 31 de octubre 2014 – 2015</w:t>
      </w:r>
    </w:p>
    <w:p w:rsidR="000E01A4" w:rsidRDefault="000E01A4" w:rsidP="000E01A4">
      <w:pPr>
        <w:pStyle w:val="Sinespaciado"/>
        <w:jc w:val="center"/>
        <w:rPr>
          <w:rFonts w:ascii="Times New Roman" w:hAnsi="Times New Roman" w:cs="Times New Roman"/>
        </w:rPr>
      </w:pPr>
      <w:r>
        <w:rPr>
          <w:rFonts w:ascii="Times New Roman" w:hAnsi="Times New Roman" w:cs="Times New Roman"/>
          <w:sz w:val="18"/>
        </w:rPr>
        <w:t>Millones de quetzales</w:t>
      </w:r>
    </w:p>
    <w:p w:rsidR="000E01A4" w:rsidRDefault="000E01A4" w:rsidP="000E01A4">
      <w:pPr>
        <w:pStyle w:val="Sinespaciado"/>
        <w:jc w:val="both"/>
        <w:rPr>
          <w:rFonts w:ascii="Times New Roman" w:hAnsi="Times New Roman" w:cs="Times New Roman"/>
          <w:sz w:val="16"/>
        </w:rPr>
      </w:pPr>
      <w:r w:rsidRPr="00976C53">
        <w:rPr>
          <w:noProof/>
          <w:lang w:eastAsia="es-GT"/>
        </w:rPr>
        <w:drawing>
          <wp:inline distT="0" distB="0" distL="0" distR="0" wp14:anchorId="5ED915AB" wp14:editId="49211F02">
            <wp:extent cx="2583712" cy="1041991"/>
            <wp:effectExtent l="0" t="0" r="762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1275" cy="1041008"/>
                    </a:xfrm>
                    <a:prstGeom prst="rect">
                      <a:avLst/>
                    </a:prstGeom>
                    <a:noFill/>
                    <a:ln>
                      <a:noFill/>
                    </a:ln>
                  </pic:spPr>
                </pic:pic>
              </a:graphicData>
            </a:graphic>
          </wp:inline>
        </w:drawing>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E01A4" w:rsidRDefault="000E01A4" w:rsidP="000E01A4">
      <w:pPr>
        <w:pStyle w:val="Sinespaciado"/>
        <w:jc w:val="both"/>
        <w:rPr>
          <w:rFonts w:ascii="Times New Roman" w:hAnsi="Times New Roman" w:cs="Times New Roman"/>
        </w:rPr>
      </w:pPr>
    </w:p>
    <w:p w:rsidR="000E01A4" w:rsidRDefault="000E01A4" w:rsidP="000E01A4">
      <w:pPr>
        <w:pStyle w:val="Sinespaciado"/>
        <w:jc w:val="both"/>
        <w:rPr>
          <w:rFonts w:ascii="Times New Roman" w:hAnsi="Times New Roman" w:cs="Times New Roman"/>
        </w:rPr>
      </w:pPr>
      <w:r>
        <w:rPr>
          <w:rFonts w:ascii="Times New Roman" w:hAnsi="Times New Roman" w:cs="Times New Roman"/>
        </w:rPr>
        <w:t xml:space="preserve">Por su parte, el gasto a nivel institucional muestra también el efecto de la contención de gasto que ha incidido en el ritmo de ejecución </w:t>
      </w:r>
      <w:r>
        <w:rPr>
          <w:rFonts w:ascii="Times New Roman" w:hAnsi="Times New Roman" w:cs="Times New Roman"/>
        </w:rPr>
        <w:lastRenderedPageBreak/>
        <w:t>de varias instituciones públicas.  De esa cuenta, 9 entidades muestran una contracción, menor gasto con respecto al realizado el año anterior, destacando los ministerios de agricultura (-37.8%), desarrollo social            (-36%), comunicaciones (-31.0%),    energía (-26.5%), entre otras.  Asimismo, otras entidades muestran un ritmo de ejecución más dinámico que son las que permiten, que a la fecha el gasto sea mayor al de 2014, destacando entre ellas, el servicio de la deuda, obligaciones del Estado, Salud, ambiente y Educación.  En el caso, de las obligaciones tuvo impacto el aporte extraordinario al TSE y el aumento de algunos aportes institucionales.  Asimismo, en educación, el incremento de la nómina se da por el aumento al magisterio nacional.  En ambos casos, son de los principales incrementos observados en lo que va del año aunado al servicio de la deuda pública.</w:t>
      </w:r>
    </w:p>
    <w:p w:rsidR="000E01A4" w:rsidRPr="006E7158" w:rsidRDefault="000E01A4" w:rsidP="000E01A4">
      <w:pPr>
        <w:pStyle w:val="Sinespaciado"/>
        <w:jc w:val="both"/>
        <w:rPr>
          <w:rFonts w:ascii="Times New Roman" w:hAnsi="Times New Roman" w:cs="Times New Roman"/>
          <w:sz w:val="18"/>
        </w:rPr>
      </w:pPr>
    </w:p>
    <w:p w:rsidR="000E01A4" w:rsidRPr="008E0E85" w:rsidRDefault="000E01A4" w:rsidP="000E01A4">
      <w:pPr>
        <w:pStyle w:val="Sinespaciado"/>
        <w:jc w:val="center"/>
        <w:rPr>
          <w:rFonts w:ascii="Times New Roman" w:hAnsi="Times New Roman" w:cs="Times New Roman"/>
          <w:b/>
        </w:rPr>
      </w:pPr>
      <w:r w:rsidRPr="008E0E85">
        <w:rPr>
          <w:rFonts w:ascii="Times New Roman" w:hAnsi="Times New Roman" w:cs="Times New Roman"/>
          <w:b/>
        </w:rPr>
        <w:t>Gasto Por Entidad</w:t>
      </w:r>
    </w:p>
    <w:p w:rsidR="000E01A4" w:rsidRPr="008E0E85" w:rsidRDefault="000E01A4" w:rsidP="000E01A4">
      <w:pPr>
        <w:pStyle w:val="Sinespaciado"/>
        <w:jc w:val="both"/>
        <w:rPr>
          <w:rFonts w:ascii="Times New Roman" w:hAnsi="Times New Roman" w:cs="Times New Roman"/>
          <w:sz w:val="18"/>
        </w:rPr>
      </w:pPr>
      <w:r w:rsidRPr="008E0E85">
        <w:rPr>
          <w:rFonts w:ascii="Times New Roman" w:hAnsi="Times New Roman" w:cs="Times New Roman"/>
          <w:sz w:val="18"/>
        </w:rPr>
        <w:t>Variación Interanual al 31 de octubre 2014-2015</w:t>
      </w:r>
    </w:p>
    <w:p w:rsidR="000E01A4" w:rsidRPr="008E0E85" w:rsidRDefault="000E01A4" w:rsidP="000E01A4">
      <w:pPr>
        <w:pStyle w:val="Sinespaciado"/>
        <w:jc w:val="center"/>
        <w:rPr>
          <w:rFonts w:ascii="Times New Roman" w:hAnsi="Times New Roman" w:cs="Times New Roman"/>
          <w:sz w:val="18"/>
        </w:rPr>
      </w:pPr>
      <w:r w:rsidRPr="008E0E85">
        <w:rPr>
          <w:rFonts w:ascii="Times New Roman" w:hAnsi="Times New Roman" w:cs="Times New Roman"/>
          <w:sz w:val="18"/>
        </w:rPr>
        <w:t>Porcentajes</w:t>
      </w:r>
    </w:p>
    <w:p w:rsidR="000E01A4" w:rsidRDefault="000E01A4" w:rsidP="000E01A4">
      <w:pPr>
        <w:pStyle w:val="Sinespaciado"/>
        <w:jc w:val="both"/>
        <w:rPr>
          <w:rFonts w:ascii="Times New Roman" w:hAnsi="Times New Roman" w:cs="Times New Roman"/>
        </w:rPr>
      </w:pPr>
      <w:r w:rsidRPr="008E0E85">
        <w:rPr>
          <w:rFonts w:ascii="Times New Roman" w:hAnsi="Times New Roman" w:cs="Times New Roman"/>
          <w:noProof/>
          <w:lang w:eastAsia="es-GT"/>
        </w:rPr>
        <w:drawing>
          <wp:inline distT="0" distB="0" distL="0" distR="0" wp14:anchorId="16AF5A0F" wp14:editId="601EAC1E">
            <wp:extent cx="2580122" cy="1945284"/>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5C2B" w:rsidRDefault="001E5C2B" w:rsidP="000E01A4">
      <w:pPr>
        <w:pStyle w:val="Sinespaciado"/>
        <w:jc w:val="both"/>
        <w:rPr>
          <w:rFonts w:ascii="Times New Roman" w:hAnsi="Times New Roman" w:cs="Times New Roman"/>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E01A4" w:rsidRDefault="000E01A4" w:rsidP="000E01A4">
      <w:pPr>
        <w:pStyle w:val="Sinespaciado"/>
        <w:jc w:val="both"/>
        <w:rPr>
          <w:rFonts w:ascii="Times New Roman" w:hAnsi="Times New Roman" w:cs="Times New Roman"/>
        </w:rPr>
      </w:pPr>
    </w:p>
    <w:p w:rsidR="006E7158" w:rsidRDefault="006E7158" w:rsidP="000E01A4">
      <w:pPr>
        <w:pStyle w:val="Sinespaciado"/>
        <w:jc w:val="both"/>
        <w:rPr>
          <w:rFonts w:ascii="Times New Roman" w:hAnsi="Times New Roman" w:cs="Times New Roman"/>
        </w:rPr>
        <w:sectPr w:rsidR="006E7158" w:rsidSect="00D5050D">
          <w:type w:val="continuous"/>
          <w:pgSz w:w="12240" w:h="15840"/>
          <w:pgMar w:top="1417" w:right="1701" w:bottom="1417" w:left="1701" w:header="708" w:footer="708" w:gutter="0"/>
          <w:cols w:num="2" w:space="708"/>
          <w:docGrid w:linePitch="360"/>
        </w:sectPr>
      </w:pPr>
    </w:p>
    <w:p w:rsidR="000E01A4" w:rsidRPr="006E7158" w:rsidRDefault="000E01A4" w:rsidP="000E01A4">
      <w:pPr>
        <w:pStyle w:val="Sinespaciado"/>
        <w:jc w:val="both"/>
        <w:rPr>
          <w:rFonts w:ascii="Times New Roman" w:hAnsi="Times New Roman" w:cs="Times New Roman"/>
          <w:sz w:val="18"/>
        </w:rPr>
      </w:pPr>
    </w:p>
    <w:p w:rsidR="000E01A4" w:rsidRPr="000E01A4" w:rsidRDefault="000E01A4" w:rsidP="000E01A4">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0E01A4">
        <w:rPr>
          <w:rFonts w:ascii="Times New Roman" w:hAnsi="Times New Roman" w:cs="Times New Roman"/>
          <w:b/>
          <w:lang w:val="es-MX"/>
        </w:rPr>
        <w:t>Financiamiento mediante préstamos externos se mantiene moderado</w:t>
      </w:r>
    </w:p>
    <w:p w:rsidR="000E01A4" w:rsidRPr="00A672F4" w:rsidRDefault="000E01A4" w:rsidP="000E01A4">
      <w:pPr>
        <w:pStyle w:val="Sinespaciado"/>
        <w:jc w:val="both"/>
        <w:rPr>
          <w:rFonts w:ascii="Times New Roman" w:hAnsi="Times New Roman" w:cs="Times New Roman"/>
          <w:lang w:val="es-MX"/>
        </w:rPr>
      </w:pPr>
    </w:p>
    <w:p w:rsidR="000E01A4" w:rsidRDefault="000E01A4" w:rsidP="000E01A4">
      <w:pPr>
        <w:pStyle w:val="Sinespaciado"/>
        <w:jc w:val="both"/>
        <w:rPr>
          <w:rFonts w:ascii="Times New Roman" w:hAnsi="Times New Roman" w:cs="Times New Roman"/>
        </w:rPr>
        <w:sectPr w:rsidR="000E01A4" w:rsidSect="00277D28">
          <w:type w:val="continuous"/>
          <w:pgSz w:w="12240" w:h="15840"/>
          <w:pgMar w:top="1417" w:right="1701" w:bottom="1417" w:left="1701" w:header="708" w:footer="708" w:gutter="0"/>
          <w:cols w:space="708"/>
          <w:docGrid w:linePitch="360"/>
        </w:sectPr>
      </w:pPr>
    </w:p>
    <w:p w:rsidR="000E01A4" w:rsidRDefault="000E01A4" w:rsidP="000E01A4">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se puede observar que la principal fuente de recursos, los desembolsos de préstamos externos, muestran al cierre del tercer trimestre del año una ejecución de Q</w:t>
      </w:r>
      <w:r w:rsidR="009607E8">
        <w:rPr>
          <w:rFonts w:ascii="Times New Roman" w:hAnsi="Times New Roman" w:cs="Times New Roman"/>
        </w:rPr>
        <w:t xml:space="preserve"> </w:t>
      </w:r>
      <w:r>
        <w:rPr>
          <w:rFonts w:ascii="Times New Roman" w:hAnsi="Times New Roman" w:cs="Times New Roman"/>
        </w:rPr>
        <w:t xml:space="preserve">5,173.2 millones, equivalente al 63.4% del monto </w:t>
      </w:r>
      <w:r>
        <w:rPr>
          <w:rFonts w:ascii="Times New Roman" w:hAnsi="Times New Roman" w:cs="Times New Roman"/>
        </w:rPr>
        <w:lastRenderedPageBreak/>
        <w:t xml:space="preserve">presupuestado.  Del monto recibido, el 70.9% corresponde a los préstamos de apoyo presupuestario del BID y Banco Mundial cuyos recursos se destinan en mayor proporción al pago del servicio de la deuda pública, el resto de desembolsos de préstamos </w:t>
      </w:r>
      <w:r>
        <w:rPr>
          <w:rFonts w:ascii="Times New Roman" w:hAnsi="Times New Roman" w:cs="Times New Roman"/>
        </w:rPr>
        <w:lastRenderedPageBreak/>
        <w:t xml:space="preserve">financian proyectos específicos en áreas principalmente de infraestructura vial, aunque también financian proyectos sociales y productivos, entre otros.   </w:t>
      </w:r>
    </w:p>
    <w:p w:rsidR="00960694" w:rsidRDefault="00960694" w:rsidP="000E01A4">
      <w:pPr>
        <w:pStyle w:val="Sinespaciado"/>
        <w:jc w:val="both"/>
        <w:rPr>
          <w:rFonts w:ascii="Times New Roman" w:hAnsi="Times New Roman" w:cs="Times New Roman"/>
        </w:rPr>
      </w:pPr>
    </w:p>
    <w:p w:rsidR="000E01A4" w:rsidRDefault="000E01A4" w:rsidP="000E01A4">
      <w:pPr>
        <w:pStyle w:val="Sinespaciado"/>
        <w:jc w:val="both"/>
        <w:rPr>
          <w:rFonts w:ascii="Times New Roman" w:hAnsi="Times New Roman" w:cs="Times New Roman"/>
        </w:rPr>
      </w:pPr>
      <w:r>
        <w:rPr>
          <w:rFonts w:ascii="Times New Roman" w:hAnsi="Times New Roman" w:cs="Times New Roman"/>
        </w:rPr>
        <w:t>Dado el nivel de desembolsos de préstamos recibidos y el nivel de amortizaciones realizadas a la fecha (Q</w:t>
      </w:r>
      <w:r w:rsidR="009607E8">
        <w:rPr>
          <w:rFonts w:ascii="Times New Roman" w:hAnsi="Times New Roman" w:cs="Times New Roman"/>
        </w:rPr>
        <w:t xml:space="preserve"> </w:t>
      </w:r>
      <w:r>
        <w:rPr>
          <w:rFonts w:ascii="Times New Roman" w:hAnsi="Times New Roman" w:cs="Times New Roman"/>
        </w:rPr>
        <w:t>2,342.4 millones), el financiamiento externo neto se ubica en Q</w:t>
      </w:r>
      <w:r w:rsidR="009607E8">
        <w:rPr>
          <w:rFonts w:ascii="Times New Roman" w:hAnsi="Times New Roman" w:cs="Times New Roman"/>
        </w:rPr>
        <w:t xml:space="preserve"> </w:t>
      </w:r>
      <w:r>
        <w:rPr>
          <w:rFonts w:ascii="Times New Roman" w:hAnsi="Times New Roman" w:cs="Times New Roman"/>
        </w:rPr>
        <w:lastRenderedPageBreak/>
        <w:t>2,830.8 millones, el cual sigue siendo el nivel más altos mostrado en los últimos años.</w:t>
      </w:r>
    </w:p>
    <w:p w:rsidR="000E01A4" w:rsidRDefault="000E01A4" w:rsidP="000E01A4">
      <w:pPr>
        <w:pStyle w:val="Sinespaciado"/>
        <w:jc w:val="both"/>
        <w:rPr>
          <w:rFonts w:ascii="Times New Roman" w:hAnsi="Times New Roman" w:cs="Times New Roman"/>
        </w:rPr>
      </w:pPr>
      <w:r>
        <w:rPr>
          <w:rFonts w:ascii="Times New Roman" w:hAnsi="Times New Roman" w:cs="Times New Roman"/>
        </w:rPr>
        <w:t xml:space="preserve">  </w:t>
      </w:r>
    </w:p>
    <w:p w:rsidR="001555CF" w:rsidRPr="00985E23" w:rsidRDefault="000E01A4" w:rsidP="000E01A4">
      <w:pPr>
        <w:pStyle w:val="Sinespaciado"/>
        <w:jc w:val="both"/>
        <w:rPr>
          <w:rFonts w:ascii="Times New Roman" w:hAnsi="Times New Roman" w:cs="Times New Roman"/>
          <w:color w:val="FF0000"/>
          <w:sz w:val="16"/>
        </w:rPr>
      </w:pPr>
      <w:r>
        <w:rPr>
          <w:rFonts w:ascii="Times New Roman" w:hAnsi="Times New Roman" w:cs="Times New Roman"/>
        </w:rPr>
        <w:t>Por su parte, en lo que resta del año, se espera colocar  Bonos del Tesoro por Q</w:t>
      </w:r>
      <w:r w:rsidR="009607E8">
        <w:rPr>
          <w:rFonts w:ascii="Times New Roman" w:hAnsi="Times New Roman" w:cs="Times New Roman"/>
        </w:rPr>
        <w:t xml:space="preserve"> </w:t>
      </w:r>
      <w:r>
        <w:rPr>
          <w:rFonts w:ascii="Times New Roman" w:hAnsi="Times New Roman" w:cs="Times New Roman"/>
        </w:rPr>
        <w:t>361.4 millones, para alcanzar el cupo autorizado por el Congreso de la República dentro del presupuesto para este año (Q</w:t>
      </w:r>
      <w:r w:rsidR="009607E8">
        <w:rPr>
          <w:rFonts w:ascii="Times New Roman" w:hAnsi="Times New Roman" w:cs="Times New Roman"/>
        </w:rPr>
        <w:t xml:space="preserve"> </w:t>
      </w:r>
      <w:r>
        <w:rPr>
          <w:rFonts w:ascii="Times New Roman" w:hAnsi="Times New Roman" w:cs="Times New Roman"/>
        </w:rPr>
        <w:t xml:space="preserve">4,000.0 millones). </w:t>
      </w:r>
    </w:p>
    <w:p w:rsidR="0058760A" w:rsidRPr="00985E23" w:rsidRDefault="0058760A" w:rsidP="008661DF">
      <w:pPr>
        <w:pStyle w:val="Sinespaciado"/>
        <w:jc w:val="both"/>
        <w:rPr>
          <w:rFonts w:ascii="Times New Roman" w:hAnsi="Times New Roman" w:cs="Times New Roman"/>
          <w:color w:val="FF0000"/>
          <w:sz w:val="10"/>
        </w:rPr>
      </w:pPr>
    </w:p>
    <w:p w:rsidR="0058760A" w:rsidRPr="00985E23" w:rsidRDefault="0058760A" w:rsidP="007D057D">
      <w:pPr>
        <w:pStyle w:val="Sinespaciado"/>
        <w:rPr>
          <w:i/>
          <w:color w:val="FF0000"/>
          <w:sz w:val="4"/>
          <w:lang w:val="es-MX"/>
        </w:rPr>
        <w:sectPr w:rsidR="0058760A" w:rsidRPr="00985E23" w:rsidSect="00887595">
          <w:headerReference w:type="default" r:id="rId24"/>
          <w:footerReference w:type="default" r:id="rId25"/>
          <w:type w:val="continuous"/>
          <w:pgSz w:w="12240" w:h="15840"/>
          <w:pgMar w:top="1627" w:right="1701" w:bottom="1417" w:left="1701" w:header="708" w:footer="708" w:gutter="0"/>
          <w:cols w:num="2" w:space="708"/>
          <w:docGrid w:linePitch="360"/>
        </w:sectPr>
      </w:pPr>
    </w:p>
    <w:p w:rsidR="000360E0" w:rsidRPr="001E5C2B" w:rsidRDefault="000360E0" w:rsidP="007D057D">
      <w:pPr>
        <w:pStyle w:val="Sinespaciado"/>
        <w:rPr>
          <w:color w:val="FF0000"/>
          <w:sz w:val="20"/>
          <w:lang w:val="es-MX"/>
        </w:rPr>
        <w:sectPr w:rsidR="000360E0" w:rsidRPr="001E5C2B" w:rsidSect="000360E0">
          <w:type w:val="continuous"/>
          <w:pgSz w:w="12240" w:h="15840"/>
          <w:pgMar w:top="1627" w:right="1701" w:bottom="1417" w:left="1701" w:header="708" w:footer="708" w:gutter="0"/>
          <w:cols w:num="2" w:space="708"/>
          <w:docGrid w:linePitch="360"/>
        </w:sectPr>
      </w:pPr>
    </w:p>
    <w:p w:rsidR="00336B3D" w:rsidRPr="00985E23" w:rsidRDefault="00336B3D" w:rsidP="007D057D">
      <w:pPr>
        <w:pStyle w:val="Sinespaciado"/>
        <w:rPr>
          <w:color w:val="FF0000"/>
          <w:sz w:val="2"/>
          <w:lang w:val="es-MX"/>
        </w:rPr>
      </w:pPr>
    </w:p>
    <w:p w:rsidR="0013777B" w:rsidRPr="000E01A4" w:rsidRDefault="006434D8" w:rsidP="00FD23D8">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0E01A4">
        <w:rPr>
          <w:rFonts w:ascii="Times New Roman" w:hAnsi="Times New Roman" w:cs="Times New Roman"/>
          <w:b/>
          <w:lang w:val="es-MX"/>
        </w:rPr>
        <w:t xml:space="preserve">Ambientes </w:t>
      </w:r>
      <w:r w:rsidR="00C621D5" w:rsidRPr="000E01A4">
        <w:rPr>
          <w:rFonts w:ascii="Times New Roman" w:hAnsi="Times New Roman" w:cs="Times New Roman"/>
          <w:b/>
          <w:lang w:val="es-MX"/>
        </w:rPr>
        <w:t xml:space="preserve">macroeconómicos </w:t>
      </w:r>
      <w:r w:rsidRPr="000E01A4">
        <w:rPr>
          <w:rFonts w:ascii="Times New Roman" w:hAnsi="Times New Roman" w:cs="Times New Roman"/>
          <w:b/>
          <w:lang w:val="es-MX"/>
        </w:rPr>
        <w:t xml:space="preserve">externo e interno </w:t>
      </w:r>
    </w:p>
    <w:p w:rsidR="00D701DF" w:rsidRPr="00985E23" w:rsidRDefault="00D701DF" w:rsidP="00D701DF">
      <w:pPr>
        <w:pStyle w:val="Prrafodelista"/>
        <w:spacing w:after="0" w:line="240" w:lineRule="auto"/>
        <w:ind w:left="0"/>
        <w:rPr>
          <w:rFonts w:cs="Times New Roman"/>
          <w:color w:val="FF0000"/>
          <w:lang w:val="es-MX"/>
        </w:rPr>
        <w:sectPr w:rsidR="00D701DF" w:rsidRPr="00985E23" w:rsidSect="0013777B">
          <w:type w:val="continuous"/>
          <w:pgSz w:w="12240" w:h="15840"/>
          <w:pgMar w:top="1627" w:right="1701" w:bottom="1417" w:left="1701" w:header="708" w:footer="708" w:gutter="0"/>
          <w:cols w:space="708"/>
          <w:docGrid w:linePitch="360"/>
        </w:sectPr>
      </w:pPr>
    </w:p>
    <w:p w:rsidR="00734097" w:rsidRPr="00985E23" w:rsidRDefault="00734097" w:rsidP="00D5686A">
      <w:pPr>
        <w:pStyle w:val="Prrafodelista"/>
        <w:spacing w:after="0" w:line="240" w:lineRule="auto"/>
        <w:ind w:left="0"/>
        <w:rPr>
          <w:rFonts w:cs="Times New Roman"/>
          <w:color w:val="FF0000"/>
          <w:lang w:val="es-MX"/>
        </w:rPr>
      </w:pPr>
    </w:p>
    <w:p w:rsidR="008F73B7" w:rsidRPr="00985E23" w:rsidRDefault="008F73B7" w:rsidP="008F73B7">
      <w:pPr>
        <w:pStyle w:val="Prrafodelista"/>
        <w:spacing w:after="0" w:line="240" w:lineRule="auto"/>
        <w:ind w:left="0"/>
        <w:rPr>
          <w:rFonts w:cs="Times New Roman"/>
          <w:color w:val="FF0000"/>
          <w:lang w:val="es-MX"/>
        </w:rPr>
        <w:sectPr w:rsidR="008F73B7" w:rsidRPr="00985E23" w:rsidSect="00D701DF">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17" w:right="1467" w:bottom="1417" w:left="1276" w:header="680" w:footer="708" w:gutter="0"/>
          <w:cols w:space="708"/>
          <w:docGrid w:linePitch="360"/>
        </w:sectPr>
      </w:pPr>
    </w:p>
    <w:p w:rsidR="00CD67CD" w:rsidRPr="009607E8" w:rsidRDefault="00CD67CD" w:rsidP="00B675D0">
      <w:pPr>
        <w:pStyle w:val="Sinespaciado"/>
        <w:jc w:val="both"/>
        <w:rPr>
          <w:rFonts w:ascii="Times New Roman" w:hAnsi="Times New Roman" w:cs="Times New Roman"/>
          <w:lang w:val="es-MX"/>
        </w:rPr>
      </w:pPr>
      <w:r w:rsidRPr="009607E8">
        <w:rPr>
          <w:rFonts w:ascii="Times New Roman" w:hAnsi="Times New Roman" w:cs="Times New Roman"/>
          <w:lang w:val="es-MX"/>
        </w:rPr>
        <w:lastRenderedPageBreak/>
        <w:t xml:space="preserve">El Reporte Mundial de Competitividad 2015-2016, que evalúa anualmente los factores que </w:t>
      </w:r>
      <w:r w:rsidR="00960694">
        <w:rPr>
          <w:rFonts w:ascii="Times New Roman" w:hAnsi="Times New Roman" w:cs="Times New Roman"/>
          <w:lang w:val="es-MX"/>
        </w:rPr>
        <w:t>presentó</w:t>
      </w:r>
      <w:r w:rsidRPr="009607E8">
        <w:rPr>
          <w:rFonts w:ascii="Times New Roman" w:hAnsi="Times New Roman" w:cs="Times New Roman"/>
          <w:lang w:val="es-MX"/>
        </w:rPr>
        <w:t xml:space="preserve"> los resultados del índice Global de Competitividad</w:t>
      </w:r>
      <w:r w:rsidR="00960694">
        <w:rPr>
          <w:rFonts w:ascii="Times New Roman" w:hAnsi="Times New Roman" w:cs="Times New Roman"/>
          <w:lang w:val="es-MX"/>
        </w:rPr>
        <w:t>, donde</w:t>
      </w:r>
      <w:r w:rsidRPr="009607E8">
        <w:rPr>
          <w:rFonts w:ascii="Times New Roman" w:hAnsi="Times New Roman" w:cs="Times New Roman"/>
          <w:lang w:val="es-MX"/>
        </w:rPr>
        <w:t xml:space="preserve"> Suiza ocupa el primer lugar debido a los resultados de los 12 pilares contemplados en el índice, seguido por Singapur, </w:t>
      </w:r>
      <w:r w:rsidR="00960694">
        <w:rPr>
          <w:rFonts w:ascii="Times New Roman" w:hAnsi="Times New Roman" w:cs="Times New Roman"/>
          <w:lang w:val="es-MX"/>
        </w:rPr>
        <w:t xml:space="preserve">EEUU </w:t>
      </w:r>
      <w:r w:rsidRPr="009607E8">
        <w:rPr>
          <w:rFonts w:ascii="Times New Roman" w:hAnsi="Times New Roman" w:cs="Times New Roman"/>
          <w:lang w:val="es-MX"/>
        </w:rPr>
        <w:t xml:space="preserve">el tercero y Alemania en el cuarto puesto.  En lo que respecta a América Latina, el Foro Económico Mundial observó que el final del ciclo de los altos precios de los productos básicos ha afectado gravemente a América Latina y el Caribe y ya presenta consecuencias en el crecimiento de la región.  Chile ocupa el puesto 35, encabezando la clasificación regional, seguido por Panamá en el puesto 50 y Costa rica en el 52; Brasil continúa con una tendencia a la baja ocupando el puesto 75 y Guatemala ocupa el puesto 78.  </w:t>
      </w:r>
    </w:p>
    <w:p w:rsidR="006E30AD" w:rsidRPr="009607E8" w:rsidRDefault="006E30AD" w:rsidP="00CD67CD">
      <w:pPr>
        <w:tabs>
          <w:tab w:val="left" w:pos="142"/>
        </w:tabs>
        <w:spacing w:after="0" w:line="240" w:lineRule="auto"/>
        <w:ind w:left="142" w:right="112"/>
        <w:jc w:val="both"/>
        <w:rPr>
          <w:rFonts w:ascii="Times New Roman" w:hAnsi="Times New Roman" w:cs="Times New Roman"/>
          <w:lang w:val="es-MX"/>
        </w:rPr>
      </w:pPr>
    </w:p>
    <w:p w:rsidR="001C596A" w:rsidRPr="009607E8" w:rsidRDefault="009607E8" w:rsidP="00B675D0">
      <w:pPr>
        <w:tabs>
          <w:tab w:val="left" w:pos="0"/>
        </w:tabs>
        <w:spacing w:after="0" w:line="240" w:lineRule="auto"/>
        <w:jc w:val="both"/>
        <w:rPr>
          <w:rFonts w:ascii="Times New Roman" w:hAnsi="Times New Roman" w:cs="Times New Roman"/>
          <w:lang w:val="es-MX"/>
        </w:rPr>
      </w:pPr>
      <w:r w:rsidRPr="009607E8">
        <w:rPr>
          <w:rFonts w:ascii="Times New Roman" w:hAnsi="Times New Roman" w:cs="Times New Roman"/>
        </w:rPr>
        <w:t xml:space="preserve">En </w:t>
      </w:r>
      <w:r w:rsidR="00E94479">
        <w:rPr>
          <w:rFonts w:ascii="Times New Roman" w:hAnsi="Times New Roman" w:cs="Times New Roman"/>
        </w:rPr>
        <w:t>EEUU</w:t>
      </w:r>
      <w:r w:rsidRPr="009607E8">
        <w:rPr>
          <w:rFonts w:ascii="Times New Roman" w:hAnsi="Times New Roman" w:cs="Times New Roman"/>
        </w:rPr>
        <w:t>, l</w:t>
      </w:r>
      <w:r w:rsidRPr="009607E8">
        <w:rPr>
          <w:rFonts w:ascii="Times New Roman" w:hAnsi="Times New Roman" w:cs="Times New Roman"/>
          <w:lang w:eastAsia="es-GT"/>
        </w:rPr>
        <w:t xml:space="preserve">a producción </w:t>
      </w:r>
      <w:r w:rsidR="00A420EA" w:rsidRPr="009607E8">
        <w:rPr>
          <w:rFonts w:ascii="Times New Roman" w:hAnsi="Times New Roman" w:cs="Times New Roman"/>
          <w:lang w:eastAsia="es-GT"/>
        </w:rPr>
        <w:t>continú</w:t>
      </w:r>
      <w:r w:rsidR="00067C80" w:rsidRPr="009607E8">
        <w:rPr>
          <w:rFonts w:ascii="Times New Roman" w:hAnsi="Times New Roman" w:cs="Times New Roman"/>
          <w:lang w:eastAsia="es-GT"/>
        </w:rPr>
        <w:t>a</w:t>
      </w:r>
      <w:r w:rsidR="00A420EA" w:rsidRPr="009607E8">
        <w:rPr>
          <w:rFonts w:ascii="Times New Roman" w:hAnsi="Times New Roman" w:cs="Times New Roman"/>
          <w:lang w:eastAsia="es-GT"/>
        </w:rPr>
        <w:t xml:space="preserve"> acumulando meses consecutivos de contracción</w:t>
      </w:r>
      <w:r w:rsidR="00067C80" w:rsidRPr="009607E8">
        <w:rPr>
          <w:rFonts w:ascii="Times New Roman" w:hAnsi="Times New Roman" w:cs="Times New Roman"/>
          <w:lang w:eastAsia="es-GT"/>
        </w:rPr>
        <w:t xml:space="preserve"> ante la debilidad en la extracción de petróleo y gas, tal como lo muestra el resultado del modelo, ubicando el indicador en desaceleración; la producción manufacturera continúa en una posición desfavorable con respecto al año anterior a pesar de que la demanda de automóviles incrementó la fabricación de vehículos y autopartes 0.2%, la producción minera disminuyó 2% y la extracción de crudo y gas se contrajo 4%. </w:t>
      </w:r>
      <w:r w:rsidR="00FC660E">
        <w:rPr>
          <w:rFonts w:ascii="Times New Roman" w:hAnsi="Times New Roman" w:cs="Times New Roman"/>
          <w:lang w:eastAsia="es-GT"/>
        </w:rPr>
        <w:t xml:space="preserve">  </w:t>
      </w:r>
      <w:r w:rsidR="0058760A" w:rsidRPr="009607E8">
        <w:rPr>
          <w:rFonts w:ascii="Times New Roman" w:hAnsi="Times New Roman" w:cs="Times New Roman"/>
          <w:lang w:val="es-MX"/>
        </w:rPr>
        <w:t xml:space="preserve">El desempleo </w:t>
      </w:r>
      <w:r w:rsidR="00E94479">
        <w:rPr>
          <w:rFonts w:ascii="Times New Roman" w:hAnsi="Times New Roman" w:cs="Times New Roman"/>
          <w:lang w:val="es-MX"/>
        </w:rPr>
        <w:t xml:space="preserve"> </w:t>
      </w:r>
      <w:r w:rsidR="001C596A" w:rsidRPr="009607E8">
        <w:rPr>
          <w:rFonts w:ascii="Times New Roman" w:hAnsi="Times New Roman" w:cs="Times New Roman"/>
          <w:lang w:val="es-MX"/>
        </w:rPr>
        <w:t>se ubicó en</w:t>
      </w:r>
      <w:r w:rsidR="0058760A" w:rsidRPr="009607E8">
        <w:rPr>
          <w:rFonts w:ascii="Times New Roman" w:hAnsi="Times New Roman" w:cs="Times New Roman"/>
          <w:lang w:val="es-MX"/>
        </w:rPr>
        <w:t xml:space="preserve"> </w:t>
      </w:r>
      <w:r w:rsidR="001C596A" w:rsidRPr="009607E8">
        <w:rPr>
          <w:rFonts w:ascii="Times New Roman" w:hAnsi="Times New Roman" w:cs="Times New Roman"/>
          <w:lang w:val="es-MX"/>
        </w:rPr>
        <w:t>5.0</w:t>
      </w:r>
      <w:r w:rsidR="0058760A" w:rsidRPr="009607E8">
        <w:rPr>
          <w:rFonts w:ascii="Times New Roman" w:hAnsi="Times New Roman" w:cs="Times New Roman"/>
          <w:lang w:val="es-MX"/>
        </w:rPr>
        <w:t>%</w:t>
      </w:r>
      <w:r w:rsidR="001C596A" w:rsidRPr="009607E8">
        <w:rPr>
          <w:rFonts w:ascii="Times New Roman" w:hAnsi="Times New Roman" w:cs="Times New Roman"/>
          <w:lang w:val="es-MX"/>
        </w:rPr>
        <w:t xml:space="preserve"> en octubre</w:t>
      </w:r>
      <w:r w:rsidR="0058760A" w:rsidRPr="009607E8">
        <w:rPr>
          <w:rFonts w:ascii="Times New Roman" w:hAnsi="Times New Roman" w:cs="Times New Roman"/>
          <w:lang w:val="es-MX"/>
        </w:rPr>
        <w:t>,</w:t>
      </w:r>
      <w:r w:rsidR="001C596A" w:rsidRPr="009607E8">
        <w:rPr>
          <w:rFonts w:ascii="Times New Roman" w:hAnsi="Times New Roman" w:cs="Times New Roman"/>
          <w:lang w:val="es-MX"/>
        </w:rPr>
        <w:t xml:space="preserve"> una décima menor que el dato de septiembre; el Departamento de Trabajo contabilizó la creación de 271,000 nuevos puestos de trabajo, los sectores con mayor creación de empleo fueron el de </w:t>
      </w:r>
      <w:r w:rsidR="001C596A" w:rsidRPr="009607E8">
        <w:rPr>
          <w:rFonts w:ascii="Times New Roman" w:hAnsi="Times New Roman" w:cs="Times New Roman"/>
          <w:lang w:val="es-MX"/>
        </w:rPr>
        <w:lastRenderedPageBreak/>
        <w:t xml:space="preserve">servicios profesionales y de negocios (78,000 puestos), sanitario (45,000 puestos) y comercio minorista </w:t>
      </w:r>
      <w:bookmarkStart w:id="0" w:name="_GoBack"/>
      <w:bookmarkEnd w:id="0"/>
      <w:r w:rsidR="001C596A" w:rsidRPr="009607E8">
        <w:rPr>
          <w:rFonts w:ascii="Times New Roman" w:hAnsi="Times New Roman" w:cs="Times New Roman"/>
          <w:lang w:val="es-MX"/>
        </w:rPr>
        <w:t>(44,000 puestos).</w:t>
      </w:r>
      <w:r w:rsidR="004A21C1" w:rsidRPr="009607E8">
        <w:rPr>
          <w:rFonts w:ascii="Times New Roman" w:hAnsi="Times New Roman" w:cs="Times New Roman"/>
          <w:lang w:val="es-MX"/>
        </w:rPr>
        <w:t xml:space="preserve">  En cuanto a los salarios por hora, quedaron en octubre en un promedio de US$ 25.20 y han aumentado un 2.5% durante los últimos doce meses, su mayor incremento interanual desde 2009.</w:t>
      </w:r>
    </w:p>
    <w:p w:rsidR="0058760A" w:rsidRPr="009607E8" w:rsidRDefault="0058760A" w:rsidP="009607E8">
      <w:pPr>
        <w:tabs>
          <w:tab w:val="left" w:pos="142"/>
        </w:tabs>
        <w:spacing w:after="0" w:line="240" w:lineRule="auto"/>
        <w:ind w:right="141"/>
        <w:rPr>
          <w:rFonts w:cs="Times New Roman"/>
          <w:lang w:val="es-MX"/>
        </w:rPr>
      </w:pPr>
    </w:p>
    <w:p w:rsidR="004A21C1" w:rsidRPr="009607E8" w:rsidRDefault="004A21C1" w:rsidP="00B675D0">
      <w:pPr>
        <w:pStyle w:val="Sinespaciado"/>
        <w:jc w:val="both"/>
        <w:rPr>
          <w:rFonts w:ascii="Times New Roman" w:hAnsi="Times New Roman" w:cs="Times New Roman"/>
          <w:lang w:val="es-MX"/>
        </w:rPr>
      </w:pPr>
      <w:r w:rsidRPr="009607E8">
        <w:rPr>
          <w:rFonts w:ascii="Times New Roman" w:hAnsi="Times New Roman" w:cs="Times New Roman"/>
          <w:lang w:val="es-MX"/>
        </w:rPr>
        <w:t xml:space="preserve">En la </w:t>
      </w:r>
      <w:r w:rsidR="00960694">
        <w:rPr>
          <w:rFonts w:ascii="Times New Roman" w:hAnsi="Times New Roman" w:cs="Times New Roman"/>
          <w:lang w:val="es-MX"/>
        </w:rPr>
        <w:t>Eurozona</w:t>
      </w:r>
      <w:r w:rsidRPr="009607E8">
        <w:rPr>
          <w:rFonts w:ascii="Times New Roman" w:hAnsi="Times New Roman" w:cs="Times New Roman"/>
          <w:lang w:val="es-MX"/>
        </w:rPr>
        <w:t xml:space="preserve">, se registró un nivel inflacionario </w:t>
      </w:r>
      <w:r w:rsidR="009607E8" w:rsidRPr="009607E8">
        <w:rPr>
          <w:rFonts w:ascii="Times New Roman" w:hAnsi="Times New Roman" w:cs="Times New Roman"/>
          <w:lang w:val="es-MX"/>
        </w:rPr>
        <w:t xml:space="preserve">interanual </w:t>
      </w:r>
      <w:r w:rsidRPr="009607E8">
        <w:rPr>
          <w:rFonts w:ascii="Times New Roman" w:hAnsi="Times New Roman" w:cs="Times New Roman"/>
          <w:lang w:val="es-MX"/>
        </w:rPr>
        <w:t>en octubre sin cambios, según el resultado de la primera estimación de Eurostat</w:t>
      </w:r>
      <w:r w:rsidR="00B675D0" w:rsidRPr="009607E8">
        <w:rPr>
          <w:rFonts w:ascii="Times New Roman" w:hAnsi="Times New Roman" w:cs="Times New Roman"/>
          <w:lang w:val="es-MX"/>
        </w:rPr>
        <w:t xml:space="preserve">. </w:t>
      </w:r>
      <w:r w:rsidRPr="009607E8">
        <w:rPr>
          <w:rFonts w:ascii="Times New Roman" w:hAnsi="Times New Roman" w:cs="Times New Roman"/>
          <w:lang w:val="es-MX"/>
        </w:rPr>
        <w:t>El factor principal que impidió que el precio general subiera fue la energía, cuyo costo fue un 8.7% menor este mes que hace un año; los alimentos no procesados fueron 3.0% más caros.  Sin considerar esos dos elementos volátiles, la medida inflacionaria subyacente fue de 0.9% interanual en octubre, más que el avance revisado a la baja de 0.8% en septiembre.  La confianza económica registró un leve aumento en octubre, desde los 105.6 puntos hasta los 105.9 puntos.</w:t>
      </w:r>
    </w:p>
    <w:p w:rsidR="0058760A" w:rsidRPr="009607E8" w:rsidRDefault="0058760A" w:rsidP="004A21C1">
      <w:pPr>
        <w:tabs>
          <w:tab w:val="left" w:pos="142"/>
        </w:tabs>
        <w:spacing w:after="0" w:line="240" w:lineRule="auto"/>
        <w:ind w:right="141"/>
        <w:rPr>
          <w:rFonts w:eastAsiaTheme="minorEastAsia" w:cs="Times New Roman"/>
          <w:lang w:eastAsia="ja-JP"/>
        </w:rPr>
      </w:pPr>
    </w:p>
    <w:p w:rsidR="00D2537A" w:rsidRPr="009607E8" w:rsidRDefault="00D2537A" w:rsidP="00B675D0">
      <w:pPr>
        <w:pStyle w:val="Sinespaciado"/>
        <w:jc w:val="both"/>
        <w:rPr>
          <w:rFonts w:ascii="Times New Roman" w:hAnsi="Times New Roman" w:cs="Times New Roman"/>
          <w:lang w:val="es-MX"/>
        </w:rPr>
      </w:pPr>
      <w:r w:rsidRPr="009607E8">
        <w:rPr>
          <w:rFonts w:ascii="Times New Roman" w:hAnsi="Times New Roman" w:cs="Times New Roman"/>
        </w:rPr>
        <w:t xml:space="preserve">En China, su </w:t>
      </w:r>
      <w:r w:rsidRPr="009607E8">
        <w:rPr>
          <w:rFonts w:ascii="Times New Roman" w:hAnsi="Times New Roman" w:cs="Times New Roman"/>
          <w:lang w:val="es-MX"/>
        </w:rPr>
        <w:t>Banco Central</w:t>
      </w:r>
      <w:r w:rsidR="00B675D0" w:rsidRPr="009607E8">
        <w:rPr>
          <w:rFonts w:ascii="Times New Roman" w:hAnsi="Times New Roman" w:cs="Times New Roman"/>
          <w:lang w:val="es-MX"/>
        </w:rPr>
        <w:t xml:space="preserve"> redujo en octubre</w:t>
      </w:r>
      <w:r w:rsidRPr="009607E8">
        <w:rPr>
          <w:rFonts w:ascii="Times New Roman" w:hAnsi="Times New Roman" w:cs="Times New Roman"/>
          <w:lang w:val="es-MX"/>
        </w:rPr>
        <w:t xml:space="preserve"> sus tasas de interés referenciales por sexta vez en un nuevo intento por alentar su economía; la tasa de préstamos referencial a un año se verá disminuida en 25 puntos base a 4.35%, la tasa de depósitos a un año se reducirá también en 25 puntos básicos a 1.50%, a partir del 24 de octubre. </w:t>
      </w:r>
    </w:p>
    <w:p w:rsidR="0058760A" w:rsidRPr="009607E8" w:rsidRDefault="0058760A" w:rsidP="009607E8">
      <w:pPr>
        <w:pStyle w:val="Default"/>
        <w:tabs>
          <w:tab w:val="left" w:pos="142"/>
        </w:tabs>
        <w:ind w:right="141"/>
        <w:jc w:val="both"/>
        <w:rPr>
          <w:color w:val="auto"/>
          <w:sz w:val="22"/>
          <w:lang w:val="es-MX"/>
        </w:rPr>
      </w:pPr>
    </w:p>
    <w:p w:rsidR="0058760A" w:rsidRPr="009607E8" w:rsidRDefault="009607E8" w:rsidP="00B675D0">
      <w:pPr>
        <w:pStyle w:val="Prrafodelista"/>
        <w:spacing w:after="0" w:line="240" w:lineRule="auto"/>
        <w:ind w:left="0"/>
        <w:rPr>
          <w:rFonts w:cs="Times New Roman"/>
          <w:lang w:val="es-MX"/>
        </w:rPr>
      </w:pPr>
      <w:r w:rsidRPr="009607E8">
        <w:rPr>
          <w:rFonts w:cs="Times New Roman"/>
          <w:lang w:val="es-MX"/>
        </w:rPr>
        <w:t>En el ámbito interno, l</w:t>
      </w:r>
      <w:r w:rsidR="009B1B86" w:rsidRPr="009607E8">
        <w:rPr>
          <w:rFonts w:cs="Times New Roman"/>
          <w:lang w:val="es-MX"/>
        </w:rPr>
        <w:t xml:space="preserve">a percepción sobre la situación económica actual y el ambiente para los negocios reflejado en la encuesta de </w:t>
      </w:r>
      <w:r w:rsidR="009B1B86" w:rsidRPr="009607E8">
        <w:rPr>
          <w:rFonts w:cs="Times New Roman"/>
          <w:lang w:val="es-MX"/>
        </w:rPr>
        <w:lastRenderedPageBreak/>
        <w:t xml:space="preserve">expectativas económicas publicada por el Banco de Guatemala, indica que en octubre el Indicador de Confianza de la Actividad Económica fue 47.12 puntos, superior en 0.96% con respecto a septiembre y menor en 3.56% respecto al registrado en octubre 2014.  </w:t>
      </w:r>
      <w:r w:rsidR="0058760A" w:rsidRPr="009607E8">
        <w:rPr>
          <w:rFonts w:cs="Times New Roman"/>
          <w:lang w:val="es-MX"/>
        </w:rPr>
        <w:t>La expectativa económica para 2015, medida por medio del Producto Interno Bruto Real, bajo este es</w:t>
      </w:r>
      <w:r w:rsidR="008A3D31" w:rsidRPr="009607E8">
        <w:rPr>
          <w:rFonts w:cs="Times New Roman"/>
          <w:lang w:val="es-MX"/>
        </w:rPr>
        <w:t>cenario se ubicará cercano a 3.6% y 3.8% para 2016.</w:t>
      </w:r>
    </w:p>
    <w:p w:rsidR="0058760A" w:rsidRPr="009607E8" w:rsidRDefault="0058760A" w:rsidP="00EB0FB6">
      <w:pPr>
        <w:pStyle w:val="Default"/>
        <w:tabs>
          <w:tab w:val="left" w:pos="142"/>
        </w:tabs>
        <w:ind w:left="142" w:right="141"/>
        <w:jc w:val="both"/>
        <w:rPr>
          <w:color w:val="auto"/>
          <w:sz w:val="22"/>
          <w:lang w:val="es-MX"/>
        </w:rPr>
      </w:pPr>
    </w:p>
    <w:p w:rsidR="008C6137" w:rsidRPr="009607E8" w:rsidRDefault="00853346" w:rsidP="00B675D0">
      <w:pPr>
        <w:tabs>
          <w:tab w:val="left" w:pos="0"/>
        </w:tabs>
        <w:spacing w:after="0" w:line="240" w:lineRule="auto"/>
        <w:jc w:val="both"/>
        <w:rPr>
          <w:rFonts w:ascii="Times New Roman" w:hAnsi="Times New Roman" w:cs="Times New Roman"/>
          <w:lang w:val="es-MX"/>
        </w:rPr>
      </w:pPr>
      <w:r w:rsidRPr="009607E8">
        <w:rPr>
          <w:rFonts w:ascii="Times New Roman" w:hAnsi="Times New Roman" w:cs="Times New Roman"/>
          <w:lang w:val="es-MX"/>
        </w:rPr>
        <w:t>E</w:t>
      </w:r>
      <w:r w:rsidR="0058760A" w:rsidRPr="009607E8">
        <w:rPr>
          <w:rFonts w:ascii="Times New Roman" w:hAnsi="Times New Roman" w:cs="Times New Roman"/>
          <w:lang w:val="es-MX"/>
        </w:rPr>
        <w:t xml:space="preserve">l comportamiento del nivel general de precios de la economía del país registró en </w:t>
      </w:r>
      <w:r w:rsidRPr="009607E8">
        <w:rPr>
          <w:rFonts w:ascii="Times New Roman" w:hAnsi="Times New Roman" w:cs="Times New Roman"/>
          <w:lang w:val="es-MX"/>
        </w:rPr>
        <w:t>octu</w:t>
      </w:r>
      <w:r w:rsidR="008A3461" w:rsidRPr="009607E8">
        <w:rPr>
          <w:rFonts w:ascii="Times New Roman" w:hAnsi="Times New Roman" w:cs="Times New Roman"/>
          <w:lang w:val="es-MX"/>
        </w:rPr>
        <w:t>bre</w:t>
      </w:r>
      <w:r w:rsidR="0058760A" w:rsidRPr="009607E8">
        <w:rPr>
          <w:rFonts w:ascii="Times New Roman" w:hAnsi="Times New Roman" w:cs="Times New Roman"/>
          <w:lang w:val="es-MX"/>
        </w:rPr>
        <w:t xml:space="preserve"> una variación intermensual de </w:t>
      </w:r>
      <w:r w:rsidRPr="009607E8">
        <w:rPr>
          <w:rFonts w:ascii="Times New Roman" w:hAnsi="Times New Roman" w:cs="Times New Roman"/>
          <w:lang w:val="es-MX"/>
        </w:rPr>
        <w:t>0.50</w:t>
      </w:r>
      <w:r w:rsidR="0058760A" w:rsidRPr="009607E8">
        <w:rPr>
          <w:rFonts w:ascii="Times New Roman" w:hAnsi="Times New Roman" w:cs="Times New Roman"/>
          <w:lang w:val="es-MX"/>
        </w:rPr>
        <w:t xml:space="preserve">%, </w:t>
      </w:r>
      <w:r w:rsidRPr="009607E8">
        <w:rPr>
          <w:rFonts w:ascii="Times New Roman" w:hAnsi="Times New Roman" w:cs="Times New Roman"/>
          <w:lang w:val="es-MX"/>
        </w:rPr>
        <w:t>una variación interanual de 2.23</w:t>
      </w:r>
      <w:r w:rsidR="0058760A" w:rsidRPr="009607E8">
        <w:rPr>
          <w:rFonts w:ascii="Times New Roman" w:hAnsi="Times New Roman" w:cs="Times New Roman"/>
          <w:lang w:val="es-MX"/>
        </w:rPr>
        <w:t>% y una v</w:t>
      </w:r>
      <w:r w:rsidRPr="009607E8">
        <w:rPr>
          <w:rFonts w:ascii="Times New Roman" w:hAnsi="Times New Roman" w:cs="Times New Roman"/>
          <w:lang w:val="es-MX"/>
        </w:rPr>
        <w:t>ariación acumulada de 2.14</w:t>
      </w:r>
      <w:r w:rsidR="0058760A" w:rsidRPr="009607E8">
        <w:rPr>
          <w:rFonts w:ascii="Times New Roman" w:hAnsi="Times New Roman" w:cs="Times New Roman"/>
          <w:lang w:val="es-MX"/>
        </w:rPr>
        <w:t>%; el costo de adquisición de la Cana</w:t>
      </w:r>
      <w:r w:rsidR="008A3461" w:rsidRPr="009607E8">
        <w:rPr>
          <w:rFonts w:ascii="Times New Roman" w:hAnsi="Times New Roman" w:cs="Times New Roman"/>
          <w:lang w:val="es-MX"/>
        </w:rPr>
        <w:t>sta Básica Alimentaria aumentó</w:t>
      </w:r>
      <w:r w:rsidRPr="009607E8">
        <w:rPr>
          <w:rFonts w:ascii="Times New Roman" w:hAnsi="Times New Roman" w:cs="Times New Roman"/>
          <w:lang w:val="es-MX"/>
        </w:rPr>
        <w:t xml:space="preserve"> Q 70.8</w:t>
      </w:r>
      <w:r w:rsidR="0058760A" w:rsidRPr="009607E8">
        <w:rPr>
          <w:rFonts w:ascii="Times New Roman" w:hAnsi="Times New Roman" w:cs="Times New Roman"/>
          <w:lang w:val="es-MX"/>
        </w:rPr>
        <w:t xml:space="preserve">0 con relación al registrado el mes anterior  y respecto a </w:t>
      </w:r>
      <w:r w:rsidRPr="009607E8">
        <w:rPr>
          <w:rFonts w:ascii="Times New Roman" w:hAnsi="Times New Roman" w:cs="Times New Roman"/>
          <w:lang w:val="es-MX"/>
        </w:rPr>
        <w:t>octubre</w:t>
      </w:r>
      <w:r w:rsidR="0058760A" w:rsidRPr="009607E8">
        <w:rPr>
          <w:rFonts w:ascii="Times New Roman" w:hAnsi="Times New Roman" w:cs="Times New Roman"/>
          <w:lang w:val="es-MX"/>
        </w:rPr>
        <w:t xml:space="preserve"> del </w:t>
      </w:r>
      <w:r w:rsidRPr="009607E8">
        <w:rPr>
          <w:rFonts w:ascii="Times New Roman" w:hAnsi="Times New Roman" w:cs="Times New Roman"/>
          <w:lang w:val="es-MX"/>
        </w:rPr>
        <w:t>año anterior se incrementó Q 314.1</w:t>
      </w:r>
      <w:r w:rsidR="0058760A" w:rsidRPr="009607E8">
        <w:rPr>
          <w:rFonts w:ascii="Times New Roman" w:hAnsi="Times New Roman" w:cs="Times New Roman"/>
          <w:lang w:val="es-MX"/>
        </w:rPr>
        <w:t xml:space="preserve">0.  </w:t>
      </w:r>
    </w:p>
    <w:p w:rsidR="008C6137" w:rsidRPr="009607E8" w:rsidRDefault="008C6137" w:rsidP="00EB0FB6">
      <w:pPr>
        <w:tabs>
          <w:tab w:val="left" w:pos="142"/>
        </w:tabs>
        <w:spacing w:after="0" w:line="240" w:lineRule="auto"/>
        <w:ind w:left="142" w:right="141"/>
        <w:jc w:val="both"/>
        <w:rPr>
          <w:rFonts w:ascii="Times New Roman" w:hAnsi="Times New Roman" w:cs="Times New Roman"/>
          <w:lang w:val="es-MX"/>
        </w:rPr>
      </w:pPr>
    </w:p>
    <w:p w:rsidR="008C6137" w:rsidRPr="009607E8" w:rsidRDefault="008C6137" w:rsidP="008C6137">
      <w:pPr>
        <w:pStyle w:val="Prrafodelista"/>
        <w:tabs>
          <w:tab w:val="left" w:pos="142"/>
        </w:tabs>
        <w:spacing w:after="0" w:line="240" w:lineRule="auto"/>
        <w:ind w:left="142" w:right="141"/>
        <w:jc w:val="center"/>
        <w:rPr>
          <w:rFonts w:eastAsiaTheme="minorEastAsia" w:cs="Times New Roman"/>
          <w:b/>
          <w:szCs w:val="24"/>
          <w:lang w:val="es-ES_tradnl" w:eastAsia="ja-JP"/>
        </w:rPr>
      </w:pPr>
      <w:r w:rsidRPr="009607E8">
        <w:rPr>
          <w:rFonts w:eastAsiaTheme="minorEastAsia" w:cs="Times New Roman"/>
          <w:b/>
          <w:szCs w:val="24"/>
          <w:lang w:val="es-ES_tradnl" w:eastAsia="ja-JP"/>
        </w:rPr>
        <w:t>Ritmo inflacionario Total</w:t>
      </w:r>
    </w:p>
    <w:p w:rsidR="008C6137" w:rsidRPr="009607E8" w:rsidRDefault="008C6137" w:rsidP="008C6137">
      <w:pPr>
        <w:pStyle w:val="Prrafodelista"/>
        <w:tabs>
          <w:tab w:val="left" w:pos="142"/>
        </w:tabs>
        <w:spacing w:after="0" w:line="240" w:lineRule="auto"/>
        <w:ind w:left="142" w:right="141"/>
        <w:jc w:val="center"/>
        <w:rPr>
          <w:rFonts w:eastAsiaTheme="minorEastAsia" w:cs="Times New Roman"/>
          <w:sz w:val="18"/>
          <w:szCs w:val="18"/>
          <w:lang w:val="es-ES_tradnl" w:eastAsia="ja-JP"/>
        </w:rPr>
      </w:pPr>
      <w:r w:rsidRPr="009607E8">
        <w:rPr>
          <w:rFonts w:eastAsiaTheme="minorEastAsia" w:cs="Times New Roman"/>
          <w:sz w:val="18"/>
          <w:szCs w:val="18"/>
          <w:lang w:val="es-ES_tradnl" w:eastAsia="ja-JP"/>
        </w:rPr>
        <w:t>Octubre 2013 – 2015</w:t>
      </w:r>
    </w:p>
    <w:p w:rsidR="000A0883" w:rsidRPr="009607E8" w:rsidRDefault="008C6137" w:rsidP="001D7E32">
      <w:pPr>
        <w:pStyle w:val="Prrafodelista"/>
        <w:tabs>
          <w:tab w:val="left" w:pos="142"/>
        </w:tabs>
        <w:spacing w:after="0" w:line="240" w:lineRule="auto"/>
        <w:ind w:left="142" w:right="141"/>
        <w:jc w:val="center"/>
        <w:rPr>
          <w:rFonts w:eastAsiaTheme="minorEastAsia" w:cs="Times New Roman"/>
          <w:sz w:val="18"/>
          <w:szCs w:val="18"/>
          <w:lang w:val="es-ES_tradnl" w:eastAsia="ja-JP"/>
        </w:rPr>
      </w:pPr>
      <w:r w:rsidRPr="009607E8">
        <w:rPr>
          <w:rFonts w:eastAsiaTheme="minorEastAsia" w:cs="Times New Roman"/>
          <w:sz w:val="18"/>
          <w:szCs w:val="18"/>
          <w:lang w:val="es-ES_tradnl" w:eastAsia="ja-JP"/>
        </w:rPr>
        <w:t>Porcentaje</w:t>
      </w:r>
    </w:p>
    <w:p w:rsidR="000A0883" w:rsidRPr="009607E8" w:rsidRDefault="008C6137" w:rsidP="0097255C">
      <w:pPr>
        <w:tabs>
          <w:tab w:val="left" w:pos="142"/>
        </w:tabs>
        <w:spacing w:after="0" w:line="240" w:lineRule="auto"/>
        <w:ind w:left="142" w:right="141"/>
        <w:jc w:val="center"/>
        <w:rPr>
          <w:rFonts w:ascii="Times New Roman" w:hAnsi="Times New Roman" w:cs="Times New Roman"/>
          <w:lang w:val="es-MX"/>
        </w:rPr>
      </w:pPr>
      <w:r w:rsidRPr="009607E8">
        <w:rPr>
          <w:noProof/>
          <w:lang w:eastAsia="es-GT"/>
        </w:rPr>
        <w:drawing>
          <wp:inline distT="0" distB="0" distL="0" distR="0" wp14:anchorId="684DA530" wp14:editId="05C70220">
            <wp:extent cx="2551814" cy="1488558"/>
            <wp:effectExtent l="0" t="0" r="127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0883" w:rsidRPr="009607E8" w:rsidRDefault="008C6137" w:rsidP="00EB0FB6">
      <w:pPr>
        <w:tabs>
          <w:tab w:val="left" w:pos="142"/>
        </w:tabs>
        <w:spacing w:after="0" w:line="240" w:lineRule="auto"/>
        <w:ind w:left="142" w:right="141"/>
        <w:jc w:val="both"/>
        <w:rPr>
          <w:rFonts w:ascii="Times New Roman" w:hAnsi="Times New Roman" w:cs="Times New Roman"/>
          <w:lang w:val="es-MX"/>
        </w:rPr>
      </w:pPr>
      <w:r w:rsidRPr="009607E8">
        <w:rPr>
          <w:rFonts w:ascii="Times New Roman" w:hAnsi="Times New Roman" w:cs="Times New Roman"/>
          <w:sz w:val="14"/>
          <w:szCs w:val="24"/>
          <w:lang w:val="es-MX"/>
        </w:rPr>
        <w:t>Fuente: INE.</w:t>
      </w:r>
    </w:p>
    <w:p w:rsidR="006E7158" w:rsidRDefault="006E7158" w:rsidP="00FC660E">
      <w:pPr>
        <w:tabs>
          <w:tab w:val="left" w:pos="142"/>
        </w:tabs>
        <w:spacing w:after="0" w:line="240" w:lineRule="auto"/>
        <w:ind w:right="141"/>
        <w:jc w:val="both"/>
        <w:rPr>
          <w:rFonts w:ascii="Times New Roman" w:hAnsi="Times New Roman" w:cs="Times New Roman"/>
        </w:rPr>
      </w:pPr>
    </w:p>
    <w:p w:rsidR="001D7E32" w:rsidRPr="009607E8" w:rsidRDefault="001D7E32" w:rsidP="006E7158">
      <w:pPr>
        <w:tabs>
          <w:tab w:val="left" w:pos="142"/>
        </w:tabs>
        <w:spacing w:after="0" w:line="240" w:lineRule="auto"/>
        <w:jc w:val="both"/>
        <w:rPr>
          <w:rFonts w:ascii="Times New Roman" w:hAnsi="Times New Roman" w:cs="Times New Roman"/>
          <w:lang w:val="es-MX"/>
        </w:rPr>
      </w:pPr>
      <w:r w:rsidRPr="009607E8">
        <w:rPr>
          <w:rFonts w:ascii="Times New Roman" w:hAnsi="Times New Roman" w:cs="Times New Roman"/>
        </w:rPr>
        <w:t>L</w:t>
      </w:r>
      <w:r w:rsidRPr="009607E8">
        <w:rPr>
          <w:rFonts w:ascii="Times New Roman" w:hAnsi="Times New Roman" w:cs="Times New Roman"/>
          <w:lang w:val="es-MX"/>
        </w:rPr>
        <w:t xml:space="preserve">a OCDE publicó la Clasificación de Riesgo país válido a partir del 30 de octubre 2015 de los participantes en el Acuerdo sobre los créditos a la exportación con apoyo oficial; en dicha clasificación aparece Guatemala al igual que la clasificación previa en el grado cuatro, por encima del promedio de las economías latinoamericanas.  Al igual que Guatemala, Honduras y Nicaragua permanecieron con la misma nota de la revisión anterior en el grado seis y siete respectivamente; El Salvador ascendió del grado cuatro al cinco y Costa Rica descendió del grado siete al seis.  Standard &amp; Poor´s confirmó también la calificación de riesgo crediticio para Guatemala en BB para moneda extranjera y </w:t>
      </w:r>
      <w:r w:rsidRPr="009607E8">
        <w:rPr>
          <w:rFonts w:ascii="Times New Roman" w:hAnsi="Times New Roman" w:cs="Times New Roman"/>
          <w:lang w:val="es-MX"/>
        </w:rPr>
        <w:lastRenderedPageBreak/>
        <w:t xml:space="preserve">BB+ para moneda nacional, manteniendo la perspectiva estable. La agencia calificadora resalto que el resultado por un lado se debió a la disciplina fiscal y montería, el manejo del déficit externo y de la moderada carga de la deuda pública y por el otro, del crecimiento económico, de los niveles de pobreza, de la debilidad de las instituciones y del fragmentado sistema político.  </w:t>
      </w:r>
    </w:p>
    <w:p w:rsidR="0061797D" w:rsidRDefault="0061797D" w:rsidP="00B675D0">
      <w:pPr>
        <w:pStyle w:val="Sinespaciado"/>
        <w:tabs>
          <w:tab w:val="left" w:pos="0"/>
        </w:tabs>
        <w:jc w:val="both"/>
        <w:rPr>
          <w:rFonts w:ascii="Times New Roman" w:hAnsi="Times New Roman" w:cs="Times New Roman"/>
          <w:lang w:val="es-MX"/>
        </w:rPr>
      </w:pPr>
    </w:p>
    <w:p w:rsidR="0061797D" w:rsidRPr="009607E8" w:rsidRDefault="008E40D7" w:rsidP="0061797D">
      <w:pPr>
        <w:pStyle w:val="Sinespaciado"/>
        <w:tabs>
          <w:tab w:val="left" w:pos="0"/>
        </w:tabs>
        <w:jc w:val="both"/>
        <w:rPr>
          <w:rFonts w:ascii="Times New Roman" w:hAnsi="Times New Roman" w:cs="Times New Roman"/>
          <w:lang w:val="es-MX"/>
        </w:rPr>
      </w:pPr>
      <w:r w:rsidRPr="009607E8">
        <w:rPr>
          <w:rFonts w:ascii="Times New Roman" w:hAnsi="Times New Roman" w:cs="Times New Roman"/>
          <w:lang w:val="es-MX"/>
        </w:rPr>
        <w:t xml:space="preserve">El Banco Mundial también dio a conocer los resultados del estudio Doing Business 2016, el cual reconoce a Guatemala dos mejoras en los indicadores de Pago de Impuestos y Comercio </w:t>
      </w:r>
      <w:r w:rsidR="0061797D" w:rsidRPr="009607E8">
        <w:rPr>
          <w:rFonts w:ascii="Times New Roman" w:hAnsi="Times New Roman" w:cs="Times New Roman"/>
          <w:lang w:val="es-MX"/>
        </w:rPr>
        <w:t xml:space="preserve">    </w:t>
      </w:r>
      <w:r w:rsidRPr="009607E8">
        <w:rPr>
          <w:rFonts w:ascii="Times New Roman" w:hAnsi="Times New Roman" w:cs="Times New Roman"/>
          <w:lang w:val="es-MX"/>
        </w:rPr>
        <w:t xml:space="preserve">Transfronterizo </w:t>
      </w:r>
      <w:r w:rsidR="0061797D" w:rsidRPr="009607E8">
        <w:rPr>
          <w:rFonts w:ascii="Times New Roman" w:hAnsi="Times New Roman" w:cs="Times New Roman"/>
          <w:lang w:val="es-MX"/>
        </w:rPr>
        <w:t xml:space="preserve">    </w:t>
      </w:r>
      <w:r w:rsidRPr="009607E8">
        <w:rPr>
          <w:rFonts w:ascii="Times New Roman" w:hAnsi="Times New Roman" w:cs="Times New Roman"/>
          <w:lang w:val="es-MX"/>
        </w:rPr>
        <w:t>que</w:t>
      </w:r>
      <w:r w:rsidR="0061797D" w:rsidRPr="009607E8">
        <w:rPr>
          <w:rFonts w:ascii="Times New Roman" w:hAnsi="Times New Roman" w:cs="Times New Roman"/>
          <w:lang w:val="es-MX"/>
        </w:rPr>
        <w:t xml:space="preserve"> </w:t>
      </w:r>
      <w:r w:rsidRPr="009607E8">
        <w:rPr>
          <w:rFonts w:ascii="Times New Roman" w:hAnsi="Times New Roman" w:cs="Times New Roman"/>
          <w:lang w:val="es-MX"/>
        </w:rPr>
        <w:t xml:space="preserve"> registra el </w:t>
      </w:r>
    </w:p>
    <w:p w:rsidR="00C22A47" w:rsidRDefault="008E40D7" w:rsidP="00B675D0">
      <w:pPr>
        <w:pStyle w:val="Sinespaciado"/>
        <w:tabs>
          <w:tab w:val="left" w:pos="0"/>
        </w:tabs>
        <w:jc w:val="both"/>
        <w:rPr>
          <w:rFonts w:ascii="Times New Roman" w:hAnsi="Times New Roman" w:cs="Times New Roman"/>
          <w:lang w:val="es-MX"/>
        </w:rPr>
      </w:pPr>
      <w:r w:rsidRPr="009607E8">
        <w:rPr>
          <w:rFonts w:ascii="Times New Roman" w:hAnsi="Times New Roman" w:cs="Times New Roman"/>
          <w:lang w:val="es-MX"/>
        </w:rPr>
        <w:t>tiempo y costo asociado con el proceso logístico de exportación e importación de mercancías, conservando con ello la posición 81 del ranking mundial y la observación de ser uno de los países con más reformas presentadas.  Este año, el Banco Mundial reformó la metodología empleada para medir los avances y es por eso que Guatemala conserva la posición 81, similar a la de 201</w:t>
      </w:r>
      <w:r w:rsidR="008E3D18" w:rsidRPr="009607E8">
        <w:rPr>
          <w:rFonts w:ascii="Times New Roman" w:hAnsi="Times New Roman" w:cs="Times New Roman"/>
          <w:lang w:val="es-MX"/>
        </w:rPr>
        <w:t>4</w:t>
      </w:r>
      <w:r w:rsidRPr="009607E8">
        <w:rPr>
          <w:rFonts w:ascii="Times New Roman" w:hAnsi="Times New Roman" w:cs="Times New Roman"/>
          <w:lang w:val="es-MX"/>
        </w:rPr>
        <w:t xml:space="preserve"> de acuerdo con dicho procedimiento; el banco tomó en cuenta este año la reducción progresiva en la tasa del ISR, derivada de la reforma fiscal de 2012, así como la implementación de Aduana sin Papeles, beneficiando a que exportadores e importadores realicen sus declaraciones de forma electrónica.</w:t>
      </w:r>
    </w:p>
    <w:sectPr w:rsidR="00C22A47" w:rsidSect="00C22A47">
      <w:type w:val="continuous"/>
      <w:pgSz w:w="12240" w:h="15840"/>
      <w:pgMar w:top="1417" w:right="1608" w:bottom="1417" w:left="1701" w:header="68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07" w:rsidRDefault="002E2707" w:rsidP="00A6098E">
      <w:pPr>
        <w:spacing w:after="0" w:line="240" w:lineRule="auto"/>
      </w:pPr>
      <w:r>
        <w:separator/>
      </w:r>
    </w:p>
  </w:endnote>
  <w:endnote w:type="continuationSeparator" w:id="0">
    <w:p w:rsidR="002E2707" w:rsidRDefault="002E2707" w:rsidP="00A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646013"/>
      <w:docPartObj>
        <w:docPartGallery w:val="Page Numbers (Bottom of Page)"/>
        <w:docPartUnique/>
      </w:docPartObj>
    </w:sdtPr>
    <w:sdtEndPr>
      <w:rPr>
        <w:rFonts w:ascii="Times New Roman" w:hAnsi="Times New Roman"/>
        <w:color w:val="4F81BD" w:themeColor="accent1"/>
        <w:sz w:val="20"/>
        <w:szCs w:val="20"/>
      </w:rPr>
    </w:sdtEndPr>
    <w:sdtContent>
      <w:p w:rsidR="00052EE7" w:rsidRDefault="00052EE7" w:rsidP="00A46956">
        <w:pPr>
          <w:pStyle w:val="Encabezado"/>
          <w:jc w:val="right"/>
        </w:pPr>
      </w:p>
      <w:p w:rsidR="00052EE7" w:rsidRDefault="00052EE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62848" behindDoc="0" locked="0" layoutInCell="1" allowOverlap="1" wp14:anchorId="691AE688" wp14:editId="480ACFB0">
                  <wp:simplePos x="0" y="0"/>
                  <wp:positionH relativeFrom="column">
                    <wp:posOffset>1663700</wp:posOffset>
                  </wp:positionH>
                  <wp:positionV relativeFrom="paragraph">
                    <wp:posOffset>-7620</wp:posOffset>
                  </wp:positionV>
                  <wp:extent cx="4010025" cy="0"/>
                  <wp:effectExtent l="0" t="0" r="9525" b="19050"/>
                  <wp:wrapNone/>
                  <wp:docPr id="5"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85AB87" id="6 Conector recto"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sn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pbr7Jw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052EE7" w:rsidRPr="007A041E" w:rsidRDefault="00052EE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037142">
      <w:rPr>
        <w:rFonts w:ascii="Times New Roman" w:hAnsi="Times New Roman"/>
        <w:b/>
        <w:noProof/>
        <w:color w:val="4F81BD" w:themeColor="accent1"/>
        <w:sz w:val="20"/>
        <w:szCs w:val="20"/>
      </w:rPr>
      <w:t>3</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654568"/>
      <w:docPartObj>
        <w:docPartGallery w:val="Page Numbers (Bottom of Page)"/>
        <w:docPartUnique/>
      </w:docPartObj>
    </w:sdtPr>
    <w:sdtEndPr>
      <w:rPr>
        <w:rFonts w:ascii="Times New Roman" w:hAnsi="Times New Roman"/>
        <w:color w:val="4F81BD" w:themeColor="accent1"/>
        <w:sz w:val="20"/>
        <w:szCs w:val="20"/>
      </w:rPr>
    </w:sdtEndPr>
    <w:sdtContent>
      <w:p w:rsidR="007D14E6" w:rsidRDefault="007D14E6" w:rsidP="007D14E6">
        <w:pPr>
          <w:pStyle w:val="Encabezado"/>
          <w:jc w:val="right"/>
        </w:pPr>
      </w:p>
      <w:p w:rsidR="007D14E6" w:rsidRDefault="007D14E6" w:rsidP="007D14E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64896" behindDoc="0" locked="0" layoutInCell="1" allowOverlap="1" wp14:anchorId="7A0462CB" wp14:editId="154F0367">
                  <wp:simplePos x="0" y="0"/>
                  <wp:positionH relativeFrom="column">
                    <wp:posOffset>1663700</wp:posOffset>
                  </wp:positionH>
                  <wp:positionV relativeFrom="paragraph">
                    <wp:posOffset>-7620</wp:posOffset>
                  </wp:positionV>
                  <wp:extent cx="4010025" cy="0"/>
                  <wp:effectExtent l="0" t="0" r="9525" b="19050"/>
                  <wp:wrapNone/>
                  <wp:docPr id="1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51AE246" id="6 Conector recto"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7Y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JSmntg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7D14E6" w:rsidRPr="007D14E6" w:rsidRDefault="007D14E6" w:rsidP="007D14E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445985"/>
      <w:docPartObj>
        <w:docPartGallery w:val="Page Numbers (Bottom of Page)"/>
        <w:docPartUnique/>
      </w:docPartObj>
    </w:sdtPr>
    <w:sdtEndPr>
      <w:rPr>
        <w:rFonts w:ascii="Times New Roman" w:hAnsi="Times New Roman"/>
        <w:color w:val="4F81BD" w:themeColor="accent1"/>
        <w:sz w:val="20"/>
        <w:szCs w:val="20"/>
      </w:rPr>
    </w:sdtEndPr>
    <w:sdtContent>
      <w:p w:rsidR="007A041E" w:rsidRDefault="007A041E" w:rsidP="00A46956">
        <w:pPr>
          <w:pStyle w:val="Encabezado"/>
          <w:jc w:val="right"/>
        </w:pPr>
      </w:p>
      <w:p w:rsidR="004B2DD6" w:rsidRDefault="004B2DD6"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6704" behindDoc="0" locked="0" layoutInCell="1" allowOverlap="1" wp14:anchorId="0268B839" wp14:editId="06701AE8">
                  <wp:simplePos x="0" y="0"/>
                  <wp:positionH relativeFrom="column">
                    <wp:posOffset>1663700</wp:posOffset>
                  </wp:positionH>
                  <wp:positionV relativeFrom="paragraph">
                    <wp:posOffset>-7620</wp:posOffset>
                  </wp:positionV>
                  <wp:extent cx="4010025" cy="0"/>
                  <wp:effectExtent l="0" t="0" r="9525" b="19050"/>
                  <wp:wrapNone/>
                  <wp:docPr id="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BCAB90" id="6 Conector recto"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kG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WHPZBg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4B2DD6" w:rsidRPr="007A041E" w:rsidRDefault="004B2DD6"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037142">
      <w:rPr>
        <w:rFonts w:ascii="Times New Roman" w:hAnsi="Times New Roman"/>
        <w:b/>
        <w:noProof/>
        <w:color w:val="4F81BD" w:themeColor="accent1"/>
        <w:sz w:val="20"/>
        <w:szCs w:val="20"/>
      </w:rPr>
      <w:t>6</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p w:rsidR="00D13827" w:rsidRDefault="00D1382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94759"/>
      <w:docPartObj>
        <w:docPartGallery w:val="Page Numbers (Bottom of Page)"/>
        <w:docPartUnique/>
      </w:docPartObj>
    </w:sdtPr>
    <w:sdtEndPr>
      <w:rPr>
        <w:rFonts w:ascii="Times New Roman" w:hAnsi="Times New Roman"/>
        <w:color w:val="4F81BD" w:themeColor="accent1"/>
        <w:sz w:val="20"/>
        <w:szCs w:val="20"/>
      </w:rPr>
    </w:sdtEndPr>
    <w:sdtContent>
      <w:p w:rsidR="00734097" w:rsidRDefault="00734097" w:rsidP="00A46956">
        <w:pPr>
          <w:pStyle w:val="Encabezado"/>
          <w:jc w:val="right"/>
        </w:pPr>
      </w:p>
      <w:p w:rsidR="00734097" w:rsidRDefault="0073409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63872" behindDoc="0" locked="0" layoutInCell="1" allowOverlap="1" wp14:anchorId="102C6805" wp14:editId="129F3E4B">
                  <wp:simplePos x="0" y="0"/>
                  <wp:positionH relativeFrom="column">
                    <wp:posOffset>1663700</wp:posOffset>
                  </wp:positionH>
                  <wp:positionV relativeFrom="paragraph">
                    <wp:posOffset>-7620</wp:posOffset>
                  </wp:positionV>
                  <wp:extent cx="4010025" cy="0"/>
                  <wp:effectExtent l="0" t="0" r="9525" b="19050"/>
                  <wp:wrapNone/>
                  <wp:docPr id="30"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7B7BA6" id="6 Conector recto"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Du0Rdo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734097" w:rsidRPr="007A041E" w:rsidRDefault="0073409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037142">
      <w:rPr>
        <w:rFonts w:ascii="Times New Roman" w:hAnsi="Times New Roman"/>
        <w:b/>
        <w:noProof/>
        <w:color w:val="4F81BD" w:themeColor="accent1"/>
        <w:sz w:val="20"/>
        <w:szCs w:val="20"/>
      </w:rPr>
      <w:t>7</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p w:rsidR="004B2DD6" w:rsidRDefault="004B2DD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14285"/>
      <w:docPartObj>
        <w:docPartGallery w:val="Page Numbers (Bottom of Page)"/>
        <w:docPartUnique/>
      </w:docPartObj>
    </w:sdtPr>
    <w:sdtEndPr>
      <w:rPr>
        <w:rFonts w:ascii="Times New Roman" w:hAnsi="Times New Roman" w:cs="Times New Roman"/>
        <w:color w:val="4F81BD" w:themeColor="accent1"/>
        <w:sz w:val="20"/>
        <w:szCs w:val="20"/>
      </w:rPr>
    </w:sdtEndPr>
    <w:sdtContent>
      <w:p w:rsidR="007A041E" w:rsidRPr="007A041E" w:rsidRDefault="007A041E" w:rsidP="007A041E">
        <w:pPr>
          <w:pStyle w:val="Encabezado"/>
          <w:rPr>
            <w:sz w:val="2"/>
            <w:szCs w:val="2"/>
          </w:rPr>
        </w:pPr>
      </w:p>
      <w:p w:rsidR="004B2DD6" w:rsidRPr="005D13A6" w:rsidRDefault="004B2DD6" w:rsidP="00017573">
        <w:pPr>
          <w:pStyle w:val="Encabezado"/>
          <w:ind w:right="-93"/>
          <w:jc w:val="right"/>
          <w:rPr>
            <w:rFonts w:ascii="Times New Roman" w:hAnsi="Times New Roman" w:cs="Times New Roman"/>
            <w:color w:val="4F81BD" w:themeColor="accent1"/>
            <w:sz w:val="20"/>
            <w:szCs w:val="20"/>
          </w:rPr>
        </w:pPr>
        <w:r w:rsidRPr="005D13A6">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61824" behindDoc="0" locked="0" layoutInCell="1" allowOverlap="1" wp14:anchorId="12BE1AE6" wp14:editId="221A97F0">
                  <wp:simplePos x="0" y="0"/>
                  <wp:positionH relativeFrom="column">
                    <wp:posOffset>1851025</wp:posOffset>
                  </wp:positionH>
                  <wp:positionV relativeFrom="paragraph">
                    <wp:posOffset>-7620</wp:posOffset>
                  </wp:positionV>
                  <wp:extent cx="4010025" cy="0"/>
                  <wp:effectExtent l="0" t="0" r="9525" b="19050"/>
                  <wp:wrapNone/>
                  <wp:docPr id="2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94D3C1" id="6 Conector recto"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75pt,-.6pt" to="4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Ty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" strokecolor="#4579b8">
                  <o:lock v:ext="edit" shapetype="f"/>
                </v:line>
              </w:pict>
            </mc:Fallback>
          </mc:AlternateContent>
        </w:r>
        <w:r w:rsidRPr="005D13A6">
          <w:rPr>
            <w:rFonts w:ascii="Times New Roman" w:hAnsi="Times New Roman" w:cs="Times New Roman"/>
            <w:color w:val="0F243E" w:themeColor="text2" w:themeShade="80"/>
            <w:sz w:val="20"/>
            <w:szCs w:val="20"/>
          </w:rPr>
          <w:t>Dirección de Análisis y Política Fiscal</w:t>
        </w:r>
        <w:r w:rsidRPr="005D13A6">
          <w:rPr>
            <w:rFonts w:ascii="Times New Roman" w:hAnsi="Times New Roman" w:cs="Times New Roman"/>
            <w:color w:val="4F81BD" w:themeColor="accent1"/>
            <w:sz w:val="20"/>
            <w:szCs w:val="20"/>
          </w:rPr>
          <w:t xml:space="preserve"> </w:t>
        </w:r>
      </w:p>
    </w:sdtContent>
  </w:sdt>
  <w:p w:rsidR="004B2DD6" w:rsidRPr="007A041E" w:rsidRDefault="004B2DD6" w:rsidP="00017573">
    <w:pPr>
      <w:pStyle w:val="Piedepgina"/>
      <w:ind w:right="-93"/>
      <w:jc w:val="right"/>
      <w:rPr>
        <w:rFonts w:ascii="Times New Roman" w:hAnsi="Times New Roman" w:cs="Times New Roman"/>
        <w:color w:val="4F81BD" w:themeColor="accent1"/>
        <w:sz w:val="20"/>
        <w:szCs w:val="20"/>
      </w:rPr>
    </w:pPr>
    <w:r w:rsidRPr="005D13A6">
      <w:rPr>
        <w:rFonts w:ascii="Times New Roman" w:hAnsi="Times New Roman" w:cs="Times New Roman"/>
        <w:b/>
        <w:color w:val="4F81BD" w:themeColor="accent1"/>
        <w:sz w:val="20"/>
        <w:szCs w:val="20"/>
      </w:rPr>
      <w:t xml:space="preserve">Página </w:t>
    </w:r>
    <w:r w:rsidRPr="005D13A6">
      <w:rPr>
        <w:rFonts w:ascii="Times New Roman" w:hAnsi="Times New Roman" w:cs="Times New Roman"/>
        <w:b/>
        <w:color w:val="4F81BD" w:themeColor="accent1"/>
        <w:sz w:val="20"/>
        <w:szCs w:val="20"/>
      </w:rPr>
      <w:fldChar w:fldCharType="begin"/>
    </w:r>
    <w:r w:rsidRPr="005D13A6">
      <w:rPr>
        <w:rFonts w:ascii="Times New Roman" w:hAnsi="Times New Roman" w:cs="Times New Roman"/>
        <w:b/>
        <w:color w:val="4F81BD" w:themeColor="accent1"/>
        <w:sz w:val="20"/>
        <w:szCs w:val="20"/>
      </w:rPr>
      <w:instrText>PAGE   \* MERGEFORMAT</w:instrText>
    </w:r>
    <w:r w:rsidRPr="005D13A6">
      <w:rPr>
        <w:rFonts w:ascii="Times New Roman" w:hAnsi="Times New Roman" w:cs="Times New Roman"/>
        <w:b/>
        <w:color w:val="4F81BD" w:themeColor="accent1"/>
        <w:sz w:val="20"/>
        <w:szCs w:val="20"/>
      </w:rPr>
      <w:fldChar w:fldCharType="separate"/>
    </w:r>
    <w:r w:rsidR="00037142">
      <w:rPr>
        <w:rFonts w:ascii="Times New Roman" w:hAnsi="Times New Roman" w:cs="Times New Roman"/>
        <w:b/>
        <w:noProof/>
        <w:color w:val="4F81BD" w:themeColor="accent1"/>
        <w:sz w:val="20"/>
        <w:szCs w:val="20"/>
      </w:rPr>
      <w:t>8</w:t>
    </w:r>
    <w:r w:rsidRPr="005D13A6">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07" w:rsidRDefault="002E2707" w:rsidP="00A6098E">
      <w:pPr>
        <w:spacing w:after="0" w:line="240" w:lineRule="auto"/>
      </w:pPr>
      <w:r>
        <w:separator/>
      </w:r>
    </w:p>
  </w:footnote>
  <w:footnote w:type="continuationSeparator" w:id="0">
    <w:p w:rsidR="002E2707" w:rsidRDefault="002E2707" w:rsidP="00A6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E7" w:rsidRPr="004920BA" w:rsidRDefault="00037142"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57728" behindDoc="1" locked="0" layoutInCell="1" allowOverlap="1" wp14:anchorId="0F24D51E" wp14:editId="1310A656">
          <wp:simplePos x="0" y="0"/>
          <wp:positionH relativeFrom="margin">
            <wp:posOffset>-344697</wp:posOffset>
          </wp:positionH>
          <wp:positionV relativeFrom="margin">
            <wp:posOffset>-623906</wp:posOffset>
          </wp:positionV>
          <wp:extent cx="1733550" cy="474345"/>
          <wp:effectExtent l="0" t="0" r="0" b="1905"/>
          <wp:wrapNone/>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EE7" w:rsidRPr="004920BA">
      <w:rPr>
        <w:rFonts w:ascii="Times New Roman" w:hAnsi="Times New Roman"/>
        <w:b/>
        <w:color w:val="0F243E" w:themeColor="text2" w:themeShade="80"/>
      </w:rPr>
      <w:t xml:space="preserve">                                               Informe de las Finanzas Públicas </w:t>
    </w:r>
  </w:p>
  <w:p w:rsidR="00052EE7" w:rsidRDefault="00CE33AC" w:rsidP="00CE33AC">
    <w:pPr>
      <w:pStyle w:val="Encabezado"/>
      <w:tabs>
        <w:tab w:val="left" w:pos="753"/>
      </w:tabs>
      <w:rPr>
        <w:rFonts w:ascii="Times New Roman" w:hAnsi="Times New Roman"/>
        <w:color w:val="0F243E" w:themeColor="text2" w:themeShade="80"/>
        <w:sz w:val="20"/>
        <w:szCs w:val="20"/>
      </w:rPr>
    </w:pPr>
    <w:r>
      <w:rPr>
        <w:rFonts w:ascii="Times New Roman" w:hAnsi="Times New Roman"/>
        <w:b/>
        <w:color w:val="0F243E" w:themeColor="text2" w:themeShade="80"/>
      </w:rPr>
      <w:tab/>
    </w:r>
    <w:r>
      <w:rPr>
        <w:rFonts w:ascii="Times New Roman" w:hAnsi="Times New Roman"/>
        <w:b/>
        <w:color w:val="0F243E" w:themeColor="text2" w:themeShade="80"/>
      </w:rPr>
      <w:tab/>
    </w:r>
    <w:r w:rsidR="00052EE7" w:rsidRPr="004920BA">
      <w:rPr>
        <w:noProof/>
        <w:color w:val="0F243E" w:themeColor="text2" w:themeShade="80"/>
        <w:lang w:eastAsia="es-GT"/>
      </w:rPr>
      <mc:AlternateContent>
        <mc:Choice Requires="wps">
          <w:drawing>
            <wp:anchor distT="4294967295" distB="4294967295" distL="114300" distR="114300" simplePos="0" relativeHeight="251652608" behindDoc="0" locked="0" layoutInCell="1" allowOverlap="1" wp14:anchorId="518D1ABF" wp14:editId="2D47DFEA">
              <wp:simplePos x="0" y="0"/>
              <wp:positionH relativeFrom="column">
                <wp:posOffset>986790</wp:posOffset>
              </wp:positionH>
              <wp:positionV relativeFrom="paragraph">
                <wp:posOffset>142240</wp:posOffset>
              </wp:positionV>
              <wp:extent cx="5010150" cy="0"/>
              <wp:effectExtent l="0" t="0" r="19050" b="1905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01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CCCCB5" id="6 Conector recto"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7pt,11.2pt" to="47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" strokecolor="#4579b8">
              <o:lock v:ext="edit" shapetype="f"/>
            </v:line>
          </w:pict>
        </mc:Fallback>
      </mc:AlternateContent>
    </w:r>
    <w:r w:rsidR="00052EE7" w:rsidRPr="004920BA">
      <w:rPr>
        <w:rFonts w:ascii="Times New Roman" w:hAnsi="Times New Roman"/>
        <w:b/>
        <w:color w:val="0F243E" w:themeColor="text2" w:themeShade="80"/>
      </w:rPr>
      <w:t xml:space="preserve"> </w:t>
    </w:r>
    <w:r w:rsidR="00052EE7" w:rsidRPr="004920BA">
      <w:rPr>
        <w:rFonts w:ascii="Times New Roman" w:hAnsi="Times New Roman"/>
        <w:b/>
        <w:color w:val="0F243E" w:themeColor="text2" w:themeShade="80"/>
      </w:rPr>
      <w:tab/>
      <w:t xml:space="preserve">                                                            </w:t>
    </w:r>
    <w:r w:rsidR="00A94DC5">
      <w:rPr>
        <w:rFonts w:ascii="Times New Roman" w:hAnsi="Times New Roman"/>
        <w:color w:val="0F243E" w:themeColor="text2" w:themeShade="80"/>
        <w:sz w:val="20"/>
        <w:szCs w:val="20"/>
      </w:rPr>
      <w:t>Octubre</w:t>
    </w:r>
    <w:r w:rsidR="00052EE7">
      <w:rPr>
        <w:rFonts w:ascii="Times New Roman" w:hAnsi="Times New Roman"/>
        <w:color w:val="0F243E" w:themeColor="text2" w:themeShade="80"/>
        <w:sz w:val="20"/>
        <w:szCs w:val="20"/>
      </w:rPr>
      <w:t xml:space="preserve"> </w:t>
    </w:r>
    <w:r w:rsidR="00052EE7" w:rsidRPr="004920BA">
      <w:rPr>
        <w:rFonts w:ascii="Times New Roman" w:hAnsi="Times New Roman"/>
        <w:color w:val="0F243E" w:themeColor="text2" w:themeShade="80"/>
        <w:sz w:val="20"/>
        <w:szCs w:val="20"/>
      </w:rPr>
      <w:t>201</w:t>
    </w:r>
    <w:r w:rsidR="00052EE7">
      <w:rPr>
        <w:rFonts w:ascii="Times New Roman" w:hAnsi="Times New Roman"/>
        <w:color w:val="0F243E" w:themeColor="text2" w:themeShade="80"/>
        <w:sz w:val="20"/>
        <w:szCs w:val="20"/>
      </w:rPr>
      <w:t>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E6" w:rsidRPr="004920BA" w:rsidRDefault="00037142" w:rsidP="007D14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55680" behindDoc="1" locked="0" layoutInCell="1" allowOverlap="1" wp14:anchorId="30533321" wp14:editId="02DD5574">
          <wp:simplePos x="0" y="0"/>
          <wp:positionH relativeFrom="margin">
            <wp:posOffset>-387985</wp:posOffset>
          </wp:positionH>
          <wp:positionV relativeFrom="margin">
            <wp:posOffset>-650504</wp:posOffset>
          </wp:positionV>
          <wp:extent cx="1733550" cy="474345"/>
          <wp:effectExtent l="0" t="0" r="0" b="1905"/>
          <wp:wrapNone/>
          <wp:docPr id="7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4E6" w:rsidRPr="004920BA">
      <w:rPr>
        <w:rFonts w:ascii="Times New Roman" w:hAnsi="Times New Roman"/>
        <w:b/>
        <w:color w:val="0F243E" w:themeColor="text2" w:themeShade="80"/>
      </w:rPr>
      <w:t xml:space="preserve"> </w:t>
    </w:r>
  </w:p>
  <w:p w:rsidR="007D14E6" w:rsidRDefault="007D14E6" w:rsidP="007D14E6">
    <w:pPr>
      <w:pStyle w:val="Encabezado"/>
      <w:tabs>
        <w:tab w:val="left" w:pos="753"/>
      </w:tabs>
      <w:rPr>
        <w:rFonts w:ascii="Times New Roman" w:hAnsi="Times New Roman"/>
        <w:color w:val="0F243E" w:themeColor="text2" w:themeShade="80"/>
        <w:sz w:val="20"/>
        <w:szCs w:val="20"/>
      </w:rPr>
    </w:pPr>
    <w:r>
      <w:rPr>
        <w:rFonts w:ascii="Times New Roman" w:hAnsi="Times New Roman"/>
        <w:b/>
        <w:color w:val="0F243E" w:themeColor="text2" w:themeShade="80"/>
      </w:rPr>
      <w:tab/>
    </w:r>
    <w:r>
      <w:rPr>
        <w:rFonts w:ascii="Times New Roman" w:hAnsi="Times New Roman"/>
        <w:b/>
        <w:color w:val="0F243E" w:themeColor="text2" w:themeShade="80"/>
      </w:rPr>
      <w:tab/>
    </w:r>
    <w:r w:rsidRPr="004920BA">
      <w:rPr>
        <w:noProof/>
        <w:color w:val="0F243E" w:themeColor="text2" w:themeShade="80"/>
        <w:lang w:eastAsia="es-GT"/>
      </w:rPr>
      <mc:AlternateContent>
        <mc:Choice Requires="wps">
          <w:drawing>
            <wp:anchor distT="4294967295" distB="4294967295" distL="114300" distR="114300" simplePos="0" relativeHeight="251654656" behindDoc="0" locked="0" layoutInCell="1" allowOverlap="1" wp14:anchorId="6CA00301" wp14:editId="51A03852">
              <wp:simplePos x="0" y="0"/>
              <wp:positionH relativeFrom="column">
                <wp:posOffset>986790</wp:posOffset>
              </wp:positionH>
              <wp:positionV relativeFrom="paragraph">
                <wp:posOffset>142240</wp:posOffset>
              </wp:positionV>
              <wp:extent cx="5010150" cy="0"/>
              <wp:effectExtent l="0" t="0" r="19050" b="19050"/>
              <wp:wrapNone/>
              <wp:docPr id="1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01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7DFEAC" id="6 Conector recto"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7pt,11.2pt" to="47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p>
  <w:p w:rsidR="007D14E6" w:rsidRDefault="007D14E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Pr="004920BA" w:rsidRDefault="00037142"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58752" behindDoc="1" locked="0" layoutInCell="1" allowOverlap="1" wp14:anchorId="0AC7E123" wp14:editId="3114BD47">
          <wp:simplePos x="0" y="0"/>
          <wp:positionH relativeFrom="margin">
            <wp:posOffset>-181154</wp:posOffset>
          </wp:positionH>
          <wp:positionV relativeFrom="margin">
            <wp:posOffset>-614752</wp:posOffset>
          </wp:positionV>
          <wp:extent cx="1733550" cy="474345"/>
          <wp:effectExtent l="0" t="0" r="0" b="1905"/>
          <wp:wrapNone/>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DD6" w:rsidRPr="004920BA">
      <w:rPr>
        <w:rFonts w:ascii="Times New Roman" w:hAnsi="Times New Roman"/>
        <w:b/>
        <w:color w:val="0F243E" w:themeColor="text2" w:themeShade="80"/>
      </w:rPr>
      <w:t xml:space="preserve">                                               Informe de las Finanzas Públicas </w:t>
    </w:r>
  </w:p>
  <w:p w:rsidR="00D13827" w:rsidRPr="004A5200" w:rsidRDefault="004B2DD6" w:rsidP="004A5200">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0560" behindDoc="0" locked="0" layoutInCell="1" allowOverlap="1" wp14:anchorId="2EFE10E5" wp14:editId="63DAFA6E">
              <wp:simplePos x="0" y="0"/>
              <wp:positionH relativeFrom="column">
                <wp:posOffset>1852846</wp:posOffset>
              </wp:positionH>
              <wp:positionV relativeFrom="paragraph">
                <wp:posOffset>148890</wp:posOffset>
              </wp:positionV>
              <wp:extent cx="4148048" cy="0"/>
              <wp:effectExtent l="0" t="0" r="24130" b="19050"/>
              <wp:wrapNone/>
              <wp:docPr id="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8048"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5A58B" id="6 Conector recto"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9pt,11.7pt" to="4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CE33AC">
      <w:rPr>
        <w:rFonts w:ascii="Times New Roman" w:hAnsi="Times New Roman"/>
        <w:color w:val="0F243E" w:themeColor="text2" w:themeShade="80"/>
        <w:sz w:val="20"/>
        <w:szCs w:val="20"/>
      </w:rPr>
      <w:t>Octu</w:t>
    </w:r>
    <w:r w:rsidR="00362779">
      <w:rPr>
        <w:rFonts w:ascii="Times New Roman" w:hAnsi="Times New Roman"/>
        <w:color w:val="0F243E" w:themeColor="text2" w:themeShade="80"/>
        <w:sz w:val="20"/>
        <w:szCs w:val="20"/>
      </w:rPr>
      <w:t>bre</w:t>
    </w:r>
    <w:r w:rsidR="001967A7">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sidR="001967A7">
      <w:rPr>
        <w:rFonts w:ascii="Times New Roman" w:hAnsi="Times New Roman"/>
        <w:color w:val="0F243E" w:themeColor="text2" w:themeShade="80"/>
        <w:sz w:val="20"/>
        <w:szCs w:val="20"/>
      </w:rPr>
      <w:t>5</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7" w:rsidRPr="004920BA" w:rsidRDefault="00037142"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59776" behindDoc="1" locked="0" layoutInCell="1" allowOverlap="1" wp14:anchorId="0C9150A6" wp14:editId="3DCF9BB0">
          <wp:simplePos x="0" y="0"/>
          <wp:positionH relativeFrom="margin">
            <wp:posOffset>-293299</wp:posOffset>
          </wp:positionH>
          <wp:positionV relativeFrom="margin">
            <wp:posOffset>-756621</wp:posOffset>
          </wp:positionV>
          <wp:extent cx="1733550" cy="474345"/>
          <wp:effectExtent l="0" t="0" r="0" b="1905"/>
          <wp:wrapNone/>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97" w:rsidRPr="004920BA">
      <w:rPr>
        <w:rFonts w:ascii="Times New Roman" w:hAnsi="Times New Roman"/>
        <w:b/>
        <w:color w:val="0F243E" w:themeColor="text2" w:themeShade="80"/>
      </w:rPr>
      <w:t xml:space="preserve">                                               Informe de las Finanzas Públicas </w:t>
    </w:r>
  </w:p>
  <w:p w:rsidR="00734097" w:rsidRDefault="0073409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3632" behindDoc="0" locked="0" layoutInCell="1" allowOverlap="1" wp14:anchorId="1FC7F108" wp14:editId="54768C8F">
              <wp:simplePos x="0" y="0"/>
              <wp:positionH relativeFrom="column">
                <wp:posOffset>977265</wp:posOffset>
              </wp:positionH>
              <wp:positionV relativeFrom="paragraph">
                <wp:posOffset>142240</wp:posOffset>
              </wp:positionV>
              <wp:extent cx="5019675" cy="0"/>
              <wp:effectExtent l="0" t="0" r="9525" b="19050"/>
              <wp:wrapNone/>
              <wp:docPr id="2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96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51E68F" id="6 Conector recto"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95pt,11.2pt" to="47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A94DC5">
      <w:rPr>
        <w:rFonts w:ascii="Times New Roman" w:hAnsi="Times New Roman"/>
        <w:color w:val="0F243E" w:themeColor="text2" w:themeShade="80"/>
        <w:sz w:val="20"/>
        <w:szCs w:val="20"/>
      </w:rPr>
      <w:t>Octu</w:t>
    </w:r>
    <w:r w:rsidR="00970CA5">
      <w:rPr>
        <w:rFonts w:ascii="Times New Roman" w:hAnsi="Times New Roman"/>
        <w:color w:val="0F243E" w:themeColor="text2" w:themeShade="80"/>
        <w:sz w:val="20"/>
        <w:szCs w:val="20"/>
      </w:rPr>
      <w:t>bre</w:t>
    </w:r>
    <w:r>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p w:rsidR="004B2DD6" w:rsidRDefault="004B2DD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8" w:rsidRPr="004920BA" w:rsidRDefault="00037142" w:rsidP="009B52B8">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0800" behindDoc="1" locked="0" layoutInCell="1" allowOverlap="1" wp14:anchorId="3CB67315" wp14:editId="3E69BAC8">
          <wp:simplePos x="0" y="0"/>
          <wp:positionH relativeFrom="margin">
            <wp:posOffset>-244846</wp:posOffset>
          </wp:positionH>
          <wp:positionV relativeFrom="margin">
            <wp:posOffset>-631825</wp:posOffset>
          </wp:positionV>
          <wp:extent cx="1733550" cy="474345"/>
          <wp:effectExtent l="0" t="0" r="0" b="1905"/>
          <wp:wrapNone/>
          <wp:docPr id="1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2B8" w:rsidRPr="004920BA">
      <w:rPr>
        <w:b/>
        <w:color w:val="0F243E" w:themeColor="text2" w:themeShade="80"/>
      </w:rPr>
      <w:t xml:space="preserve">                 </w:t>
    </w:r>
    <w:r w:rsidR="009B52B8">
      <w:rPr>
        <w:b/>
        <w:color w:val="0F243E" w:themeColor="text2" w:themeShade="80"/>
      </w:rPr>
      <w:t xml:space="preserve">                              </w:t>
    </w:r>
    <w:r w:rsidR="009B52B8" w:rsidRPr="004920BA">
      <w:rPr>
        <w:rFonts w:ascii="Times New Roman" w:hAnsi="Times New Roman"/>
        <w:b/>
        <w:color w:val="0F243E" w:themeColor="text2" w:themeShade="80"/>
      </w:rPr>
      <w:t xml:space="preserve">Informe de las Finanzas Públicas </w:t>
    </w:r>
  </w:p>
  <w:p w:rsidR="00F6224F" w:rsidRDefault="009B52B8" w:rsidP="00F6224F">
    <w:pPr>
      <w:pStyle w:val="Encabezado"/>
      <w:jc w:val="right"/>
      <w:rPr>
        <w:rFonts w:ascii="Times New Roman" w:hAnsi="Times New Roman"/>
        <w:color w:val="0F243E" w:themeColor="text2" w:themeShade="80"/>
        <w:sz w:val="20"/>
        <w:szCs w:val="20"/>
      </w:rPr>
    </w:pP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A94DC5">
      <w:rPr>
        <w:rFonts w:ascii="Times New Roman" w:hAnsi="Times New Roman"/>
        <w:color w:val="0F243E" w:themeColor="text2" w:themeShade="80"/>
        <w:sz w:val="20"/>
        <w:szCs w:val="20"/>
      </w:rPr>
      <w:t>Octu</w:t>
    </w:r>
    <w:r w:rsidR="00362779">
      <w:rPr>
        <w:rFonts w:ascii="Times New Roman" w:hAnsi="Times New Roman"/>
        <w:color w:val="0F243E" w:themeColor="text2" w:themeShade="80"/>
        <w:sz w:val="20"/>
        <w:szCs w:val="20"/>
      </w:rPr>
      <w:t>bre</w:t>
    </w:r>
    <w:r w:rsidR="00F6224F">
      <w:rPr>
        <w:rFonts w:ascii="Times New Roman" w:hAnsi="Times New Roman"/>
        <w:color w:val="0F243E" w:themeColor="text2" w:themeShade="80"/>
        <w:sz w:val="20"/>
        <w:szCs w:val="20"/>
      </w:rPr>
      <w:t xml:space="preserve">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4B2DD6" w:rsidRPr="004A1025" w:rsidRDefault="00B340D2" w:rsidP="00444213">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1584" behindDoc="0" locked="0" layoutInCell="1" allowOverlap="1" wp14:anchorId="1600A8DC" wp14:editId="325AB5CC">
              <wp:simplePos x="0" y="0"/>
              <wp:positionH relativeFrom="column">
                <wp:posOffset>1042670</wp:posOffset>
              </wp:positionH>
              <wp:positionV relativeFrom="paragraph">
                <wp:posOffset>4445</wp:posOffset>
              </wp:positionV>
              <wp:extent cx="5019675" cy="0"/>
              <wp:effectExtent l="0" t="0" r="9525" b="19050"/>
              <wp:wrapNone/>
              <wp:docPr id="2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96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136C6E" id="6 Conector recto"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1pt,.35pt" to="47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" strokecolor="#4579b8">
              <o:lock v:ext="edit" shapetype="f"/>
            </v:lin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DB4"/>
    <w:multiLevelType w:val="hybridMultilevel"/>
    <w:tmpl w:val="7054AAAC"/>
    <w:lvl w:ilvl="0" w:tplc="100A0001">
      <w:start w:val="1"/>
      <w:numFmt w:val="bullet"/>
      <w:lvlText w:val=""/>
      <w:lvlJc w:val="left"/>
      <w:pPr>
        <w:ind w:left="360" w:hanging="360"/>
      </w:pPr>
      <w:rPr>
        <w:rFonts w:ascii="Symbol" w:hAnsi="Symbol"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0AFB7790"/>
    <w:multiLevelType w:val="hybridMultilevel"/>
    <w:tmpl w:val="49F478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B7B0D4A"/>
    <w:multiLevelType w:val="hybridMultilevel"/>
    <w:tmpl w:val="FE2ED94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C0D7CD2"/>
    <w:multiLevelType w:val="hybridMultilevel"/>
    <w:tmpl w:val="0BFE6956"/>
    <w:lvl w:ilvl="0" w:tplc="4D12FE22">
      <w:start w:val="2013"/>
      <w:numFmt w:val="bullet"/>
      <w:lvlText w:val=""/>
      <w:lvlJc w:val="left"/>
      <w:pPr>
        <w:ind w:left="720" w:hanging="360"/>
      </w:pPr>
      <w:rPr>
        <w:rFonts w:ascii="Symbol" w:eastAsiaTheme="minorHAns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17A33FB"/>
    <w:multiLevelType w:val="hybridMultilevel"/>
    <w:tmpl w:val="E036167E"/>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7F126D8"/>
    <w:multiLevelType w:val="hybridMultilevel"/>
    <w:tmpl w:val="BC5A826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1ADE6A16"/>
    <w:multiLevelType w:val="hybridMultilevel"/>
    <w:tmpl w:val="3ECA2A0C"/>
    <w:lvl w:ilvl="0" w:tplc="100A000F">
      <w:start w:val="1"/>
      <w:numFmt w:val="decimal"/>
      <w:lvlText w:val="%1."/>
      <w:lvlJc w:val="left"/>
      <w:pPr>
        <w:ind w:left="360" w:hanging="360"/>
      </w:pPr>
    </w:lvl>
    <w:lvl w:ilvl="1" w:tplc="100A0001">
      <w:start w:val="1"/>
      <w:numFmt w:val="bullet"/>
      <w:lvlText w:val=""/>
      <w:lvlJc w:val="left"/>
      <w:pPr>
        <w:ind w:left="1080" w:hanging="360"/>
      </w:pPr>
      <w:rPr>
        <w:rFonts w:ascii="Symbol" w:hAnsi="Symbol" w:hint="default"/>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1CD54EBA"/>
    <w:multiLevelType w:val="hybridMultilevel"/>
    <w:tmpl w:val="02CE1684"/>
    <w:lvl w:ilvl="0" w:tplc="100A0001">
      <w:start w:val="1"/>
      <w:numFmt w:val="bullet"/>
      <w:lvlText w:val=""/>
      <w:lvlJc w:val="left"/>
      <w:pPr>
        <w:ind w:left="1080" w:hanging="360"/>
      </w:pPr>
      <w:rPr>
        <w:rFonts w:ascii="Symbol" w:hAnsi="Symbol"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15:restartNumberingAfterBreak="0">
    <w:nsid w:val="1D627E0D"/>
    <w:multiLevelType w:val="hybridMultilevel"/>
    <w:tmpl w:val="2AEE32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B227E5A"/>
    <w:multiLevelType w:val="hybridMultilevel"/>
    <w:tmpl w:val="1CA41C5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306D7AAA"/>
    <w:multiLevelType w:val="hybridMultilevel"/>
    <w:tmpl w:val="2578F00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34EB554F"/>
    <w:multiLevelType w:val="hybridMultilevel"/>
    <w:tmpl w:val="0F3E003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383C26A3"/>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4" w15:restartNumberingAfterBreak="0">
    <w:nsid w:val="4AFE3836"/>
    <w:multiLevelType w:val="hybridMultilevel"/>
    <w:tmpl w:val="7F0671B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5" w15:restartNumberingAfterBreak="0">
    <w:nsid w:val="4F1F1422"/>
    <w:multiLevelType w:val="hybridMultilevel"/>
    <w:tmpl w:val="ECB205F6"/>
    <w:lvl w:ilvl="0" w:tplc="100A000F">
      <w:start w:val="1"/>
      <w:numFmt w:val="decimal"/>
      <w:lvlText w:val="%1."/>
      <w:lvlJc w:val="left"/>
      <w:pPr>
        <w:ind w:left="360" w:hanging="360"/>
      </w:pPr>
    </w:lvl>
    <w:lvl w:ilvl="1" w:tplc="15DACC7C">
      <w:start w:val="1"/>
      <w:numFmt w:val="bullet"/>
      <w:lvlText w:val="-"/>
      <w:lvlJc w:val="left"/>
      <w:pPr>
        <w:ind w:left="1080" w:hanging="360"/>
      </w:pPr>
      <w:rPr>
        <w:rFonts w:ascii="Courier New" w:hAnsi="Courier New" w:cs="Times New Roman"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6" w15:restartNumberingAfterBreak="0">
    <w:nsid w:val="52F01983"/>
    <w:multiLevelType w:val="hybridMultilevel"/>
    <w:tmpl w:val="C5BEC19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7" w15:restartNumberingAfterBreak="0">
    <w:nsid w:val="570B08F8"/>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8" w15:restartNumberingAfterBreak="0">
    <w:nsid w:val="5B3378EA"/>
    <w:multiLevelType w:val="hybridMultilevel"/>
    <w:tmpl w:val="EA1029B4"/>
    <w:lvl w:ilvl="0" w:tplc="1174EC28">
      <w:start w:val="1"/>
      <w:numFmt w:val="decimal"/>
      <w:lvlText w:val="%1."/>
      <w:lvlJc w:val="left"/>
      <w:pPr>
        <w:ind w:left="1080" w:hanging="360"/>
      </w:pPr>
      <w:rPr>
        <w:rFonts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9" w15:restartNumberingAfterBreak="0">
    <w:nsid w:val="5B940A8B"/>
    <w:multiLevelType w:val="hybridMultilevel"/>
    <w:tmpl w:val="6C045D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6B0A1E70"/>
    <w:multiLevelType w:val="hybridMultilevel"/>
    <w:tmpl w:val="CF7EBDC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71B27820"/>
    <w:multiLevelType w:val="hybridMultilevel"/>
    <w:tmpl w:val="7108C1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74C45B97"/>
    <w:multiLevelType w:val="hybridMultilevel"/>
    <w:tmpl w:val="07F6A57E"/>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15:restartNumberingAfterBreak="0">
    <w:nsid w:val="766D1754"/>
    <w:multiLevelType w:val="hybridMultilevel"/>
    <w:tmpl w:val="728AA336"/>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7B042D2F"/>
    <w:multiLevelType w:val="hybridMultilevel"/>
    <w:tmpl w:val="4482B69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6" w15:restartNumberingAfterBreak="0">
    <w:nsid w:val="7D306B01"/>
    <w:multiLevelType w:val="hybridMultilevel"/>
    <w:tmpl w:val="9BE4F1AE"/>
    <w:lvl w:ilvl="0" w:tplc="071C361E">
      <w:start w:val="201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6"/>
  </w:num>
  <w:num w:numId="4">
    <w:abstractNumId w:val="3"/>
  </w:num>
  <w:num w:numId="5">
    <w:abstractNumId w:val="26"/>
  </w:num>
  <w:num w:numId="6">
    <w:abstractNumId w:val="10"/>
  </w:num>
  <w:num w:numId="7">
    <w:abstractNumId w:val="7"/>
  </w:num>
  <w:num w:numId="8">
    <w:abstractNumId w:val="6"/>
  </w:num>
  <w:num w:numId="9">
    <w:abstractNumId w:val="14"/>
  </w:num>
  <w:num w:numId="10">
    <w:abstractNumId w:val="9"/>
  </w:num>
  <w:num w:numId="11">
    <w:abstractNumId w:val="22"/>
  </w:num>
  <w:num w:numId="12">
    <w:abstractNumId w:val="21"/>
  </w:num>
  <w:num w:numId="13">
    <w:abstractNumId w:val="1"/>
  </w:num>
  <w:num w:numId="14">
    <w:abstractNumId w:val="23"/>
  </w:num>
  <w:num w:numId="15">
    <w:abstractNumId w:val="18"/>
  </w:num>
  <w:num w:numId="16">
    <w:abstractNumId w:val="5"/>
  </w:num>
  <w:num w:numId="17">
    <w:abstractNumId w:val="2"/>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19"/>
  </w:num>
  <w:num w:numId="23">
    <w:abstractNumId w:val="0"/>
  </w:num>
  <w:num w:numId="24">
    <w:abstractNumId w:val="11"/>
  </w:num>
  <w:num w:numId="25">
    <w:abstractNumId w:val="27"/>
  </w:num>
  <w:num w:numId="26">
    <w:abstractNumId w:val="24"/>
  </w:num>
  <w:num w:numId="27">
    <w:abstractNumId w:val="4"/>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D"/>
    <w:rsid w:val="0000279B"/>
    <w:rsid w:val="000037EF"/>
    <w:rsid w:val="00004A29"/>
    <w:rsid w:val="00004DC2"/>
    <w:rsid w:val="000102D0"/>
    <w:rsid w:val="00011009"/>
    <w:rsid w:val="000146A5"/>
    <w:rsid w:val="0001479D"/>
    <w:rsid w:val="00014EF9"/>
    <w:rsid w:val="00017573"/>
    <w:rsid w:val="000202C4"/>
    <w:rsid w:val="00020A54"/>
    <w:rsid w:val="000218E4"/>
    <w:rsid w:val="00022090"/>
    <w:rsid w:val="00023B9B"/>
    <w:rsid w:val="00025914"/>
    <w:rsid w:val="00025E27"/>
    <w:rsid w:val="00030F3B"/>
    <w:rsid w:val="00032ECB"/>
    <w:rsid w:val="00033317"/>
    <w:rsid w:val="000360E0"/>
    <w:rsid w:val="00037142"/>
    <w:rsid w:val="000428F3"/>
    <w:rsid w:val="00043185"/>
    <w:rsid w:val="000446C3"/>
    <w:rsid w:val="00044B8F"/>
    <w:rsid w:val="00051051"/>
    <w:rsid w:val="00052DB1"/>
    <w:rsid w:val="00052DBD"/>
    <w:rsid w:val="00052EE7"/>
    <w:rsid w:val="00055163"/>
    <w:rsid w:val="000615FB"/>
    <w:rsid w:val="0006199A"/>
    <w:rsid w:val="00061BAE"/>
    <w:rsid w:val="00062716"/>
    <w:rsid w:val="00062BB8"/>
    <w:rsid w:val="00064896"/>
    <w:rsid w:val="00064B05"/>
    <w:rsid w:val="000652DE"/>
    <w:rsid w:val="0006628E"/>
    <w:rsid w:val="00066D0C"/>
    <w:rsid w:val="00067C80"/>
    <w:rsid w:val="00067D3D"/>
    <w:rsid w:val="0007086E"/>
    <w:rsid w:val="000735AF"/>
    <w:rsid w:val="00081520"/>
    <w:rsid w:val="00081E78"/>
    <w:rsid w:val="000830CB"/>
    <w:rsid w:val="00083BF1"/>
    <w:rsid w:val="00085DF8"/>
    <w:rsid w:val="00086944"/>
    <w:rsid w:val="00086B4B"/>
    <w:rsid w:val="00090C9C"/>
    <w:rsid w:val="000915C8"/>
    <w:rsid w:val="000915E4"/>
    <w:rsid w:val="00094984"/>
    <w:rsid w:val="00096480"/>
    <w:rsid w:val="00096FBD"/>
    <w:rsid w:val="0009796C"/>
    <w:rsid w:val="000A0883"/>
    <w:rsid w:val="000A388B"/>
    <w:rsid w:val="000A45A1"/>
    <w:rsid w:val="000A488B"/>
    <w:rsid w:val="000B3282"/>
    <w:rsid w:val="000B494E"/>
    <w:rsid w:val="000B6620"/>
    <w:rsid w:val="000B7EB3"/>
    <w:rsid w:val="000C0211"/>
    <w:rsid w:val="000C205B"/>
    <w:rsid w:val="000C45CB"/>
    <w:rsid w:val="000C45D9"/>
    <w:rsid w:val="000C5FBE"/>
    <w:rsid w:val="000D07E2"/>
    <w:rsid w:val="000D3651"/>
    <w:rsid w:val="000D40DE"/>
    <w:rsid w:val="000D6132"/>
    <w:rsid w:val="000D7133"/>
    <w:rsid w:val="000E01A4"/>
    <w:rsid w:val="000E0508"/>
    <w:rsid w:val="000E258A"/>
    <w:rsid w:val="000E35C8"/>
    <w:rsid w:val="000E6714"/>
    <w:rsid w:val="000F05F1"/>
    <w:rsid w:val="000F0645"/>
    <w:rsid w:val="000F0976"/>
    <w:rsid w:val="000F0CEC"/>
    <w:rsid w:val="000F13E8"/>
    <w:rsid w:val="000F1AFB"/>
    <w:rsid w:val="000F2CC8"/>
    <w:rsid w:val="000F460A"/>
    <w:rsid w:val="000F49D2"/>
    <w:rsid w:val="000F4EE1"/>
    <w:rsid w:val="000F6631"/>
    <w:rsid w:val="000F6714"/>
    <w:rsid w:val="000F75D7"/>
    <w:rsid w:val="00101652"/>
    <w:rsid w:val="00104229"/>
    <w:rsid w:val="00104BCC"/>
    <w:rsid w:val="00106B9F"/>
    <w:rsid w:val="00107767"/>
    <w:rsid w:val="00107C39"/>
    <w:rsid w:val="001106EC"/>
    <w:rsid w:val="0011279A"/>
    <w:rsid w:val="001130E0"/>
    <w:rsid w:val="00114616"/>
    <w:rsid w:val="00114776"/>
    <w:rsid w:val="00115D0D"/>
    <w:rsid w:val="001218CD"/>
    <w:rsid w:val="00121DB5"/>
    <w:rsid w:val="001224F9"/>
    <w:rsid w:val="0012331E"/>
    <w:rsid w:val="001261A9"/>
    <w:rsid w:val="001304C1"/>
    <w:rsid w:val="00132927"/>
    <w:rsid w:val="00132D19"/>
    <w:rsid w:val="00133899"/>
    <w:rsid w:val="0013412B"/>
    <w:rsid w:val="001351DD"/>
    <w:rsid w:val="00135A13"/>
    <w:rsid w:val="0013777B"/>
    <w:rsid w:val="00141CE0"/>
    <w:rsid w:val="00143FCD"/>
    <w:rsid w:val="00145B27"/>
    <w:rsid w:val="00147046"/>
    <w:rsid w:val="00150442"/>
    <w:rsid w:val="0015238F"/>
    <w:rsid w:val="00153937"/>
    <w:rsid w:val="001555CF"/>
    <w:rsid w:val="0015623C"/>
    <w:rsid w:val="00157581"/>
    <w:rsid w:val="00157E21"/>
    <w:rsid w:val="001635FC"/>
    <w:rsid w:val="00163822"/>
    <w:rsid w:val="00164007"/>
    <w:rsid w:val="00164613"/>
    <w:rsid w:val="00166761"/>
    <w:rsid w:val="001672D5"/>
    <w:rsid w:val="00170835"/>
    <w:rsid w:val="00174B50"/>
    <w:rsid w:val="00175142"/>
    <w:rsid w:val="00175925"/>
    <w:rsid w:val="0017625F"/>
    <w:rsid w:val="001767DB"/>
    <w:rsid w:val="00177CC8"/>
    <w:rsid w:val="001800B5"/>
    <w:rsid w:val="00180A63"/>
    <w:rsid w:val="00182206"/>
    <w:rsid w:val="001864CE"/>
    <w:rsid w:val="00186D70"/>
    <w:rsid w:val="0018768E"/>
    <w:rsid w:val="00190529"/>
    <w:rsid w:val="001906FF"/>
    <w:rsid w:val="00190784"/>
    <w:rsid w:val="001924F3"/>
    <w:rsid w:val="00193707"/>
    <w:rsid w:val="001953B7"/>
    <w:rsid w:val="001967A7"/>
    <w:rsid w:val="00196AFB"/>
    <w:rsid w:val="00197BF1"/>
    <w:rsid w:val="001A2FBE"/>
    <w:rsid w:val="001B01B9"/>
    <w:rsid w:val="001B2034"/>
    <w:rsid w:val="001B34D7"/>
    <w:rsid w:val="001B657B"/>
    <w:rsid w:val="001C18D9"/>
    <w:rsid w:val="001C220C"/>
    <w:rsid w:val="001C2708"/>
    <w:rsid w:val="001C3644"/>
    <w:rsid w:val="001C37C1"/>
    <w:rsid w:val="001C3BD6"/>
    <w:rsid w:val="001C596A"/>
    <w:rsid w:val="001C68B5"/>
    <w:rsid w:val="001C7C21"/>
    <w:rsid w:val="001D03A3"/>
    <w:rsid w:val="001D339A"/>
    <w:rsid w:val="001D63C1"/>
    <w:rsid w:val="001D7E32"/>
    <w:rsid w:val="001E0B82"/>
    <w:rsid w:val="001E1091"/>
    <w:rsid w:val="001E236D"/>
    <w:rsid w:val="001E2662"/>
    <w:rsid w:val="001E28F7"/>
    <w:rsid w:val="001E4C8B"/>
    <w:rsid w:val="001E5C2B"/>
    <w:rsid w:val="001E5EB7"/>
    <w:rsid w:val="001E7116"/>
    <w:rsid w:val="001E7605"/>
    <w:rsid w:val="001F6B3A"/>
    <w:rsid w:val="001F734B"/>
    <w:rsid w:val="0020581F"/>
    <w:rsid w:val="00205BED"/>
    <w:rsid w:val="00207C28"/>
    <w:rsid w:val="00210C11"/>
    <w:rsid w:val="00213F7F"/>
    <w:rsid w:val="002205DA"/>
    <w:rsid w:val="00221737"/>
    <w:rsid w:val="00222A73"/>
    <w:rsid w:val="002231A2"/>
    <w:rsid w:val="002237F4"/>
    <w:rsid w:val="00223941"/>
    <w:rsid w:val="00224637"/>
    <w:rsid w:val="00233052"/>
    <w:rsid w:val="00234D4F"/>
    <w:rsid w:val="0023606E"/>
    <w:rsid w:val="00242B4A"/>
    <w:rsid w:val="00244507"/>
    <w:rsid w:val="00246CBB"/>
    <w:rsid w:val="0025020C"/>
    <w:rsid w:val="00250FFF"/>
    <w:rsid w:val="00252BB9"/>
    <w:rsid w:val="00254173"/>
    <w:rsid w:val="00256CB7"/>
    <w:rsid w:val="0026027C"/>
    <w:rsid w:val="0026057C"/>
    <w:rsid w:val="00261690"/>
    <w:rsid w:val="00262849"/>
    <w:rsid w:val="002648CE"/>
    <w:rsid w:val="00265B78"/>
    <w:rsid w:val="00266309"/>
    <w:rsid w:val="00270F41"/>
    <w:rsid w:val="00274449"/>
    <w:rsid w:val="002765D6"/>
    <w:rsid w:val="00276765"/>
    <w:rsid w:val="00280FEF"/>
    <w:rsid w:val="00285083"/>
    <w:rsid w:val="002900A6"/>
    <w:rsid w:val="00290D97"/>
    <w:rsid w:val="002920CA"/>
    <w:rsid w:val="0029370F"/>
    <w:rsid w:val="00295A33"/>
    <w:rsid w:val="00297DDA"/>
    <w:rsid w:val="00297E65"/>
    <w:rsid w:val="002A0332"/>
    <w:rsid w:val="002A04DD"/>
    <w:rsid w:val="002A1B95"/>
    <w:rsid w:val="002A4294"/>
    <w:rsid w:val="002A518F"/>
    <w:rsid w:val="002A7890"/>
    <w:rsid w:val="002B2C11"/>
    <w:rsid w:val="002B6D89"/>
    <w:rsid w:val="002C0CF5"/>
    <w:rsid w:val="002C56BD"/>
    <w:rsid w:val="002D2D6B"/>
    <w:rsid w:val="002D396D"/>
    <w:rsid w:val="002D3C75"/>
    <w:rsid w:val="002D512C"/>
    <w:rsid w:val="002D56D4"/>
    <w:rsid w:val="002E0141"/>
    <w:rsid w:val="002E0E0F"/>
    <w:rsid w:val="002E256D"/>
    <w:rsid w:val="002E2627"/>
    <w:rsid w:val="002E2707"/>
    <w:rsid w:val="002E2819"/>
    <w:rsid w:val="002E2846"/>
    <w:rsid w:val="002E35E1"/>
    <w:rsid w:val="002E39F1"/>
    <w:rsid w:val="002E3B8C"/>
    <w:rsid w:val="002E4033"/>
    <w:rsid w:val="002E5DD8"/>
    <w:rsid w:val="002E65BD"/>
    <w:rsid w:val="002E7046"/>
    <w:rsid w:val="002F0044"/>
    <w:rsid w:val="002F556A"/>
    <w:rsid w:val="002F5A60"/>
    <w:rsid w:val="00300207"/>
    <w:rsid w:val="0030095F"/>
    <w:rsid w:val="003019EB"/>
    <w:rsid w:val="00301FDF"/>
    <w:rsid w:val="003030A7"/>
    <w:rsid w:val="00304798"/>
    <w:rsid w:val="00304E9C"/>
    <w:rsid w:val="00306069"/>
    <w:rsid w:val="00307197"/>
    <w:rsid w:val="003079EC"/>
    <w:rsid w:val="00307BF2"/>
    <w:rsid w:val="003105D9"/>
    <w:rsid w:val="00310CAD"/>
    <w:rsid w:val="00312418"/>
    <w:rsid w:val="00312862"/>
    <w:rsid w:val="003131DA"/>
    <w:rsid w:val="00313C71"/>
    <w:rsid w:val="00313EBA"/>
    <w:rsid w:val="003140BC"/>
    <w:rsid w:val="00314DD4"/>
    <w:rsid w:val="00315983"/>
    <w:rsid w:val="00321222"/>
    <w:rsid w:val="00321919"/>
    <w:rsid w:val="00322042"/>
    <w:rsid w:val="0032228F"/>
    <w:rsid w:val="0032279A"/>
    <w:rsid w:val="00324D8A"/>
    <w:rsid w:val="0032582D"/>
    <w:rsid w:val="00325E48"/>
    <w:rsid w:val="003319E4"/>
    <w:rsid w:val="00332AE5"/>
    <w:rsid w:val="00335649"/>
    <w:rsid w:val="00336958"/>
    <w:rsid w:val="00336B3D"/>
    <w:rsid w:val="00336C66"/>
    <w:rsid w:val="00336D40"/>
    <w:rsid w:val="003370C6"/>
    <w:rsid w:val="0033711E"/>
    <w:rsid w:val="00337156"/>
    <w:rsid w:val="003405DB"/>
    <w:rsid w:val="00340B24"/>
    <w:rsid w:val="00340DF7"/>
    <w:rsid w:val="00343A25"/>
    <w:rsid w:val="003442D7"/>
    <w:rsid w:val="003444DF"/>
    <w:rsid w:val="003459D6"/>
    <w:rsid w:val="003461BF"/>
    <w:rsid w:val="00346DC4"/>
    <w:rsid w:val="00347AD0"/>
    <w:rsid w:val="00347D04"/>
    <w:rsid w:val="00351C4D"/>
    <w:rsid w:val="0035282A"/>
    <w:rsid w:val="0035404C"/>
    <w:rsid w:val="003540F5"/>
    <w:rsid w:val="003552A1"/>
    <w:rsid w:val="00356D2C"/>
    <w:rsid w:val="003576D2"/>
    <w:rsid w:val="00362779"/>
    <w:rsid w:val="00363CC7"/>
    <w:rsid w:val="00364D0C"/>
    <w:rsid w:val="00364F00"/>
    <w:rsid w:val="003671AA"/>
    <w:rsid w:val="00367319"/>
    <w:rsid w:val="0037079B"/>
    <w:rsid w:val="00374679"/>
    <w:rsid w:val="0038703A"/>
    <w:rsid w:val="00390A86"/>
    <w:rsid w:val="00392616"/>
    <w:rsid w:val="00393E38"/>
    <w:rsid w:val="003945DF"/>
    <w:rsid w:val="003A2318"/>
    <w:rsid w:val="003A3D0B"/>
    <w:rsid w:val="003A5D6A"/>
    <w:rsid w:val="003A601D"/>
    <w:rsid w:val="003A618F"/>
    <w:rsid w:val="003B2BB1"/>
    <w:rsid w:val="003B3A93"/>
    <w:rsid w:val="003B450E"/>
    <w:rsid w:val="003B4583"/>
    <w:rsid w:val="003B4E8D"/>
    <w:rsid w:val="003B5D90"/>
    <w:rsid w:val="003B7BE9"/>
    <w:rsid w:val="003C6336"/>
    <w:rsid w:val="003C635E"/>
    <w:rsid w:val="003D02EE"/>
    <w:rsid w:val="003D0A2F"/>
    <w:rsid w:val="003D16F0"/>
    <w:rsid w:val="003D2496"/>
    <w:rsid w:val="003D2958"/>
    <w:rsid w:val="003D3239"/>
    <w:rsid w:val="003D796A"/>
    <w:rsid w:val="003E03B1"/>
    <w:rsid w:val="003E100D"/>
    <w:rsid w:val="003E2099"/>
    <w:rsid w:val="003E4AE1"/>
    <w:rsid w:val="003E688B"/>
    <w:rsid w:val="003E6D42"/>
    <w:rsid w:val="003F0152"/>
    <w:rsid w:val="003F0BD0"/>
    <w:rsid w:val="003F1A34"/>
    <w:rsid w:val="003F3A77"/>
    <w:rsid w:val="003F5CC7"/>
    <w:rsid w:val="003F6806"/>
    <w:rsid w:val="004025F8"/>
    <w:rsid w:val="00402D20"/>
    <w:rsid w:val="00403C43"/>
    <w:rsid w:val="00404A7D"/>
    <w:rsid w:val="004056AF"/>
    <w:rsid w:val="00406291"/>
    <w:rsid w:val="00407AA3"/>
    <w:rsid w:val="00407F52"/>
    <w:rsid w:val="004115A7"/>
    <w:rsid w:val="00415A5D"/>
    <w:rsid w:val="00415FEB"/>
    <w:rsid w:val="00416D15"/>
    <w:rsid w:val="00420914"/>
    <w:rsid w:val="004211F9"/>
    <w:rsid w:val="004224A4"/>
    <w:rsid w:val="00422591"/>
    <w:rsid w:val="0042376B"/>
    <w:rsid w:val="00427CE0"/>
    <w:rsid w:val="00430E61"/>
    <w:rsid w:val="004316FA"/>
    <w:rsid w:val="00432456"/>
    <w:rsid w:val="00432CAA"/>
    <w:rsid w:val="00433974"/>
    <w:rsid w:val="00434261"/>
    <w:rsid w:val="004359E1"/>
    <w:rsid w:val="00436029"/>
    <w:rsid w:val="00436C67"/>
    <w:rsid w:val="00436F94"/>
    <w:rsid w:val="00440106"/>
    <w:rsid w:val="00440FE3"/>
    <w:rsid w:val="004427C8"/>
    <w:rsid w:val="00442AD8"/>
    <w:rsid w:val="00444213"/>
    <w:rsid w:val="00445FA0"/>
    <w:rsid w:val="0044606C"/>
    <w:rsid w:val="00447E34"/>
    <w:rsid w:val="00450227"/>
    <w:rsid w:val="004519CA"/>
    <w:rsid w:val="00454F98"/>
    <w:rsid w:val="004555CF"/>
    <w:rsid w:val="004557F7"/>
    <w:rsid w:val="00456F13"/>
    <w:rsid w:val="00461CB3"/>
    <w:rsid w:val="00463788"/>
    <w:rsid w:val="0046593C"/>
    <w:rsid w:val="004673CB"/>
    <w:rsid w:val="00467DF4"/>
    <w:rsid w:val="00470AD4"/>
    <w:rsid w:val="00471344"/>
    <w:rsid w:val="004714A3"/>
    <w:rsid w:val="00473D12"/>
    <w:rsid w:val="00477BB4"/>
    <w:rsid w:val="00480B7D"/>
    <w:rsid w:val="004836DB"/>
    <w:rsid w:val="00490CAA"/>
    <w:rsid w:val="004916BF"/>
    <w:rsid w:val="004932FC"/>
    <w:rsid w:val="00497A4C"/>
    <w:rsid w:val="004A1025"/>
    <w:rsid w:val="004A21C1"/>
    <w:rsid w:val="004A437D"/>
    <w:rsid w:val="004A5200"/>
    <w:rsid w:val="004A7194"/>
    <w:rsid w:val="004B2DD6"/>
    <w:rsid w:val="004B3439"/>
    <w:rsid w:val="004B3B4B"/>
    <w:rsid w:val="004B49C0"/>
    <w:rsid w:val="004B5C7B"/>
    <w:rsid w:val="004B67DD"/>
    <w:rsid w:val="004C164F"/>
    <w:rsid w:val="004C2927"/>
    <w:rsid w:val="004C3723"/>
    <w:rsid w:val="004C42C7"/>
    <w:rsid w:val="004C7C69"/>
    <w:rsid w:val="004D1837"/>
    <w:rsid w:val="004D1925"/>
    <w:rsid w:val="004D1D66"/>
    <w:rsid w:val="004D1E5F"/>
    <w:rsid w:val="004D510B"/>
    <w:rsid w:val="004D5601"/>
    <w:rsid w:val="004D56B4"/>
    <w:rsid w:val="004D679A"/>
    <w:rsid w:val="004D6962"/>
    <w:rsid w:val="004D6D48"/>
    <w:rsid w:val="004E0E73"/>
    <w:rsid w:val="004E178E"/>
    <w:rsid w:val="004E298E"/>
    <w:rsid w:val="004E4357"/>
    <w:rsid w:val="004E4AB2"/>
    <w:rsid w:val="004E4E93"/>
    <w:rsid w:val="004E5632"/>
    <w:rsid w:val="004E7747"/>
    <w:rsid w:val="004F1BAA"/>
    <w:rsid w:val="004F33E6"/>
    <w:rsid w:val="004F408F"/>
    <w:rsid w:val="004F6CD7"/>
    <w:rsid w:val="004F77A2"/>
    <w:rsid w:val="00502FD1"/>
    <w:rsid w:val="00503509"/>
    <w:rsid w:val="005047E7"/>
    <w:rsid w:val="00506166"/>
    <w:rsid w:val="00506A83"/>
    <w:rsid w:val="00506D20"/>
    <w:rsid w:val="00510804"/>
    <w:rsid w:val="00511646"/>
    <w:rsid w:val="00517DFB"/>
    <w:rsid w:val="00524E28"/>
    <w:rsid w:val="00530288"/>
    <w:rsid w:val="0053070B"/>
    <w:rsid w:val="0053086F"/>
    <w:rsid w:val="00531564"/>
    <w:rsid w:val="00531F25"/>
    <w:rsid w:val="00532B8D"/>
    <w:rsid w:val="005348D5"/>
    <w:rsid w:val="00536E71"/>
    <w:rsid w:val="00540D2D"/>
    <w:rsid w:val="00541BA8"/>
    <w:rsid w:val="005448EC"/>
    <w:rsid w:val="00545F34"/>
    <w:rsid w:val="00547D82"/>
    <w:rsid w:val="00550F63"/>
    <w:rsid w:val="00552AE0"/>
    <w:rsid w:val="005535BC"/>
    <w:rsid w:val="00553601"/>
    <w:rsid w:val="00553900"/>
    <w:rsid w:val="00555101"/>
    <w:rsid w:val="00555326"/>
    <w:rsid w:val="00556C09"/>
    <w:rsid w:val="00561ED2"/>
    <w:rsid w:val="00562345"/>
    <w:rsid w:val="00563AE6"/>
    <w:rsid w:val="00566FC1"/>
    <w:rsid w:val="005673A7"/>
    <w:rsid w:val="005674F3"/>
    <w:rsid w:val="005709C4"/>
    <w:rsid w:val="005709F1"/>
    <w:rsid w:val="00570A24"/>
    <w:rsid w:val="005715C1"/>
    <w:rsid w:val="00582390"/>
    <w:rsid w:val="00582E23"/>
    <w:rsid w:val="0058582B"/>
    <w:rsid w:val="00585E3A"/>
    <w:rsid w:val="005866ED"/>
    <w:rsid w:val="0058760A"/>
    <w:rsid w:val="00590954"/>
    <w:rsid w:val="00591262"/>
    <w:rsid w:val="00593B7D"/>
    <w:rsid w:val="00596F8D"/>
    <w:rsid w:val="005A1C38"/>
    <w:rsid w:val="005A1F0A"/>
    <w:rsid w:val="005A21EB"/>
    <w:rsid w:val="005A4164"/>
    <w:rsid w:val="005A6D23"/>
    <w:rsid w:val="005A6D47"/>
    <w:rsid w:val="005B0481"/>
    <w:rsid w:val="005B0980"/>
    <w:rsid w:val="005B0ABD"/>
    <w:rsid w:val="005B49D0"/>
    <w:rsid w:val="005B70C8"/>
    <w:rsid w:val="005B78FE"/>
    <w:rsid w:val="005B7E2A"/>
    <w:rsid w:val="005C5D0D"/>
    <w:rsid w:val="005C7988"/>
    <w:rsid w:val="005D13A6"/>
    <w:rsid w:val="005D220A"/>
    <w:rsid w:val="005D6A2E"/>
    <w:rsid w:val="005E0EBE"/>
    <w:rsid w:val="005E1A9A"/>
    <w:rsid w:val="005E24B7"/>
    <w:rsid w:val="005E3B49"/>
    <w:rsid w:val="005F0D50"/>
    <w:rsid w:val="005F0DC0"/>
    <w:rsid w:val="005F1D4B"/>
    <w:rsid w:val="005F3652"/>
    <w:rsid w:val="005F486C"/>
    <w:rsid w:val="005F615F"/>
    <w:rsid w:val="00600038"/>
    <w:rsid w:val="006013DD"/>
    <w:rsid w:val="00602DDD"/>
    <w:rsid w:val="006035F3"/>
    <w:rsid w:val="0060390C"/>
    <w:rsid w:val="00604709"/>
    <w:rsid w:val="0060580D"/>
    <w:rsid w:val="0060691A"/>
    <w:rsid w:val="0061060D"/>
    <w:rsid w:val="00611193"/>
    <w:rsid w:val="0061149F"/>
    <w:rsid w:val="0061268A"/>
    <w:rsid w:val="006127C4"/>
    <w:rsid w:val="00615E2A"/>
    <w:rsid w:val="00616AB0"/>
    <w:rsid w:val="0061797D"/>
    <w:rsid w:val="00617FEF"/>
    <w:rsid w:val="00621B84"/>
    <w:rsid w:val="00621C8A"/>
    <w:rsid w:val="0062206B"/>
    <w:rsid w:val="00622C9A"/>
    <w:rsid w:val="00624926"/>
    <w:rsid w:val="00624DB1"/>
    <w:rsid w:val="00625915"/>
    <w:rsid w:val="006270F5"/>
    <w:rsid w:val="00631BA2"/>
    <w:rsid w:val="006338A2"/>
    <w:rsid w:val="00635EF9"/>
    <w:rsid w:val="0063626B"/>
    <w:rsid w:val="00636CA1"/>
    <w:rsid w:val="006431F0"/>
    <w:rsid w:val="006434D8"/>
    <w:rsid w:val="00644321"/>
    <w:rsid w:val="006447EF"/>
    <w:rsid w:val="00646A57"/>
    <w:rsid w:val="00647116"/>
    <w:rsid w:val="00647B24"/>
    <w:rsid w:val="00650200"/>
    <w:rsid w:val="00651BD9"/>
    <w:rsid w:val="00652185"/>
    <w:rsid w:val="006529AF"/>
    <w:rsid w:val="00655658"/>
    <w:rsid w:val="00657C5C"/>
    <w:rsid w:val="00657F3A"/>
    <w:rsid w:val="00662125"/>
    <w:rsid w:val="00662C0E"/>
    <w:rsid w:val="006640DF"/>
    <w:rsid w:val="00665599"/>
    <w:rsid w:val="00665AB1"/>
    <w:rsid w:val="00667C0E"/>
    <w:rsid w:val="006700AA"/>
    <w:rsid w:val="00670857"/>
    <w:rsid w:val="0067234F"/>
    <w:rsid w:val="006728E4"/>
    <w:rsid w:val="00675739"/>
    <w:rsid w:val="006760F8"/>
    <w:rsid w:val="006778BF"/>
    <w:rsid w:val="00677EC7"/>
    <w:rsid w:val="0068048F"/>
    <w:rsid w:val="00686A6E"/>
    <w:rsid w:val="0069219D"/>
    <w:rsid w:val="0069472F"/>
    <w:rsid w:val="006A51AF"/>
    <w:rsid w:val="006A6DAC"/>
    <w:rsid w:val="006B195A"/>
    <w:rsid w:val="006B2D1F"/>
    <w:rsid w:val="006B2EC5"/>
    <w:rsid w:val="006B3BC8"/>
    <w:rsid w:val="006B4755"/>
    <w:rsid w:val="006B4B1E"/>
    <w:rsid w:val="006B54A8"/>
    <w:rsid w:val="006B7034"/>
    <w:rsid w:val="006C0D85"/>
    <w:rsid w:val="006C29D9"/>
    <w:rsid w:val="006C32F8"/>
    <w:rsid w:val="006C4E5C"/>
    <w:rsid w:val="006C7F9E"/>
    <w:rsid w:val="006D0D12"/>
    <w:rsid w:val="006D0DF1"/>
    <w:rsid w:val="006D0FF4"/>
    <w:rsid w:val="006D1164"/>
    <w:rsid w:val="006D7AED"/>
    <w:rsid w:val="006D7DB2"/>
    <w:rsid w:val="006E1FA6"/>
    <w:rsid w:val="006E223E"/>
    <w:rsid w:val="006E3038"/>
    <w:rsid w:val="006E30AD"/>
    <w:rsid w:val="006E6120"/>
    <w:rsid w:val="006E7158"/>
    <w:rsid w:val="006E7E46"/>
    <w:rsid w:val="006F1F3C"/>
    <w:rsid w:val="006F2296"/>
    <w:rsid w:val="006F2299"/>
    <w:rsid w:val="006F26E2"/>
    <w:rsid w:val="006F7629"/>
    <w:rsid w:val="007004B0"/>
    <w:rsid w:val="00700DA8"/>
    <w:rsid w:val="00701821"/>
    <w:rsid w:val="00701B17"/>
    <w:rsid w:val="00702185"/>
    <w:rsid w:val="007057D1"/>
    <w:rsid w:val="0070602D"/>
    <w:rsid w:val="0071021D"/>
    <w:rsid w:val="007118D5"/>
    <w:rsid w:val="007150D3"/>
    <w:rsid w:val="00716641"/>
    <w:rsid w:val="00716B30"/>
    <w:rsid w:val="00716E0D"/>
    <w:rsid w:val="00717C8A"/>
    <w:rsid w:val="007214A2"/>
    <w:rsid w:val="00721678"/>
    <w:rsid w:val="0072264D"/>
    <w:rsid w:val="00722FB7"/>
    <w:rsid w:val="00726446"/>
    <w:rsid w:val="00727A97"/>
    <w:rsid w:val="00734097"/>
    <w:rsid w:val="00734634"/>
    <w:rsid w:val="00735EB9"/>
    <w:rsid w:val="00735F1A"/>
    <w:rsid w:val="00736435"/>
    <w:rsid w:val="00736B2A"/>
    <w:rsid w:val="007378F6"/>
    <w:rsid w:val="00740E61"/>
    <w:rsid w:val="007417EE"/>
    <w:rsid w:val="007418E1"/>
    <w:rsid w:val="00741A68"/>
    <w:rsid w:val="00741F4D"/>
    <w:rsid w:val="00742DE1"/>
    <w:rsid w:val="007443B5"/>
    <w:rsid w:val="00744BE8"/>
    <w:rsid w:val="00746D0F"/>
    <w:rsid w:val="00747124"/>
    <w:rsid w:val="00750612"/>
    <w:rsid w:val="007521DF"/>
    <w:rsid w:val="007552DE"/>
    <w:rsid w:val="00757037"/>
    <w:rsid w:val="00760DA7"/>
    <w:rsid w:val="00763BB6"/>
    <w:rsid w:val="00764713"/>
    <w:rsid w:val="00764CEC"/>
    <w:rsid w:val="007657FE"/>
    <w:rsid w:val="0076615E"/>
    <w:rsid w:val="0076629E"/>
    <w:rsid w:val="00767783"/>
    <w:rsid w:val="0077090E"/>
    <w:rsid w:val="0077556D"/>
    <w:rsid w:val="00775A30"/>
    <w:rsid w:val="00777D8B"/>
    <w:rsid w:val="00784370"/>
    <w:rsid w:val="00784DEA"/>
    <w:rsid w:val="007852B9"/>
    <w:rsid w:val="00787FA7"/>
    <w:rsid w:val="00790104"/>
    <w:rsid w:val="007901D4"/>
    <w:rsid w:val="007936FF"/>
    <w:rsid w:val="00793ED4"/>
    <w:rsid w:val="007977E2"/>
    <w:rsid w:val="00797A01"/>
    <w:rsid w:val="007A041E"/>
    <w:rsid w:val="007A1273"/>
    <w:rsid w:val="007A29B0"/>
    <w:rsid w:val="007A2B5C"/>
    <w:rsid w:val="007A62C7"/>
    <w:rsid w:val="007B2B63"/>
    <w:rsid w:val="007B36E7"/>
    <w:rsid w:val="007B3D9C"/>
    <w:rsid w:val="007B54AB"/>
    <w:rsid w:val="007B743B"/>
    <w:rsid w:val="007C192C"/>
    <w:rsid w:val="007C2981"/>
    <w:rsid w:val="007C5BFA"/>
    <w:rsid w:val="007C5F73"/>
    <w:rsid w:val="007C7EA1"/>
    <w:rsid w:val="007D057D"/>
    <w:rsid w:val="007D14E6"/>
    <w:rsid w:val="007E017B"/>
    <w:rsid w:val="007E0642"/>
    <w:rsid w:val="007F29D0"/>
    <w:rsid w:val="007F30FF"/>
    <w:rsid w:val="007F7B47"/>
    <w:rsid w:val="00800730"/>
    <w:rsid w:val="0080098E"/>
    <w:rsid w:val="00800CFA"/>
    <w:rsid w:val="008025D8"/>
    <w:rsid w:val="008029E4"/>
    <w:rsid w:val="00803C6E"/>
    <w:rsid w:val="0080505B"/>
    <w:rsid w:val="0080534A"/>
    <w:rsid w:val="008057E8"/>
    <w:rsid w:val="008107FE"/>
    <w:rsid w:val="0081346B"/>
    <w:rsid w:val="00815509"/>
    <w:rsid w:val="0081628F"/>
    <w:rsid w:val="008162FC"/>
    <w:rsid w:val="00822104"/>
    <w:rsid w:val="00822539"/>
    <w:rsid w:val="00823BCA"/>
    <w:rsid w:val="008243E2"/>
    <w:rsid w:val="00826AA6"/>
    <w:rsid w:val="00830E8B"/>
    <w:rsid w:val="0083359A"/>
    <w:rsid w:val="0083521C"/>
    <w:rsid w:val="0083602E"/>
    <w:rsid w:val="0083785F"/>
    <w:rsid w:val="008378D1"/>
    <w:rsid w:val="00842941"/>
    <w:rsid w:val="008463BF"/>
    <w:rsid w:val="00846488"/>
    <w:rsid w:val="00847F5F"/>
    <w:rsid w:val="00851CC8"/>
    <w:rsid w:val="00853346"/>
    <w:rsid w:val="00855EF4"/>
    <w:rsid w:val="008562B4"/>
    <w:rsid w:val="00861F4B"/>
    <w:rsid w:val="008629B0"/>
    <w:rsid w:val="00863C4D"/>
    <w:rsid w:val="008661DF"/>
    <w:rsid w:val="008662A9"/>
    <w:rsid w:val="008673E0"/>
    <w:rsid w:val="008743E4"/>
    <w:rsid w:val="00875248"/>
    <w:rsid w:val="008753AB"/>
    <w:rsid w:val="0087766A"/>
    <w:rsid w:val="008836D1"/>
    <w:rsid w:val="00883E20"/>
    <w:rsid w:val="00884635"/>
    <w:rsid w:val="008847AA"/>
    <w:rsid w:val="00884E5A"/>
    <w:rsid w:val="00885BAD"/>
    <w:rsid w:val="00886006"/>
    <w:rsid w:val="00886318"/>
    <w:rsid w:val="00887348"/>
    <w:rsid w:val="00887595"/>
    <w:rsid w:val="00892329"/>
    <w:rsid w:val="008963C3"/>
    <w:rsid w:val="00896DE7"/>
    <w:rsid w:val="008A0D14"/>
    <w:rsid w:val="008A3461"/>
    <w:rsid w:val="008A3D31"/>
    <w:rsid w:val="008A3EAA"/>
    <w:rsid w:val="008A42E3"/>
    <w:rsid w:val="008A75FD"/>
    <w:rsid w:val="008B06DB"/>
    <w:rsid w:val="008B0B37"/>
    <w:rsid w:val="008B1665"/>
    <w:rsid w:val="008B37AD"/>
    <w:rsid w:val="008B4661"/>
    <w:rsid w:val="008B4CF6"/>
    <w:rsid w:val="008B577B"/>
    <w:rsid w:val="008B611F"/>
    <w:rsid w:val="008B691C"/>
    <w:rsid w:val="008C313F"/>
    <w:rsid w:val="008C3BFC"/>
    <w:rsid w:val="008C6137"/>
    <w:rsid w:val="008D247A"/>
    <w:rsid w:val="008E2898"/>
    <w:rsid w:val="008E28B4"/>
    <w:rsid w:val="008E3D18"/>
    <w:rsid w:val="008E40D7"/>
    <w:rsid w:val="008E46A9"/>
    <w:rsid w:val="008E61A3"/>
    <w:rsid w:val="008E734C"/>
    <w:rsid w:val="008E73AF"/>
    <w:rsid w:val="008F0C53"/>
    <w:rsid w:val="008F47E5"/>
    <w:rsid w:val="008F4B86"/>
    <w:rsid w:val="008F73B7"/>
    <w:rsid w:val="00901F8E"/>
    <w:rsid w:val="009020CE"/>
    <w:rsid w:val="00902F5B"/>
    <w:rsid w:val="00903F2C"/>
    <w:rsid w:val="00906BBB"/>
    <w:rsid w:val="0090797A"/>
    <w:rsid w:val="009104F5"/>
    <w:rsid w:val="00914654"/>
    <w:rsid w:val="0091469A"/>
    <w:rsid w:val="009151DD"/>
    <w:rsid w:val="00916313"/>
    <w:rsid w:val="00916A8E"/>
    <w:rsid w:val="00916C0C"/>
    <w:rsid w:val="0091783F"/>
    <w:rsid w:val="00920FAC"/>
    <w:rsid w:val="00921C18"/>
    <w:rsid w:val="009238B7"/>
    <w:rsid w:val="00926640"/>
    <w:rsid w:val="009267E9"/>
    <w:rsid w:val="00926F94"/>
    <w:rsid w:val="009326DC"/>
    <w:rsid w:val="00934636"/>
    <w:rsid w:val="00934D41"/>
    <w:rsid w:val="00934ECA"/>
    <w:rsid w:val="009364C8"/>
    <w:rsid w:val="00940A51"/>
    <w:rsid w:val="00943C98"/>
    <w:rsid w:val="00944E6F"/>
    <w:rsid w:val="00947ECC"/>
    <w:rsid w:val="00957AD9"/>
    <w:rsid w:val="00960694"/>
    <w:rsid w:val="009607E8"/>
    <w:rsid w:val="00961979"/>
    <w:rsid w:val="00962AC3"/>
    <w:rsid w:val="0096719D"/>
    <w:rsid w:val="00970CA5"/>
    <w:rsid w:val="0097255C"/>
    <w:rsid w:val="009736C6"/>
    <w:rsid w:val="009738A1"/>
    <w:rsid w:val="009762C4"/>
    <w:rsid w:val="00976C36"/>
    <w:rsid w:val="00980AA6"/>
    <w:rsid w:val="009811FF"/>
    <w:rsid w:val="00982866"/>
    <w:rsid w:val="00983722"/>
    <w:rsid w:val="00984AE5"/>
    <w:rsid w:val="00985E23"/>
    <w:rsid w:val="00987E64"/>
    <w:rsid w:val="00990E6B"/>
    <w:rsid w:val="0099161E"/>
    <w:rsid w:val="009926B0"/>
    <w:rsid w:val="00997630"/>
    <w:rsid w:val="0099791D"/>
    <w:rsid w:val="009A1529"/>
    <w:rsid w:val="009A1D84"/>
    <w:rsid w:val="009A3425"/>
    <w:rsid w:val="009A4B60"/>
    <w:rsid w:val="009A5E0A"/>
    <w:rsid w:val="009A79C0"/>
    <w:rsid w:val="009B155E"/>
    <w:rsid w:val="009B1B86"/>
    <w:rsid w:val="009B2773"/>
    <w:rsid w:val="009B3CA9"/>
    <w:rsid w:val="009B51FB"/>
    <w:rsid w:val="009B52B8"/>
    <w:rsid w:val="009B70F5"/>
    <w:rsid w:val="009B73CB"/>
    <w:rsid w:val="009C3535"/>
    <w:rsid w:val="009C59C7"/>
    <w:rsid w:val="009C7BF6"/>
    <w:rsid w:val="009D05A1"/>
    <w:rsid w:val="009D070C"/>
    <w:rsid w:val="009D14D4"/>
    <w:rsid w:val="009D1A16"/>
    <w:rsid w:val="009D2C51"/>
    <w:rsid w:val="009D355D"/>
    <w:rsid w:val="009D366F"/>
    <w:rsid w:val="009D6C80"/>
    <w:rsid w:val="009E09C1"/>
    <w:rsid w:val="009E41F9"/>
    <w:rsid w:val="009E43DE"/>
    <w:rsid w:val="009E5114"/>
    <w:rsid w:val="009E582D"/>
    <w:rsid w:val="009E76A6"/>
    <w:rsid w:val="009E7CF4"/>
    <w:rsid w:val="009F18C1"/>
    <w:rsid w:val="009F4130"/>
    <w:rsid w:val="009F636E"/>
    <w:rsid w:val="009F7E00"/>
    <w:rsid w:val="00A02A0B"/>
    <w:rsid w:val="00A02E65"/>
    <w:rsid w:val="00A03A90"/>
    <w:rsid w:val="00A03BC6"/>
    <w:rsid w:val="00A03CA5"/>
    <w:rsid w:val="00A03EF3"/>
    <w:rsid w:val="00A07566"/>
    <w:rsid w:val="00A1174D"/>
    <w:rsid w:val="00A126A4"/>
    <w:rsid w:val="00A13FF8"/>
    <w:rsid w:val="00A140B5"/>
    <w:rsid w:val="00A14729"/>
    <w:rsid w:val="00A1718F"/>
    <w:rsid w:val="00A17871"/>
    <w:rsid w:val="00A17A2D"/>
    <w:rsid w:val="00A17C10"/>
    <w:rsid w:val="00A21808"/>
    <w:rsid w:val="00A21D5E"/>
    <w:rsid w:val="00A2614E"/>
    <w:rsid w:val="00A267EB"/>
    <w:rsid w:val="00A26984"/>
    <w:rsid w:val="00A269D9"/>
    <w:rsid w:val="00A26F11"/>
    <w:rsid w:val="00A32F6E"/>
    <w:rsid w:val="00A34DC6"/>
    <w:rsid w:val="00A37724"/>
    <w:rsid w:val="00A37AA1"/>
    <w:rsid w:val="00A420EA"/>
    <w:rsid w:val="00A45145"/>
    <w:rsid w:val="00A45EB9"/>
    <w:rsid w:val="00A46956"/>
    <w:rsid w:val="00A47434"/>
    <w:rsid w:val="00A47FF3"/>
    <w:rsid w:val="00A50A88"/>
    <w:rsid w:val="00A51DB0"/>
    <w:rsid w:val="00A52031"/>
    <w:rsid w:val="00A54F86"/>
    <w:rsid w:val="00A5549C"/>
    <w:rsid w:val="00A563E5"/>
    <w:rsid w:val="00A6098E"/>
    <w:rsid w:val="00A6156E"/>
    <w:rsid w:val="00A61899"/>
    <w:rsid w:val="00A62CD5"/>
    <w:rsid w:val="00A646D6"/>
    <w:rsid w:val="00A64A6D"/>
    <w:rsid w:val="00A64E63"/>
    <w:rsid w:val="00A66833"/>
    <w:rsid w:val="00A67849"/>
    <w:rsid w:val="00A742D8"/>
    <w:rsid w:val="00A7436A"/>
    <w:rsid w:val="00A757E5"/>
    <w:rsid w:val="00A770AC"/>
    <w:rsid w:val="00A7715A"/>
    <w:rsid w:val="00A82E87"/>
    <w:rsid w:val="00A839BD"/>
    <w:rsid w:val="00A84698"/>
    <w:rsid w:val="00A85462"/>
    <w:rsid w:val="00A858F6"/>
    <w:rsid w:val="00A85B6D"/>
    <w:rsid w:val="00A91711"/>
    <w:rsid w:val="00A92B93"/>
    <w:rsid w:val="00A93959"/>
    <w:rsid w:val="00A93BDF"/>
    <w:rsid w:val="00A94DC5"/>
    <w:rsid w:val="00A961C6"/>
    <w:rsid w:val="00A96755"/>
    <w:rsid w:val="00A96D93"/>
    <w:rsid w:val="00A97DFB"/>
    <w:rsid w:val="00AA073C"/>
    <w:rsid w:val="00AA0AA8"/>
    <w:rsid w:val="00AA35A2"/>
    <w:rsid w:val="00AA50E3"/>
    <w:rsid w:val="00AB0994"/>
    <w:rsid w:val="00AB1DCC"/>
    <w:rsid w:val="00AB2BB4"/>
    <w:rsid w:val="00AB4206"/>
    <w:rsid w:val="00AB5E6E"/>
    <w:rsid w:val="00AB6766"/>
    <w:rsid w:val="00AB6A3F"/>
    <w:rsid w:val="00AB78F6"/>
    <w:rsid w:val="00AC10A1"/>
    <w:rsid w:val="00AC1CD0"/>
    <w:rsid w:val="00AC2FAB"/>
    <w:rsid w:val="00AC4E23"/>
    <w:rsid w:val="00AC4F76"/>
    <w:rsid w:val="00AD011C"/>
    <w:rsid w:val="00AD0C1C"/>
    <w:rsid w:val="00AE060E"/>
    <w:rsid w:val="00AE146B"/>
    <w:rsid w:val="00AE3079"/>
    <w:rsid w:val="00AE4993"/>
    <w:rsid w:val="00AE572F"/>
    <w:rsid w:val="00AE5FE1"/>
    <w:rsid w:val="00AF056E"/>
    <w:rsid w:val="00AF06EE"/>
    <w:rsid w:val="00AF4EBA"/>
    <w:rsid w:val="00AF75C2"/>
    <w:rsid w:val="00AF7C97"/>
    <w:rsid w:val="00B00D42"/>
    <w:rsid w:val="00B02351"/>
    <w:rsid w:val="00B027E9"/>
    <w:rsid w:val="00B03E8A"/>
    <w:rsid w:val="00B04188"/>
    <w:rsid w:val="00B041A8"/>
    <w:rsid w:val="00B12F78"/>
    <w:rsid w:val="00B15D32"/>
    <w:rsid w:val="00B15D96"/>
    <w:rsid w:val="00B202CE"/>
    <w:rsid w:val="00B22209"/>
    <w:rsid w:val="00B22880"/>
    <w:rsid w:val="00B22D06"/>
    <w:rsid w:val="00B26334"/>
    <w:rsid w:val="00B266F6"/>
    <w:rsid w:val="00B340D2"/>
    <w:rsid w:val="00B35730"/>
    <w:rsid w:val="00B35A88"/>
    <w:rsid w:val="00B4046F"/>
    <w:rsid w:val="00B41EBE"/>
    <w:rsid w:val="00B43F45"/>
    <w:rsid w:val="00B4449D"/>
    <w:rsid w:val="00B44A9B"/>
    <w:rsid w:val="00B512A6"/>
    <w:rsid w:val="00B51D69"/>
    <w:rsid w:val="00B5212A"/>
    <w:rsid w:val="00B521BB"/>
    <w:rsid w:val="00B53352"/>
    <w:rsid w:val="00B566D3"/>
    <w:rsid w:val="00B568DB"/>
    <w:rsid w:val="00B604F4"/>
    <w:rsid w:val="00B632EB"/>
    <w:rsid w:val="00B65111"/>
    <w:rsid w:val="00B65B81"/>
    <w:rsid w:val="00B66A20"/>
    <w:rsid w:val="00B675D0"/>
    <w:rsid w:val="00B7072A"/>
    <w:rsid w:val="00B71129"/>
    <w:rsid w:val="00B71FA6"/>
    <w:rsid w:val="00B729A5"/>
    <w:rsid w:val="00B73E4A"/>
    <w:rsid w:val="00B81B5B"/>
    <w:rsid w:val="00B81C48"/>
    <w:rsid w:val="00B826E6"/>
    <w:rsid w:val="00B82800"/>
    <w:rsid w:val="00B82C37"/>
    <w:rsid w:val="00B83C31"/>
    <w:rsid w:val="00B849B1"/>
    <w:rsid w:val="00B8674F"/>
    <w:rsid w:val="00B8728C"/>
    <w:rsid w:val="00B9025B"/>
    <w:rsid w:val="00B91C2D"/>
    <w:rsid w:val="00B9355A"/>
    <w:rsid w:val="00B937ED"/>
    <w:rsid w:val="00B93CDA"/>
    <w:rsid w:val="00B95AEC"/>
    <w:rsid w:val="00B964B1"/>
    <w:rsid w:val="00B9765C"/>
    <w:rsid w:val="00BA0CD9"/>
    <w:rsid w:val="00BA1004"/>
    <w:rsid w:val="00BA1135"/>
    <w:rsid w:val="00BA16C0"/>
    <w:rsid w:val="00BA329F"/>
    <w:rsid w:val="00BA3DF0"/>
    <w:rsid w:val="00BA3E49"/>
    <w:rsid w:val="00BA3FF2"/>
    <w:rsid w:val="00BA551C"/>
    <w:rsid w:val="00BA69F7"/>
    <w:rsid w:val="00BA712C"/>
    <w:rsid w:val="00BA7342"/>
    <w:rsid w:val="00BA7CE7"/>
    <w:rsid w:val="00BB0073"/>
    <w:rsid w:val="00BB0C9B"/>
    <w:rsid w:val="00BB360D"/>
    <w:rsid w:val="00BC3B91"/>
    <w:rsid w:val="00BC4769"/>
    <w:rsid w:val="00BC4B72"/>
    <w:rsid w:val="00BC5F79"/>
    <w:rsid w:val="00BC6419"/>
    <w:rsid w:val="00BC66A3"/>
    <w:rsid w:val="00BD010A"/>
    <w:rsid w:val="00BD2AFE"/>
    <w:rsid w:val="00BD2C03"/>
    <w:rsid w:val="00BD415C"/>
    <w:rsid w:val="00BD4F1D"/>
    <w:rsid w:val="00BD5C52"/>
    <w:rsid w:val="00BD771B"/>
    <w:rsid w:val="00BE3BBF"/>
    <w:rsid w:val="00BE3C73"/>
    <w:rsid w:val="00BE3F04"/>
    <w:rsid w:val="00BE4933"/>
    <w:rsid w:val="00BE4B85"/>
    <w:rsid w:val="00BE4C41"/>
    <w:rsid w:val="00BE56F0"/>
    <w:rsid w:val="00BE64FE"/>
    <w:rsid w:val="00BE7AF5"/>
    <w:rsid w:val="00BF0705"/>
    <w:rsid w:val="00BF3AF8"/>
    <w:rsid w:val="00BF5E5F"/>
    <w:rsid w:val="00BF6C0F"/>
    <w:rsid w:val="00BF7D1A"/>
    <w:rsid w:val="00C00F4E"/>
    <w:rsid w:val="00C02EEC"/>
    <w:rsid w:val="00C045C6"/>
    <w:rsid w:val="00C06D16"/>
    <w:rsid w:val="00C071AD"/>
    <w:rsid w:val="00C0787C"/>
    <w:rsid w:val="00C1022E"/>
    <w:rsid w:val="00C11218"/>
    <w:rsid w:val="00C1127D"/>
    <w:rsid w:val="00C12ADF"/>
    <w:rsid w:val="00C15939"/>
    <w:rsid w:val="00C16C89"/>
    <w:rsid w:val="00C2155B"/>
    <w:rsid w:val="00C220A8"/>
    <w:rsid w:val="00C22706"/>
    <w:rsid w:val="00C22A47"/>
    <w:rsid w:val="00C24927"/>
    <w:rsid w:val="00C25D94"/>
    <w:rsid w:val="00C260B4"/>
    <w:rsid w:val="00C27347"/>
    <w:rsid w:val="00C2795C"/>
    <w:rsid w:val="00C30A2A"/>
    <w:rsid w:val="00C313B0"/>
    <w:rsid w:val="00C35E71"/>
    <w:rsid w:val="00C37DE6"/>
    <w:rsid w:val="00C410C8"/>
    <w:rsid w:val="00C414AB"/>
    <w:rsid w:val="00C435DE"/>
    <w:rsid w:val="00C44BAD"/>
    <w:rsid w:val="00C470C8"/>
    <w:rsid w:val="00C473B1"/>
    <w:rsid w:val="00C51D74"/>
    <w:rsid w:val="00C52500"/>
    <w:rsid w:val="00C57357"/>
    <w:rsid w:val="00C575A9"/>
    <w:rsid w:val="00C60B70"/>
    <w:rsid w:val="00C621D5"/>
    <w:rsid w:val="00C63EC7"/>
    <w:rsid w:val="00C640B8"/>
    <w:rsid w:val="00C6548A"/>
    <w:rsid w:val="00C6764A"/>
    <w:rsid w:val="00C70DC6"/>
    <w:rsid w:val="00C72FE8"/>
    <w:rsid w:val="00C74559"/>
    <w:rsid w:val="00C758CD"/>
    <w:rsid w:val="00C77295"/>
    <w:rsid w:val="00C821EB"/>
    <w:rsid w:val="00C8223F"/>
    <w:rsid w:val="00C87857"/>
    <w:rsid w:val="00C87C65"/>
    <w:rsid w:val="00C9041E"/>
    <w:rsid w:val="00C9060C"/>
    <w:rsid w:val="00C9282C"/>
    <w:rsid w:val="00C931AE"/>
    <w:rsid w:val="00C94B24"/>
    <w:rsid w:val="00C96F67"/>
    <w:rsid w:val="00C9705F"/>
    <w:rsid w:val="00CA16EB"/>
    <w:rsid w:val="00CA1B97"/>
    <w:rsid w:val="00CA1D13"/>
    <w:rsid w:val="00CA29C0"/>
    <w:rsid w:val="00CA32F2"/>
    <w:rsid w:val="00CA4413"/>
    <w:rsid w:val="00CA6BC3"/>
    <w:rsid w:val="00CA7FBA"/>
    <w:rsid w:val="00CB21E9"/>
    <w:rsid w:val="00CB3B7C"/>
    <w:rsid w:val="00CB3DF3"/>
    <w:rsid w:val="00CB513E"/>
    <w:rsid w:val="00CB5240"/>
    <w:rsid w:val="00CB581A"/>
    <w:rsid w:val="00CB7F6F"/>
    <w:rsid w:val="00CC22ED"/>
    <w:rsid w:val="00CC330D"/>
    <w:rsid w:val="00CC40D2"/>
    <w:rsid w:val="00CC4421"/>
    <w:rsid w:val="00CC671B"/>
    <w:rsid w:val="00CC69C1"/>
    <w:rsid w:val="00CD08C9"/>
    <w:rsid w:val="00CD09E9"/>
    <w:rsid w:val="00CD19A7"/>
    <w:rsid w:val="00CD2A75"/>
    <w:rsid w:val="00CD387F"/>
    <w:rsid w:val="00CD3D9D"/>
    <w:rsid w:val="00CD4BA5"/>
    <w:rsid w:val="00CD67CD"/>
    <w:rsid w:val="00CE33AC"/>
    <w:rsid w:val="00CE65F2"/>
    <w:rsid w:val="00CF2AFC"/>
    <w:rsid w:val="00CF466E"/>
    <w:rsid w:val="00CF5F66"/>
    <w:rsid w:val="00CF6817"/>
    <w:rsid w:val="00CF7D65"/>
    <w:rsid w:val="00D01BC7"/>
    <w:rsid w:val="00D111D3"/>
    <w:rsid w:val="00D12209"/>
    <w:rsid w:val="00D13827"/>
    <w:rsid w:val="00D163B0"/>
    <w:rsid w:val="00D17AD7"/>
    <w:rsid w:val="00D21E1E"/>
    <w:rsid w:val="00D22FD7"/>
    <w:rsid w:val="00D24646"/>
    <w:rsid w:val="00D2537A"/>
    <w:rsid w:val="00D259D0"/>
    <w:rsid w:val="00D2685F"/>
    <w:rsid w:val="00D27289"/>
    <w:rsid w:val="00D31D2F"/>
    <w:rsid w:val="00D32286"/>
    <w:rsid w:val="00D34468"/>
    <w:rsid w:val="00D35DB1"/>
    <w:rsid w:val="00D368FF"/>
    <w:rsid w:val="00D37887"/>
    <w:rsid w:val="00D408BB"/>
    <w:rsid w:val="00D42788"/>
    <w:rsid w:val="00D43F57"/>
    <w:rsid w:val="00D440C2"/>
    <w:rsid w:val="00D46EE9"/>
    <w:rsid w:val="00D51B9A"/>
    <w:rsid w:val="00D51F65"/>
    <w:rsid w:val="00D52AE2"/>
    <w:rsid w:val="00D5379A"/>
    <w:rsid w:val="00D549B7"/>
    <w:rsid w:val="00D5645A"/>
    <w:rsid w:val="00D5686A"/>
    <w:rsid w:val="00D57A9B"/>
    <w:rsid w:val="00D60DCF"/>
    <w:rsid w:val="00D60FC8"/>
    <w:rsid w:val="00D62446"/>
    <w:rsid w:val="00D628B2"/>
    <w:rsid w:val="00D62AAA"/>
    <w:rsid w:val="00D64CA5"/>
    <w:rsid w:val="00D701DF"/>
    <w:rsid w:val="00D72A1C"/>
    <w:rsid w:val="00D74F8E"/>
    <w:rsid w:val="00D753A7"/>
    <w:rsid w:val="00D754D3"/>
    <w:rsid w:val="00D75D3E"/>
    <w:rsid w:val="00D767E9"/>
    <w:rsid w:val="00D81C77"/>
    <w:rsid w:val="00D8200F"/>
    <w:rsid w:val="00D8208E"/>
    <w:rsid w:val="00D841AA"/>
    <w:rsid w:val="00D846CF"/>
    <w:rsid w:val="00D84890"/>
    <w:rsid w:val="00D85E8E"/>
    <w:rsid w:val="00D87917"/>
    <w:rsid w:val="00D90C85"/>
    <w:rsid w:val="00D92D27"/>
    <w:rsid w:val="00D93050"/>
    <w:rsid w:val="00D9371B"/>
    <w:rsid w:val="00D93949"/>
    <w:rsid w:val="00D95551"/>
    <w:rsid w:val="00D95A72"/>
    <w:rsid w:val="00D962B0"/>
    <w:rsid w:val="00D97912"/>
    <w:rsid w:val="00D97DF8"/>
    <w:rsid w:val="00DA0020"/>
    <w:rsid w:val="00DA04A9"/>
    <w:rsid w:val="00DA1B07"/>
    <w:rsid w:val="00DA2FC0"/>
    <w:rsid w:val="00DA4EAF"/>
    <w:rsid w:val="00DA6CFE"/>
    <w:rsid w:val="00DB106C"/>
    <w:rsid w:val="00DB2700"/>
    <w:rsid w:val="00DB3147"/>
    <w:rsid w:val="00DB41FC"/>
    <w:rsid w:val="00DB5B5F"/>
    <w:rsid w:val="00DB5E5A"/>
    <w:rsid w:val="00DB69B6"/>
    <w:rsid w:val="00DC0B8A"/>
    <w:rsid w:val="00DC14E7"/>
    <w:rsid w:val="00DC5C44"/>
    <w:rsid w:val="00DC6052"/>
    <w:rsid w:val="00DD176F"/>
    <w:rsid w:val="00DD2869"/>
    <w:rsid w:val="00DD2A76"/>
    <w:rsid w:val="00DD2F1E"/>
    <w:rsid w:val="00DD3972"/>
    <w:rsid w:val="00DD47F8"/>
    <w:rsid w:val="00DD50E1"/>
    <w:rsid w:val="00DD74E7"/>
    <w:rsid w:val="00DE0678"/>
    <w:rsid w:val="00DE4B18"/>
    <w:rsid w:val="00DE7BC7"/>
    <w:rsid w:val="00DF006D"/>
    <w:rsid w:val="00DF2E48"/>
    <w:rsid w:val="00DF3F83"/>
    <w:rsid w:val="00E02C79"/>
    <w:rsid w:val="00E031EB"/>
    <w:rsid w:val="00E10727"/>
    <w:rsid w:val="00E124C2"/>
    <w:rsid w:val="00E124CF"/>
    <w:rsid w:val="00E12CF9"/>
    <w:rsid w:val="00E1619B"/>
    <w:rsid w:val="00E16CD1"/>
    <w:rsid w:val="00E23C8B"/>
    <w:rsid w:val="00E25654"/>
    <w:rsid w:val="00E25C89"/>
    <w:rsid w:val="00E2792F"/>
    <w:rsid w:val="00E317F7"/>
    <w:rsid w:val="00E33EE6"/>
    <w:rsid w:val="00E35995"/>
    <w:rsid w:val="00E35D8E"/>
    <w:rsid w:val="00E3720E"/>
    <w:rsid w:val="00E37B82"/>
    <w:rsid w:val="00E40CB4"/>
    <w:rsid w:val="00E449A5"/>
    <w:rsid w:val="00E45620"/>
    <w:rsid w:val="00E463F8"/>
    <w:rsid w:val="00E4688C"/>
    <w:rsid w:val="00E46ABF"/>
    <w:rsid w:val="00E47D28"/>
    <w:rsid w:val="00E47D79"/>
    <w:rsid w:val="00E501CA"/>
    <w:rsid w:val="00E5198D"/>
    <w:rsid w:val="00E54B79"/>
    <w:rsid w:val="00E550F5"/>
    <w:rsid w:val="00E57636"/>
    <w:rsid w:val="00E600FB"/>
    <w:rsid w:val="00E61CD5"/>
    <w:rsid w:val="00E636C5"/>
    <w:rsid w:val="00E6539C"/>
    <w:rsid w:val="00E66CA8"/>
    <w:rsid w:val="00E67150"/>
    <w:rsid w:val="00E7004B"/>
    <w:rsid w:val="00E70618"/>
    <w:rsid w:val="00E71AD2"/>
    <w:rsid w:val="00E73470"/>
    <w:rsid w:val="00E73FCF"/>
    <w:rsid w:val="00E81E7F"/>
    <w:rsid w:val="00E81F01"/>
    <w:rsid w:val="00E82538"/>
    <w:rsid w:val="00E831CA"/>
    <w:rsid w:val="00E85033"/>
    <w:rsid w:val="00E854C6"/>
    <w:rsid w:val="00E85926"/>
    <w:rsid w:val="00E864AE"/>
    <w:rsid w:val="00E87978"/>
    <w:rsid w:val="00E9006E"/>
    <w:rsid w:val="00E93933"/>
    <w:rsid w:val="00E94479"/>
    <w:rsid w:val="00E96D95"/>
    <w:rsid w:val="00EA08D2"/>
    <w:rsid w:val="00EA129B"/>
    <w:rsid w:val="00EA3055"/>
    <w:rsid w:val="00EA6187"/>
    <w:rsid w:val="00EA6E87"/>
    <w:rsid w:val="00EB0332"/>
    <w:rsid w:val="00EB0FB6"/>
    <w:rsid w:val="00EB182C"/>
    <w:rsid w:val="00EB2D13"/>
    <w:rsid w:val="00EB4344"/>
    <w:rsid w:val="00EB766D"/>
    <w:rsid w:val="00EC5A5E"/>
    <w:rsid w:val="00EC7647"/>
    <w:rsid w:val="00EC7A4F"/>
    <w:rsid w:val="00ED3E07"/>
    <w:rsid w:val="00ED46F8"/>
    <w:rsid w:val="00ED47B8"/>
    <w:rsid w:val="00ED4904"/>
    <w:rsid w:val="00ED6115"/>
    <w:rsid w:val="00EE237D"/>
    <w:rsid w:val="00EE38BF"/>
    <w:rsid w:val="00EE4CD4"/>
    <w:rsid w:val="00EE524F"/>
    <w:rsid w:val="00EE675A"/>
    <w:rsid w:val="00EF09B1"/>
    <w:rsid w:val="00EF0C52"/>
    <w:rsid w:val="00EF1445"/>
    <w:rsid w:val="00EF21C8"/>
    <w:rsid w:val="00EF28F1"/>
    <w:rsid w:val="00EF2C1A"/>
    <w:rsid w:val="00EF6487"/>
    <w:rsid w:val="00EF7D07"/>
    <w:rsid w:val="00F035E4"/>
    <w:rsid w:val="00F049DD"/>
    <w:rsid w:val="00F04C63"/>
    <w:rsid w:val="00F05535"/>
    <w:rsid w:val="00F13E1A"/>
    <w:rsid w:val="00F153F2"/>
    <w:rsid w:val="00F1792B"/>
    <w:rsid w:val="00F17C21"/>
    <w:rsid w:val="00F2077C"/>
    <w:rsid w:val="00F21FB8"/>
    <w:rsid w:val="00F2463E"/>
    <w:rsid w:val="00F251AB"/>
    <w:rsid w:val="00F306A4"/>
    <w:rsid w:val="00F32F7A"/>
    <w:rsid w:val="00F334C1"/>
    <w:rsid w:val="00F33960"/>
    <w:rsid w:val="00F35807"/>
    <w:rsid w:val="00F40C28"/>
    <w:rsid w:val="00F40E86"/>
    <w:rsid w:val="00F425BB"/>
    <w:rsid w:val="00F42939"/>
    <w:rsid w:val="00F440A7"/>
    <w:rsid w:val="00F47547"/>
    <w:rsid w:val="00F54283"/>
    <w:rsid w:val="00F56512"/>
    <w:rsid w:val="00F57E9B"/>
    <w:rsid w:val="00F6224F"/>
    <w:rsid w:val="00F62743"/>
    <w:rsid w:val="00F6585D"/>
    <w:rsid w:val="00F669F0"/>
    <w:rsid w:val="00F72240"/>
    <w:rsid w:val="00F77C41"/>
    <w:rsid w:val="00F77F92"/>
    <w:rsid w:val="00F824E1"/>
    <w:rsid w:val="00F82626"/>
    <w:rsid w:val="00F834E9"/>
    <w:rsid w:val="00F83B9D"/>
    <w:rsid w:val="00F86A9E"/>
    <w:rsid w:val="00F90F6F"/>
    <w:rsid w:val="00F92177"/>
    <w:rsid w:val="00F92D46"/>
    <w:rsid w:val="00F955F4"/>
    <w:rsid w:val="00F95FDF"/>
    <w:rsid w:val="00FA150E"/>
    <w:rsid w:val="00FA483C"/>
    <w:rsid w:val="00FA7515"/>
    <w:rsid w:val="00FA7CEB"/>
    <w:rsid w:val="00FB19F9"/>
    <w:rsid w:val="00FB2388"/>
    <w:rsid w:val="00FB418E"/>
    <w:rsid w:val="00FB4940"/>
    <w:rsid w:val="00FB5C61"/>
    <w:rsid w:val="00FB7F2A"/>
    <w:rsid w:val="00FC5BFC"/>
    <w:rsid w:val="00FC660E"/>
    <w:rsid w:val="00FC6B89"/>
    <w:rsid w:val="00FC76CA"/>
    <w:rsid w:val="00FD23D8"/>
    <w:rsid w:val="00FD5E4C"/>
    <w:rsid w:val="00FD6D58"/>
    <w:rsid w:val="00FD736A"/>
    <w:rsid w:val="00FE0279"/>
    <w:rsid w:val="00FE18F3"/>
    <w:rsid w:val="00FE3BA8"/>
    <w:rsid w:val="00FE3F2E"/>
    <w:rsid w:val="00FE504C"/>
    <w:rsid w:val="00FE6F7A"/>
    <w:rsid w:val="00FE75D7"/>
    <w:rsid w:val="00FF0FB3"/>
    <w:rsid w:val="00FF67A2"/>
    <w:rsid w:val="00FF6BDD"/>
    <w:rsid w:val="00FF76C0"/>
    <w:rsid w:val="00FF783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D7611-9BAD-4CD0-976A-2373BF4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5DD8"/>
    <w:pPr>
      <w:spacing w:after="0" w:line="240" w:lineRule="auto"/>
    </w:pPr>
  </w:style>
  <w:style w:type="paragraph" w:styleId="Textodeglobo">
    <w:name w:val="Balloon Text"/>
    <w:basedOn w:val="Normal"/>
    <w:link w:val="TextodegloboCar"/>
    <w:uiPriority w:val="99"/>
    <w:semiHidden/>
    <w:unhideWhenUsed/>
    <w:rsid w:val="00C9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24"/>
    <w:rPr>
      <w:rFonts w:ascii="Tahoma" w:hAnsi="Tahoma" w:cs="Tahoma"/>
      <w:sz w:val="16"/>
      <w:szCs w:val="16"/>
    </w:rPr>
  </w:style>
  <w:style w:type="paragraph" w:styleId="Encabezado">
    <w:name w:val="header"/>
    <w:basedOn w:val="Normal"/>
    <w:link w:val="EncabezadoCar"/>
    <w:uiPriority w:val="99"/>
    <w:unhideWhenUsed/>
    <w:rsid w:val="00A60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98E"/>
  </w:style>
  <w:style w:type="paragraph" w:styleId="Piedepgina">
    <w:name w:val="footer"/>
    <w:basedOn w:val="Normal"/>
    <w:link w:val="PiedepginaCar"/>
    <w:uiPriority w:val="99"/>
    <w:unhideWhenUsed/>
    <w:rsid w:val="00A60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98E"/>
  </w:style>
  <w:style w:type="paragraph" w:styleId="NormalWeb">
    <w:name w:val="Normal (Web)"/>
    <w:basedOn w:val="Normal"/>
    <w:uiPriority w:val="99"/>
    <w:unhideWhenUsed/>
    <w:rsid w:val="004F33E6"/>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inespaciadoCar">
    <w:name w:val="Sin espaciado Car"/>
    <w:basedOn w:val="Fuentedeprrafopredeter"/>
    <w:link w:val="Sinespaciado"/>
    <w:uiPriority w:val="1"/>
    <w:locked/>
    <w:rsid w:val="004F33E6"/>
  </w:style>
  <w:style w:type="character" w:styleId="Hipervnculo">
    <w:name w:val="Hyperlink"/>
    <w:basedOn w:val="Fuentedeprrafopredeter"/>
    <w:uiPriority w:val="99"/>
    <w:unhideWhenUsed/>
    <w:rsid w:val="006B54A8"/>
    <w:rPr>
      <w:color w:val="0000FF" w:themeColor="hyperlink"/>
      <w:u w:val="single"/>
    </w:rPr>
  </w:style>
  <w:style w:type="paragraph" w:styleId="Textonotapie">
    <w:name w:val="footnote text"/>
    <w:basedOn w:val="Normal"/>
    <w:link w:val="TextonotapieCar"/>
    <w:uiPriority w:val="99"/>
    <w:semiHidden/>
    <w:unhideWhenUsed/>
    <w:rsid w:val="006F1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F3C"/>
    <w:rPr>
      <w:sz w:val="20"/>
      <w:szCs w:val="20"/>
    </w:rPr>
  </w:style>
  <w:style w:type="character" w:styleId="Refdenotaalpie">
    <w:name w:val="footnote reference"/>
    <w:basedOn w:val="Fuentedeprrafopredeter"/>
    <w:uiPriority w:val="99"/>
    <w:semiHidden/>
    <w:unhideWhenUsed/>
    <w:rsid w:val="006F1F3C"/>
    <w:rPr>
      <w:vertAlign w:val="superscript"/>
    </w:rPr>
  </w:style>
  <w:style w:type="character" w:styleId="Hipervnculovisitado">
    <w:name w:val="FollowedHyperlink"/>
    <w:basedOn w:val="Fuentedeprrafopredeter"/>
    <w:uiPriority w:val="99"/>
    <w:semiHidden/>
    <w:unhideWhenUsed/>
    <w:rsid w:val="00B937ED"/>
    <w:rPr>
      <w:color w:val="800080" w:themeColor="followedHyperlink"/>
      <w:u w:val="single"/>
    </w:rPr>
  </w:style>
  <w:style w:type="paragraph" w:styleId="Prrafodelista">
    <w:name w:val="List Paragraph"/>
    <w:basedOn w:val="Normal"/>
    <w:uiPriority w:val="34"/>
    <w:qFormat/>
    <w:rsid w:val="001D339A"/>
    <w:pPr>
      <w:ind w:left="720"/>
      <w:contextualSpacing/>
      <w:jc w:val="both"/>
    </w:pPr>
    <w:rPr>
      <w:rFonts w:ascii="Times New Roman" w:hAnsi="Times New Roman"/>
    </w:rPr>
  </w:style>
  <w:style w:type="table" w:styleId="Tablaconcuadrcula">
    <w:name w:val="Table Grid"/>
    <w:basedOn w:val="Tablanormal"/>
    <w:uiPriority w:val="59"/>
    <w:rsid w:val="004C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04229"/>
  </w:style>
  <w:style w:type="paragraph" w:customStyle="1" w:styleId="Default">
    <w:name w:val="Default"/>
    <w:rsid w:val="0035282A"/>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D549B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49B7"/>
    <w:rPr>
      <w:sz w:val="20"/>
      <w:szCs w:val="20"/>
    </w:rPr>
  </w:style>
  <w:style w:type="character" w:styleId="Refdenotaalfinal">
    <w:name w:val="endnote reference"/>
    <w:basedOn w:val="Fuentedeprrafopredeter"/>
    <w:uiPriority w:val="99"/>
    <w:semiHidden/>
    <w:unhideWhenUsed/>
    <w:rsid w:val="00D549B7"/>
    <w:rPr>
      <w:vertAlign w:val="superscript"/>
    </w:rPr>
  </w:style>
  <w:style w:type="character" w:styleId="nfasis">
    <w:name w:val="Emphasis"/>
    <w:basedOn w:val="Fuentedeprrafopredeter"/>
    <w:uiPriority w:val="20"/>
    <w:qFormat/>
    <w:rsid w:val="00FF6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57">
      <w:bodyDiv w:val="1"/>
      <w:marLeft w:val="0"/>
      <w:marRight w:val="0"/>
      <w:marTop w:val="0"/>
      <w:marBottom w:val="0"/>
      <w:divBdr>
        <w:top w:val="none" w:sz="0" w:space="0" w:color="auto"/>
        <w:left w:val="none" w:sz="0" w:space="0" w:color="auto"/>
        <w:bottom w:val="none" w:sz="0" w:space="0" w:color="auto"/>
        <w:right w:val="none" w:sz="0" w:space="0" w:color="auto"/>
      </w:divBdr>
    </w:div>
    <w:div w:id="87775366">
      <w:bodyDiv w:val="1"/>
      <w:marLeft w:val="0"/>
      <w:marRight w:val="0"/>
      <w:marTop w:val="0"/>
      <w:marBottom w:val="0"/>
      <w:divBdr>
        <w:top w:val="none" w:sz="0" w:space="0" w:color="auto"/>
        <w:left w:val="none" w:sz="0" w:space="0" w:color="auto"/>
        <w:bottom w:val="none" w:sz="0" w:space="0" w:color="auto"/>
        <w:right w:val="none" w:sz="0" w:space="0" w:color="auto"/>
      </w:divBdr>
    </w:div>
    <w:div w:id="133060234">
      <w:bodyDiv w:val="1"/>
      <w:marLeft w:val="0"/>
      <w:marRight w:val="0"/>
      <w:marTop w:val="0"/>
      <w:marBottom w:val="0"/>
      <w:divBdr>
        <w:top w:val="none" w:sz="0" w:space="0" w:color="auto"/>
        <w:left w:val="none" w:sz="0" w:space="0" w:color="auto"/>
        <w:bottom w:val="none" w:sz="0" w:space="0" w:color="auto"/>
        <w:right w:val="none" w:sz="0" w:space="0" w:color="auto"/>
      </w:divBdr>
    </w:div>
    <w:div w:id="304236382">
      <w:bodyDiv w:val="1"/>
      <w:marLeft w:val="0"/>
      <w:marRight w:val="0"/>
      <w:marTop w:val="0"/>
      <w:marBottom w:val="0"/>
      <w:divBdr>
        <w:top w:val="none" w:sz="0" w:space="0" w:color="auto"/>
        <w:left w:val="none" w:sz="0" w:space="0" w:color="auto"/>
        <w:bottom w:val="none" w:sz="0" w:space="0" w:color="auto"/>
        <w:right w:val="none" w:sz="0" w:space="0" w:color="auto"/>
      </w:divBdr>
    </w:div>
    <w:div w:id="317267169">
      <w:bodyDiv w:val="1"/>
      <w:marLeft w:val="0"/>
      <w:marRight w:val="0"/>
      <w:marTop w:val="0"/>
      <w:marBottom w:val="0"/>
      <w:divBdr>
        <w:top w:val="none" w:sz="0" w:space="0" w:color="auto"/>
        <w:left w:val="none" w:sz="0" w:space="0" w:color="auto"/>
        <w:bottom w:val="none" w:sz="0" w:space="0" w:color="auto"/>
        <w:right w:val="none" w:sz="0" w:space="0" w:color="auto"/>
      </w:divBdr>
    </w:div>
    <w:div w:id="499586544">
      <w:bodyDiv w:val="1"/>
      <w:marLeft w:val="0"/>
      <w:marRight w:val="0"/>
      <w:marTop w:val="0"/>
      <w:marBottom w:val="0"/>
      <w:divBdr>
        <w:top w:val="none" w:sz="0" w:space="0" w:color="auto"/>
        <w:left w:val="none" w:sz="0" w:space="0" w:color="auto"/>
        <w:bottom w:val="none" w:sz="0" w:space="0" w:color="auto"/>
        <w:right w:val="none" w:sz="0" w:space="0" w:color="auto"/>
      </w:divBdr>
    </w:div>
    <w:div w:id="649213026">
      <w:bodyDiv w:val="1"/>
      <w:marLeft w:val="0"/>
      <w:marRight w:val="0"/>
      <w:marTop w:val="0"/>
      <w:marBottom w:val="0"/>
      <w:divBdr>
        <w:top w:val="none" w:sz="0" w:space="0" w:color="auto"/>
        <w:left w:val="none" w:sz="0" w:space="0" w:color="auto"/>
        <w:bottom w:val="none" w:sz="0" w:space="0" w:color="auto"/>
        <w:right w:val="none" w:sz="0" w:space="0" w:color="auto"/>
      </w:divBdr>
    </w:div>
    <w:div w:id="880827965">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38429322">
      <w:bodyDiv w:val="1"/>
      <w:marLeft w:val="0"/>
      <w:marRight w:val="0"/>
      <w:marTop w:val="0"/>
      <w:marBottom w:val="0"/>
      <w:divBdr>
        <w:top w:val="none" w:sz="0" w:space="0" w:color="auto"/>
        <w:left w:val="none" w:sz="0" w:space="0" w:color="auto"/>
        <w:bottom w:val="none" w:sz="0" w:space="0" w:color="auto"/>
        <w:right w:val="none" w:sz="0" w:space="0" w:color="auto"/>
      </w:divBdr>
    </w:div>
    <w:div w:id="1090855984">
      <w:bodyDiv w:val="1"/>
      <w:marLeft w:val="0"/>
      <w:marRight w:val="0"/>
      <w:marTop w:val="0"/>
      <w:marBottom w:val="0"/>
      <w:divBdr>
        <w:top w:val="none" w:sz="0" w:space="0" w:color="auto"/>
        <w:left w:val="none" w:sz="0" w:space="0" w:color="auto"/>
        <w:bottom w:val="none" w:sz="0" w:space="0" w:color="auto"/>
        <w:right w:val="none" w:sz="0" w:space="0" w:color="auto"/>
      </w:divBdr>
    </w:div>
    <w:div w:id="1110782986">
      <w:bodyDiv w:val="1"/>
      <w:marLeft w:val="0"/>
      <w:marRight w:val="0"/>
      <w:marTop w:val="0"/>
      <w:marBottom w:val="0"/>
      <w:divBdr>
        <w:top w:val="none" w:sz="0" w:space="0" w:color="auto"/>
        <w:left w:val="none" w:sz="0" w:space="0" w:color="auto"/>
        <w:bottom w:val="none" w:sz="0" w:space="0" w:color="auto"/>
        <w:right w:val="none" w:sz="0" w:space="0" w:color="auto"/>
      </w:divBdr>
    </w:div>
    <w:div w:id="1244098412">
      <w:bodyDiv w:val="1"/>
      <w:marLeft w:val="0"/>
      <w:marRight w:val="0"/>
      <w:marTop w:val="0"/>
      <w:marBottom w:val="0"/>
      <w:divBdr>
        <w:top w:val="none" w:sz="0" w:space="0" w:color="auto"/>
        <w:left w:val="none" w:sz="0" w:space="0" w:color="auto"/>
        <w:bottom w:val="none" w:sz="0" w:space="0" w:color="auto"/>
        <w:right w:val="none" w:sz="0" w:space="0" w:color="auto"/>
      </w:divBdr>
    </w:div>
    <w:div w:id="1308170906">
      <w:bodyDiv w:val="1"/>
      <w:marLeft w:val="0"/>
      <w:marRight w:val="0"/>
      <w:marTop w:val="0"/>
      <w:marBottom w:val="0"/>
      <w:divBdr>
        <w:top w:val="none" w:sz="0" w:space="0" w:color="auto"/>
        <w:left w:val="none" w:sz="0" w:space="0" w:color="auto"/>
        <w:bottom w:val="none" w:sz="0" w:space="0" w:color="auto"/>
        <w:right w:val="none" w:sz="0" w:space="0" w:color="auto"/>
      </w:divBdr>
    </w:div>
    <w:div w:id="1387483947">
      <w:bodyDiv w:val="1"/>
      <w:marLeft w:val="0"/>
      <w:marRight w:val="0"/>
      <w:marTop w:val="0"/>
      <w:marBottom w:val="0"/>
      <w:divBdr>
        <w:top w:val="none" w:sz="0" w:space="0" w:color="auto"/>
        <w:left w:val="none" w:sz="0" w:space="0" w:color="auto"/>
        <w:bottom w:val="none" w:sz="0" w:space="0" w:color="auto"/>
        <w:right w:val="none" w:sz="0" w:space="0" w:color="auto"/>
      </w:divBdr>
    </w:div>
    <w:div w:id="1474178423">
      <w:bodyDiv w:val="1"/>
      <w:marLeft w:val="0"/>
      <w:marRight w:val="0"/>
      <w:marTop w:val="0"/>
      <w:marBottom w:val="0"/>
      <w:divBdr>
        <w:top w:val="none" w:sz="0" w:space="0" w:color="auto"/>
        <w:left w:val="none" w:sz="0" w:space="0" w:color="auto"/>
        <w:bottom w:val="none" w:sz="0" w:space="0" w:color="auto"/>
        <w:right w:val="none" w:sz="0" w:space="0" w:color="auto"/>
      </w:divBdr>
    </w:div>
    <w:div w:id="1517188798">
      <w:bodyDiv w:val="1"/>
      <w:marLeft w:val="0"/>
      <w:marRight w:val="0"/>
      <w:marTop w:val="0"/>
      <w:marBottom w:val="0"/>
      <w:divBdr>
        <w:top w:val="none" w:sz="0" w:space="0" w:color="auto"/>
        <w:left w:val="none" w:sz="0" w:space="0" w:color="auto"/>
        <w:bottom w:val="none" w:sz="0" w:space="0" w:color="auto"/>
        <w:right w:val="none" w:sz="0" w:space="0" w:color="auto"/>
      </w:divBdr>
    </w:div>
    <w:div w:id="1719085067">
      <w:bodyDiv w:val="1"/>
      <w:marLeft w:val="0"/>
      <w:marRight w:val="0"/>
      <w:marTop w:val="0"/>
      <w:marBottom w:val="0"/>
      <w:divBdr>
        <w:top w:val="none" w:sz="0" w:space="0" w:color="auto"/>
        <w:left w:val="none" w:sz="0" w:space="0" w:color="auto"/>
        <w:bottom w:val="none" w:sz="0" w:space="0" w:color="auto"/>
        <w:right w:val="none" w:sz="0" w:space="0" w:color="auto"/>
      </w:divBdr>
      <w:divsChild>
        <w:div w:id="1278223015">
          <w:marLeft w:val="0"/>
          <w:marRight w:val="0"/>
          <w:marTop w:val="0"/>
          <w:marBottom w:val="0"/>
          <w:divBdr>
            <w:top w:val="none" w:sz="0" w:space="0" w:color="auto"/>
            <w:left w:val="none" w:sz="0" w:space="0" w:color="auto"/>
            <w:bottom w:val="none" w:sz="0" w:space="0" w:color="auto"/>
            <w:right w:val="none" w:sz="0" w:space="0" w:color="auto"/>
          </w:divBdr>
          <w:divsChild>
            <w:div w:id="1524630340">
              <w:marLeft w:val="0"/>
              <w:marRight w:val="0"/>
              <w:marTop w:val="0"/>
              <w:marBottom w:val="0"/>
              <w:divBdr>
                <w:top w:val="none" w:sz="0" w:space="0" w:color="auto"/>
                <w:left w:val="none" w:sz="0" w:space="0" w:color="auto"/>
                <w:bottom w:val="none" w:sz="0" w:space="0" w:color="auto"/>
                <w:right w:val="none" w:sz="0" w:space="0" w:color="auto"/>
              </w:divBdr>
              <w:divsChild>
                <w:div w:id="704016197">
                  <w:marLeft w:val="0"/>
                  <w:marRight w:val="0"/>
                  <w:marTop w:val="0"/>
                  <w:marBottom w:val="0"/>
                  <w:divBdr>
                    <w:top w:val="none" w:sz="0" w:space="0" w:color="auto"/>
                    <w:left w:val="none" w:sz="0" w:space="0" w:color="auto"/>
                    <w:bottom w:val="none" w:sz="0" w:space="0" w:color="auto"/>
                    <w:right w:val="none" w:sz="0" w:space="0" w:color="auto"/>
                  </w:divBdr>
                  <w:divsChild>
                    <w:div w:id="1894996699">
                      <w:marLeft w:val="0"/>
                      <w:marRight w:val="0"/>
                      <w:marTop w:val="0"/>
                      <w:marBottom w:val="0"/>
                      <w:divBdr>
                        <w:top w:val="none" w:sz="0" w:space="0" w:color="auto"/>
                        <w:left w:val="none" w:sz="0" w:space="0" w:color="auto"/>
                        <w:bottom w:val="none" w:sz="0" w:space="0" w:color="auto"/>
                        <w:right w:val="none" w:sz="0" w:space="0" w:color="auto"/>
                      </w:divBdr>
                      <w:divsChild>
                        <w:div w:id="1278492299">
                          <w:marLeft w:val="0"/>
                          <w:marRight w:val="0"/>
                          <w:marTop w:val="0"/>
                          <w:marBottom w:val="0"/>
                          <w:divBdr>
                            <w:top w:val="none" w:sz="0" w:space="0" w:color="auto"/>
                            <w:left w:val="none" w:sz="0" w:space="0" w:color="auto"/>
                            <w:bottom w:val="none" w:sz="0" w:space="0" w:color="auto"/>
                            <w:right w:val="none" w:sz="0" w:space="0" w:color="auto"/>
                          </w:divBdr>
                          <w:divsChild>
                            <w:div w:id="199710835">
                              <w:marLeft w:val="0"/>
                              <w:marRight w:val="0"/>
                              <w:marTop w:val="0"/>
                              <w:marBottom w:val="0"/>
                              <w:divBdr>
                                <w:top w:val="none" w:sz="0" w:space="0" w:color="auto"/>
                                <w:left w:val="none" w:sz="0" w:space="0" w:color="auto"/>
                                <w:bottom w:val="none" w:sz="0" w:space="0" w:color="auto"/>
                                <w:right w:val="none" w:sz="0" w:space="0" w:color="auto"/>
                              </w:divBdr>
                              <w:divsChild>
                                <w:div w:id="1023170690">
                                  <w:marLeft w:val="0"/>
                                  <w:marRight w:val="0"/>
                                  <w:marTop w:val="0"/>
                                  <w:marBottom w:val="0"/>
                                  <w:divBdr>
                                    <w:top w:val="none" w:sz="0" w:space="0" w:color="auto"/>
                                    <w:left w:val="none" w:sz="0" w:space="0" w:color="auto"/>
                                    <w:bottom w:val="none" w:sz="0" w:space="0" w:color="auto"/>
                                    <w:right w:val="none" w:sz="0" w:space="0" w:color="auto"/>
                                  </w:divBdr>
                                  <w:divsChild>
                                    <w:div w:id="383409800">
                                      <w:marLeft w:val="0"/>
                                      <w:marRight w:val="0"/>
                                      <w:marTop w:val="0"/>
                                      <w:marBottom w:val="0"/>
                                      <w:divBdr>
                                        <w:top w:val="none" w:sz="0" w:space="0" w:color="auto"/>
                                        <w:left w:val="none" w:sz="0" w:space="0" w:color="auto"/>
                                        <w:bottom w:val="none" w:sz="0" w:space="0" w:color="auto"/>
                                        <w:right w:val="none" w:sz="0" w:space="0" w:color="auto"/>
                                      </w:divBdr>
                                      <w:divsChild>
                                        <w:div w:id="1871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330643">
      <w:bodyDiv w:val="1"/>
      <w:marLeft w:val="0"/>
      <w:marRight w:val="0"/>
      <w:marTop w:val="0"/>
      <w:marBottom w:val="0"/>
      <w:divBdr>
        <w:top w:val="none" w:sz="0" w:space="0" w:color="auto"/>
        <w:left w:val="none" w:sz="0" w:space="0" w:color="auto"/>
        <w:bottom w:val="none" w:sz="0" w:space="0" w:color="auto"/>
        <w:right w:val="none" w:sz="0" w:space="0" w:color="auto"/>
      </w:divBdr>
    </w:div>
    <w:div w:id="1941599910">
      <w:bodyDiv w:val="1"/>
      <w:marLeft w:val="0"/>
      <w:marRight w:val="0"/>
      <w:marTop w:val="0"/>
      <w:marBottom w:val="0"/>
      <w:divBdr>
        <w:top w:val="none" w:sz="0" w:space="0" w:color="auto"/>
        <w:left w:val="none" w:sz="0" w:space="0" w:color="auto"/>
        <w:bottom w:val="none" w:sz="0" w:space="0" w:color="auto"/>
        <w:right w:val="none" w:sz="0" w:space="0" w:color="auto"/>
      </w:divBdr>
    </w:div>
    <w:div w:id="2010516617">
      <w:bodyDiv w:val="1"/>
      <w:marLeft w:val="0"/>
      <w:marRight w:val="0"/>
      <w:marTop w:val="0"/>
      <w:marBottom w:val="0"/>
      <w:divBdr>
        <w:top w:val="none" w:sz="0" w:space="0" w:color="auto"/>
        <w:left w:val="none" w:sz="0" w:space="0" w:color="auto"/>
        <w:bottom w:val="none" w:sz="0" w:space="0" w:color="auto"/>
        <w:right w:val="none" w:sz="0" w:space="0" w:color="auto"/>
      </w:divBdr>
    </w:div>
    <w:div w:id="21191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4.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7.emf"/><Relationship Id="rId27" Type="http://schemas.openxmlformats.org/officeDocument/2006/relationships/header" Target="header6.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3401396859291"/>
          <c:y val="4.3650793650793648E-2"/>
          <c:w val="0.77481240268695228"/>
          <c:h val="0.86303555805524312"/>
        </c:manualLayout>
      </c:layout>
      <c:barChart>
        <c:barDir val="bar"/>
        <c:grouping val="clustered"/>
        <c:varyColors val="0"/>
        <c:ser>
          <c:idx val="0"/>
          <c:order val="0"/>
          <c:tx>
            <c:strRef>
              <c:f>Hoja1!$B$1</c:f>
              <c:strCache>
                <c:ptCount val="1"/>
                <c:pt idx="0">
                  <c:v>2015-2014</c:v>
                </c:pt>
              </c:strCache>
            </c:strRef>
          </c:tx>
          <c:invertIfNegative val="0"/>
          <c:dPt>
            <c:idx val="0"/>
            <c:invertIfNegative val="0"/>
            <c:bubble3D val="0"/>
            <c:spPr>
              <a:solidFill>
                <a:srgbClr val="FF0000"/>
              </a:solidFill>
            </c:spPr>
            <c:extLst>
              <c:ext xmlns:c16="http://schemas.microsoft.com/office/drawing/2014/chart" uri="{C3380CC4-5D6E-409C-BE32-E72D297353CC}">
                <c16:uniqueId val="{00000001-7BB4-48C2-A0EF-651997F85713}"/>
              </c:ext>
            </c:extLst>
          </c:dPt>
          <c:dPt>
            <c:idx val="1"/>
            <c:invertIfNegative val="0"/>
            <c:bubble3D val="0"/>
            <c:spPr>
              <a:solidFill>
                <a:srgbClr val="FF0000"/>
              </a:solidFill>
            </c:spPr>
            <c:extLst>
              <c:ext xmlns:c16="http://schemas.microsoft.com/office/drawing/2014/chart" uri="{C3380CC4-5D6E-409C-BE32-E72D297353CC}">
                <c16:uniqueId val="{00000003-7BB4-48C2-A0EF-651997F85713}"/>
              </c:ext>
            </c:extLst>
          </c:dPt>
          <c:dPt>
            <c:idx val="2"/>
            <c:invertIfNegative val="0"/>
            <c:bubble3D val="0"/>
            <c:spPr>
              <a:solidFill>
                <a:srgbClr val="FF0000"/>
              </a:solidFill>
            </c:spPr>
            <c:extLst>
              <c:ext xmlns:c16="http://schemas.microsoft.com/office/drawing/2014/chart" uri="{C3380CC4-5D6E-409C-BE32-E72D297353CC}">
                <c16:uniqueId val="{00000005-7BB4-48C2-A0EF-651997F85713}"/>
              </c:ext>
            </c:extLst>
          </c:dPt>
          <c:dPt>
            <c:idx val="3"/>
            <c:invertIfNegative val="0"/>
            <c:bubble3D val="0"/>
            <c:spPr>
              <a:solidFill>
                <a:srgbClr val="FF0000"/>
              </a:solidFill>
            </c:spPr>
            <c:extLst>
              <c:ext xmlns:c16="http://schemas.microsoft.com/office/drawing/2014/chart" uri="{C3380CC4-5D6E-409C-BE32-E72D297353CC}">
                <c16:uniqueId val="{00000007-7BB4-48C2-A0EF-651997F85713}"/>
              </c:ext>
            </c:extLst>
          </c:dPt>
          <c:dLbls>
            <c:spPr>
              <a:noFill/>
              <a:ln>
                <a:noFill/>
              </a:ln>
              <a:effectLst/>
            </c:spPr>
            <c:txPr>
              <a:bodyPr/>
              <a:lstStyle/>
              <a:p>
                <a:pPr>
                  <a:defRPr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Hoja1!$A$2:$A$18</c:f>
              <c:strCache>
                <c:ptCount val="17"/>
                <c:pt idx="0">
                  <c:v>ISR</c:v>
                </c:pt>
                <c:pt idx="1">
                  <c:v>IVA imp</c:v>
                </c:pt>
                <c:pt idx="2">
                  <c:v>Regalías</c:v>
                </c:pt>
                <c:pt idx="3">
                  <c:v>Timbres</c:v>
                </c:pt>
                <c:pt idx="4">
                  <c:v>Telefonía</c:v>
                </c:pt>
                <c:pt idx="5">
                  <c:v>Otros</c:v>
                </c:pt>
                <c:pt idx="6">
                  <c:v>Propiedad</c:v>
                </c:pt>
                <c:pt idx="7">
                  <c:v>Tabacos</c:v>
                </c:pt>
                <c:pt idx="8">
                  <c:v>Salidas</c:v>
                </c:pt>
                <c:pt idx="9">
                  <c:v>Bebidas</c:v>
                </c:pt>
                <c:pt idx="10">
                  <c:v>DAI</c:v>
                </c:pt>
                <c:pt idx="11">
                  <c:v>Vehículos</c:v>
                </c:pt>
                <c:pt idx="12">
                  <c:v>IPRIMA</c:v>
                </c:pt>
                <c:pt idx="13">
                  <c:v>Cemento</c:v>
                </c:pt>
                <c:pt idx="14">
                  <c:v>ISO</c:v>
                </c:pt>
                <c:pt idx="15">
                  <c:v>Petróleo</c:v>
                </c:pt>
                <c:pt idx="16">
                  <c:v>IVA dom</c:v>
                </c:pt>
              </c:strCache>
            </c:strRef>
          </c:cat>
          <c:val>
            <c:numRef>
              <c:f>Hoja1!$B$2:$B$18</c:f>
              <c:numCache>
                <c:formatCode>#,##0.0</c:formatCode>
                <c:ptCount val="17"/>
                <c:pt idx="0">
                  <c:v>-531.16835690999869</c:v>
                </c:pt>
                <c:pt idx="1">
                  <c:v>-381.60132991160208</c:v>
                </c:pt>
                <c:pt idx="2">
                  <c:v>-333.41152903999989</c:v>
                </c:pt>
                <c:pt idx="3">
                  <c:v>-23.612875599999711</c:v>
                </c:pt>
                <c:pt idx="4">
                  <c:v>0</c:v>
                </c:pt>
                <c:pt idx="5">
                  <c:v>0.12052725000000075</c:v>
                </c:pt>
                <c:pt idx="6">
                  <c:v>2.16230457999999</c:v>
                </c:pt>
                <c:pt idx="7">
                  <c:v>4.0874489500001232</c:v>
                </c:pt>
                <c:pt idx="8">
                  <c:v>5.5455747199999905</c:v>
                </c:pt>
                <c:pt idx="9">
                  <c:v>60.947173249999764</c:v>
                </c:pt>
                <c:pt idx="10">
                  <c:v>76.581596730001138</c:v>
                </c:pt>
                <c:pt idx="11">
                  <c:v>141.56483649000006</c:v>
                </c:pt>
                <c:pt idx="12">
                  <c:v>142.64836361999971</c:v>
                </c:pt>
                <c:pt idx="13">
                  <c:v>191.37039144000005</c:v>
                </c:pt>
                <c:pt idx="14">
                  <c:v>358.32133207000288</c:v>
                </c:pt>
                <c:pt idx="15">
                  <c:v>400.04755940000086</c:v>
                </c:pt>
                <c:pt idx="16">
                  <c:v>545.18373249199794</c:v>
                </c:pt>
              </c:numCache>
            </c:numRef>
          </c:val>
          <c:extLst>
            <c:ext xmlns:c16="http://schemas.microsoft.com/office/drawing/2014/chart" uri="{C3380CC4-5D6E-409C-BE32-E72D297353CC}">
              <c16:uniqueId val="{00000008-7BB4-48C2-A0EF-651997F85713}"/>
            </c:ext>
          </c:extLst>
        </c:ser>
        <c:dLbls>
          <c:showLegendKey val="0"/>
          <c:showVal val="0"/>
          <c:showCatName val="0"/>
          <c:showSerName val="0"/>
          <c:showPercent val="0"/>
          <c:showBubbleSize val="0"/>
        </c:dLbls>
        <c:gapWidth val="15"/>
        <c:axId val="107915136"/>
        <c:axId val="107916672"/>
      </c:barChart>
      <c:catAx>
        <c:axId val="107915136"/>
        <c:scaling>
          <c:orientation val="minMax"/>
        </c:scaling>
        <c:delete val="0"/>
        <c:axPos val="l"/>
        <c:majorGridlines>
          <c:spPr>
            <a:ln>
              <a:solidFill>
                <a:schemeClr val="accent1">
                  <a:alpha val="27000"/>
                </a:schemeClr>
              </a:solidFill>
            </a:ln>
          </c:spPr>
        </c:majorGridlines>
        <c:numFmt formatCode="General" sourceLinked="0"/>
        <c:majorTickMark val="out"/>
        <c:minorTickMark val="none"/>
        <c:tickLblPos val="low"/>
        <c:txPr>
          <a:bodyPr/>
          <a:lstStyle/>
          <a:p>
            <a:pPr>
              <a:defRPr b="1"/>
            </a:pPr>
            <a:endParaRPr lang="es-GT"/>
          </a:p>
        </c:txPr>
        <c:crossAx val="107916672"/>
        <c:crosses val="autoZero"/>
        <c:auto val="1"/>
        <c:lblAlgn val="ctr"/>
        <c:lblOffset val="100"/>
        <c:noMultiLvlLbl val="0"/>
      </c:catAx>
      <c:valAx>
        <c:axId val="107916672"/>
        <c:scaling>
          <c:orientation val="minMax"/>
          <c:min val="-800"/>
        </c:scaling>
        <c:delete val="0"/>
        <c:axPos val="b"/>
        <c:majorGridlines>
          <c:spPr>
            <a:ln>
              <a:solidFill>
                <a:schemeClr val="accent1">
                  <a:alpha val="42000"/>
                </a:schemeClr>
              </a:solidFill>
            </a:ln>
          </c:spPr>
        </c:majorGridlines>
        <c:numFmt formatCode="#,##0" sourceLinked="0"/>
        <c:majorTickMark val="out"/>
        <c:minorTickMark val="none"/>
        <c:tickLblPos val="nextTo"/>
        <c:spPr>
          <a:ln>
            <a:solidFill>
              <a:schemeClr val="accent1">
                <a:alpha val="38000"/>
              </a:schemeClr>
            </a:solidFill>
          </a:ln>
        </c:spPr>
        <c:crossAx val="107915136"/>
        <c:crosses val="autoZero"/>
        <c:crossBetween val="between"/>
      </c:valAx>
    </c:plotArea>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20237261723953"/>
          <c:y val="4.7434238896075898E-2"/>
          <c:w val="0.7142385758551727"/>
          <c:h val="0.68256070190450002"/>
        </c:manualLayout>
      </c:layout>
      <c:lineChart>
        <c:grouping val="standard"/>
        <c:varyColors val="0"/>
        <c:ser>
          <c:idx val="0"/>
          <c:order val="0"/>
          <c:tx>
            <c:strRef>
              <c:f>Hoja1!$B$1</c:f>
              <c:strCache>
                <c:ptCount val="1"/>
                <c:pt idx="0">
                  <c:v>Internos</c:v>
                </c:pt>
              </c:strCache>
            </c:strRef>
          </c:tx>
          <c:marker>
            <c:symbol val="circle"/>
            <c:size val="3"/>
          </c:marker>
          <c:dLbls>
            <c:dLbl>
              <c:idx val="0"/>
              <c:layout>
                <c:manualLayout>
                  <c:x val="-2.735143361713736E-2"/>
                  <c:y val="-8.6185513979527908E-2"/>
                </c:manualLayout>
              </c:layout>
              <c:spPr/>
              <c:txPr>
                <a:bodyPr/>
                <a:lstStyle/>
                <a:p>
                  <a:pPr>
                    <a:defRPr sz="700" b="1">
                      <a:solidFill>
                        <a:srgbClr val="0070C0"/>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25-41EA-A096-7EA385D42ED8}"/>
                </c:ext>
              </c:extLst>
            </c:dLbl>
            <c:dLbl>
              <c:idx val="45"/>
              <c:layout>
                <c:manualLayout>
                  <c:x val="0"/>
                  <c:y val="-1.2927827096929183E-2"/>
                </c:manualLayout>
              </c:layout>
              <c:spPr/>
              <c:txPr>
                <a:bodyPr/>
                <a:lstStyle/>
                <a:p>
                  <a:pPr>
                    <a:defRPr sz="700" b="1">
                      <a:solidFill>
                        <a:srgbClr val="0070C0"/>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25-41EA-A096-7EA385D42ED8}"/>
                </c:ext>
              </c:extLst>
            </c:dLbl>
            <c:spPr>
              <a:noFill/>
              <a:ln>
                <a:noFill/>
              </a:ln>
              <a:effectLst/>
            </c:spPr>
            <c:txPr>
              <a:bodyPr/>
              <a:lstStyle/>
              <a:p>
                <a:pPr>
                  <a:defRPr sz="700" b="1"/>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Hoja1!$A$2:$A$47</c:f>
              <c:numCache>
                <c:formatCode>mmm\-yy</c:formatCode>
                <c:ptCount val="46"/>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numCache>
            </c:numRef>
          </c:cat>
          <c:val>
            <c:numRef>
              <c:f>Hoja1!$B$2:$B$47</c:f>
              <c:numCache>
                <c:formatCode>0.0%</c:formatCode>
                <c:ptCount val="46"/>
                <c:pt idx="0">
                  <c:v>0.10737923004332273</c:v>
                </c:pt>
                <c:pt idx="1">
                  <c:v>0.11350932177510864</c:v>
                </c:pt>
                <c:pt idx="2">
                  <c:v>3.3822439098867729E-2</c:v>
                </c:pt>
                <c:pt idx="3">
                  <c:v>3.4028189506461137E-2</c:v>
                </c:pt>
                <c:pt idx="4">
                  <c:v>3.7126846317253825E-2</c:v>
                </c:pt>
                <c:pt idx="5">
                  <c:v>4.7505235749533359E-2</c:v>
                </c:pt>
                <c:pt idx="6">
                  <c:v>5.499771129687292E-2</c:v>
                </c:pt>
                <c:pt idx="7">
                  <c:v>6.043878498639299E-2</c:v>
                </c:pt>
                <c:pt idx="8">
                  <c:v>6.1766486204372528E-2</c:v>
                </c:pt>
                <c:pt idx="9">
                  <c:v>6.6341485698450553E-2</c:v>
                </c:pt>
                <c:pt idx="10">
                  <c:v>7.2833302591327476E-2</c:v>
                </c:pt>
                <c:pt idx="11">
                  <c:v>7.9548811590882673E-2</c:v>
                </c:pt>
                <c:pt idx="12">
                  <c:v>0.20417733956643636</c:v>
                </c:pt>
                <c:pt idx="13">
                  <c:v>0.17650647356233362</c:v>
                </c:pt>
                <c:pt idx="14">
                  <c:v>0.14746072422839451</c:v>
                </c:pt>
                <c:pt idx="15">
                  <c:v>0.16739859776815424</c:v>
                </c:pt>
                <c:pt idx="16">
                  <c:v>0.19029333893104838</c:v>
                </c:pt>
                <c:pt idx="17">
                  <c:v>0.16188494153047062</c:v>
                </c:pt>
                <c:pt idx="18">
                  <c:v>0.16875792002888956</c:v>
                </c:pt>
                <c:pt idx="19">
                  <c:v>0.16473944611701707</c:v>
                </c:pt>
                <c:pt idx="20">
                  <c:v>0.15823496562080774</c:v>
                </c:pt>
                <c:pt idx="21">
                  <c:v>0.15517308934175844</c:v>
                </c:pt>
                <c:pt idx="22">
                  <c:v>0.15001008706400887</c:v>
                </c:pt>
                <c:pt idx="23">
                  <c:v>0.13676217843212535</c:v>
                </c:pt>
                <c:pt idx="24">
                  <c:v>3.6227835139919229E-2</c:v>
                </c:pt>
                <c:pt idx="25">
                  <c:v>5.1241634586143947E-2</c:v>
                </c:pt>
                <c:pt idx="26">
                  <c:v>1.642247375346706E-2</c:v>
                </c:pt>
                <c:pt idx="27">
                  <c:v>4.0341949485398265E-2</c:v>
                </c:pt>
                <c:pt idx="28">
                  <c:v>3.4973595444827144E-2</c:v>
                </c:pt>
                <c:pt idx="29">
                  <c:v>5.1230435287412002E-2</c:v>
                </c:pt>
                <c:pt idx="30">
                  <c:v>5.3460040171030121E-2</c:v>
                </c:pt>
                <c:pt idx="31">
                  <c:v>5.9885336755803653E-2</c:v>
                </c:pt>
                <c:pt idx="32">
                  <c:v>6.7612594480682242E-2</c:v>
                </c:pt>
                <c:pt idx="33">
                  <c:v>6.6049362345258933E-2</c:v>
                </c:pt>
                <c:pt idx="34">
                  <c:v>6.7465767693603684E-2</c:v>
                </c:pt>
                <c:pt idx="35">
                  <c:v>7.0246871595944782E-2</c:v>
                </c:pt>
                <c:pt idx="36">
                  <c:v>7.9406593859834507E-2</c:v>
                </c:pt>
                <c:pt idx="37">
                  <c:v>8.2483274952353858E-2</c:v>
                </c:pt>
                <c:pt idx="38">
                  <c:v>5.6336506426175825E-2</c:v>
                </c:pt>
                <c:pt idx="39">
                  <c:v>4.9336454987198408E-2</c:v>
                </c:pt>
                <c:pt idx="40">
                  <c:v>4.6316398343146714E-2</c:v>
                </c:pt>
                <c:pt idx="41">
                  <c:v>4.6854463055232554E-2</c:v>
                </c:pt>
                <c:pt idx="42">
                  <c:v>4.7627374083739848E-2</c:v>
                </c:pt>
                <c:pt idx="43">
                  <c:v>4.0690599590714971E-2</c:v>
                </c:pt>
                <c:pt idx="44">
                  <c:v>3.4440878750669368E-2</c:v>
                </c:pt>
                <c:pt idx="45">
                  <c:v>3.237753937086274E-2</c:v>
                </c:pt>
              </c:numCache>
            </c:numRef>
          </c:val>
          <c:smooth val="0"/>
          <c:extLst>
            <c:ext xmlns:c16="http://schemas.microsoft.com/office/drawing/2014/chart" uri="{C3380CC4-5D6E-409C-BE32-E72D297353CC}">
              <c16:uniqueId val="{00000002-0B25-41EA-A096-7EA385D42ED8}"/>
            </c:ext>
          </c:extLst>
        </c:ser>
        <c:ser>
          <c:idx val="1"/>
          <c:order val="1"/>
          <c:tx>
            <c:strRef>
              <c:f>Hoja1!$C$1</c:f>
              <c:strCache>
                <c:ptCount val="1"/>
                <c:pt idx="0">
                  <c:v>Aduanas</c:v>
                </c:pt>
              </c:strCache>
            </c:strRef>
          </c:tx>
          <c:marker>
            <c:symbol val="star"/>
            <c:size val="3"/>
          </c:marker>
          <c:dLbls>
            <c:dLbl>
              <c:idx val="0"/>
              <c:layout>
                <c:manualLayout>
                  <c:x val="-2.735143361713736E-2"/>
                  <c:y val="-0.133587546668268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25-41EA-A096-7EA385D42ED8}"/>
                </c:ext>
              </c:extLst>
            </c:dLbl>
            <c:dLbl>
              <c:idx val="4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25-41EA-A096-7EA385D42ED8}"/>
                </c:ext>
              </c:extLst>
            </c:dLbl>
            <c:spPr>
              <a:noFill/>
              <a:ln>
                <a:noFill/>
              </a:ln>
              <a:effectLst/>
            </c:spPr>
            <c:txPr>
              <a:bodyPr/>
              <a:lstStyle/>
              <a:p>
                <a:pPr>
                  <a:defRPr sz="700" b="1">
                    <a:solidFill>
                      <a:srgbClr val="C00000"/>
                    </a:solidFill>
                  </a:defRPr>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Hoja1!$A$2:$A$47</c:f>
              <c:numCache>
                <c:formatCode>mmm\-yy</c:formatCode>
                <c:ptCount val="46"/>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numCache>
            </c:numRef>
          </c:cat>
          <c:val>
            <c:numRef>
              <c:f>Hoja1!$C$2:$C$47</c:f>
              <c:numCache>
                <c:formatCode>0.0%</c:formatCode>
                <c:ptCount val="46"/>
                <c:pt idx="0">
                  <c:v>0.13114025575777499</c:v>
                </c:pt>
                <c:pt idx="1">
                  <c:v>0.14360781732510297</c:v>
                </c:pt>
                <c:pt idx="2">
                  <c:v>0.11907053753164454</c:v>
                </c:pt>
                <c:pt idx="3">
                  <c:v>9.2413427730099862E-2</c:v>
                </c:pt>
                <c:pt idx="4">
                  <c:v>9.2978834305744051E-2</c:v>
                </c:pt>
                <c:pt idx="5">
                  <c:v>8.405942919648357E-2</c:v>
                </c:pt>
                <c:pt idx="6">
                  <c:v>7.7144000212949315E-2</c:v>
                </c:pt>
                <c:pt idx="7">
                  <c:v>5.6795495900572091E-2</c:v>
                </c:pt>
                <c:pt idx="8">
                  <c:v>3.8087462717289799E-2</c:v>
                </c:pt>
                <c:pt idx="9">
                  <c:v>3.7123922967524425E-2</c:v>
                </c:pt>
                <c:pt idx="10">
                  <c:v>2.9088066541573809E-2</c:v>
                </c:pt>
                <c:pt idx="11">
                  <c:v>3.2529652031225043E-2</c:v>
                </c:pt>
                <c:pt idx="12">
                  <c:v>7.0268002826312514E-2</c:v>
                </c:pt>
                <c:pt idx="13">
                  <c:v>9.9425429505897167E-3</c:v>
                </c:pt>
                <c:pt idx="14">
                  <c:v>-5.7440753925035892E-2</c:v>
                </c:pt>
                <c:pt idx="15">
                  <c:v>-1.1727071394106225E-2</c:v>
                </c:pt>
                <c:pt idx="16">
                  <c:v>-3.3953281053585083E-2</c:v>
                </c:pt>
                <c:pt idx="17">
                  <c:v>-5.5049519933043412E-2</c:v>
                </c:pt>
                <c:pt idx="18">
                  <c:v>-3.911798280475387E-2</c:v>
                </c:pt>
                <c:pt idx="19">
                  <c:v>-3.8257929346216302E-2</c:v>
                </c:pt>
                <c:pt idx="20">
                  <c:v>-2.4023274366118508E-2</c:v>
                </c:pt>
                <c:pt idx="21">
                  <c:v>-1.7419648575337732E-2</c:v>
                </c:pt>
                <c:pt idx="22">
                  <c:v>-1.4064303571387327E-2</c:v>
                </c:pt>
                <c:pt idx="23">
                  <c:v>-2.0543121340942827E-2</c:v>
                </c:pt>
                <c:pt idx="24">
                  <c:v>5.8980031044905346E-2</c:v>
                </c:pt>
                <c:pt idx="25">
                  <c:v>1.4150917497397941E-2</c:v>
                </c:pt>
                <c:pt idx="26">
                  <c:v>3.2465138729146803E-2</c:v>
                </c:pt>
                <c:pt idx="27">
                  <c:v>1.3976274718128012E-2</c:v>
                </c:pt>
                <c:pt idx="28">
                  <c:v>2.9879664224966795E-2</c:v>
                </c:pt>
                <c:pt idx="29">
                  <c:v>3.1673970235546411E-2</c:v>
                </c:pt>
                <c:pt idx="30">
                  <c:v>4.2338959262591569E-2</c:v>
                </c:pt>
                <c:pt idx="31">
                  <c:v>4.1668973336703052E-2</c:v>
                </c:pt>
                <c:pt idx="32">
                  <c:v>4.1769301013734328E-2</c:v>
                </c:pt>
                <c:pt idx="33">
                  <c:v>3.2041226589561544E-2</c:v>
                </c:pt>
                <c:pt idx="34">
                  <c:v>2.8451717735493265E-2</c:v>
                </c:pt>
                <c:pt idx="35">
                  <c:v>3.6326450330135263E-2</c:v>
                </c:pt>
                <c:pt idx="36">
                  <c:v>-0.13487218569601356</c:v>
                </c:pt>
                <c:pt idx="37">
                  <c:v>-6.5575707003519224E-2</c:v>
                </c:pt>
                <c:pt idx="38">
                  <c:v>-1.9235137987445028E-2</c:v>
                </c:pt>
                <c:pt idx="39">
                  <c:v>-3.2007948589622637E-2</c:v>
                </c:pt>
                <c:pt idx="40">
                  <c:v>-4.3515623848928708E-2</c:v>
                </c:pt>
                <c:pt idx="41">
                  <c:v>-3.414750266893829E-2</c:v>
                </c:pt>
                <c:pt idx="42">
                  <c:v>-3.1627969618539975E-2</c:v>
                </c:pt>
                <c:pt idx="43">
                  <c:v>-2.9012193505297712E-2</c:v>
                </c:pt>
                <c:pt idx="44">
                  <c:v>-2.833967593062503E-2</c:v>
                </c:pt>
                <c:pt idx="45">
                  <c:v>-2.438992963615827E-2</c:v>
                </c:pt>
              </c:numCache>
            </c:numRef>
          </c:val>
          <c:smooth val="0"/>
          <c:extLst>
            <c:ext xmlns:c16="http://schemas.microsoft.com/office/drawing/2014/chart" uri="{C3380CC4-5D6E-409C-BE32-E72D297353CC}">
              <c16:uniqueId val="{00000005-0B25-41EA-A096-7EA385D42ED8}"/>
            </c:ext>
          </c:extLst>
        </c:ser>
        <c:ser>
          <c:idx val="2"/>
          <c:order val="2"/>
          <c:tx>
            <c:strRef>
              <c:f>Hoja1!$D$1</c:f>
              <c:strCache>
                <c:ptCount val="1"/>
                <c:pt idx="0">
                  <c:v>Totales</c:v>
                </c:pt>
              </c:strCache>
            </c:strRef>
          </c:tx>
          <c:marker>
            <c:symbol val="plus"/>
            <c:size val="3"/>
          </c:marker>
          <c:dLbls>
            <c:dLbl>
              <c:idx val="0"/>
              <c:layout>
                <c:manualLayout>
                  <c:x val="-2.2792861347614466E-2"/>
                  <c:y val="-0.116350443872362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25-41EA-A096-7EA385D42ED8}"/>
                </c:ext>
              </c:extLst>
            </c:dLbl>
            <c:dLbl>
              <c:idx val="4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25-41EA-A096-7EA385D42ED8}"/>
                </c:ext>
              </c:extLst>
            </c:dLbl>
            <c:spPr>
              <a:noFill/>
              <a:ln>
                <a:noFill/>
              </a:ln>
              <a:effectLst/>
            </c:spPr>
            <c:txPr>
              <a:bodyPr/>
              <a:lstStyle/>
              <a:p>
                <a:pPr>
                  <a:defRPr sz="700" b="1">
                    <a:solidFill>
                      <a:schemeClr val="accent3">
                        <a:lumMod val="75000"/>
                      </a:schemeClr>
                    </a:solidFill>
                  </a:defRPr>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Hoja1!$A$2:$A$47</c:f>
              <c:numCache>
                <c:formatCode>mmm\-yy</c:formatCode>
                <c:ptCount val="46"/>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numCache>
            </c:numRef>
          </c:cat>
          <c:val>
            <c:numRef>
              <c:f>Hoja1!$D$2:$D$47</c:f>
              <c:numCache>
                <c:formatCode>0.0%</c:formatCode>
                <c:ptCount val="46"/>
                <c:pt idx="0">
                  <c:v>0.11425564880078376</c:v>
                </c:pt>
                <c:pt idx="1">
                  <c:v>0.12361791554115387</c:v>
                </c:pt>
                <c:pt idx="2">
                  <c:v>6.0934204255111535E-2</c:v>
                </c:pt>
                <c:pt idx="3">
                  <c:v>5.2105245183598825E-2</c:v>
                </c:pt>
                <c:pt idx="4">
                  <c:v>5.5698010286522104E-2</c:v>
                </c:pt>
                <c:pt idx="5">
                  <c:v>6.0151310173759409E-2</c:v>
                </c:pt>
                <c:pt idx="6">
                  <c:v>6.23856444126345E-2</c:v>
                </c:pt>
                <c:pt idx="7">
                  <c:v>5.9181505292130065E-2</c:v>
                </c:pt>
                <c:pt idx="8">
                  <c:v>5.33932097593528E-2</c:v>
                </c:pt>
                <c:pt idx="9">
                  <c:v>5.6215284627678441E-2</c:v>
                </c:pt>
                <c:pt idx="10">
                  <c:v>5.7312627677995387E-2</c:v>
                </c:pt>
                <c:pt idx="11">
                  <c:v>6.273365083590221E-2</c:v>
                </c:pt>
                <c:pt idx="12">
                  <c:v>0.16483686403979037</c:v>
                </c:pt>
                <c:pt idx="13">
                  <c:v>0.1195706801914258</c:v>
                </c:pt>
                <c:pt idx="14">
                  <c:v>7.872425883277212E-2</c:v>
                </c:pt>
                <c:pt idx="15">
                  <c:v>0.10981347342878389</c:v>
                </c:pt>
                <c:pt idx="16">
                  <c:v>0.11309669090616903</c:v>
                </c:pt>
                <c:pt idx="17">
                  <c:v>8.5143083039798562E-2</c:v>
                </c:pt>
                <c:pt idx="18">
                  <c:v>9.8447820088387816E-2</c:v>
                </c:pt>
                <c:pt idx="19">
                  <c:v>9.4843939585669279E-2</c:v>
                </c:pt>
                <c:pt idx="20">
                  <c:v>9.4722021469625828E-2</c:v>
                </c:pt>
                <c:pt idx="21">
                  <c:v>9.6437235844230473E-2</c:v>
                </c:pt>
                <c:pt idx="22">
                  <c:v>9.335097539014825E-2</c:v>
                </c:pt>
                <c:pt idx="23">
                  <c:v>8.2104948670144173E-2</c:v>
                </c:pt>
                <c:pt idx="24">
                  <c:v>4.2369406466282733E-2</c:v>
                </c:pt>
                <c:pt idx="25">
                  <c:v>3.980456414257838E-2</c:v>
                </c:pt>
                <c:pt idx="26">
                  <c:v>2.112484411125104E-2</c:v>
                </c:pt>
                <c:pt idx="27">
                  <c:v>3.2794186052429231E-2</c:v>
                </c:pt>
                <c:pt idx="28">
                  <c:v>3.3451678851219357E-2</c:v>
                </c:pt>
                <c:pt idx="29">
                  <c:v>4.5206002489583064E-2</c:v>
                </c:pt>
                <c:pt idx="30">
                  <c:v>5.0169621191741287E-2</c:v>
                </c:pt>
                <c:pt idx="31">
                  <c:v>5.4375649966212691E-2</c:v>
                </c:pt>
                <c:pt idx="32">
                  <c:v>5.9583648447879778E-2</c:v>
                </c:pt>
                <c:pt idx="33">
                  <c:v>5.5677711441468603E-2</c:v>
                </c:pt>
                <c:pt idx="34">
                  <c:v>5.5316810802318761E-2</c:v>
                </c:pt>
                <c:pt idx="35">
                  <c:v>5.957891018154915E-2</c:v>
                </c:pt>
                <c:pt idx="36">
                  <c:v>2.0643932053213909E-2</c:v>
                </c:pt>
                <c:pt idx="37">
                  <c:v>3.7955069418535103E-2</c:v>
                </c:pt>
                <c:pt idx="38">
                  <c:v>3.3939202503295629E-2</c:v>
                </c:pt>
                <c:pt idx="39">
                  <c:v>2.647409402438905E-2</c:v>
                </c:pt>
                <c:pt idx="40">
                  <c:v>1.9570003024222293E-2</c:v>
                </c:pt>
                <c:pt idx="41">
                  <c:v>2.2224602995835729E-2</c:v>
                </c:pt>
                <c:pt idx="42">
                  <c:v>2.435277148330095E-2</c:v>
                </c:pt>
                <c:pt idx="43">
                  <c:v>1.9862493963713757E-2</c:v>
                </c:pt>
                <c:pt idx="44">
                  <c:v>1.5264255512445812E-2</c:v>
                </c:pt>
                <c:pt idx="45">
                  <c:v>1.5452476510658286E-2</c:v>
                </c:pt>
              </c:numCache>
            </c:numRef>
          </c:val>
          <c:smooth val="0"/>
          <c:extLst>
            <c:ext xmlns:c16="http://schemas.microsoft.com/office/drawing/2014/chart" uri="{C3380CC4-5D6E-409C-BE32-E72D297353CC}">
              <c16:uniqueId val="{00000008-0B25-41EA-A096-7EA385D42ED8}"/>
            </c:ext>
          </c:extLst>
        </c:ser>
        <c:dLbls>
          <c:showLegendKey val="0"/>
          <c:showVal val="0"/>
          <c:showCatName val="0"/>
          <c:showSerName val="0"/>
          <c:showPercent val="0"/>
          <c:showBubbleSize val="0"/>
        </c:dLbls>
        <c:marker val="1"/>
        <c:smooth val="0"/>
        <c:axId val="106841216"/>
        <c:axId val="106842752"/>
      </c:lineChart>
      <c:dateAx>
        <c:axId val="106841216"/>
        <c:scaling>
          <c:orientation val="minMax"/>
        </c:scaling>
        <c:delete val="0"/>
        <c:axPos val="b"/>
        <c:numFmt formatCode="mmm\-yy" sourceLinked="1"/>
        <c:majorTickMark val="out"/>
        <c:minorTickMark val="none"/>
        <c:tickLblPos val="low"/>
        <c:txPr>
          <a:bodyPr/>
          <a:lstStyle/>
          <a:p>
            <a:pPr>
              <a:defRPr sz="800"/>
            </a:pPr>
            <a:endParaRPr lang="es-GT"/>
          </a:p>
        </c:txPr>
        <c:crossAx val="106842752"/>
        <c:crosses val="autoZero"/>
        <c:auto val="1"/>
        <c:lblOffset val="100"/>
        <c:baseTimeUnit val="months"/>
        <c:majorUnit val="3"/>
        <c:majorTimeUnit val="months"/>
      </c:dateAx>
      <c:valAx>
        <c:axId val="106842752"/>
        <c:scaling>
          <c:orientation val="minMax"/>
        </c:scaling>
        <c:delete val="0"/>
        <c:axPos val="l"/>
        <c:numFmt formatCode="0%" sourceLinked="0"/>
        <c:majorTickMark val="out"/>
        <c:minorTickMark val="none"/>
        <c:tickLblPos val="nextTo"/>
        <c:txPr>
          <a:bodyPr/>
          <a:lstStyle/>
          <a:p>
            <a:pPr>
              <a:defRPr sz="800"/>
            </a:pPr>
            <a:endParaRPr lang="es-GT"/>
          </a:p>
        </c:txPr>
        <c:crossAx val="10684121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30930278567633"/>
          <c:y val="5.2752458475523588E-2"/>
          <c:w val="0.84844035413638452"/>
          <c:h val="0.81264284526313502"/>
        </c:manualLayout>
      </c:layout>
      <c:barChart>
        <c:barDir val="col"/>
        <c:grouping val="stacked"/>
        <c:varyColors val="0"/>
        <c:ser>
          <c:idx val="0"/>
          <c:order val="0"/>
          <c:tx>
            <c:strRef>
              <c:f>Hoja1!$B$1</c:f>
              <c:strCache>
                <c:ptCount val="1"/>
                <c:pt idx="0">
                  <c:v>Oct</c:v>
                </c:pt>
              </c:strCache>
            </c:strRef>
          </c:tx>
          <c:invertIfNegative val="0"/>
          <c:dPt>
            <c:idx val="0"/>
            <c:invertIfNegative val="0"/>
            <c:bubble3D val="0"/>
            <c:spPr>
              <a:solidFill>
                <a:schemeClr val="accent6">
                  <a:lumMod val="40000"/>
                  <a:lumOff val="60000"/>
                </a:schemeClr>
              </a:solidFill>
            </c:spPr>
            <c:extLst>
              <c:ext xmlns:c16="http://schemas.microsoft.com/office/drawing/2014/chart" uri="{C3380CC4-5D6E-409C-BE32-E72D297353CC}">
                <c16:uniqueId val="{00000001-298F-45B4-8D35-1B44207833DF}"/>
              </c:ext>
            </c:extLst>
          </c:dPt>
          <c:dPt>
            <c:idx val="1"/>
            <c:invertIfNegative val="0"/>
            <c:bubble3D val="0"/>
            <c:spPr>
              <a:solidFill>
                <a:schemeClr val="accent6">
                  <a:lumMod val="75000"/>
                </a:schemeClr>
              </a:solidFill>
            </c:spPr>
            <c:extLst>
              <c:ext xmlns:c16="http://schemas.microsoft.com/office/drawing/2014/chart" uri="{C3380CC4-5D6E-409C-BE32-E72D297353CC}">
                <c16:uniqueId val="{00000003-298F-45B4-8D35-1B44207833DF}"/>
              </c:ext>
            </c:extLst>
          </c:dPt>
          <c:dPt>
            <c:idx val="2"/>
            <c:invertIfNegative val="0"/>
            <c:bubble3D val="0"/>
            <c:spPr>
              <a:solidFill>
                <a:srgbClr val="0070C0"/>
              </a:solidFill>
            </c:spPr>
            <c:extLst>
              <c:ext xmlns:c16="http://schemas.microsoft.com/office/drawing/2014/chart" uri="{C3380CC4-5D6E-409C-BE32-E72D297353CC}">
                <c16:uniqueId val="{00000005-298F-45B4-8D35-1B44207833DF}"/>
              </c:ext>
            </c:extLst>
          </c:dPt>
          <c:dLbls>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2014</c:v>
                </c:pt>
                <c:pt idx="1">
                  <c:v>2015</c:v>
                </c:pt>
              </c:strCache>
            </c:strRef>
          </c:cat>
          <c:val>
            <c:numRef>
              <c:f>Hoja1!$B$2:$B$3</c:f>
              <c:numCache>
                <c:formatCode>#,##0.0</c:formatCode>
                <c:ptCount val="2"/>
                <c:pt idx="0">
                  <c:v>12187.542781829998</c:v>
                </c:pt>
                <c:pt idx="1">
                  <c:v>11962.705192879999</c:v>
                </c:pt>
              </c:numCache>
            </c:numRef>
          </c:val>
          <c:extLst>
            <c:ext xmlns:c16="http://schemas.microsoft.com/office/drawing/2014/chart" uri="{C3380CC4-5D6E-409C-BE32-E72D297353CC}">
              <c16:uniqueId val="{00000006-298F-45B4-8D35-1B44207833DF}"/>
            </c:ext>
          </c:extLst>
        </c:ser>
        <c:ser>
          <c:idx val="1"/>
          <c:order val="1"/>
          <c:tx>
            <c:strRef>
              <c:f>Hoja1!$C$1</c:f>
              <c:strCache>
                <c:ptCount val="1"/>
                <c:pt idx="0">
                  <c:v>Acuerdo 174-2014</c:v>
                </c:pt>
              </c:strCache>
            </c:strRef>
          </c:tx>
          <c:spPr>
            <a:solidFill>
              <a:srgbClr val="FF0000"/>
            </a:solidFill>
          </c:spPr>
          <c:invertIfNegative val="0"/>
          <c:dLbls>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2014</c:v>
                </c:pt>
                <c:pt idx="1">
                  <c:v>2015</c:v>
                </c:pt>
              </c:strCache>
            </c:strRef>
          </c:cat>
          <c:val>
            <c:numRef>
              <c:f>Hoja1!$C$2:$C$3</c:f>
              <c:numCache>
                <c:formatCode>General</c:formatCode>
                <c:ptCount val="2"/>
                <c:pt idx="0" formatCode="#,##0.0">
                  <c:v>306.33076796</c:v>
                </c:pt>
              </c:numCache>
            </c:numRef>
          </c:val>
          <c:extLst>
            <c:ext xmlns:c16="http://schemas.microsoft.com/office/drawing/2014/chart" uri="{C3380CC4-5D6E-409C-BE32-E72D297353CC}">
              <c16:uniqueId val="{00000007-298F-45B4-8D35-1B44207833DF}"/>
            </c:ext>
          </c:extLst>
        </c:ser>
        <c:dLbls>
          <c:showLegendKey val="0"/>
          <c:showVal val="0"/>
          <c:showCatName val="0"/>
          <c:showSerName val="0"/>
          <c:showPercent val="0"/>
          <c:showBubbleSize val="0"/>
        </c:dLbls>
        <c:gapWidth val="23"/>
        <c:overlap val="100"/>
        <c:axId val="109077632"/>
        <c:axId val="109079168"/>
      </c:barChart>
      <c:catAx>
        <c:axId val="109077632"/>
        <c:scaling>
          <c:orientation val="minMax"/>
        </c:scaling>
        <c:delete val="0"/>
        <c:axPos val="b"/>
        <c:numFmt formatCode="General" sourceLinked="0"/>
        <c:majorTickMark val="out"/>
        <c:minorTickMark val="none"/>
        <c:tickLblPos val="nextTo"/>
        <c:txPr>
          <a:bodyPr/>
          <a:lstStyle/>
          <a:p>
            <a:pPr>
              <a:defRPr b="1"/>
            </a:pPr>
            <a:endParaRPr lang="es-GT"/>
          </a:p>
        </c:txPr>
        <c:crossAx val="109079168"/>
        <c:crosses val="autoZero"/>
        <c:auto val="1"/>
        <c:lblAlgn val="ctr"/>
        <c:lblOffset val="100"/>
        <c:noMultiLvlLbl val="0"/>
      </c:catAx>
      <c:valAx>
        <c:axId val="109079168"/>
        <c:scaling>
          <c:orientation val="minMax"/>
        </c:scaling>
        <c:delete val="0"/>
        <c:axPos val="l"/>
        <c:numFmt formatCode="#,##0" sourceLinked="0"/>
        <c:majorTickMark val="out"/>
        <c:minorTickMark val="none"/>
        <c:tickLblPos val="nextTo"/>
        <c:txPr>
          <a:bodyPr/>
          <a:lstStyle/>
          <a:p>
            <a:pPr>
              <a:defRPr b="1"/>
            </a:pPr>
            <a:endParaRPr lang="es-GT"/>
          </a:p>
        </c:txPr>
        <c:crossAx val="109077632"/>
        <c:crosses val="autoZero"/>
        <c:crossBetween val="between"/>
      </c:valAx>
    </c:plotArea>
    <c:legend>
      <c:legendPos val="b"/>
      <c:legendEntry>
        <c:idx val="0"/>
        <c:delete val="1"/>
      </c:legendEntry>
      <c:layout>
        <c:manualLayout>
          <c:xMode val="edge"/>
          <c:yMode val="edge"/>
          <c:x val="0.5405070477301448"/>
          <c:y val="0.20588571679936651"/>
          <c:w val="0.45769184407504615"/>
          <c:h val="9.2521535503866187E-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67316274191686"/>
          <c:y val="3.9207491907343114E-2"/>
          <c:w val="0.70928165344645577"/>
          <c:h val="0.88570321739972591"/>
        </c:manualLayout>
      </c:layout>
      <c:barChart>
        <c:barDir val="bar"/>
        <c:grouping val="clustered"/>
        <c:varyColors val="0"/>
        <c:ser>
          <c:idx val="0"/>
          <c:order val="0"/>
          <c:tx>
            <c:strRef>
              <c:f>Hoja1!$B$1</c:f>
              <c:strCache>
                <c:ptCount val="1"/>
                <c:pt idx="0">
                  <c:v>2015</c:v>
                </c:pt>
              </c:strCache>
            </c:strRef>
          </c:tx>
          <c:spPr>
            <a:effectLst>
              <a:outerShdw blurRad="50800" dist="38100" dir="18900000" algn="bl" rotWithShape="0">
                <a:prstClr val="black">
                  <a:alpha val="40000"/>
                </a:prstClr>
              </a:outerShdw>
            </a:effectLst>
            <a:scene3d>
              <a:camera prst="orthographicFront"/>
              <a:lightRig rig="threePt" dir="t"/>
            </a:scene3d>
            <a:sp3d>
              <a:bevelT/>
            </a:sp3d>
          </c:spPr>
          <c:invertIfNegative val="0"/>
          <c:dPt>
            <c:idx val="0"/>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1-B18B-4A1E-A195-32AA1B7E13BD}"/>
              </c:ext>
            </c:extLst>
          </c:dPt>
          <c:dPt>
            <c:idx val="1"/>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3-B18B-4A1E-A195-32AA1B7E13BD}"/>
              </c:ext>
            </c:extLst>
          </c:dPt>
          <c:dPt>
            <c:idx val="2"/>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5-B18B-4A1E-A195-32AA1B7E13BD}"/>
              </c:ext>
            </c:extLst>
          </c:dPt>
          <c:dPt>
            <c:idx val="3"/>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7-B18B-4A1E-A195-32AA1B7E13BD}"/>
              </c:ext>
            </c:extLst>
          </c:dPt>
          <c:dPt>
            <c:idx val="4"/>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9-B18B-4A1E-A195-32AA1B7E13BD}"/>
              </c:ext>
            </c:extLst>
          </c:dPt>
          <c:dPt>
            <c:idx val="5"/>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B-B18B-4A1E-A195-32AA1B7E13BD}"/>
              </c:ext>
            </c:extLst>
          </c:dPt>
          <c:dPt>
            <c:idx val="6"/>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D-B18B-4A1E-A195-32AA1B7E13BD}"/>
              </c:ext>
            </c:extLst>
          </c:dPt>
          <c:dPt>
            <c:idx val="7"/>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F-B18B-4A1E-A195-32AA1B7E13BD}"/>
              </c:ext>
            </c:extLst>
          </c:dPt>
          <c:dPt>
            <c:idx val="8"/>
            <c:invertIfNegative val="0"/>
            <c:bubble3D val="0"/>
            <c:spPr>
              <a:solidFill>
                <a:srgbClr val="C00000"/>
              </a:solidFill>
              <a:effectLst>
                <a:outerShdw blurRad="50800" dist="38100" dir="18900000" algn="b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11-B18B-4A1E-A195-32AA1B7E13B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Hoja1!$A$2:$A$20</c:f>
              <c:strCache>
                <c:ptCount val="19"/>
                <c:pt idx="0">
                  <c:v>Agricultura</c:v>
                </c:pt>
                <c:pt idx="1">
                  <c:v>Desarrollo</c:v>
                </c:pt>
                <c:pt idx="2">
                  <c:v>Comunicaciones</c:v>
                </c:pt>
                <c:pt idx="3">
                  <c:v>Energía</c:v>
                </c:pt>
                <c:pt idx="4">
                  <c:v>Cultura </c:v>
                </c:pt>
                <c:pt idx="5">
                  <c:v>Economía</c:v>
                </c:pt>
                <c:pt idx="6">
                  <c:v>Presidencia </c:v>
                </c:pt>
                <c:pt idx="7">
                  <c:v>Secretarías</c:v>
                </c:pt>
                <c:pt idx="8">
                  <c:v>Finanzas</c:v>
                </c:pt>
                <c:pt idx="9">
                  <c:v>Trabajo </c:v>
                </c:pt>
                <c:pt idx="10">
                  <c:v>Gobernación</c:v>
                </c:pt>
                <c:pt idx="11">
                  <c:v>PGN</c:v>
                </c:pt>
                <c:pt idx="12">
                  <c:v>Defensa </c:v>
                </c:pt>
                <c:pt idx="13">
                  <c:v>Relaciones exteriores</c:v>
                </c:pt>
                <c:pt idx="14">
                  <c:v>Educación </c:v>
                </c:pt>
                <c:pt idx="15">
                  <c:v>Ambiente</c:v>
                </c:pt>
                <c:pt idx="16">
                  <c:v>Salud </c:v>
                </c:pt>
                <c:pt idx="17">
                  <c:v>Obligaciones</c:v>
                </c:pt>
                <c:pt idx="18">
                  <c:v>Deuda Pública</c:v>
                </c:pt>
              </c:strCache>
            </c:strRef>
          </c:cat>
          <c:val>
            <c:numRef>
              <c:f>Hoja1!$B$2:$B$20</c:f>
              <c:numCache>
                <c:formatCode>0.0</c:formatCode>
                <c:ptCount val="19"/>
                <c:pt idx="0">
                  <c:v>-37.771327646379014</c:v>
                </c:pt>
                <c:pt idx="1">
                  <c:v>-36.032383828128246</c:v>
                </c:pt>
                <c:pt idx="2">
                  <c:v>-31.008407017660375</c:v>
                </c:pt>
                <c:pt idx="3">
                  <c:v>-26.521985590247297</c:v>
                </c:pt>
                <c:pt idx="4">
                  <c:v>-13.472868083128319</c:v>
                </c:pt>
                <c:pt idx="5">
                  <c:v>-10.214507676754792</c:v>
                </c:pt>
                <c:pt idx="6">
                  <c:v>-8.8517296001770092</c:v>
                </c:pt>
                <c:pt idx="7">
                  <c:v>-4.8706463345753264</c:v>
                </c:pt>
                <c:pt idx="8">
                  <c:v>-1.398367672593551</c:v>
                </c:pt>
                <c:pt idx="9">
                  <c:v>0.2120286612963298</c:v>
                </c:pt>
                <c:pt idx="10">
                  <c:v>2.4178080984718093</c:v>
                </c:pt>
                <c:pt idx="11">
                  <c:v>2.5148177477753393</c:v>
                </c:pt>
                <c:pt idx="12">
                  <c:v>2.7038535112022544</c:v>
                </c:pt>
                <c:pt idx="13">
                  <c:v>6.6834303427979904</c:v>
                </c:pt>
                <c:pt idx="14">
                  <c:v>8.7638614567344888</c:v>
                </c:pt>
                <c:pt idx="15">
                  <c:v>9.9704441583102579</c:v>
                </c:pt>
                <c:pt idx="16">
                  <c:v>10.216295364766808</c:v>
                </c:pt>
                <c:pt idx="17">
                  <c:v>11.566797819805515</c:v>
                </c:pt>
                <c:pt idx="18">
                  <c:v>15.165476369692016</c:v>
                </c:pt>
              </c:numCache>
            </c:numRef>
          </c:val>
          <c:extLst>
            <c:ext xmlns:c16="http://schemas.microsoft.com/office/drawing/2014/chart" uri="{C3380CC4-5D6E-409C-BE32-E72D297353CC}">
              <c16:uniqueId val="{00000012-B18B-4A1E-A195-32AA1B7E13BD}"/>
            </c:ext>
          </c:extLst>
        </c:ser>
        <c:dLbls>
          <c:showLegendKey val="0"/>
          <c:showVal val="0"/>
          <c:showCatName val="0"/>
          <c:showSerName val="0"/>
          <c:showPercent val="0"/>
          <c:showBubbleSize val="0"/>
        </c:dLbls>
        <c:gapWidth val="57"/>
        <c:axId val="107633280"/>
        <c:axId val="107635072"/>
      </c:barChart>
      <c:catAx>
        <c:axId val="107633280"/>
        <c:scaling>
          <c:orientation val="minMax"/>
        </c:scaling>
        <c:delete val="0"/>
        <c:axPos val="l"/>
        <c:numFmt formatCode="General" sourceLinked="0"/>
        <c:majorTickMark val="out"/>
        <c:minorTickMark val="none"/>
        <c:tickLblPos val="low"/>
        <c:crossAx val="107635072"/>
        <c:crosses val="autoZero"/>
        <c:auto val="1"/>
        <c:lblAlgn val="ctr"/>
        <c:lblOffset val="100"/>
        <c:noMultiLvlLbl val="0"/>
      </c:catAx>
      <c:valAx>
        <c:axId val="107635072"/>
        <c:scaling>
          <c:orientation val="minMax"/>
        </c:scaling>
        <c:delete val="0"/>
        <c:axPos val="b"/>
        <c:numFmt formatCode="0.0" sourceLinked="1"/>
        <c:majorTickMark val="out"/>
        <c:minorTickMark val="none"/>
        <c:tickLblPos val="nextTo"/>
        <c:crossAx val="107633280"/>
        <c:crosses val="autoZero"/>
        <c:crossBetween val="between"/>
      </c:valAx>
    </c:plotArea>
    <c:plotVisOnly val="1"/>
    <c:dispBlanksAs val="gap"/>
    <c:showDLblsOverMax val="0"/>
  </c:chart>
  <c:spPr>
    <a:ln>
      <a:noFill/>
    </a:ln>
  </c:spPr>
  <c:txPr>
    <a:bodyPr/>
    <a:lstStyle/>
    <a:p>
      <a:pPr>
        <a:defRPr sz="500">
          <a:latin typeface="Times" pitchFamily="18" charset="0"/>
        </a:defRPr>
      </a:pPr>
      <a:endParaRPr lang="es-G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9882038264188E-2"/>
          <c:y val="3.2766272189349112E-2"/>
          <c:w val="0.89342546810351031"/>
          <c:h val="0.7381278246284303"/>
        </c:manualLayout>
      </c:layout>
      <c:lineChart>
        <c:grouping val="standard"/>
        <c:varyColors val="0"/>
        <c:ser>
          <c:idx val="0"/>
          <c:order val="0"/>
          <c:spPr>
            <a:ln w="6350">
              <a:solidFill>
                <a:srgbClr val="FF0000"/>
              </a:solidFill>
            </a:ln>
            <a:effectLst>
              <a:outerShdw blurRad="50800" dist="38100" dir="2700000" algn="tl" rotWithShape="0">
                <a:prstClr val="black">
                  <a:alpha val="40000"/>
                </a:prstClr>
              </a:outerShdw>
            </a:effectLst>
          </c:spPr>
          <c:marker>
            <c:symbol val="none"/>
          </c:marker>
          <c:dPt>
            <c:idx val="0"/>
            <c:marker>
              <c:symbol val="circle"/>
              <c:size val="5"/>
              <c:spPr>
                <a:solidFill>
                  <a:srgbClr val="FF0000"/>
                </a:solidFill>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0-0457-4B0A-8CA5-01E036AC2AF5}"/>
              </c:ext>
            </c:extLst>
          </c:dPt>
          <c:dPt>
            <c:idx val="12"/>
            <c:marker>
              <c:symbol val="circle"/>
              <c:size val="5"/>
              <c:spPr>
                <a:solidFill>
                  <a:srgbClr val="FF0000"/>
                </a:solidFill>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1-0457-4B0A-8CA5-01E036AC2AF5}"/>
              </c:ext>
            </c:extLst>
          </c:dPt>
          <c:dPt>
            <c:idx val="24"/>
            <c:marker>
              <c:symbol val="circle"/>
              <c:size val="5"/>
              <c:spPr>
                <a:solidFill>
                  <a:srgbClr val="FF0000"/>
                </a:solidFill>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2-0457-4B0A-8CA5-01E036AC2AF5}"/>
              </c:ext>
            </c:extLst>
          </c:dPt>
          <c:dLbls>
            <c:dLbl>
              <c:idx val="0"/>
              <c:layout>
                <c:manualLayout>
                  <c:x val="-2.222222222222222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57-4B0A-8CA5-01E036AC2AF5}"/>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57-4B0A-8CA5-01E036AC2AF5}"/>
                </c:ext>
              </c:extLst>
            </c:dLbl>
            <c:dLbl>
              <c:idx val="24"/>
              <c:layout>
                <c:manualLayout>
                  <c:x val="-1.6666666666666666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57-4B0A-8CA5-01E036AC2AF5}"/>
                </c:ext>
              </c:extLst>
            </c:dLbl>
            <c:spPr>
              <a:noFill/>
              <a:ln>
                <a:noFill/>
              </a:ln>
              <a:effectLst/>
            </c:spPr>
            <c:txPr>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Hoja1!$A$8:$B$32</c:f>
              <c:multiLvlStrCache>
                <c:ptCount val="25"/>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lvl>
                <c:lvl>
                  <c:pt idx="0">
                    <c:v>2013</c:v>
                  </c:pt>
                  <c:pt idx="3">
                    <c:v>2014</c:v>
                  </c:pt>
                  <c:pt idx="15">
                    <c:v>2015</c:v>
                  </c:pt>
                </c:lvl>
              </c:multiLvlStrCache>
            </c:multiLvlStrRef>
          </c:cat>
          <c:val>
            <c:numRef>
              <c:f>Hoja1!$C$8:$C$32</c:f>
              <c:numCache>
                <c:formatCode>General</c:formatCode>
                <c:ptCount val="25"/>
                <c:pt idx="0">
                  <c:v>4.1500000000000004</c:v>
                </c:pt>
                <c:pt idx="1">
                  <c:v>4.63</c:v>
                </c:pt>
                <c:pt idx="2">
                  <c:v>4.3899999999999997</c:v>
                </c:pt>
                <c:pt idx="3">
                  <c:v>4.1399999999999997</c:v>
                </c:pt>
                <c:pt idx="4">
                  <c:v>3.5</c:v>
                </c:pt>
                <c:pt idx="5">
                  <c:v>3.25</c:v>
                </c:pt>
                <c:pt idx="6">
                  <c:v>3.27</c:v>
                </c:pt>
                <c:pt idx="7">
                  <c:v>3.22</c:v>
                </c:pt>
                <c:pt idx="8">
                  <c:v>3.13</c:v>
                </c:pt>
                <c:pt idx="9">
                  <c:v>3.41</c:v>
                </c:pt>
                <c:pt idx="10">
                  <c:v>3.7</c:v>
                </c:pt>
                <c:pt idx="11">
                  <c:v>3.45</c:v>
                </c:pt>
                <c:pt idx="12">
                  <c:v>3.64</c:v>
                </c:pt>
                <c:pt idx="13">
                  <c:v>3.38</c:v>
                </c:pt>
                <c:pt idx="14">
                  <c:v>2.95</c:v>
                </c:pt>
                <c:pt idx="15">
                  <c:v>2.3199999999999998</c:v>
                </c:pt>
                <c:pt idx="16">
                  <c:v>2.44</c:v>
                </c:pt>
                <c:pt idx="17">
                  <c:v>2.4300000000000002</c:v>
                </c:pt>
                <c:pt idx="18">
                  <c:v>2.58</c:v>
                </c:pt>
                <c:pt idx="19">
                  <c:v>2.5499999999999998</c:v>
                </c:pt>
                <c:pt idx="20">
                  <c:v>2.39</c:v>
                </c:pt>
                <c:pt idx="21">
                  <c:v>2.3199999999999998</c:v>
                </c:pt>
                <c:pt idx="22">
                  <c:v>1.96</c:v>
                </c:pt>
                <c:pt idx="23">
                  <c:v>1.88</c:v>
                </c:pt>
                <c:pt idx="24">
                  <c:v>2.23</c:v>
                </c:pt>
              </c:numCache>
            </c:numRef>
          </c:val>
          <c:smooth val="1"/>
          <c:extLst>
            <c:ext xmlns:c16="http://schemas.microsoft.com/office/drawing/2014/chart" uri="{C3380CC4-5D6E-409C-BE32-E72D297353CC}">
              <c16:uniqueId val="{00000003-0457-4B0A-8CA5-01E036AC2AF5}"/>
            </c:ext>
          </c:extLst>
        </c:ser>
        <c:ser>
          <c:idx val="1"/>
          <c:order val="1"/>
          <c:spPr>
            <a:ln w="12700">
              <a:solidFill>
                <a:schemeClr val="tx2"/>
              </a:solidFill>
            </a:ln>
          </c:spPr>
          <c:marker>
            <c:symbol val="none"/>
          </c:marker>
          <c:cat>
            <c:multiLvlStrRef>
              <c:f>Hoja1!$A$8:$B$32</c:f>
              <c:multiLvlStrCache>
                <c:ptCount val="25"/>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lvl>
                <c:lvl>
                  <c:pt idx="0">
                    <c:v>2013</c:v>
                  </c:pt>
                  <c:pt idx="3">
                    <c:v>2014</c:v>
                  </c:pt>
                  <c:pt idx="15">
                    <c:v>2015</c:v>
                  </c:pt>
                </c:lvl>
              </c:multiLvlStrCache>
            </c:multiLvlStrRef>
          </c:cat>
          <c:val>
            <c:numRef>
              <c:f>Hoja1!$E$8:$E$32</c:f>
              <c:numCache>
                <c:formatCode>General</c:formatCode>
                <c:ptCount val="25"/>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numCache>
            </c:numRef>
          </c:val>
          <c:smooth val="0"/>
          <c:extLst>
            <c:ext xmlns:c16="http://schemas.microsoft.com/office/drawing/2014/chart" uri="{C3380CC4-5D6E-409C-BE32-E72D297353CC}">
              <c16:uniqueId val="{00000004-0457-4B0A-8CA5-01E036AC2AF5}"/>
            </c:ext>
          </c:extLst>
        </c:ser>
        <c:ser>
          <c:idx val="2"/>
          <c:order val="2"/>
          <c:spPr>
            <a:ln w="12700">
              <a:solidFill>
                <a:schemeClr val="tx2"/>
              </a:solidFill>
              <a:prstDash val="dash"/>
            </a:ln>
          </c:spPr>
          <c:marker>
            <c:symbol val="none"/>
          </c:marker>
          <c:cat>
            <c:multiLvlStrRef>
              <c:f>Hoja1!$A$8:$B$32</c:f>
              <c:multiLvlStrCache>
                <c:ptCount val="25"/>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lvl>
                <c:lvl>
                  <c:pt idx="0">
                    <c:v>2013</c:v>
                  </c:pt>
                  <c:pt idx="3">
                    <c:v>2014</c:v>
                  </c:pt>
                  <c:pt idx="15">
                    <c:v>2015</c:v>
                  </c:pt>
                </c:lvl>
              </c:multiLvlStrCache>
            </c:multiLvlStrRef>
          </c:cat>
          <c:val>
            <c:numRef>
              <c:f>Hoja1!$D$8:$D$32</c:f>
              <c:numCache>
                <c:formatCode>General</c:formatCode>
                <c:ptCount val="25"/>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numCache>
            </c:numRef>
          </c:val>
          <c:smooth val="0"/>
          <c:extLst>
            <c:ext xmlns:c16="http://schemas.microsoft.com/office/drawing/2014/chart" uri="{C3380CC4-5D6E-409C-BE32-E72D297353CC}">
              <c16:uniqueId val="{00000005-0457-4B0A-8CA5-01E036AC2AF5}"/>
            </c:ext>
          </c:extLst>
        </c:ser>
        <c:ser>
          <c:idx val="3"/>
          <c:order val="3"/>
          <c:spPr>
            <a:ln w="12700">
              <a:solidFill>
                <a:schemeClr val="tx2"/>
              </a:solidFill>
              <a:prstDash val="dash"/>
            </a:ln>
          </c:spPr>
          <c:marker>
            <c:symbol val="none"/>
          </c:marker>
          <c:cat>
            <c:multiLvlStrRef>
              <c:f>Hoja1!$A$8:$B$32</c:f>
              <c:multiLvlStrCache>
                <c:ptCount val="25"/>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lvl>
                <c:lvl>
                  <c:pt idx="0">
                    <c:v>2013</c:v>
                  </c:pt>
                  <c:pt idx="3">
                    <c:v>2014</c:v>
                  </c:pt>
                  <c:pt idx="15">
                    <c:v>2015</c:v>
                  </c:pt>
                </c:lvl>
              </c:multiLvlStrCache>
            </c:multiLvlStrRef>
          </c:cat>
          <c:val>
            <c:numRef>
              <c:f>Hoja1!$F$8:$F$32</c:f>
              <c:numCache>
                <c:formatCode>General</c:formatCode>
                <c:ptCount val="25"/>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numCache>
            </c:numRef>
          </c:val>
          <c:smooth val="0"/>
          <c:extLst>
            <c:ext xmlns:c16="http://schemas.microsoft.com/office/drawing/2014/chart" uri="{C3380CC4-5D6E-409C-BE32-E72D297353CC}">
              <c16:uniqueId val="{00000006-0457-4B0A-8CA5-01E036AC2AF5}"/>
            </c:ext>
          </c:extLst>
        </c:ser>
        <c:dLbls>
          <c:showLegendKey val="0"/>
          <c:showVal val="0"/>
          <c:showCatName val="0"/>
          <c:showSerName val="0"/>
          <c:showPercent val="0"/>
          <c:showBubbleSize val="0"/>
        </c:dLbls>
        <c:smooth val="0"/>
        <c:axId val="123743616"/>
        <c:axId val="123761792"/>
      </c:lineChart>
      <c:catAx>
        <c:axId val="123743616"/>
        <c:scaling>
          <c:orientation val="minMax"/>
        </c:scaling>
        <c:delete val="0"/>
        <c:axPos val="b"/>
        <c:numFmt formatCode="General" sourceLinked="0"/>
        <c:majorTickMark val="out"/>
        <c:minorTickMark val="none"/>
        <c:tickLblPos val="nextTo"/>
        <c:txPr>
          <a:bodyPr/>
          <a:lstStyle/>
          <a:p>
            <a:pPr>
              <a:defRPr sz="600"/>
            </a:pPr>
            <a:endParaRPr lang="es-GT"/>
          </a:p>
        </c:txPr>
        <c:crossAx val="123761792"/>
        <c:crosses val="autoZero"/>
        <c:auto val="1"/>
        <c:lblAlgn val="ctr"/>
        <c:lblOffset val="100"/>
        <c:noMultiLvlLbl val="0"/>
      </c:catAx>
      <c:valAx>
        <c:axId val="123761792"/>
        <c:scaling>
          <c:orientation val="minMax"/>
        </c:scaling>
        <c:delete val="0"/>
        <c:axPos val="l"/>
        <c:numFmt formatCode="General" sourceLinked="1"/>
        <c:majorTickMark val="out"/>
        <c:minorTickMark val="none"/>
        <c:tickLblPos val="nextTo"/>
        <c:txPr>
          <a:bodyPr/>
          <a:lstStyle/>
          <a:p>
            <a:pPr>
              <a:defRPr sz="800"/>
            </a:pPr>
            <a:endParaRPr lang="es-GT"/>
          </a:p>
        </c:txPr>
        <c:crossAx val="12374361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0.28513</cdr:x>
      <cdr:y>0.15279</cdr:y>
    </cdr:from>
    <cdr:to>
      <cdr:x>0.99899</cdr:x>
      <cdr:y>0.26425</cdr:y>
    </cdr:to>
    <cdr:sp macro="" textlink="">
      <cdr:nvSpPr>
        <cdr:cNvPr id="2" name="1 Cuadro de texto"/>
        <cdr:cNvSpPr txBox="1"/>
      </cdr:nvSpPr>
      <cdr:spPr>
        <a:xfrm xmlns:a="http://schemas.openxmlformats.org/drawingml/2006/main">
          <a:off x="760791" y="261478"/>
          <a:ext cx="1904772" cy="1907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s-GT" sz="700" b="1">
              <a:solidFill>
                <a:schemeClr val="accent3">
                  <a:lumMod val="50000"/>
                </a:schemeClr>
              </a:solidFill>
              <a:latin typeface="Times New Roman" pitchFamily="18" charset="0"/>
              <a:cs typeface="Times New Roman" pitchFamily="18" charset="0"/>
            </a:rPr>
            <a:t>Meta de inflación 4.0% +/- 1 p.p.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9F13-2C7D-4192-BA08-522FC737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15023</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Rodas Anleu</dc:creator>
  <cp:lastModifiedBy>Saul Enrique De León Meneses</cp:lastModifiedBy>
  <cp:revision>2</cp:revision>
  <cp:lastPrinted>2014-03-08T04:17:00Z</cp:lastPrinted>
  <dcterms:created xsi:type="dcterms:W3CDTF">2018-05-14T21:53:00Z</dcterms:created>
  <dcterms:modified xsi:type="dcterms:W3CDTF">2018-05-14T21:53:00Z</dcterms:modified>
</cp:coreProperties>
</file>